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F87FF" w14:textId="77777777" w:rsidR="00797BE3" w:rsidRPr="00E261DA" w:rsidRDefault="00797BE3" w:rsidP="00797BE3">
      <w:pPr>
        <w:rPr>
          <w:rFonts w:asciiTheme="minorHAnsi" w:hAnsiTheme="minorHAnsi" w:cstheme="minorHAnsi"/>
          <w:b/>
          <w:szCs w:val="24"/>
        </w:rPr>
      </w:pPr>
      <w:r w:rsidRPr="00E261DA">
        <w:rPr>
          <w:rFonts w:asciiTheme="minorHAnsi" w:hAnsiTheme="minorHAnsi" w:cstheme="minorHAnsi"/>
          <w:b/>
          <w:szCs w:val="24"/>
        </w:rPr>
        <w:t xml:space="preserve">2. </w:t>
      </w:r>
      <w:r w:rsidRPr="00E261DA">
        <w:rPr>
          <w:rFonts w:asciiTheme="minorHAnsi" w:hAnsiTheme="minorHAnsi" w:cstheme="minorHAnsi"/>
          <w:b/>
          <w:szCs w:val="24"/>
        </w:rPr>
        <w:tab/>
        <w:t xml:space="preserve">Project </w:t>
      </w:r>
      <w:r w:rsidRPr="00E261DA">
        <w:rPr>
          <w:rFonts w:asciiTheme="minorHAnsi" w:hAnsiTheme="minorHAnsi" w:cstheme="minorHAnsi"/>
          <w:b/>
        </w:rPr>
        <w:t>Description</w:t>
      </w:r>
      <w:r w:rsidRPr="00E261DA">
        <w:rPr>
          <w:rFonts w:asciiTheme="minorHAnsi" w:hAnsiTheme="minorHAnsi" w:cstheme="minorHAnsi"/>
          <w:b/>
          <w:szCs w:val="24"/>
        </w:rPr>
        <w:t xml:space="preserve"> </w:t>
      </w:r>
    </w:p>
    <w:p w14:paraId="2D611269" w14:textId="77777777" w:rsidR="00797BE3" w:rsidRPr="005B249D" w:rsidRDefault="00797BE3" w:rsidP="00F20199">
      <w:pPr>
        <w:jc w:val="both"/>
        <w:rPr>
          <w:rFonts w:asciiTheme="minorHAnsi" w:hAnsiTheme="minorHAnsi" w:cstheme="minorHAnsi"/>
          <w:szCs w:val="24"/>
          <w:u w:val="single"/>
        </w:rPr>
      </w:pPr>
      <w:r>
        <w:rPr>
          <w:rFonts w:asciiTheme="minorHAnsi" w:hAnsiTheme="minorHAnsi" w:cstheme="minorHAnsi"/>
          <w:szCs w:val="24"/>
          <w:u w:val="single"/>
        </w:rPr>
        <w:t>The Applicant</w:t>
      </w:r>
    </w:p>
    <w:p w14:paraId="000C18A5" w14:textId="5DA457CC" w:rsidR="00797BE3" w:rsidRDefault="00797BE3" w:rsidP="00F20199">
      <w:pPr>
        <w:tabs>
          <w:tab w:val="left" w:pos="1662"/>
        </w:tabs>
        <w:jc w:val="both"/>
        <w:rPr>
          <w:rFonts w:asciiTheme="minorHAnsi" w:hAnsiTheme="minorHAnsi" w:cstheme="minorHAnsi"/>
        </w:rPr>
      </w:pPr>
      <w:r w:rsidRPr="005B249D">
        <w:rPr>
          <w:rFonts w:asciiTheme="minorHAnsi" w:hAnsiTheme="minorHAnsi" w:cstheme="minorHAnsi"/>
        </w:rPr>
        <w:t>Atrius Health, Inc. (</w:t>
      </w:r>
      <w:r>
        <w:rPr>
          <w:rFonts w:asciiTheme="minorHAnsi" w:hAnsiTheme="minorHAnsi" w:cstheme="minorHAnsi"/>
        </w:rPr>
        <w:t>the “Applicant” or “</w:t>
      </w:r>
      <w:r w:rsidRPr="005B249D">
        <w:rPr>
          <w:rFonts w:asciiTheme="minorHAnsi" w:hAnsiTheme="minorHAnsi" w:cstheme="minorHAnsi"/>
        </w:rPr>
        <w:t>Atrius Health</w:t>
      </w:r>
      <w:r>
        <w:rPr>
          <w:rFonts w:asciiTheme="minorHAnsi" w:hAnsiTheme="minorHAnsi" w:cstheme="minorHAnsi"/>
        </w:rPr>
        <w:t>”</w:t>
      </w:r>
      <w:r w:rsidRPr="005B249D">
        <w:rPr>
          <w:rFonts w:asciiTheme="minorHAnsi" w:hAnsiTheme="minorHAnsi" w:cstheme="minorHAnsi"/>
        </w:rPr>
        <w:t>)</w:t>
      </w:r>
      <w:r>
        <w:rPr>
          <w:rFonts w:asciiTheme="minorHAnsi" w:hAnsiTheme="minorHAnsi" w:cstheme="minorHAnsi"/>
        </w:rPr>
        <w:t xml:space="preserve"> is a multi-specialty group practice serving adult and pediatric patients throughout eastern M</w:t>
      </w:r>
      <w:r w:rsidRPr="005B249D">
        <w:rPr>
          <w:rFonts w:asciiTheme="minorHAnsi" w:hAnsiTheme="minorHAnsi" w:cstheme="minorHAnsi"/>
        </w:rPr>
        <w:t xml:space="preserve">assachusetts.  </w:t>
      </w:r>
      <w:r>
        <w:rPr>
          <w:rFonts w:asciiTheme="minorHAnsi" w:hAnsiTheme="minorHAnsi" w:cstheme="minorHAnsi"/>
        </w:rPr>
        <w:t>The Applicant provides high-quality, patient-centered, coordinated, cost effective care</w:t>
      </w:r>
      <w:r w:rsidR="00022D98">
        <w:rPr>
          <w:rFonts w:asciiTheme="minorHAnsi" w:hAnsiTheme="minorHAnsi" w:cstheme="minorHAnsi"/>
        </w:rPr>
        <w:t>;</w:t>
      </w:r>
      <w:r>
        <w:rPr>
          <w:rFonts w:asciiTheme="minorHAnsi" w:hAnsiTheme="minorHAnsi" w:cstheme="minorHAnsi"/>
        </w:rPr>
        <w:t xml:space="preserve"> is a Health Policy Commission (“HPC”) Certified Accountable Care Organization (“HPC ACO”)</w:t>
      </w:r>
      <w:r w:rsidR="00022D98">
        <w:rPr>
          <w:rFonts w:asciiTheme="minorHAnsi" w:hAnsiTheme="minorHAnsi" w:cstheme="minorHAnsi"/>
        </w:rPr>
        <w:t>;</w:t>
      </w:r>
      <w:r>
        <w:rPr>
          <w:rFonts w:asciiTheme="minorHAnsi" w:hAnsiTheme="minorHAnsi" w:cstheme="minorHAnsi"/>
        </w:rPr>
        <w:t xml:space="preserve"> and is a member of the Fallon-Health-Atrius Health Care Collaborative, a MassHealth Accountable Care Organization (“MassHealth ACO”).   The Applicant works</w:t>
      </w:r>
      <w:bookmarkStart w:id="0" w:name="_BPDCD_9"/>
      <w:r w:rsidRPr="005B249D">
        <w:rPr>
          <w:rFonts w:asciiTheme="minorHAnsi" w:hAnsiTheme="minorHAnsi" w:cstheme="minorHAnsi"/>
        </w:rPr>
        <w:t> </w:t>
      </w:r>
      <w:r>
        <w:rPr>
          <w:rFonts w:asciiTheme="minorHAnsi" w:hAnsiTheme="minorHAnsi" w:cstheme="minorHAnsi"/>
        </w:rPr>
        <w:t>with its affiliate,</w:t>
      </w:r>
      <w:r w:rsidRPr="005B249D">
        <w:rPr>
          <w:rFonts w:asciiTheme="minorHAnsi" w:hAnsiTheme="minorHAnsi" w:cstheme="minorHAnsi"/>
        </w:rPr>
        <w:t xml:space="preserve"> Atrius </w:t>
      </w:r>
      <w:bookmarkEnd w:id="0"/>
      <w:r w:rsidRPr="005B249D">
        <w:rPr>
          <w:rFonts w:asciiTheme="minorHAnsi" w:hAnsiTheme="minorHAnsi" w:cstheme="minorHAnsi"/>
        </w:rPr>
        <w:t>MSO, LLC</w:t>
      </w:r>
      <w:r>
        <w:rPr>
          <w:rFonts w:asciiTheme="minorHAnsi" w:hAnsiTheme="minorHAnsi" w:cstheme="minorHAnsi"/>
        </w:rPr>
        <w:t xml:space="preserve">, which provides administrative </w:t>
      </w:r>
      <w:r w:rsidRPr="005B249D">
        <w:rPr>
          <w:rFonts w:asciiTheme="minorHAnsi" w:hAnsiTheme="minorHAnsi" w:cstheme="minorHAnsi"/>
        </w:rPr>
        <w:t>support services to Atrius Health</w:t>
      </w:r>
      <w:r>
        <w:rPr>
          <w:rFonts w:asciiTheme="minorHAnsi" w:hAnsiTheme="minorHAnsi" w:cstheme="minorHAnsi"/>
        </w:rPr>
        <w:t xml:space="preserve"> </w:t>
      </w:r>
      <w:r w:rsidRPr="005B249D">
        <w:rPr>
          <w:rFonts w:asciiTheme="minorHAnsi" w:hAnsiTheme="minorHAnsi" w:cstheme="minorHAnsi"/>
        </w:rPr>
        <w:t xml:space="preserve">under an administrative services agreement. </w:t>
      </w:r>
    </w:p>
    <w:p w14:paraId="6B1A24E4" w14:textId="77777777" w:rsidR="00797BE3" w:rsidRPr="005B249D" w:rsidRDefault="00797BE3" w:rsidP="00073DD5">
      <w:pPr>
        <w:tabs>
          <w:tab w:val="left" w:pos="1662"/>
        </w:tabs>
        <w:jc w:val="both"/>
        <w:rPr>
          <w:rFonts w:asciiTheme="minorHAnsi" w:hAnsiTheme="minorHAnsi" w:cstheme="minorHAnsi"/>
          <w:u w:val="single"/>
        </w:rPr>
      </w:pPr>
      <w:r>
        <w:rPr>
          <w:rFonts w:asciiTheme="minorHAnsi" w:hAnsiTheme="minorHAnsi" w:cstheme="minorHAnsi"/>
          <w:u w:val="single"/>
        </w:rPr>
        <w:t>The Proposed Project</w:t>
      </w:r>
    </w:p>
    <w:p w14:paraId="65062C73" w14:textId="74C6FEBE" w:rsidR="00797BE3" w:rsidRDefault="00797BE3" w:rsidP="00D22797">
      <w:pPr>
        <w:tabs>
          <w:tab w:val="left" w:pos="1662"/>
        </w:tabs>
        <w:jc w:val="both"/>
        <w:rPr>
          <w:rFonts w:asciiTheme="minorHAnsi" w:hAnsiTheme="minorHAnsi" w:cstheme="minorHAnsi"/>
        </w:rPr>
      </w:pPr>
      <w:r w:rsidRPr="005B249D">
        <w:rPr>
          <w:rFonts w:asciiTheme="minorHAnsi" w:hAnsiTheme="minorHAnsi" w:cstheme="minorHAnsi"/>
        </w:rPr>
        <w:t>The Applicant</w:t>
      </w:r>
      <w:r>
        <w:rPr>
          <w:rFonts w:asciiTheme="minorHAnsi" w:hAnsiTheme="minorHAnsi" w:cstheme="minorHAnsi"/>
        </w:rPr>
        <w:t xml:space="preserve"> </w:t>
      </w:r>
      <w:r w:rsidRPr="005B249D">
        <w:rPr>
          <w:rFonts w:asciiTheme="minorHAnsi" w:hAnsiTheme="minorHAnsi" w:cstheme="minorHAnsi"/>
        </w:rPr>
        <w:t xml:space="preserve">submits this </w:t>
      </w:r>
      <w:r>
        <w:rPr>
          <w:rFonts w:asciiTheme="minorHAnsi" w:hAnsiTheme="minorHAnsi" w:cstheme="minorHAnsi"/>
        </w:rPr>
        <w:t>A</w:t>
      </w:r>
      <w:r w:rsidRPr="005B249D">
        <w:rPr>
          <w:rFonts w:asciiTheme="minorHAnsi" w:hAnsiTheme="minorHAnsi" w:cstheme="minorHAnsi"/>
        </w:rPr>
        <w:t>pplication to establish a freestanding ambulatory surgery center (</w:t>
      </w:r>
      <w:r>
        <w:rPr>
          <w:rFonts w:asciiTheme="minorHAnsi" w:hAnsiTheme="minorHAnsi" w:cstheme="minorHAnsi"/>
        </w:rPr>
        <w:t>“</w:t>
      </w:r>
      <w:r w:rsidRPr="005B249D">
        <w:rPr>
          <w:rFonts w:asciiTheme="minorHAnsi" w:hAnsiTheme="minorHAnsi" w:cstheme="minorHAnsi"/>
        </w:rPr>
        <w:t>ASC</w:t>
      </w:r>
      <w:r>
        <w:rPr>
          <w:rFonts w:asciiTheme="minorHAnsi" w:hAnsiTheme="minorHAnsi" w:cstheme="minorHAnsi"/>
        </w:rPr>
        <w:t>”</w:t>
      </w:r>
      <w:r w:rsidRPr="005B249D">
        <w:rPr>
          <w:rFonts w:asciiTheme="minorHAnsi" w:hAnsiTheme="minorHAnsi" w:cstheme="minorHAnsi"/>
        </w:rPr>
        <w:t xml:space="preserve">) with </w:t>
      </w:r>
      <w:r w:rsidR="00C15B6F">
        <w:rPr>
          <w:rFonts w:asciiTheme="minorHAnsi" w:hAnsiTheme="minorHAnsi" w:cstheme="minorHAnsi"/>
        </w:rPr>
        <w:t>six</w:t>
      </w:r>
      <w:r w:rsidRPr="005B249D">
        <w:rPr>
          <w:rFonts w:asciiTheme="minorHAnsi" w:hAnsiTheme="minorHAnsi" w:cstheme="minorHAnsi"/>
        </w:rPr>
        <w:t xml:space="preserve"> (</w:t>
      </w:r>
      <w:r w:rsidR="00C15B6F">
        <w:rPr>
          <w:rFonts w:asciiTheme="minorHAnsi" w:hAnsiTheme="minorHAnsi" w:cstheme="minorHAnsi"/>
        </w:rPr>
        <w:t>6</w:t>
      </w:r>
      <w:r w:rsidRPr="005B249D">
        <w:rPr>
          <w:rFonts w:asciiTheme="minorHAnsi" w:hAnsiTheme="minorHAnsi" w:cstheme="minorHAnsi"/>
        </w:rPr>
        <w:t>) operating rooms</w:t>
      </w:r>
      <w:r w:rsidR="00F32E33">
        <w:rPr>
          <w:rFonts w:asciiTheme="minorHAnsi" w:hAnsiTheme="minorHAnsi" w:cstheme="minorHAnsi"/>
        </w:rPr>
        <w:t xml:space="preserve"> </w:t>
      </w:r>
      <w:r w:rsidRPr="005B249D">
        <w:rPr>
          <w:rFonts w:asciiTheme="minorHAnsi" w:hAnsiTheme="minorHAnsi" w:cstheme="minorHAnsi"/>
        </w:rPr>
        <w:t xml:space="preserve">located at </w:t>
      </w:r>
      <w:r w:rsidR="00AD6663">
        <w:rPr>
          <w:rFonts w:asciiTheme="minorHAnsi" w:hAnsiTheme="minorHAnsi" w:cstheme="minorHAnsi"/>
        </w:rPr>
        <w:t>153 Second Avenue</w:t>
      </w:r>
      <w:r w:rsidRPr="005B249D">
        <w:rPr>
          <w:rFonts w:asciiTheme="minorHAnsi" w:hAnsiTheme="minorHAnsi" w:cstheme="minorHAnsi"/>
        </w:rPr>
        <w:t>, Waltham, Massachusetts</w:t>
      </w:r>
      <w:r w:rsidR="00AD6663">
        <w:rPr>
          <w:rFonts w:asciiTheme="minorHAnsi" w:hAnsiTheme="minorHAnsi" w:cstheme="minorHAnsi"/>
        </w:rPr>
        <w:t>, 02451</w:t>
      </w:r>
      <w:r w:rsidRPr="005B249D">
        <w:rPr>
          <w:rFonts w:asciiTheme="minorHAnsi" w:hAnsiTheme="minorHAnsi" w:cstheme="minorHAnsi"/>
        </w:rPr>
        <w:t xml:space="preserve"> (the “Center” or </w:t>
      </w:r>
      <w:r>
        <w:rPr>
          <w:rFonts w:asciiTheme="minorHAnsi" w:hAnsiTheme="minorHAnsi" w:cstheme="minorHAnsi"/>
        </w:rPr>
        <w:t xml:space="preserve">the </w:t>
      </w:r>
      <w:r w:rsidRPr="005B249D">
        <w:rPr>
          <w:rFonts w:asciiTheme="minorHAnsi" w:hAnsiTheme="minorHAnsi" w:cstheme="minorHAnsi"/>
        </w:rPr>
        <w:t>“Proposed Project”). The Center would be an affiliate of</w:t>
      </w:r>
      <w:r>
        <w:rPr>
          <w:rFonts w:asciiTheme="minorHAnsi" w:hAnsiTheme="minorHAnsi" w:cstheme="minorHAnsi"/>
        </w:rPr>
        <w:t xml:space="preserve"> Atrius Health, an HPC</w:t>
      </w:r>
      <w:r w:rsidRPr="005B249D">
        <w:rPr>
          <w:rFonts w:asciiTheme="minorHAnsi" w:hAnsiTheme="minorHAnsi" w:cstheme="minorHAnsi"/>
        </w:rPr>
        <w:t xml:space="preserve"> ACO</w:t>
      </w:r>
      <w:r>
        <w:rPr>
          <w:rFonts w:asciiTheme="minorHAnsi" w:hAnsiTheme="minorHAnsi" w:cstheme="minorHAnsi"/>
        </w:rPr>
        <w:t xml:space="preserve">, </w:t>
      </w:r>
      <w:r w:rsidRPr="005B249D">
        <w:rPr>
          <w:rFonts w:asciiTheme="minorHAnsi" w:hAnsiTheme="minorHAnsi" w:cstheme="minorHAnsi"/>
        </w:rPr>
        <w:t>and would be operated by Atrius Health Ambulatory Surgery Center, LLC</w:t>
      </w:r>
      <w:r w:rsidRPr="005B249D">
        <w:rPr>
          <w:rFonts w:asciiTheme="minorHAnsi" w:hAnsiTheme="minorHAnsi" w:cstheme="minorHAnsi"/>
          <w:vertAlign w:val="superscript"/>
        </w:rPr>
        <w:footnoteReference w:id="2"/>
      </w:r>
      <w:r w:rsidRPr="005B249D">
        <w:rPr>
          <w:rFonts w:asciiTheme="minorHAnsi" w:hAnsiTheme="minorHAnsi" w:cstheme="minorHAnsi"/>
        </w:rPr>
        <w:t xml:space="preserve"> (</w:t>
      </w:r>
      <w:r>
        <w:rPr>
          <w:rFonts w:asciiTheme="minorHAnsi" w:hAnsiTheme="minorHAnsi" w:cstheme="minorHAnsi"/>
        </w:rPr>
        <w:t>“</w:t>
      </w:r>
      <w:r w:rsidRPr="005B249D">
        <w:rPr>
          <w:rFonts w:asciiTheme="minorHAnsi" w:hAnsiTheme="minorHAnsi" w:cstheme="minorHAnsi"/>
        </w:rPr>
        <w:t>AHASC</w:t>
      </w:r>
      <w:r>
        <w:rPr>
          <w:rFonts w:asciiTheme="minorHAnsi" w:hAnsiTheme="minorHAnsi" w:cstheme="minorHAnsi"/>
        </w:rPr>
        <w:t>”</w:t>
      </w:r>
      <w:r w:rsidRPr="005B249D">
        <w:rPr>
          <w:rFonts w:asciiTheme="minorHAnsi" w:hAnsiTheme="minorHAnsi" w:cstheme="minorHAnsi"/>
        </w:rPr>
        <w:t xml:space="preserve">) for which </w:t>
      </w:r>
      <w:r>
        <w:rPr>
          <w:rFonts w:asciiTheme="minorHAnsi" w:hAnsiTheme="minorHAnsi" w:cstheme="minorHAnsi"/>
        </w:rPr>
        <w:t xml:space="preserve">clinic </w:t>
      </w:r>
      <w:r w:rsidRPr="005B249D">
        <w:rPr>
          <w:rFonts w:asciiTheme="minorHAnsi" w:hAnsiTheme="minorHAnsi" w:cstheme="minorHAnsi"/>
        </w:rPr>
        <w:t xml:space="preserve">licensure will be sought </w:t>
      </w:r>
      <w:r>
        <w:rPr>
          <w:rFonts w:asciiTheme="minorHAnsi" w:hAnsiTheme="minorHAnsi" w:cstheme="minorHAnsi"/>
        </w:rPr>
        <w:t>after approval of the</w:t>
      </w:r>
      <w:r w:rsidRPr="005B249D">
        <w:rPr>
          <w:rFonts w:asciiTheme="minorHAnsi" w:hAnsiTheme="minorHAnsi" w:cstheme="minorHAnsi"/>
        </w:rPr>
        <w:t xml:space="preserve"> Proposed Project. </w:t>
      </w:r>
      <w:r>
        <w:rPr>
          <w:rFonts w:asciiTheme="minorHAnsi" w:hAnsiTheme="minorHAnsi" w:cstheme="minorHAnsi"/>
        </w:rPr>
        <w:t xml:space="preserve"> </w:t>
      </w:r>
      <w:r w:rsidRPr="005B249D">
        <w:rPr>
          <w:rFonts w:asciiTheme="minorHAnsi" w:hAnsiTheme="minorHAnsi" w:cstheme="minorHAnsi"/>
        </w:rPr>
        <w:t xml:space="preserve">The </w:t>
      </w:r>
      <w:r>
        <w:rPr>
          <w:rFonts w:asciiTheme="minorHAnsi" w:hAnsiTheme="minorHAnsi" w:cstheme="minorHAnsi"/>
        </w:rPr>
        <w:t xml:space="preserve">Applicant will lease and renovate </w:t>
      </w:r>
      <w:r w:rsidR="00AD6663">
        <w:rPr>
          <w:rFonts w:asciiTheme="minorHAnsi" w:hAnsiTheme="minorHAnsi" w:cstheme="minorHAnsi"/>
        </w:rPr>
        <w:t>22,000</w:t>
      </w:r>
      <w:r>
        <w:rPr>
          <w:rFonts w:asciiTheme="minorHAnsi" w:hAnsiTheme="minorHAnsi" w:cstheme="minorHAnsi"/>
        </w:rPr>
        <w:t xml:space="preserve"> gross square feet to open the </w:t>
      </w:r>
      <w:r w:rsidRPr="005B249D">
        <w:rPr>
          <w:rFonts w:asciiTheme="minorHAnsi" w:hAnsiTheme="minorHAnsi" w:cstheme="minorHAnsi"/>
        </w:rPr>
        <w:t xml:space="preserve">Center </w:t>
      </w:r>
      <w:r>
        <w:rPr>
          <w:rFonts w:asciiTheme="minorHAnsi" w:hAnsiTheme="minorHAnsi" w:cstheme="minorHAnsi"/>
        </w:rPr>
        <w:t xml:space="preserve">that will </w:t>
      </w:r>
      <w:r w:rsidRPr="005B249D">
        <w:rPr>
          <w:rFonts w:asciiTheme="minorHAnsi" w:hAnsiTheme="minorHAnsi" w:cstheme="minorHAnsi"/>
        </w:rPr>
        <w:t>specialize in providing outpatient surgical services, performed by Atrius Health surgeons, including ear, nose and throat (</w:t>
      </w:r>
      <w:r>
        <w:rPr>
          <w:rFonts w:asciiTheme="minorHAnsi" w:hAnsiTheme="minorHAnsi" w:cstheme="minorHAnsi"/>
        </w:rPr>
        <w:t>“</w:t>
      </w:r>
      <w:r w:rsidRPr="005B249D">
        <w:rPr>
          <w:rFonts w:asciiTheme="minorHAnsi" w:hAnsiTheme="minorHAnsi" w:cstheme="minorHAnsi"/>
        </w:rPr>
        <w:t>ENT</w:t>
      </w:r>
      <w:r>
        <w:rPr>
          <w:rFonts w:asciiTheme="minorHAnsi" w:hAnsiTheme="minorHAnsi" w:cstheme="minorHAnsi"/>
        </w:rPr>
        <w:t>”</w:t>
      </w:r>
      <w:r w:rsidRPr="005B249D">
        <w:rPr>
          <w:rFonts w:asciiTheme="minorHAnsi" w:hAnsiTheme="minorHAnsi" w:cstheme="minorHAnsi"/>
        </w:rPr>
        <w:t>)</w:t>
      </w:r>
      <w:r>
        <w:rPr>
          <w:rFonts w:asciiTheme="minorHAnsi" w:hAnsiTheme="minorHAnsi" w:cstheme="minorHAnsi"/>
        </w:rPr>
        <w:t>,</w:t>
      </w:r>
      <w:r w:rsidRPr="005B249D">
        <w:rPr>
          <w:rFonts w:asciiTheme="minorHAnsi" w:hAnsiTheme="minorHAnsi" w:cstheme="minorHAnsi"/>
        </w:rPr>
        <w:t xml:space="preserve"> general surgery</w:t>
      </w:r>
      <w:r>
        <w:rPr>
          <w:rFonts w:asciiTheme="minorHAnsi" w:hAnsiTheme="minorHAnsi" w:cstheme="minorHAnsi"/>
        </w:rPr>
        <w:t>,</w:t>
      </w:r>
      <w:r w:rsidRPr="005B249D">
        <w:rPr>
          <w:rFonts w:asciiTheme="minorHAnsi" w:hAnsiTheme="minorHAnsi" w:cstheme="minorHAnsi"/>
        </w:rPr>
        <w:t xml:space="preserve"> obstetrics and gynecology (</w:t>
      </w:r>
      <w:r>
        <w:rPr>
          <w:rFonts w:asciiTheme="minorHAnsi" w:hAnsiTheme="minorHAnsi" w:cstheme="minorHAnsi"/>
        </w:rPr>
        <w:t>“</w:t>
      </w:r>
      <w:r w:rsidRPr="005B249D">
        <w:rPr>
          <w:rFonts w:asciiTheme="minorHAnsi" w:hAnsiTheme="minorHAnsi" w:cstheme="minorHAnsi"/>
        </w:rPr>
        <w:t>OB/GYN</w:t>
      </w:r>
      <w:r>
        <w:rPr>
          <w:rFonts w:asciiTheme="minorHAnsi" w:hAnsiTheme="minorHAnsi" w:cstheme="minorHAnsi"/>
        </w:rPr>
        <w:t>”</w:t>
      </w:r>
      <w:r w:rsidRPr="005B249D">
        <w:rPr>
          <w:rFonts w:asciiTheme="minorHAnsi" w:hAnsiTheme="minorHAnsi" w:cstheme="minorHAnsi"/>
        </w:rPr>
        <w:t>)</w:t>
      </w:r>
      <w:r>
        <w:rPr>
          <w:rFonts w:asciiTheme="minorHAnsi" w:hAnsiTheme="minorHAnsi" w:cstheme="minorHAnsi"/>
        </w:rPr>
        <w:t>,</w:t>
      </w:r>
      <w:r w:rsidRPr="005B249D">
        <w:rPr>
          <w:rFonts w:asciiTheme="minorHAnsi" w:hAnsiTheme="minorHAnsi" w:cstheme="minorHAnsi"/>
        </w:rPr>
        <w:t xml:space="preserve"> orthopedic</w:t>
      </w:r>
      <w:r>
        <w:rPr>
          <w:rFonts w:asciiTheme="minorHAnsi" w:hAnsiTheme="minorHAnsi" w:cstheme="minorHAnsi"/>
        </w:rPr>
        <w:t>s,</w:t>
      </w:r>
      <w:r w:rsidRPr="005B249D">
        <w:rPr>
          <w:rFonts w:asciiTheme="minorHAnsi" w:hAnsiTheme="minorHAnsi" w:cstheme="minorHAnsi"/>
        </w:rPr>
        <w:t xml:space="preserve"> and podiatry</w:t>
      </w:r>
      <w:r>
        <w:rPr>
          <w:rFonts w:asciiTheme="minorHAnsi" w:hAnsiTheme="minorHAnsi" w:cstheme="minorHAnsi"/>
        </w:rPr>
        <w:t xml:space="preserve"> (collectively the “Surgical Services”)</w:t>
      </w:r>
      <w:r w:rsidRPr="005B249D">
        <w:rPr>
          <w:rFonts w:asciiTheme="minorHAnsi" w:hAnsiTheme="minorHAnsi" w:cstheme="minorHAnsi"/>
        </w:rPr>
        <w:t xml:space="preserve">. </w:t>
      </w:r>
      <w:r>
        <w:rPr>
          <w:rFonts w:asciiTheme="minorHAnsi" w:hAnsiTheme="minorHAnsi" w:cstheme="minorHAnsi"/>
        </w:rPr>
        <w:t xml:space="preserve"> </w:t>
      </w:r>
      <w:r w:rsidRPr="005B249D">
        <w:rPr>
          <w:rFonts w:asciiTheme="minorHAnsi" w:hAnsiTheme="minorHAnsi" w:cstheme="minorHAnsi"/>
        </w:rPr>
        <w:t xml:space="preserve">AHASC will </w:t>
      </w:r>
      <w:r w:rsidR="00735F99">
        <w:rPr>
          <w:rFonts w:asciiTheme="minorHAnsi" w:hAnsiTheme="minorHAnsi" w:cstheme="minorHAnsi"/>
        </w:rPr>
        <w:t>collaborate</w:t>
      </w:r>
      <w:r w:rsidR="00735F99" w:rsidRPr="005B249D">
        <w:rPr>
          <w:rFonts w:asciiTheme="minorHAnsi" w:hAnsiTheme="minorHAnsi" w:cstheme="minorHAnsi"/>
        </w:rPr>
        <w:t xml:space="preserve"> </w:t>
      </w:r>
      <w:r w:rsidRPr="005B249D">
        <w:rPr>
          <w:rFonts w:asciiTheme="minorHAnsi" w:hAnsiTheme="minorHAnsi" w:cstheme="minorHAnsi"/>
        </w:rPr>
        <w:t>with Surgical Care Associates, Inc. (</w:t>
      </w:r>
      <w:r>
        <w:rPr>
          <w:rFonts w:asciiTheme="minorHAnsi" w:hAnsiTheme="minorHAnsi" w:cstheme="minorHAnsi"/>
        </w:rPr>
        <w:t>“</w:t>
      </w:r>
      <w:r w:rsidRPr="005B249D">
        <w:rPr>
          <w:rFonts w:asciiTheme="minorHAnsi" w:hAnsiTheme="minorHAnsi" w:cstheme="minorHAnsi"/>
        </w:rPr>
        <w:t>SCA</w:t>
      </w:r>
      <w:r>
        <w:rPr>
          <w:rFonts w:asciiTheme="minorHAnsi" w:hAnsiTheme="minorHAnsi" w:cstheme="minorHAnsi"/>
        </w:rPr>
        <w:t>”</w:t>
      </w:r>
      <w:r w:rsidRPr="005B249D">
        <w:rPr>
          <w:rFonts w:asciiTheme="minorHAnsi" w:hAnsiTheme="minorHAnsi" w:cstheme="minorHAnsi"/>
        </w:rPr>
        <w:t xml:space="preserve">), a national leader in the operation and management of ASCs, to </w:t>
      </w:r>
      <w:r>
        <w:rPr>
          <w:rFonts w:asciiTheme="minorHAnsi" w:hAnsiTheme="minorHAnsi" w:cstheme="minorHAnsi"/>
        </w:rPr>
        <w:t xml:space="preserve">assist the Applicant with providing </w:t>
      </w:r>
      <w:r w:rsidRPr="005B249D">
        <w:rPr>
          <w:rFonts w:asciiTheme="minorHAnsi" w:hAnsiTheme="minorHAnsi" w:cstheme="minorHAnsi"/>
        </w:rPr>
        <w:t xml:space="preserve">core operational services for the Proposed Project. </w:t>
      </w:r>
      <w:r>
        <w:rPr>
          <w:rFonts w:asciiTheme="minorHAnsi" w:hAnsiTheme="minorHAnsi" w:cstheme="minorHAnsi"/>
        </w:rPr>
        <w:t xml:space="preserve"> The establishment of the Center will allow the Applicant to offer its value-based care model through the provision of high quality, low-cost surgical services to its Patient Panel.  The Proposed Project will shift the provision of Surgical Services to the Applicant’s Patient Panel </w:t>
      </w:r>
      <w:r w:rsidR="000B3D4F">
        <w:rPr>
          <w:rFonts w:asciiTheme="minorHAnsi" w:hAnsiTheme="minorHAnsi" w:cstheme="minorHAnsi"/>
        </w:rPr>
        <w:t>from</w:t>
      </w:r>
      <w:r>
        <w:rPr>
          <w:rFonts w:asciiTheme="minorHAnsi" w:hAnsiTheme="minorHAnsi" w:cstheme="minorHAnsi"/>
        </w:rPr>
        <w:t xml:space="preserve"> hospital</w:t>
      </w:r>
      <w:r w:rsidR="000B3D4F">
        <w:rPr>
          <w:rFonts w:asciiTheme="minorHAnsi" w:hAnsiTheme="minorHAnsi" w:cstheme="minorHAnsi"/>
        </w:rPr>
        <w:t xml:space="preserve"> </w:t>
      </w:r>
      <w:r>
        <w:rPr>
          <w:rFonts w:asciiTheme="minorHAnsi" w:hAnsiTheme="minorHAnsi" w:cstheme="minorHAnsi"/>
        </w:rPr>
        <w:t>outpatient departments (“HOPDs”</w:t>
      </w:r>
      <w:r w:rsidR="000F1A45">
        <w:rPr>
          <w:rFonts w:asciiTheme="minorHAnsi" w:hAnsiTheme="minorHAnsi" w:cstheme="minorHAnsi"/>
        </w:rPr>
        <w:t>) and</w:t>
      </w:r>
      <w:r>
        <w:rPr>
          <w:rFonts w:asciiTheme="minorHAnsi" w:hAnsiTheme="minorHAnsi" w:cstheme="minorHAnsi"/>
        </w:rPr>
        <w:t xml:space="preserve"> unaffiliated ASCs to the Center. </w:t>
      </w:r>
    </w:p>
    <w:p w14:paraId="38E4155D" w14:textId="3425A2EB" w:rsidR="00797BE3" w:rsidRDefault="00797BE3" w:rsidP="00D22797">
      <w:pPr>
        <w:tabs>
          <w:tab w:val="left" w:pos="1662"/>
        </w:tabs>
        <w:jc w:val="both"/>
        <w:rPr>
          <w:rFonts w:asciiTheme="minorHAnsi" w:hAnsiTheme="minorHAnsi" w:cstheme="minorHAnsi"/>
        </w:rPr>
      </w:pPr>
      <w:r>
        <w:rPr>
          <w:rFonts w:asciiTheme="minorHAnsi" w:hAnsiTheme="minorHAnsi" w:cstheme="minorHAnsi"/>
        </w:rPr>
        <w:t xml:space="preserve">It is important </w:t>
      </w:r>
      <w:r w:rsidRPr="00A72CB7">
        <w:rPr>
          <w:rFonts w:asciiTheme="minorHAnsi" w:hAnsiTheme="minorHAnsi" w:cstheme="minorHAnsi"/>
        </w:rPr>
        <w:t>to Applicant to begi</w:t>
      </w:r>
      <w:r>
        <w:rPr>
          <w:rFonts w:asciiTheme="minorHAnsi" w:hAnsiTheme="minorHAnsi" w:cstheme="minorHAnsi"/>
        </w:rPr>
        <w:t>n</w:t>
      </w:r>
      <w:r w:rsidRPr="00A72CB7">
        <w:rPr>
          <w:rFonts w:asciiTheme="minorHAnsi" w:hAnsiTheme="minorHAnsi" w:cstheme="minorHAnsi"/>
        </w:rPr>
        <w:t xml:space="preserve"> providing </w:t>
      </w:r>
      <w:r>
        <w:rPr>
          <w:rFonts w:asciiTheme="minorHAnsi" w:hAnsiTheme="minorHAnsi" w:cstheme="minorHAnsi"/>
        </w:rPr>
        <w:t xml:space="preserve">the Surgical Services </w:t>
      </w:r>
      <w:r w:rsidRPr="00A72CB7">
        <w:rPr>
          <w:rFonts w:asciiTheme="minorHAnsi" w:hAnsiTheme="minorHAnsi" w:cstheme="minorHAnsi"/>
        </w:rPr>
        <w:t xml:space="preserve">to its </w:t>
      </w:r>
      <w:r>
        <w:rPr>
          <w:rFonts w:asciiTheme="minorHAnsi" w:hAnsiTheme="minorHAnsi" w:cstheme="minorHAnsi"/>
        </w:rPr>
        <w:t>P</w:t>
      </w:r>
      <w:r w:rsidRPr="00A72CB7">
        <w:rPr>
          <w:rFonts w:asciiTheme="minorHAnsi" w:hAnsiTheme="minorHAnsi" w:cstheme="minorHAnsi"/>
        </w:rPr>
        <w:t xml:space="preserve">atient </w:t>
      </w:r>
      <w:r>
        <w:rPr>
          <w:rFonts w:asciiTheme="minorHAnsi" w:hAnsiTheme="minorHAnsi" w:cstheme="minorHAnsi"/>
        </w:rPr>
        <w:t>P</w:t>
      </w:r>
      <w:r w:rsidRPr="00A72CB7">
        <w:rPr>
          <w:rFonts w:asciiTheme="minorHAnsi" w:hAnsiTheme="minorHAnsi" w:cstheme="minorHAnsi"/>
        </w:rPr>
        <w:t>anel</w:t>
      </w:r>
      <w:r>
        <w:rPr>
          <w:rFonts w:asciiTheme="minorHAnsi" w:hAnsiTheme="minorHAnsi" w:cstheme="minorHAnsi"/>
        </w:rPr>
        <w:t xml:space="preserve"> at the Center</w:t>
      </w:r>
      <w:r w:rsidRPr="00A72CB7">
        <w:rPr>
          <w:rFonts w:asciiTheme="minorHAnsi" w:hAnsiTheme="minorHAnsi" w:cstheme="minorHAnsi"/>
        </w:rPr>
        <w:t xml:space="preserve"> for </w:t>
      </w:r>
      <w:proofErr w:type="gramStart"/>
      <w:r w:rsidRPr="00A72CB7">
        <w:rPr>
          <w:rFonts w:asciiTheme="minorHAnsi" w:hAnsiTheme="minorHAnsi" w:cstheme="minorHAnsi"/>
        </w:rPr>
        <w:t>a number of</w:t>
      </w:r>
      <w:proofErr w:type="gramEnd"/>
      <w:r w:rsidRPr="00A72CB7">
        <w:rPr>
          <w:rFonts w:asciiTheme="minorHAnsi" w:hAnsiTheme="minorHAnsi" w:cstheme="minorHAnsi"/>
        </w:rPr>
        <w:t xml:space="preserve"> </w:t>
      </w:r>
      <w:r w:rsidRPr="00380655">
        <w:rPr>
          <w:rFonts w:asciiTheme="minorHAnsi" w:hAnsiTheme="minorHAnsi" w:cstheme="minorHAnsi"/>
        </w:rPr>
        <w:t xml:space="preserve">reasons.  First, </w:t>
      </w:r>
      <w:r w:rsidR="00FC131A">
        <w:rPr>
          <w:rFonts w:asciiTheme="minorHAnsi" w:hAnsiTheme="minorHAnsi" w:cstheme="minorHAnsi"/>
        </w:rPr>
        <w:t xml:space="preserve">in 2023 </w:t>
      </w:r>
      <w:r w:rsidR="00AE3066">
        <w:rPr>
          <w:rFonts w:asciiTheme="minorHAnsi" w:hAnsiTheme="minorHAnsi" w:cstheme="minorHAnsi"/>
        </w:rPr>
        <w:t>78</w:t>
      </w:r>
      <w:r w:rsidR="00FC131A">
        <w:rPr>
          <w:rFonts w:asciiTheme="minorHAnsi" w:hAnsiTheme="minorHAnsi" w:cstheme="minorHAnsi"/>
        </w:rPr>
        <w:t>%</w:t>
      </w:r>
      <w:r w:rsidRPr="00380655">
        <w:rPr>
          <w:rFonts w:asciiTheme="minorHAnsi" w:hAnsiTheme="minorHAnsi" w:cstheme="minorHAnsi"/>
        </w:rPr>
        <w:t xml:space="preserve"> of the Applicant’s Surgical Patients</w:t>
      </w:r>
      <w:r w:rsidR="00C36953" w:rsidRPr="00380655">
        <w:rPr>
          <w:rFonts w:asciiTheme="minorHAnsi" w:hAnsiTheme="minorHAnsi" w:cstheme="minorHAnsi"/>
        </w:rPr>
        <w:t xml:space="preserve"> </w:t>
      </w:r>
      <w:r w:rsidRPr="00380655">
        <w:rPr>
          <w:rFonts w:asciiTheme="minorHAnsi" w:hAnsiTheme="minorHAnsi" w:cstheme="minorHAnsi"/>
        </w:rPr>
        <w:t>(defined below) are currently obtaining the Surgical Services in a hospital</w:t>
      </w:r>
      <w:r w:rsidR="00FC131A">
        <w:rPr>
          <w:rFonts w:asciiTheme="minorHAnsi" w:hAnsiTheme="minorHAnsi" w:cstheme="minorHAnsi"/>
        </w:rPr>
        <w:t xml:space="preserve"> setting</w:t>
      </w:r>
      <w:r w:rsidRPr="00380655">
        <w:rPr>
          <w:rFonts w:asciiTheme="minorHAnsi" w:hAnsiTheme="minorHAnsi" w:cstheme="minorHAnsi"/>
        </w:rPr>
        <w:t xml:space="preserve">, with only </w:t>
      </w:r>
      <w:r w:rsidR="00FC131A">
        <w:rPr>
          <w:rFonts w:asciiTheme="minorHAnsi" w:hAnsiTheme="minorHAnsi" w:cstheme="minorHAnsi"/>
        </w:rPr>
        <w:t>1</w:t>
      </w:r>
      <w:r w:rsidR="00AE3066">
        <w:rPr>
          <w:rFonts w:asciiTheme="minorHAnsi" w:hAnsiTheme="minorHAnsi" w:cstheme="minorHAnsi"/>
        </w:rPr>
        <w:t>2</w:t>
      </w:r>
      <w:r w:rsidRPr="00380655">
        <w:rPr>
          <w:rFonts w:asciiTheme="minorHAnsi" w:hAnsiTheme="minorHAnsi" w:cstheme="minorHAnsi"/>
        </w:rPr>
        <w:t xml:space="preserve">% receiving Surgical Services in an ASC.  </w:t>
      </w:r>
      <w:r w:rsidR="00FC131A">
        <w:rPr>
          <w:rFonts w:asciiTheme="minorHAnsi" w:hAnsiTheme="minorHAnsi" w:cstheme="minorHAnsi"/>
        </w:rPr>
        <w:t xml:space="preserve">See table 8.  </w:t>
      </w:r>
      <w:r w:rsidRPr="00380655">
        <w:rPr>
          <w:rFonts w:asciiTheme="minorHAnsi" w:hAnsiTheme="minorHAnsi" w:cstheme="minorHAnsi"/>
        </w:rPr>
        <w:t>The</w:t>
      </w:r>
      <w:r>
        <w:rPr>
          <w:rFonts w:asciiTheme="minorHAnsi" w:hAnsiTheme="minorHAnsi" w:cstheme="minorHAnsi"/>
        </w:rPr>
        <w:t xml:space="preserve"> high volume of Surgical Services done in the hospital </w:t>
      </w:r>
      <w:proofErr w:type="gramStart"/>
      <w:r>
        <w:rPr>
          <w:rFonts w:asciiTheme="minorHAnsi" w:hAnsiTheme="minorHAnsi" w:cstheme="minorHAnsi"/>
        </w:rPr>
        <w:t>is a reflection of</w:t>
      </w:r>
      <w:proofErr w:type="gramEnd"/>
      <w:r>
        <w:rPr>
          <w:rFonts w:asciiTheme="minorHAnsi" w:hAnsiTheme="minorHAnsi" w:cstheme="minorHAnsi"/>
        </w:rPr>
        <w:t xml:space="preserve"> the ASC capacity in the Commonwealth </w:t>
      </w:r>
      <w:r w:rsidR="000B3D4F">
        <w:rPr>
          <w:rFonts w:asciiTheme="minorHAnsi" w:hAnsiTheme="minorHAnsi" w:cstheme="minorHAnsi"/>
        </w:rPr>
        <w:t xml:space="preserve">rather </w:t>
      </w:r>
      <w:r>
        <w:rPr>
          <w:rFonts w:asciiTheme="minorHAnsi" w:hAnsiTheme="minorHAnsi" w:cstheme="minorHAnsi"/>
        </w:rPr>
        <w:t xml:space="preserve">than of the need to care for a higher acuity, higher risk patient in a hospital setting.  Due to the Commonwealth’s limited ASC capacity, Atrius Health surgeons are often unable to secure operating time at ASCs, and instead perform procedures in hospital settings or refer patients to specialists outside Atrius Health.  Not only will the Center increase ASC </w:t>
      </w:r>
      <w:proofErr w:type="gramStart"/>
      <w:r>
        <w:rPr>
          <w:rFonts w:asciiTheme="minorHAnsi" w:hAnsiTheme="minorHAnsi" w:cstheme="minorHAnsi"/>
        </w:rPr>
        <w:t>capacity</w:t>
      </w:r>
      <w:proofErr w:type="gramEnd"/>
      <w:r>
        <w:rPr>
          <w:rFonts w:asciiTheme="minorHAnsi" w:hAnsiTheme="minorHAnsi" w:cstheme="minorHAnsi"/>
        </w:rPr>
        <w:t xml:space="preserve"> but it will also lower the cost of care for the Patient Panel.  In turn, this will contribute to the Commonwealth’s cost containment goals.  Second, moving patients’ Surgical Services to an affiliated ASC will also allow Atrius Health to more effectively manage care in an integrated clinical setting.  This will mean that the patient experience will be less fragmented with enhanced clinical quality, greater service efficiency and be more convenient and timely care at the Center, which in turn will have a positive impact on patient outcomes.</w:t>
      </w:r>
    </w:p>
    <w:p w14:paraId="2114659B" w14:textId="113E85A8" w:rsidR="00797BE3" w:rsidRPr="006F4693" w:rsidRDefault="00797BE3" w:rsidP="00F20199">
      <w:pPr>
        <w:rPr>
          <w:rFonts w:asciiTheme="minorHAnsi" w:hAnsiTheme="minorHAnsi" w:cstheme="minorHAnsi"/>
          <w:b/>
          <w:bCs/>
          <w:szCs w:val="24"/>
        </w:rPr>
      </w:pPr>
      <w:r w:rsidRPr="006F4693">
        <w:rPr>
          <w:rFonts w:asciiTheme="minorHAnsi" w:hAnsiTheme="minorHAnsi" w:cstheme="minorHAnsi"/>
          <w:b/>
          <w:szCs w:val="24"/>
          <w:u w:val="single"/>
        </w:rPr>
        <w:t xml:space="preserve">F.1.a.i </w:t>
      </w:r>
      <w:r w:rsidRPr="006F4693">
        <w:rPr>
          <w:rFonts w:asciiTheme="minorHAnsi" w:hAnsiTheme="minorHAnsi" w:cstheme="minorHAnsi"/>
          <w:b/>
          <w:bCs/>
          <w:szCs w:val="24"/>
          <w:u w:val="single"/>
        </w:rPr>
        <w:t>Patient Panel</w:t>
      </w:r>
      <w:r w:rsidRPr="006F4693">
        <w:rPr>
          <w:rFonts w:asciiTheme="minorHAnsi" w:hAnsiTheme="minorHAnsi" w:cstheme="minorHAnsi"/>
          <w:b/>
          <w:bCs/>
          <w:szCs w:val="24"/>
        </w:rPr>
        <w:t xml:space="preserve">: </w:t>
      </w:r>
    </w:p>
    <w:p w14:paraId="3286ADD3" w14:textId="062CB33C" w:rsidR="00797BE3" w:rsidRPr="00F20199" w:rsidRDefault="00797BE3" w:rsidP="00F20199">
      <w:pPr>
        <w:autoSpaceDE w:val="0"/>
        <w:autoSpaceDN w:val="0"/>
        <w:adjustRightInd w:val="0"/>
        <w:contextualSpacing/>
        <w:jc w:val="both"/>
        <w:rPr>
          <w:rFonts w:asciiTheme="minorHAnsi" w:hAnsiTheme="minorHAnsi" w:cstheme="minorHAnsi"/>
          <w:b/>
          <w:szCs w:val="24"/>
        </w:rPr>
      </w:pPr>
      <w:r w:rsidRPr="006F4693">
        <w:rPr>
          <w:rFonts w:asciiTheme="minorHAnsi" w:hAnsiTheme="minorHAnsi" w:cstheme="minorHAnsi"/>
          <w:b/>
          <w:szCs w:val="24"/>
        </w:rPr>
        <w:t xml:space="preserve">Describe your existing Patient Panel, including incidence or prevalence of disease </w:t>
      </w:r>
      <w:r w:rsidR="00D823A3" w:rsidRPr="006F4693">
        <w:rPr>
          <w:rFonts w:asciiTheme="minorHAnsi" w:hAnsiTheme="minorHAnsi" w:cstheme="minorHAnsi"/>
          <w:b/>
          <w:szCs w:val="24"/>
        </w:rPr>
        <w:t xml:space="preserve">or </w:t>
      </w:r>
      <w:r w:rsidR="00D823A3">
        <w:rPr>
          <w:rFonts w:asciiTheme="minorHAnsi" w:hAnsiTheme="minorHAnsi" w:cstheme="minorHAnsi"/>
          <w:b/>
          <w:szCs w:val="24"/>
        </w:rPr>
        <w:t>behavioral</w:t>
      </w:r>
      <w:r w:rsidRPr="006F4693">
        <w:rPr>
          <w:rFonts w:asciiTheme="minorHAnsi" w:hAnsiTheme="minorHAnsi" w:cstheme="minorHAnsi"/>
          <w:b/>
          <w:szCs w:val="24"/>
        </w:rPr>
        <w:t xml:space="preserve"> risk factors, acuity mix, noted health disparities, geographic breakdown expressed in zip codes or other appropriate measure, demographics including age,</w:t>
      </w:r>
      <w:r>
        <w:rPr>
          <w:rFonts w:asciiTheme="minorHAnsi" w:hAnsiTheme="minorHAnsi" w:cstheme="minorHAnsi"/>
          <w:b/>
          <w:szCs w:val="24"/>
        </w:rPr>
        <w:t xml:space="preserve"> </w:t>
      </w:r>
      <w:r w:rsidRPr="006F4693">
        <w:rPr>
          <w:rFonts w:asciiTheme="minorHAnsi" w:hAnsiTheme="minorHAnsi" w:cstheme="minorHAnsi"/>
          <w:b/>
          <w:szCs w:val="24"/>
        </w:rPr>
        <w:t>gender and sexual identity, race, ethnicity, socioeconomic status and other priority populations relevant to the Applicant's existing patient panel and payer mix.</w:t>
      </w:r>
      <w:r>
        <w:rPr>
          <w:rFonts w:asciiTheme="minorHAnsi" w:hAnsiTheme="minorHAnsi" w:cstheme="minorHAnsi"/>
          <w:szCs w:val="24"/>
        </w:rPr>
        <w:tab/>
      </w:r>
    </w:p>
    <w:p w14:paraId="73C75323" w14:textId="65F20CAF" w:rsidR="00797BE3" w:rsidRPr="00233970" w:rsidRDefault="00797BE3" w:rsidP="00F20199">
      <w:pPr>
        <w:pStyle w:val="ListParagraph"/>
        <w:numPr>
          <w:ilvl w:val="0"/>
          <w:numId w:val="6"/>
        </w:numPr>
        <w:spacing w:after="200" w:line="276" w:lineRule="auto"/>
        <w:contextualSpacing w:val="0"/>
        <w:jc w:val="both"/>
        <w:rPr>
          <w:rFonts w:cstheme="minorHAnsi"/>
          <w:sz w:val="24"/>
          <w:szCs w:val="24"/>
        </w:rPr>
      </w:pPr>
      <w:r w:rsidRPr="00233970">
        <w:rPr>
          <w:rFonts w:cstheme="minorHAnsi"/>
          <w:sz w:val="24"/>
          <w:szCs w:val="24"/>
          <w:u w:val="single"/>
        </w:rPr>
        <w:t xml:space="preserve">The Applicant’s Patient </w:t>
      </w:r>
      <w:r w:rsidR="00D823A3" w:rsidRPr="00233970">
        <w:rPr>
          <w:rFonts w:cstheme="minorHAnsi"/>
          <w:sz w:val="24"/>
          <w:szCs w:val="24"/>
          <w:u w:val="single"/>
        </w:rPr>
        <w:t>Panel</w:t>
      </w:r>
      <w:r w:rsidR="00D823A3">
        <w:rPr>
          <w:rFonts w:cstheme="minorHAnsi"/>
          <w:sz w:val="24"/>
          <w:szCs w:val="24"/>
          <w:u w:val="single"/>
        </w:rPr>
        <w:t xml:space="preserve"> (</w:t>
      </w:r>
      <w:r>
        <w:rPr>
          <w:rFonts w:cstheme="minorHAnsi"/>
          <w:sz w:val="24"/>
          <w:szCs w:val="24"/>
          <w:u w:val="single"/>
        </w:rPr>
        <w:t>the “Patient Panel”)</w:t>
      </w:r>
    </w:p>
    <w:p w14:paraId="432EC5D2" w14:textId="67319433" w:rsidR="00F20199" w:rsidRDefault="00797BE3" w:rsidP="00F20199">
      <w:pPr>
        <w:autoSpaceDE w:val="0"/>
        <w:autoSpaceDN w:val="0"/>
        <w:adjustRightInd w:val="0"/>
        <w:jc w:val="both"/>
        <w:rPr>
          <w:rFonts w:asciiTheme="minorHAnsi" w:hAnsiTheme="minorHAnsi" w:cstheme="minorHAnsi"/>
        </w:rPr>
      </w:pPr>
      <w:r w:rsidRPr="0015770B">
        <w:rPr>
          <w:rFonts w:asciiTheme="minorHAnsi" w:hAnsiTheme="minorHAnsi" w:cstheme="minorHAnsi"/>
        </w:rPr>
        <w:t>The Patient Panel</w:t>
      </w:r>
      <w:r>
        <w:rPr>
          <w:rFonts w:asciiTheme="minorHAnsi" w:hAnsiTheme="minorHAnsi" w:cstheme="minorHAnsi"/>
        </w:rPr>
        <w:t xml:space="preserve"> was determined looking at all patients seen by Applicant</w:t>
      </w:r>
      <w:r w:rsidRPr="0015770B">
        <w:rPr>
          <w:rFonts w:asciiTheme="minorHAnsi" w:hAnsiTheme="minorHAnsi" w:cstheme="minorHAnsi"/>
        </w:rPr>
        <w:t xml:space="preserve"> for </w:t>
      </w:r>
      <w:r>
        <w:rPr>
          <w:rFonts w:asciiTheme="minorHAnsi" w:hAnsiTheme="minorHAnsi" w:cstheme="minorHAnsi"/>
        </w:rPr>
        <w:t xml:space="preserve">any type of care for </w:t>
      </w:r>
      <w:r w:rsidRPr="0015770B">
        <w:rPr>
          <w:rFonts w:asciiTheme="minorHAnsi" w:hAnsiTheme="minorHAnsi" w:cstheme="minorHAnsi"/>
        </w:rPr>
        <w:t xml:space="preserve">the period January 1, </w:t>
      </w:r>
      <w:proofErr w:type="gramStart"/>
      <w:r w:rsidRPr="0015770B">
        <w:rPr>
          <w:rFonts w:asciiTheme="minorHAnsi" w:hAnsiTheme="minorHAnsi" w:cstheme="minorHAnsi"/>
        </w:rPr>
        <w:t>2020</w:t>
      </w:r>
      <w:proofErr w:type="gramEnd"/>
      <w:r w:rsidRPr="0015770B">
        <w:rPr>
          <w:rFonts w:asciiTheme="minorHAnsi" w:hAnsiTheme="minorHAnsi" w:cstheme="minorHAnsi"/>
        </w:rPr>
        <w:t xml:space="preserve"> through </w:t>
      </w:r>
      <w:r w:rsidRPr="006C3C9E">
        <w:rPr>
          <w:rFonts w:asciiTheme="minorHAnsi" w:hAnsiTheme="minorHAnsi" w:cstheme="minorHAnsi"/>
        </w:rPr>
        <w:t>December 31, 202</w:t>
      </w:r>
      <w:r w:rsidR="003C0974" w:rsidRPr="00335741">
        <w:rPr>
          <w:rFonts w:asciiTheme="minorHAnsi" w:hAnsiTheme="minorHAnsi" w:cstheme="minorHAnsi"/>
        </w:rPr>
        <w:t>3</w:t>
      </w:r>
      <w:r w:rsidRPr="006C3C9E">
        <w:rPr>
          <w:rFonts w:asciiTheme="minorHAnsi" w:hAnsiTheme="minorHAnsi" w:cstheme="minorHAnsi"/>
        </w:rPr>
        <w:t xml:space="preserve"> with </w:t>
      </w:r>
      <w:r w:rsidR="003E61F3" w:rsidRPr="00D45FE8">
        <w:rPr>
          <w:rFonts w:asciiTheme="minorHAnsi" w:hAnsiTheme="minorHAnsi" w:cstheme="minorHAnsi"/>
        </w:rPr>
        <w:t>573,888</w:t>
      </w:r>
      <w:r w:rsidR="003E61F3">
        <w:rPr>
          <w:rFonts w:asciiTheme="minorHAnsi" w:hAnsiTheme="minorHAnsi" w:cstheme="minorHAnsi"/>
        </w:rPr>
        <w:t xml:space="preserve"> </w:t>
      </w:r>
      <w:r w:rsidRPr="006C3C9E">
        <w:rPr>
          <w:rFonts w:asciiTheme="minorHAnsi" w:hAnsiTheme="minorHAnsi" w:cstheme="minorHAnsi"/>
        </w:rPr>
        <w:t>unique patients for CY 202</w:t>
      </w:r>
      <w:r w:rsidR="003C0974" w:rsidRPr="006C3C9E">
        <w:rPr>
          <w:rFonts w:asciiTheme="minorHAnsi" w:hAnsiTheme="minorHAnsi" w:cstheme="minorHAnsi"/>
        </w:rPr>
        <w:t>3</w:t>
      </w:r>
      <w:r w:rsidRPr="006C3C9E">
        <w:rPr>
          <w:rFonts w:asciiTheme="minorHAnsi" w:hAnsiTheme="minorHAnsi" w:cstheme="minorHAnsi"/>
        </w:rPr>
        <w:t>.</w:t>
      </w:r>
      <w:r>
        <w:rPr>
          <w:rFonts w:asciiTheme="minorHAnsi" w:hAnsiTheme="minorHAnsi" w:cstheme="minorHAnsi"/>
        </w:rPr>
        <w:t xml:space="preserve"> See Table 1.  </w:t>
      </w:r>
      <w:proofErr w:type="gramStart"/>
      <w:r w:rsidRPr="00F733EF">
        <w:rPr>
          <w:rFonts w:asciiTheme="minorHAnsi" w:hAnsiTheme="minorHAnsi" w:cstheme="minorHAnsi"/>
        </w:rPr>
        <w:t>The vast majority of</w:t>
      </w:r>
      <w:proofErr w:type="gramEnd"/>
      <w:r w:rsidRPr="00F733EF">
        <w:rPr>
          <w:rFonts w:asciiTheme="minorHAnsi" w:hAnsiTheme="minorHAnsi" w:cstheme="minorHAnsi"/>
        </w:rPr>
        <w:t xml:space="preserve"> these patients </w:t>
      </w:r>
      <w:r w:rsidRPr="00073DD5">
        <w:rPr>
          <w:rFonts w:asciiTheme="minorHAnsi" w:hAnsiTheme="minorHAnsi"/>
        </w:rPr>
        <w:t>(</w:t>
      </w:r>
      <w:r w:rsidR="00D823A3">
        <w:rPr>
          <w:rFonts w:asciiTheme="minorHAnsi" w:hAnsiTheme="minorHAnsi"/>
        </w:rPr>
        <w:t>88</w:t>
      </w:r>
      <w:r w:rsidRPr="00073DD5">
        <w:rPr>
          <w:rFonts w:asciiTheme="minorHAnsi" w:hAnsiTheme="minorHAnsi"/>
        </w:rPr>
        <w:t>%)</w:t>
      </w:r>
      <w:r w:rsidRPr="006140C4">
        <w:rPr>
          <w:rFonts w:asciiTheme="minorHAnsi" w:hAnsiTheme="minorHAnsi" w:cstheme="minorHAnsi"/>
        </w:rPr>
        <w:t xml:space="preserve"> are</w:t>
      </w:r>
      <w:r w:rsidRPr="00F733EF">
        <w:rPr>
          <w:rFonts w:asciiTheme="minorHAnsi" w:hAnsiTheme="minorHAnsi" w:cstheme="minorHAnsi"/>
        </w:rPr>
        <w:t xml:space="preserve"> Atrius Health primary care patients with the remaining </w:t>
      </w:r>
      <w:r w:rsidRPr="00073DD5">
        <w:rPr>
          <w:rFonts w:asciiTheme="minorHAnsi" w:hAnsiTheme="minorHAnsi"/>
        </w:rPr>
        <w:t>patients (</w:t>
      </w:r>
      <w:r w:rsidR="00D823A3">
        <w:rPr>
          <w:rFonts w:asciiTheme="minorHAnsi" w:hAnsiTheme="minorHAnsi"/>
        </w:rPr>
        <w:t>12</w:t>
      </w:r>
      <w:r w:rsidRPr="00073DD5">
        <w:rPr>
          <w:rFonts w:asciiTheme="minorHAnsi" w:hAnsiTheme="minorHAnsi"/>
        </w:rPr>
        <w:t>%)</w:t>
      </w:r>
      <w:r w:rsidRPr="00F733EF">
        <w:rPr>
          <w:rFonts w:asciiTheme="minorHAnsi" w:hAnsiTheme="minorHAnsi" w:cstheme="minorHAnsi"/>
        </w:rPr>
        <w:t xml:space="preserve"> receiving care from an Atrius Health specialist or ancillary, imaging, or other services.</w:t>
      </w:r>
      <w:r>
        <w:rPr>
          <w:rFonts w:asciiTheme="minorHAnsi" w:hAnsiTheme="minorHAnsi" w:cstheme="minorHAnsi"/>
        </w:rPr>
        <w:t xml:space="preserve"> During </w:t>
      </w:r>
      <w:r w:rsidR="003C0974">
        <w:rPr>
          <w:rFonts w:asciiTheme="minorHAnsi" w:hAnsiTheme="minorHAnsi" w:cstheme="minorHAnsi"/>
        </w:rPr>
        <w:t>CY 2020 through CY 2022</w:t>
      </w:r>
      <w:r>
        <w:rPr>
          <w:rFonts w:asciiTheme="minorHAnsi" w:hAnsiTheme="minorHAnsi" w:cstheme="minorHAnsi"/>
        </w:rPr>
        <w:t xml:space="preserve">, the Patient Panel had a slight decrease </w:t>
      </w:r>
      <w:r w:rsidRPr="0025082F">
        <w:rPr>
          <w:rFonts w:asciiTheme="minorHAnsi" w:hAnsiTheme="minorHAnsi" w:cstheme="minorHAnsi"/>
        </w:rPr>
        <w:t xml:space="preserve">of </w:t>
      </w:r>
      <w:r w:rsidRPr="0025082F">
        <w:rPr>
          <w:rFonts w:asciiTheme="minorHAnsi" w:hAnsiTheme="minorHAnsi"/>
        </w:rPr>
        <w:t>1.7%</w:t>
      </w:r>
      <w:r>
        <w:rPr>
          <w:rFonts w:asciiTheme="minorHAnsi" w:hAnsiTheme="minorHAnsi" w:cstheme="minorHAnsi"/>
        </w:rPr>
        <w:t xml:space="preserve"> because of the ongoing impact of COVID-19 and reductions in primary care physicians.  </w:t>
      </w:r>
      <w:r w:rsidRPr="00406D29">
        <w:rPr>
          <w:rFonts w:asciiTheme="minorHAnsi" w:hAnsiTheme="minorHAnsi" w:cstheme="minorHAnsi"/>
        </w:rPr>
        <w:t xml:space="preserve">The Applicant however has seen the Patient Panel rebound </w:t>
      </w:r>
      <w:r w:rsidR="009B4400">
        <w:rPr>
          <w:rFonts w:asciiTheme="minorHAnsi" w:hAnsiTheme="minorHAnsi" w:cstheme="minorHAnsi"/>
        </w:rPr>
        <w:t>from CY 2022 to</w:t>
      </w:r>
      <w:r w:rsidRPr="00406D29">
        <w:rPr>
          <w:rFonts w:asciiTheme="minorHAnsi" w:hAnsiTheme="minorHAnsi" w:cstheme="minorHAnsi"/>
        </w:rPr>
        <w:t xml:space="preserve"> </w:t>
      </w:r>
      <w:r w:rsidRPr="003E61F3">
        <w:rPr>
          <w:rFonts w:asciiTheme="minorHAnsi" w:hAnsiTheme="minorHAnsi" w:cstheme="minorHAnsi"/>
        </w:rPr>
        <w:t>CY 2023 with</w:t>
      </w:r>
      <w:r w:rsidR="009B4400">
        <w:rPr>
          <w:rFonts w:asciiTheme="minorHAnsi" w:hAnsiTheme="minorHAnsi" w:cstheme="minorHAnsi"/>
        </w:rPr>
        <w:t xml:space="preserve"> </w:t>
      </w:r>
      <w:r w:rsidR="00022D98">
        <w:rPr>
          <w:rFonts w:asciiTheme="minorHAnsi" w:hAnsiTheme="minorHAnsi" w:cstheme="minorHAnsi"/>
        </w:rPr>
        <w:t xml:space="preserve">growth of </w:t>
      </w:r>
      <w:r w:rsidR="003E61F3" w:rsidRPr="00073DD5">
        <w:rPr>
          <w:rFonts w:asciiTheme="minorHAnsi" w:hAnsiTheme="minorHAnsi"/>
        </w:rPr>
        <w:t>4.2</w:t>
      </w:r>
      <w:r w:rsidRPr="00092DBB">
        <w:rPr>
          <w:rFonts w:asciiTheme="minorHAnsi" w:hAnsiTheme="minorHAnsi" w:cstheme="minorHAnsi"/>
        </w:rPr>
        <w:t>%</w:t>
      </w:r>
      <w:r w:rsidRPr="003E61F3">
        <w:rPr>
          <w:rFonts w:asciiTheme="minorHAnsi" w:hAnsiTheme="minorHAnsi" w:cstheme="minorHAnsi"/>
        </w:rPr>
        <w:t>.</w:t>
      </w:r>
      <w:r>
        <w:rPr>
          <w:rFonts w:asciiTheme="minorHAnsi" w:hAnsiTheme="minorHAnsi" w:cstheme="minorHAnsi"/>
        </w:rPr>
        <w:t xml:space="preserve"> </w:t>
      </w:r>
      <w:r w:rsidR="003E61F3">
        <w:rPr>
          <w:rFonts w:asciiTheme="minorHAnsi" w:hAnsiTheme="minorHAnsi" w:cstheme="minorHAnsi"/>
        </w:rPr>
        <w:t xml:space="preserve"> </w:t>
      </w:r>
      <w:r>
        <w:rPr>
          <w:rFonts w:asciiTheme="minorHAnsi" w:hAnsiTheme="minorHAnsi" w:cstheme="minorHAnsi"/>
        </w:rPr>
        <w:t xml:space="preserve">See Table 1.  This growth, in part, was from hiring physicians and assuming patients from the closure of Compass Medical.  The Patient Panel covers a large service area, with patients residing in </w:t>
      </w:r>
      <w:r w:rsidR="00525630">
        <w:rPr>
          <w:rFonts w:asciiTheme="minorHAnsi" w:hAnsiTheme="minorHAnsi"/>
        </w:rPr>
        <w:t>4</w:t>
      </w:r>
      <w:r w:rsidR="00453FC2">
        <w:rPr>
          <w:rFonts w:asciiTheme="minorHAnsi" w:hAnsiTheme="minorHAnsi"/>
        </w:rPr>
        <w:t>50</w:t>
      </w:r>
      <w:r w:rsidR="00525630" w:rsidRPr="00F733EF">
        <w:rPr>
          <w:rFonts w:asciiTheme="minorHAnsi" w:hAnsiTheme="minorHAnsi" w:cstheme="minorHAnsi"/>
        </w:rPr>
        <w:t xml:space="preserve"> </w:t>
      </w:r>
      <w:r w:rsidRPr="00F733EF">
        <w:rPr>
          <w:rFonts w:asciiTheme="minorHAnsi" w:hAnsiTheme="minorHAnsi" w:cstheme="minorHAnsi"/>
        </w:rPr>
        <w:t>zip codes in</w:t>
      </w:r>
      <w:r>
        <w:rPr>
          <w:rFonts w:asciiTheme="minorHAnsi" w:hAnsiTheme="minorHAnsi" w:cstheme="minorHAnsi"/>
        </w:rPr>
        <w:t xml:space="preserve"> Massachusetts. The Patient Panel is primarily in Eastern Massachusett</w:t>
      </w:r>
      <w:r w:rsidRPr="0025082F">
        <w:rPr>
          <w:rFonts w:asciiTheme="minorHAnsi" w:hAnsiTheme="minorHAnsi" w:cstheme="minorHAnsi"/>
        </w:rPr>
        <w:t xml:space="preserve">s, </w:t>
      </w:r>
      <w:r w:rsidRPr="0025082F">
        <w:rPr>
          <w:rFonts w:asciiTheme="minorHAnsi" w:hAnsiTheme="minorHAnsi"/>
        </w:rPr>
        <w:t xml:space="preserve">with </w:t>
      </w:r>
      <w:r w:rsidR="003E61F3" w:rsidRPr="0025082F">
        <w:rPr>
          <w:rFonts w:asciiTheme="minorHAnsi" w:hAnsiTheme="minorHAnsi"/>
        </w:rPr>
        <w:t>90</w:t>
      </w:r>
      <w:r w:rsidRPr="0025082F">
        <w:rPr>
          <w:rFonts w:asciiTheme="minorHAnsi" w:hAnsiTheme="minorHAnsi"/>
        </w:rPr>
        <w:t>%</w:t>
      </w:r>
      <w:r w:rsidRPr="0025082F">
        <w:rPr>
          <w:rFonts w:asciiTheme="minorHAnsi" w:hAnsiTheme="minorHAnsi" w:cstheme="minorHAnsi"/>
        </w:rPr>
        <w:t xml:space="preserve"> of patients residing in Middlesex, Norfolk, Suffolk, Plymouth, and Essex counties.</w:t>
      </w:r>
      <w:r w:rsidR="003E61F3" w:rsidRPr="0025082F">
        <w:rPr>
          <w:rFonts w:asciiTheme="minorHAnsi" w:hAnsiTheme="minorHAnsi" w:cstheme="minorHAnsi"/>
        </w:rPr>
        <w:t xml:space="preserve"> </w:t>
      </w:r>
      <w:r w:rsidRPr="0025082F">
        <w:rPr>
          <w:rFonts w:asciiTheme="minorHAnsi" w:hAnsiTheme="minorHAnsi" w:cstheme="minorHAnsi"/>
        </w:rPr>
        <w:t xml:space="preserve"> See Table 2.</w:t>
      </w:r>
      <w:r w:rsidR="003E61F3" w:rsidRPr="0025082F">
        <w:rPr>
          <w:rFonts w:asciiTheme="minorHAnsi" w:hAnsiTheme="minorHAnsi" w:cstheme="minorHAnsi"/>
        </w:rPr>
        <w:t xml:space="preserve">  </w:t>
      </w:r>
      <w:r w:rsidRPr="0025082F">
        <w:rPr>
          <w:rFonts w:asciiTheme="minorHAnsi" w:hAnsiTheme="minorHAnsi" w:cstheme="minorHAnsi"/>
        </w:rPr>
        <w:t xml:space="preserve">The Patient Panel is </w:t>
      </w:r>
      <w:r w:rsidR="00022D98" w:rsidRPr="0025082F">
        <w:rPr>
          <w:rFonts w:asciiTheme="minorHAnsi" w:hAnsiTheme="minorHAnsi" w:cstheme="minorHAnsi"/>
        </w:rPr>
        <w:t xml:space="preserve">a </w:t>
      </w:r>
      <w:r w:rsidRPr="0025082F">
        <w:rPr>
          <w:rFonts w:asciiTheme="minorHAnsi" w:hAnsiTheme="minorHAnsi" w:cstheme="minorHAnsi"/>
        </w:rPr>
        <w:t xml:space="preserve">predominately white population (self-identified), with slight year over year growth in populations of color. </w:t>
      </w:r>
      <w:r w:rsidR="003E61F3" w:rsidRPr="0025082F">
        <w:rPr>
          <w:rFonts w:asciiTheme="minorHAnsi" w:hAnsiTheme="minorHAnsi" w:cstheme="minorHAnsi"/>
        </w:rPr>
        <w:t xml:space="preserve"> </w:t>
      </w:r>
      <w:r w:rsidRPr="0025082F">
        <w:rPr>
          <w:rFonts w:asciiTheme="minorHAnsi" w:hAnsiTheme="minorHAnsi" w:cstheme="minorHAnsi"/>
        </w:rPr>
        <w:t xml:space="preserve">A significant portion of the Patient Panel is insured by commercial payers with </w:t>
      </w:r>
      <w:r w:rsidRPr="0025082F">
        <w:rPr>
          <w:rFonts w:asciiTheme="minorHAnsi" w:hAnsiTheme="minorHAnsi"/>
        </w:rPr>
        <w:t>2</w:t>
      </w:r>
      <w:r w:rsidR="009976C2" w:rsidRPr="0025082F">
        <w:rPr>
          <w:rFonts w:asciiTheme="minorHAnsi" w:hAnsiTheme="minorHAnsi"/>
        </w:rPr>
        <w:t>5.1</w:t>
      </w:r>
      <w:r w:rsidRPr="0025082F">
        <w:rPr>
          <w:rFonts w:asciiTheme="minorHAnsi" w:hAnsiTheme="minorHAnsi"/>
        </w:rPr>
        <w:t>%</w:t>
      </w:r>
      <w:r w:rsidRPr="0025082F">
        <w:rPr>
          <w:rFonts w:asciiTheme="minorHAnsi" w:hAnsiTheme="minorHAnsi" w:cstheme="minorHAnsi"/>
        </w:rPr>
        <w:t xml:space="preserve"> </w:t>
      </w:r>
      <w:r w:rsidR="00C37306" w:rsidRPr="0025082F">
        <w:rPr>
          <w:rFonts w:asciiTheme="minorHAnsi" w:hAnsiTheme="minorHAnsi" w:cstheme="minorHAnsi"/>
        </w:rPr>
        <w:t xml:space="preserve">being covered by </w:t>
      </w:r>
      <w:r w:rsidRPr="0025082F">
        <w:rPr>
          <w:rFonts w:asciiTheme="minorHAnsi" w:hAnsiTheme="minorHAnsi" w:cstheme="minorHAnsi"/>
        </w:rPr>
        <w:t xml:space="preserve">government payors (Medicare, MassHealth); however, </w:t>
      </w:r>
      <w:r w:rsidR="009976C2" w:rsidRPr="0025082F">
        <w:rPr>
          <w:rFonts w:asciiTheme="minorHAnsi" w:hAnsiTheme="minorHAnsi"/>
        </w:rPr>
        <w:t>66</w:t>
      </w:r>
      <w:r w:rsidRPr="0025082F">
        <w:rPr>
          <w:rFonts w:asciiTheme="minorHAnsi" w:hAnsiTheme="minorHAnsi"/>
        </w:rPr>
        <w:t>%</w:t>
      </w:r>
      <w:r w:rsidRPr="0025082F">
        <w:rPr>
          <w:rFonts w:asciiTheme="minorHAnsi" w:hAnsiTheme="minorHAnsi" w:cstheme="minorHAnsi"/>
        </w:rPr>
        <w:t xml:space="preserve"> of the Patient Panel is covered by value- and risk-based arrangements with commercial and government payers (“APMs”).  The Patient Panel data is set forth </w:t>
      </w:r>
      <w:r w:rsidR="00022D98" w:rsidRPr="0025082F">
        <w:rPr>
          <w:rFonts w:asciiTheme="minorHAnsi" w:hAnsiTheme="minorHAnsi" w:cstheme="minorHAnsi"/>
        </w:rPr>
        <w:t>i</w:t>
      </w:r>
      <w:r w:rsidRPr="0025082F">
        <w:rPr>
          <w:rFonts w:asciiTheme="minorHAnsi" w:hAnsiTheme="minorHAnsi" w:cstheme="minorHAnsi"/>
        </w:rPr>
        <w:t>n Table 1.</w:t>
      </w:r>
    </w:p>
    <w:p w14:paraId="3EBEE0F3" w14:textId="54FE8485" w:rsidR="00797BE3" w:rsidRPr="00F75A83" w:rsidRDefault="00797BE3" w:rsidP="00F20199">
      <w:pPr>
        <w:autoSpaceDE w:val="0"/>
        <w:autoSpaceDN w:val="0"/>
        <w:adjustRightInd w:val="0"/>
        <w:jc w:val="both"/>
        <w:rPr>
          <w:rFonts w:asciiTheme="minorHAnsi" w:hAnsiTheme="minorHAnsi" w:cstheme="minorHAnsi"/>
        </w:rPr>
      </w:pPr>
      <w:r w:rsidRPr="0025082F">
        <w:rPr>
          <w:rFonts w:asciiTheme="minorHAnsi" w:hAnsiTheme="minorHAnsi" w:cstheme="minorHAnsi"/>
        </w:rPr>
        <w:t>The Patient Panel covers all ages</w:t>
      </w:r>
      <w:r w:rsidR="00073DD5">
        <w:rPr>
          <w:rFonts w:asciiTheme="minorHAnsi" w:hAnsiTheme="minorHAnsi" w:cstheme="minorHAnsi"/>
        </w:rPr>
        <w:t xml:space="preserve"> </w:t>
      </w:r>
      <w:r w:rsidRPr="0025082F">
        <w:rPr>
          <w:rFonts w:asciiTheme="minorHAnsi" w:hAnsiTheme="minorHAnsi" w:cstheme="minorHAnsi"/>
        </w:rPr>
        <w:t xml:space="preserve">with approximately </w:t>
      </w:r>
      <w:r w:rsidRPr="0025082F">
        <w:rPr>
          <w:rFonts w:asciiTheme="minorHAnsi" w:hAnsiTheme="minorHAnsi"/>
        </w:rPr>
        <w:t xml:space="preserve">60% </w:t>
      </w:r>
      <w:r w:rsidR="00C37306" w:rsidRPr="00AA62B1">
        <w:rPr>
          <w:rFonts w:asciiTheme="minorHAnsi" w:hAnsiTheme="minorHAnsi"/>
        </w:rPr>
        <w:t>of</w:t>
      </w:r>
      <w:r w:rsidRPr="00AA62B1">
        <w:rPr>
          <w:rFonts w:asciiTheme="minorHAnsi" w:hAnsiTheme="minorHAnsi"/>
        </w:rPr>
        <w:t xml:space="preserve"> </w:t>
      </w:r>
      <w:r w:rsidRPr="0025082F">
        <w:rPr>
          <w:rFonts w:asciiTheme="minorHAnsi" w:hAnsiTheme="minorHAnsi"/>
        </w:rPr>
        <w:t>individuals under the age of 50 and 40% over the age of 50, as illustrated in Table 3</w:t>
      </w:r>
      <w:r w:rsidRPr="0025082F">
        <w:rPr>
          <w:rFonts w:asciiTheme="minorHAnsi" w:hAnsiTheme="minorHAnsi" w:cstheme="minorHAnsi"/>
        </w:rPr>
        <w:t>. The</w:t>
      </w:r>
      <w:r w:rsidRPr="00F75A83">
        <w:rPr>
          <w:rFonts w:asciiTheme="minorHAnsi" w:hAnsiTheme="minorHAnsi" w:cstheme="minorHAnsi"/>
        </w:rPr>
        <w:t xml:space="preserve"> number of patients over age 50 is growing at a rate that exceeds that of the population under age 50.  From 2020 through </w:t>
      </w:r>
      <w:r w:rsidR="00F733EF">
        <w:rPr>
          <w:rFonts w:asciiTheme="minorHAnsi" w:hAnsiTheme="minorHAnsi" w:cstheme="minorHAnsi"/>
        </w:rPr>
        <w:t xml:space="preserve">December </w:t>
      </w:r>
      <w:r w:rsidRPr="00F75A83">
        <w:rPr>
          <w:rFonts w:asciiTheme="minorHAnsi" w:hAnsiTheme="minorHAnsi" w:cstheme="minorHAnsi"/>
        </w:rPr>
        <w:t xml:space="preserve">2023, the number of patients over the age </w:t>
      </w:r>
      <w:r w:rsidRPr="0025082F">
        <w:rPr>
          <w:rFonts w:asciiTheme="minorHAnsi" w:hAnsiTheme="minorHAnsi" w:cstheme="minorHAnsi"/>
        </w:rPr>
        <w:t xml:space="preserve">of 50 </w:t>
      </w:r>
      <w:r w:rsidRPr="0025082F">
        <w:rPr>
          <w:rFonts w:asciiTheme="minorHAnsi" w:hAnsiTheme="minorHAnsi"/>
        </w:rPr>
        <w:t xml:space="preserve">grew by </w:t>
      </w:r>
      <w:r w:rsidR="000B27E8" w:rsidRPr="0025082F">
        <w:rPr>
          <w:rFonts w:asciiTheme="minorHAnsi" w:hAnsiTheme="minorHAnsi"/>
        </w:rPr>
        <w:t>9,463</w:t>
      </w:r>
      <w:r w:rsidRPr="0025082F">
        <w:rPr>
          <w:rFonts w:asciiTheme="minorHAnsi" w:hAnsiTheme="minorHAnsi"/>
        </w:rPr>
        <w:t xml:space="preserve"> or 4.</w:t>
      </w:r>
      <w:r w:rsidR="000B27E8" w:rsidRPr="0025082F">
        <w:rPr>
          <w:rFonts w:asciiTheme="minorHAnsi" w:hAnsiTheme="minorHAnsi"/>
        </w:rPr>
        <w:t>3</w:t>
      </w:r>
      <w:r w:rsidRPr="0025082F">
        <w:rPr>
          <w:rFonts w:asciiTheme="minorHAnsi" w:hAnsiTheme="minorHAnsi"/>
        </w:rPr>
        <w:t>%, while the population under the age of 50 grew by just 3,7</w:t>
      </w:r>
      <w:r w:rsidR="000B27E8" w:rsidRPr="0025082F">
        <w:rPr>
          <w:rFonts w:asciiTheme="minorHAnsi" w:hAnsiTheme="minorHAnsi"/>
        </w:rPr>
        <w:t>27</w:t>
      </w:r>
      <w:r w:rsidRPr="0025082F">
        <w:rPr>
          <w:rFonts w:asciiTheme="minorHAnsi" w:hAnsiTheme="minorHAnsi"/>
        </w:rPr>
        <w:t>, or 1.1%.</w:t>
      </w:r>
    </w:p>
    <w:p w14:paraId="19F11439" w14:textId="5CE0F7E9" w:rsidR="00797BE3" w:rsidRPr="00F20199" w:rsidRDefault="00797BE3" w:rsidP="00F20199">
      <w:pPr>
        <w:pStyle w:val="ListParagraph"/>
        <w:numPr>
          <w:ilvl w:val="0"/>
          <w:numId w:val="6"/>
        </w:numPr>
        <w:spacing w:after="200" w:line="276" w:lineRule="auto"/>
        <w:jc w:val="both"/>
        <w:rPr>
          <w:rFonts w:cstheme="minorHAnsi"/>
          <w:sz w:val="24"/>
          <w:szCs w:val="24"/>
        </w:rPr>
      </w:pPr>
      <w:r w:rsidRPr="00233970">
        <w:rPr>
          <w:rFonts w:cstheme="minorHAnsi"/>
          <w:sz w:val="24"/>
          <w:szCs w:val="24"/>
          <w:u w:val="single"/>
        </w:rPr>
        <w:t xml:space="preserve">The Patient Panel for the Proposed Project </w:t>
      </w:r>
      <w:r w:rsidR="00F20199" w:rsidRPr="00233970">
        <w:rPr>
          <w:rFonts w:cstheme="minorHAnsi"/>
          <w:sz w:val="24"/>
          <w:szCs w:val="24"/>
          <w:u w:val="single"/>
        </w:rPr>
        <w:t>– Surgical</w:t>
      </w:r>
      <w:r w:rsidRPr="00233970">
        <w:rPr>
          <w:rFonts w:cstheme="minorHAnsi"/>
          <w:sz w:val="24"/>
          <w:szCs w:val="24"/>
          <w:u w:val="single"/>
        </w:rPr>
        <w:t xml:space="preserve"> Services </w:t>
      </w:r>
      <w:r>
        <w:rPr>
          <w:rFonts w:cstheme="minorHAnsi"/>
          <w:sz w:val="24"/>
          <w:szCs w:val="24"/>
          <w:u w:val="single"/>
        </w:rPr>
        <w:t>(the “Surgical Patients”)</w:t>
      </w:r>
    </w:p>
    <w:p w14:paraId="5EF7F7A6" w14:textId="62A239CF" w:rsidR="00797BE3" w:rsidRPr="00F20199" w:rsidRDefault="00797BE3" w:rsidP="00F20199">
      <w:pPr>
        <w:autoSpaceDE w:val="0"/>
        <w:autoSpaceDN w:val="0"/>
        <w:adjustRightInd w:val="0"/>
        <w:jc w:val="both"/>
        <w:rPr>
          <w:rFonts w:asciiTheme="minorHAnsi" w:hAnsiTheme="minorHAnsi" w:cstheme="minorHAnsi"/>
        </w:rPr>
      </w:pPr>
      <w:r w:rsidRPr="00FD42CA">
        <w:rPr>
          <w:rFonts w:asciiTheme="minorHAnsi" w:hAnsiTheme="minorHAnsi" w:cstheme="minorHAnsi"/>
        </w:rPr>
        <w:t>To determine the need for the Proposed Project, the Applicant looked at the unique patients that received the Surgical Services for the period</w:t>
      </w:r>
      <w:r w:rsidRPr="0015770B">
        <w:rPr>
          <w:rFonts w:asciiTheme="minorHAnsi" w:hAnsiTheme="minorHAnsi" w:cstheme="minorHAnsi"/>
        </w:rPr>
        <w:t xml:space="preserve"> January 1, </w:t>
      </w:r>
      <w:proofErr w:type="gramStart"/>
      <w:r w:rsidRPr="0015770B">
        <w:rPr>
          <w:rFonts w:asciiTheme="minorHAnsi" w:hAnsiTheme="minorHAnsi" w:cstheme="minorHAnsi"/>
        </w:rPr>
        <w:t>2020</w:t>
      </w:r>
      <w:proofErr w:type="gramEnd"/>
      <w:r w:rsidRPr="0015770B">
        <w:rPr>
          <w:rFonts w:asciiTheme="minorHAnsi" w:hAnsiTheme="minorHAnsi" w:cstheme="minorHAnsi"/>
        </w:rPr>
        <w:t xml:space="preserve"> through </w:t>
      </w:r>
      <w:r>
        <w:rPr>
          <w:rFonts w:asciiTheme="minorHAnsi" w:hAnsiTheme="minorHAnsi" w:cstheme="minorHAnsi"/>
        </w:rPr>
        <w:t>December 31</w:t>
      </w:r>
      <w:r w:rsidRPr="0015770B">
        <w:rPr>
          <w:rFonts w:asciiTheme="minorHAnsi" w:hAnsiTheme="minorHAnsi" w:cstheme="minorHAnsi"/>
        </w:rPr>
        <w:t>, 202</w:t>
      </w:r>
      <w:r w:rsidR="003C0974">
        <w:rPr>
          <w:rFonts w:asciiTheme="minorHAnsi" w:hAnsiTheme="minorHAnsi" w:cstheme="minorHAnsi"/>
        </w:rPr>
        <w:t>3</w:t>
      </w:r>
      <w:r>
        <w:rPr>
          <w:rFonts w:asciiTheme="minorHAnsi" w:hAnsiTheme="minorHAnsi" w:cstheme="minorHAnsi"/>
        </w:rPr>
        <w:t xml:space="preserve">.  Based on the Applicant’s claims data, the Applicant is only able to provide data for the Surgical Patients under its risk contracts for whom the Applicant receives paid claims information from payers.  As illustrated in Table 4, </w:t>
      </w:r>
      <w:r w:rsidRPr="0015770B">
        <w:rPr>
          <w:rFonts w:asciiTheme="minorHAnsi" w:hAnsiTheme="minorHAnsi" w:cstheme="minorHAnsi"/>
        </w:rPr>
        <w:t xml:space="preserve">for the period January 1, </w:t>
      </w:r>
      <w:proofErr w:type="gramStart"/>
      <w:r w:rsidRPr="0015770B">
        <w:rPr>
          <w:rFonts w:asciiTheme="minorHAnsi" w:hAnsiTheme="minorHAnsi" w:cstheme="minorHAnsi"/>
        </w:rPr>
        <w:t>2020</w:t>
      </w:r>
      <w:proofErr w:type="gramEnd"/>
      <w:r w:rsidRPr="0015770B">
        <w:rPr>
          <w:rFonts w:asciiTheme="minorHAnsi" w:hAnsiTheme="minorHAnsi" w:cstheme="minorHAnsi"/>
        </w:rPr>
        <w:t xml:space="preserve"> through </w:t>
      </w:r>
      <w:r>
        <w:rPr>
          <w:rFonts w:asciiTheme="minorHAnsi" w:hAnsiTheme="minorHAnsi" w:cstheme="minorHAnsi"/>
        </w:rPr>
        <w:t>December 31, 202</w:t>
      </w:r>
      <w:r w:rsidR="003C0974">
        <w:rPr>
          <w:rFonts w:asciiTheme="minorHAnsi" w:hAnsiTheme="minorHAnsi" w:cstheme="minorHAnsi"/>
        </w:rPr>
        <w:t>3</w:t>
      </w:r>
      <w:r>
        <w:rPr>
          <w:rFonts w:asciiTheme="minorHAnsi" w:hAnsiTheme="minorHAnsi" w:cstheme="minorHAnsi"/>
        </w:rPr>
        <w:t xml:space="preserve">, the Surgical Patients </w:t>
      </w:r>
      <w:r w:rsidRPr="00C424BA">
        <w:rPr>
          <w:rFonts w:asciiTheme="minorHAnsi" w:hAnsiTheme="minorHAnsi" w:cstheme="minorHAnsi"/>
        </w:rPr>
        <w:t xml:space="preserve">grew </w:t>
      </w:r>
      <w:r w:rsidRPr="00C424BA">
        <w:rPr>
          <w:rFonts w:asciiTheme="minorHAnsi" w:hAnsiTheme="minorHAnsi"/>
        </w:rPr>
        <w:t xml:space="preserve">from 12,573 to </w:t>
      </w:r>
      <w:r w:rsidR="003E68FF" w:rsidRPr="00C424BA">
        <w:rPr>
          <w:rFonts w:asciiTheme="minorHAnsi" w:hAnsiTheme="minorHAnsi"/>
        </w:rPr>
        <w:t>15,396 (22%)</w:t>
      </w:r>
      <w:r w:rsidRPr="00C424BA">
        <w:rPr>
          <w:rFonts w:asciiTheme="minorHAnsi" w:hAnsiTheme="minorHAnsi"/>
        </w:rPr>
        <w:t>.</w:t>
      </w:r>
      <w:r w:rsidRPr="00C424BA">
        <w:rPr>
          <w:rFonts w:asciiTheme="minorHAnsi" w:hAnsiTheme="minorHAnsi" w:cstheme="minorHAnsi"/>
        </w:rPr>
        <w:t xml:space="preserve">  This growth is projected to continue in CY 202</w:t>
      </w:r>
      <w:r w:rsidR="00715865" w:rsidRPr="00C424BA">
        <w:rPr>
          <w:rFonts w:asciiTheme="minorHAnsi" w:hAnsiTheme="minorHAnsi" w:cstheme="minorHAnsi"/>
        </w:rPr>
        <w:t>4</w:t>
      </w:r>
      <w:r w:rsidRPr="00C424BA">
        <w:rPr>
          <w:rFonts w:asciiTheme="minorHAnsi" w:hAnsiTheme="minorHAnsi" w:cstheme="minorHAnsi"/>
        </w:rPr>
        <w:t xml:space="preserve"> and into the future. The Surgical Patients, like the Patient Panel, reside throughout Eastern Massachusetts </w:t>
      </w:r>
      <w:r w:rsidRPr="00C424BA">
        <w:rPr>
          <w:rFonts w:asciiTheme="minorHAnsi" w:hAnsiTheme="minorHAnsi"/>
        </w:rPr>
        <w:t>in</w:t>
      </w:r>
      <w:r w:rsidR="00453FC2">
        <w:rPr>
          <w:rFonts w:asciiTheme="minorHAnsi" w:hAnsiTheme="minorHAnsi"/>
        </w:rPr>
        <w:t xml:space="preserve"> 212</w:t>
      </w:r>
      <w:r w:rsidRPr="00073DD5">
        <w:rPr>
          <w:rFonts w:asciiTheme="minorHAnsi" w:hAnsiTheme="minorHAnsi"/>
        </w:rPr>
        <w:t xml:space="preserve"> zip codes</w:t>
      </w:r>
      <w:r w:rsidRPr="00C424BA">
        <w:rPr>
          <w:rFonts w:asciiTheme="minorHAnsi" w:hAnsiTheme="minorHAnsi" w:cstheme="minorHAnsi"/>
        </w:rPr>
        <w:t xml:space="preserve">.  See Table 5. </w:t>
      </w:r>
      <w:r w:rsidR="003020A8" w:rsidRPr="00C424BA">
        <w:rPr>
          <w:rFonts w:asciiTheme="minorHAnsi" w:hAnsiTheme="minorHAnsi" w:cstheme="minorHAnsi"/>
        </w:rPr>
        <w:t xml:space="preserve"> </w:t>
      </w:r>
      <w:r w:rsidRPr="00C424BA">
        <w:rPr>
          <w:rFonts w:asciiTheme="minorHAnsi" w:hAnsiTheme="minorHAnsi" w:cstheme="minorHAnsi"/>
        </w:rPr>
        <w:t>The Applicant estimates</w:t>
      </w:r>
      <w:r w:rsidRPr="00C424BA">
        <w:rPr>
          <w:rStyle w:val="FootnoteReference"/>
          <w:rFonts w:asciiTheme="minorHAnsi" w:hAnsiTheme="minorHAnsi" w:cstheme="minorHAnsi"/>
        </w:rPr>
        <w:footnoteReference w:id="3"/>
      </w:r>
      <w:r w:rsidRPr="00C424BA">
        <w:rPr>
          <w:rFonts w:asciiTheme="minorHAnsi" w:hAnsiTheme="minorHAnsi" w:cstheme="minorHAnsi"/>
        </w:rPr>
        <w:t xml:space="preserve"> that </w:t>
      </w:r>
      <w:r w:rsidRPr="00C424BA">
        <w:rPr>
          <w:rFonts w:asciiTheme="minorHAnsi" w:hAnsiTheme="minorHAnsi"/>
        </w:rPr>
        <w:t>approximately 80%</w:t>
      </w:r>
      <w:r w:rsidRPr="001A7739">
        <w:rPr>
          <w:rFonts w:asciiTheme="minorHAnsi" w:hAnsiTheme="minorHAnsi" w:cstheme="minorHAnsi"/>
        </w:rPr>
        <w:t xml:space="preserve"> of the Surgical Patients within Massachusetts reside within convenient access to the Proposed Project</w:t>
      </w:r>
      <w:r>
        <w:rPr>
          <w:rFonts w:asciiTheme="minorHAnsi" w:hAnsiTheme="minorHAnsi" w:cstheme="minorHAnsi"/>
        </w:rPr>
        <w:t>.</w:t>
      </w:r>
      <w:r w:rsidR="003020A8">
        <w:rPr>
          <w:rFonts w:asciiTheme="minorHAnsi" w:hAnsiTheme="minorHAnsi" w:cstheme="minorHAnsi"/>
        </w:rPr>
        <w:t xml:space="preserve"> </w:t>
      </w:r>
      <w:r>
        <w:rPr>
          <w:rFonts w:asciiTheme="minorHAnsi" w:hAnsiTheme="minorHAnsi" w:cstheme="minorHAnsi"/>
        </w:rPr>
        <w:t xml:space="preserve"> Like the Patient Panel, the Surgical Patients are a </w:t>
      </w:r>
      <w:r w:rsidRPr="0015770B">
        <w:rPr>
          <w:rFonts w:asciiTheme="minorHAnsi" w:hAnsiTheme="minorHAnsi" w:cstheme="minorHAnsi"/>
        </w:rPr>
        <w:t>predominately white population (self-identified)</w:t>
      </w:r>
      <w:r>
        <w:rPr>
          <w:rFonts w:asciiTheme="minorHAnsi" w:hAnsiTheme="minorHAnsi" w:cstheme="minorHAnsi"/>
        </w:rPr>
        <w:t>, with slight year over year growth in populations of color</w:t>
      </w:r>
      <w:r w:rsidRPr="0015770B">
        <w:rPr>
          <w:rFonts w:asciiTheme="minorHAnsi" w:hAnsiTheme="minorHAnsi" w:cstheme="minorHAnsi"/>
        </w:rPr>
        <w:t>.</w:t>
      </w:r>
      <w:r w:rsidR="003020A8">
        <w:rPr>
          <w:rFonts w:asciiTheme="minorHAnsi" w:hAnsiTheme="minorHAnsi" w:cstheme="minorHAnsi"/>
        </w:rPr>
        <w:t xml:space="preserve"> </w:t>
      </w:r>
      <w:r w:rsidRPr="0015770B">
        <w:rPr>
          <w:rFonts w:asciiTheme="minorHAnsi" w:hAnsiTheme="minorHAnsi" w:cstheme="minorHAnsi"/>
        </w:rPr>
        <w:t xml:space="preserve"> A significant portion of the </w:t>
      </w:r>
      <w:r>
        <w:rPr>
          <w:rFonts w:asciiTheme="minorHAnsi" w:hAnsiTheme="minorHAnsi" w:cstheme="minorHAnsi"/>
        </w:rPr>
        <w:t xml:space="preserve">Surgical Patients are </w:t>
      </w:r>
      <w:r w:rsidRPr="0015770B">
        <w:rPr>
          <w:rFonts w:asciiTheme="minorHAnsi" w:hAnsiTheme="minorHAnsi" w:cstheme="minorHAnsi"/>
        </w:rPr>
        <w:t>insured by</w:t>
      </w:r>
      <w:r>
        <w:rPr>
          <w:rFonts w:asciiTheme="minorHAnsi" w:hAnsiTheme="minorHAnsi" w:cstheme="minorHAnsi"/>
        </w:rPr>
        <w:t xml:space="preserve"> commercial </w:t>
      </w:r>
      <w:r w:rsidRPr="00C424BA">
        <w:rPr>
          <w:rFonts w:asciiTheme="minorHAnsi" w:hAnsiTheme="minorHAnsi" w:cstheme="minorHAnsi"/>
        </w:rPr>
        <w:t>payers</w:t>
      </w:r>
      <w:r w:rsidR="00C37306" w:rsidRPr="00C424BA">
        <w:rPr>
          <w:rFonts w:asciiTheme="minorHAnsi" w:hAnsiTheme="minorHAnsi" w:cstheme="minorHAnsi"/>
        </w:rPr>
        <w:t>,</w:t>
      </w:r>
      <w:r w:rsidRPr="00C424BA">
        <w:rPr>
          <w:rFonts w:asciiTheme="minorHAnsi" w:hAnsiTheme="minorHAnsi" w:cstheme="minorHAnsi"/>
        </w:rPr>
        <w:t xml:space="preserve"> with </w:t>
      </w:r>
      <w:r w:rsidRPr="00C424BA">
        <w:rPr>
          <w:rFonts w:asciiTheme="minorHAnsi" w:hAnsiTheme="minorHAnsi"/>
        </w:rPr>
        <w:t>4</w:t>
      </w:r>
      <w:r w:rsidR="0083699A" w:rsidRPr="00C424BA">
        <w:rPr>
          <w:rFonts w:asciiTheme="minorHAnsi" w:hAnsiTheme="minorHAnsi"/>
        </w:rPr>
        <w:t>3</w:t>
      </w:r>
      <w:r w:rsidR="009976C2" w:rsidRPr="00C424BA">
        <w:rPr>
          <w:rFonts w:asciiTheme="minorHAnsi" w:hAnsiTheme="minorHAnsi"/>
        </w:rPr>
        <w:t>.3</w:t>
      </w:r>
      <w:r w:rsidRPr="00C424BA">
        <w:rPr>
          <w:rFonts w:asciiTheme="minorHAnsi" w:hAnsiTheme="minorHAnsi"/>
        </w:rPr>
        <w:t>% insured</w:t>
      </w:r>
      <w:r w:rsidRPr="00C424BA">
        <w:rPr>
          <w:rFonts w:asciiTheme="minorHAnsi" w:hAnsiTheme="minorHAnsi" w:cstheme="minorHAnsi"/>
        </w:rPr>
        <w:t xml:space="preserve"> by government payors (Medicare, MassHealth).</w:t>
      </w:r>
      <w:r w:rsidR="003020A8" w:rsidRPr="00C424BA">
        <w:rPr>
          <w:rFonts w:asciiTheme="minorHAnsi" w:hAnsiTheme="minorHAnsi" w:cstheme="minorHAnsi"/>
        </w:rPr>
        <w:t xml:space="preserve">  </w:t>
      </w:r>
      <w:r w:rsidRPr="00C424BA">
        <w:rPr>
          <w:rFonts w:asciiTheme="minorHAnsi" w:hAnsiTheme="minorHAnsi" w:cstheme="minorHAnsi"/>
        </w:rPr>
        <w:t xml:space="preserve">Even though </w:t>
      </w:r>
      <w:r w:rsidRPr="00C424BA">
        <w:rPr>
          <w:rFonts w:asciiTheme="minorHAnsi" w:hAnsiTheme="minorHAnsi"/>
        </w:rPr>
        <w:t xml:space="preserve">only </w:t>
      </w:r>
      <w:r w:rsidR="009976C2" w:rsidRPr="00C424BA">
        <w:rPr>
          <w:rFonts w:asciiTheme="minorHAnsi" w:hAnsiTheme="minorHAnsi"/>
        </w:rPr>
        <w:t>16.8</w:t>
      </w:r>
      <w:r w:rsidRPr="00C424BA">
        <w:rPr>
          <w:rFonts w:asciiTheme="minorHAnsi" w:hAnsiTheme="minorHAnsi"/>
        </w:rPr>
        <w:t>% of</w:t>
      </w:r>
      <w:r w:rsidRPr="00C424BA">
        <w:rPr>
          <w:rFonts w:asciiTheme="minorHAnsi" w:hAnsiTheme="minorHAnsi" w:cstheme="minorHAnsi"/>
        </w:rPr>
        <w:t xml:space="preserve"> the Patient Panel is insured by Medicare, </w:t>
      </w:r>
      <w:r w:rsidRPr="00C424BA">
        <w:rPr>
          <w:rFonts w:asciiTheme="minorHAnsi" w:hAnsiTheme="minorHAnsi"/>
        </w:rPr>
        <w:t>33.</w:t>
      </w:r>
      <w:r w:rsidR="00121310" w:rsidRPr="00C424BA">
        <w:rPr>
          <w:rFonts w:asciiTheme="minorHAnsi" w:hAnsiTheme="minorHAnsi"/>
        </w:rPr>
        <w:t>4</w:t>
      </w:r>
      <w:r w:rsidRPr="00C424BA">
        <w:rPr>
          <w:rFonts w:asciiTheme="minorHAnsi" w:hAnsiTheme="minorHAnsi"/>
        </w:rPr>
        <w:t>% of the Surgical Patients are Medicare beneficiaries</w:t>
      </w:r>
      <w:r w:rsidRPr="00C424BA">
        <w:rPr>
          <w:rFonts w:asciiTheme="minorHAnsi" w:hAnsiTheme="minorHAnsi" w:cstheme="minorHAnsi"/>
        </w:rPr>
        <w:t>.  This is because a large percentage of the Surgical Services are received by older individuals.  The patient</w:t>
      </w:r>
      <w:r>
        <w:rPr>
          <w:rFonts w:asciiTheme="minorHAnsi" w:hAnsiTheme="minorHAnsi" w:cstheme="minorHAnsi"/>
        </w:rPr>
        <w:t xml:space="preserve"> panel data for the Surgical Patients </w:t>
      </w:r>
      <w:r w:rsidRPr="0015770B">
        <w:rPr>
          <w:rFonts w:asciiTheme="minorHAnsi" w:hAnsiTheme="minorHAnsi" w:cstheme="minorHAnsi"/>
        </w:rPr>
        <w:t xml:space="preserve">is set forth on </w:t>
      </w:r>
      <w:r>
        <w:rPr>
          <w:rFonts w:asciiTheme="minorHAnsi" w:hAnsiTheme="minorHAnsi" w:cstheme="minorHAnsi"/>
        </w:rPr>
        <w:t xml:space="preserve">Table 4.   </w:t>
      </w:r>
    </w:p>
    <w:p w14:paraId="69E4918A" w14:textId="31C2D8B3" w:rsidR="00797BE3" w:rsidRPr="00155351" w:rsidRDefault="00797BE3" w:rsidP="00F20199">
      <w:pPr>
        <w:jc w:val="both"/>
        <w:rPr>
          <w:rFonts w:asciiTheme="minorHAnsi" w:hAnsiTheme="minorHAnsi" w:cstheme="minorHAnsi"/>
        </w:rPr>
      </w:pPr>
      <w:r w:rsidRPr="00380655">
        <w:rPr>
          <w:rFonts w:asciiTheme="minorHAnsi" w:hAnsiTheme="minorHAnsi" w:cstheme="minorHAnsi"/>
        </w:rPr>
        <w:t>As noted above, the Surgical Services are being obtained by older individuals.  For example</w:t>
      </w:r>
      <w:r w:rsidRPr="00380655">
        <w:rPr>
          <w:rFonts w:asciiTheme="minorHAnsi" w:hAnsiTheme="minorHAnsi"/>
        </w:rPr>
        <w:t>, 3</w:t>
      </w:r>
      <w:r w:rsidR="00057702" w:rsidRPr="00380655">
        <w:rPr>
          <w:rFonts w:asciiTheme="minorHAnsi" w:hAnsiTheme="minorHAnsi"/>
        </w:rPr>
        <w:t>7.6</w:t>
      </w:r>
      <w:r w:rsidRPr="00380655">
        <w:rPr>
          <w:rFonts w:asciiTheme="minorHAnsi" w:hAnsiTheme="minorHAnsi"/>
        </w:rPr>
        <w:t>% of the Surgical Patient</w:t>
      </w:r>
      <w:r w:rsidR="00022D98" w:rsidRPr="00AA62B1">
        <w:rPr>
          <w:rFonts w:asciiTheme="minorHAnsi" w:hAnsiTheme="minorHAnsi"/>
        </w:rPr>
        <w:t>s</w:t>
      </w:r>
      <w:r w:rsidRPr="00380655">
        <w:rPr>
          <w:rFonts w:asciiTheme="minorHAnsi" w:hAnsiTheme="minorHAnsi"/>
        </w:rPr>
        <w:t xml:space="preserve"> are under the age of 50 and 62</w:t>
      </w:r>
      <w:r w:rsidR="00057702" w:rsidRPr="00380655">
        <w:rPr>
          <w:rFonts w:asciiTheme="minorHAnsi" w:hAnsiTheme="minorHAnsi"/>
        </w:rPr>
        <w:t>.4</w:t>
      </w:r>
      <w:r w:rsidRPr="00380655">
        <w:rPr>
          <w:rFonts w:asciiTheme="minorHAnsi" w:hAnsiTheme="minorHAnsi"/>
        </w:rPr>
        <w:t xml:space="preserve">% </w:t>
      </w:r>
      <w:r w:rsidR="00022D98" w:rsidRPr="00AA62B1">
        <w:rPr>
          <w:rFonts w:asciiTheme="minorHAnsi" w:hAnsiTheme="minorHAnsi"/>
        </w:rPr>
        <w:t xml:space="preserve">are </w:t>
      </w:r>
      <w:r w:rsidRPr="00380655">
        <w:rPr>
          <w:rFonts w:asciiTheme="minorHAnsi" w:hAnsiTheme="minorHAnsi"/>
        </w:rPr>
        <w:t>over the age of 50</w:t>
      </w:r>
      <w:r w:rsidRPr="00380655">
        <w:rPr>
          <w:rFonts w:asciiTheme="minorHAnsi" w:hAnsiTheme="minorHAnsi" w:cstheme="minorHAnsi"/>
        </w:rPr>
        <w:t>, as illustrated in Table 6. From CY 2020 through CY 202</w:t>
      </w:r>
      <w:r w:rsidR="0083699A" w:rsidRPr="00380655">
        <w:rPr>
          <w:rFonts w:asciiTheme="minorHAnsi" w:hAnsiTheme="minorHAnsi" w:cstheme="minorHAnsi"/>
        </w:rPr>
        <w:t>3</w:t>
      </w:r>
      <w:r w:rsidRPr="00380655">
        <w:rPr>
          <w:rFonts w:asciiTheme="minorHAnsi" w:hAnsiTheme="minorHAnsi" w:cstheme="minorHAnsi"/>
        </w:rPr>
        <w:t xml:space="preserve">, the number of Surgical Patients over the age of 50 grew </w:t>
      </w:r>
      <w:r w:rsidRPr="00380655">
        <w:rPr>
          <w:rFonts w:asciiTheme="minorHAnsi" w:hAnsiTheme="minorHAnsi"/>
        </w:rPr>
        <w:t xml:space="preserve">by </w:t>
      </w:r>
      <w:r w:rsidR="00121310" w:rsidRPr="00380655">
        <w:rPr>
          <w:rFonts w:asciiTheme="minorHAnsi" w:hAnsiTheme="minorHAnsi"/>
        </w:rPr>
        <w:t xml:space="preserve">1,651 </w:t>
      </w:r>
      <w:r w:rsidRPr="00380655">
        <w:rPr>
          <w:rFonts w:asciiTheme="minorHAnsi" w:hAnsiTheme="minorHAnsi"/>
        </w:rPr>
        <w:t>(</w:t>
      </w:r>
      <w:r w:rsidR="00121310" w:rsidRPr="00380655">
        <w:rPr>
          <w:rFonts w:asciiTheme="minorHAnsi" w:hAnsiTheme="minorHAnsi"/>
        </w:rPr>
        <w:t>21</w:t>
      </w:r>
      <w:r w:rsidRPr="00380655">
        <w:rPr>
          <w:rFonts w:asciiTheme="minorHAnsi" w:hAnsiTheme="minorHAnsi"/>
        </w:rPr>
        <w:t xml:space="preserve">%), as compared to the </w:t>
      </w:r>
      <w:r w:rsidR="00C37306" w:rsidRPr="00380655">
        <w:rPr>
          <w:rFonts w:asciiTheme="minorHAnsi" w:hAnsiTheme="minorHAnsi" w:cstheme="minorHAnsi"/>
        </w:rPr>
        <w:t xml:space="preserve">number of </w:t>
      </w:r>
      <w:r w:rsidRPr="00380655">
        <w:rPr>
          <w:rFonts w:asciiTheme="minorHAnsi" w:hAnsiTheme="minorHAnsi"/>
        </w:rPr>
        <w:t>Surgical Patients under the age of 50</w:t>
      </w:r>
      <w:r w:rsidR="00C37306" w:rsidRPr="00380655">
        <w:rPr>
          <w:rFonts w:asciiTheme="minorHAnsi" w:hAnsiTheme="minorHAnsi" w:cstheme="minorHAnsi"/>
        </w:rPr>
        <w:t>, which</w:t>
      </w:r>
      <w:r w:rsidRPr="00380655">
        <w:rPr>
          <w:rFonts w:asciiTheme="minorHAnsi" w:hAnsiTheme="minorHAnsi"/>
        </w:rPr>
        <w:t xml:space="preserve"> grew by just </w:t>
      </w:r>
      <w:r w:rsidR="00121310" w:rsidRPr="00380655">
        <w:rPr>
          <w:rFonts w:asciiTheme="minorHAnsi" w:hAnsiTheme="minorHAnsi"/>
        </w:rPr>
        <w:t xml:space="preserve">1,172 </w:t>
      </w:r>
      <w:r w:rsidRPr="00380655">
        <w:rPr>
          <w:rFonts w:asciiTheme="minorHAnsi" w:hAnsiTheme="minorHAnsi"/>
        </w:rPr>
        <w:t>(</w:t>
      </w:r>
      <w:r w:rsidR="00121310" w:rsidRPr="00380655">
        <w:rPr>
          <w:rFonts w:asciiTheme="minorHAnsi" w:hAnsiTheme="minorHAnsi"/>
        </w:rPr>
        <w:t>25</w:t>
      </w:r>
      <w:r w:rsidRPr="00380655">
        <w:rPr>
          <w:rFonts w:asciiTheme="minorHAnsi" w:hAnsiTheme="minorHAnsi"/>
        </w:rPr>
        <w:t>%).</w:t>
      </w:r>
      <w:r w:rsidRPr="00155351">
        <w:rPr>
          <w:rFonts w:asciiTheme="minorHAnsi" w:hAnsiTheme="minorHAnsi" w:cstheme="minorHAnsi"/>
        </w:rPr>
        <w:t xml:space="preserve"> </w:t>
      </w:r>
    </w:p>
    <w:p w14:paraId="05161201" w14:textId="749E006E" w:rsidR="00C52D3E" w:rsidRDefault="00211962" w:rsidP="00F20199">
      <w:pPr>
        <w:jc w:val="both"/>
        <w:rPr>
          <w:rFonts w:asciiTheme="minorHAnsi" w:hAnsiTheme="minorHAnsi" w:cstheme="minorHAnsi"/>
        </w:rPr>
      </w:pPr>
      <w:r>
        <w:rPr>
          <w:rFonts w:asciiTheme="minorHAnsi" w:hAnsiTheme="minorHAnsi" w:cstheme="minorHAnsi"/>
        </w:rPr>
        <w:t>The</w:t>
      </w:r>
      <w:r w:rsidR="00797BE3">
        <w:rPr>
          <w:rFonts w:asciiTheme="minorHAnsi" w:hAnsiTheme="minorHAnsi" w:cstheme="minorHAnsi"/>
        </w:rPr>
        <w:t xml:space="preserve"> Applicant has </w:t>
      </w:r>
      <w:r w:rsidR="00797BE3" w:rsidRPr="00380655">
        <w:rPr>
          <w:rFonts w:asciiTheme="minorHAnsi" w:hAnsiTheme="minorHAnsi" w:cstheme="minorHAnsi"/>
        </w:rPr>
        <w:t xml:space="preserve">identified that the number of their </w:t>
      </w:r>
      <w:r w:rsidR="00F81027">
        <w:rPr>
          <w:rFonts w:asciiTheme="minorHAnsi" w:hAnsiTheme="minorHAnsi" w:cstheme="minorHAnsi"/>
        </w:rPr>
        <w:t xml:space="preserve">surgical cases </w:t>
      </w:r>
      <w:r w:rsidR="00797BE3" w:rsidRPr="00380655">
        <w:rPr>
          <w:rFonts w:asciiTheme="minorHAnsi" w:hAnsiTheme="minorHAnsi" w:cstheme="minorHAnsi"/>
        </w:rPr>
        <w:t>related to the Surgical Services specialties ha</w:t>
      </w:r>
      <w:r w:rsidR="000B3720">
        <w:rPr>
          <w:rFonts w:asciiTheme="minorHAnsi" w:hAnsiTheme="minorHAnsi" w:cstheme="minorHAnsi"/>
        </w:rPr>
        <w:t>ve</w:t>
      </w:r>
      <w:r w:rsidR="004C6F04">
        <w:rPr>
          <w:rFonts w:asciiTheme="minorHAnsi" w:hAnsiTheme="minorHAnsi" w:cstheme="minorHAnsi"/>
        </w:rPr>
        <w:t xml:space="preserve"> steadily grown since the market-wide reductions resulting </w:t>
      </w:r>
      <w:r w:rsidR="00C04759">
        <w:rPr>
          <w:rFonts w:asciiTheme="minorHAnsi" w:hAnsiTheme="minorHAnsi" w:cstheme="minorHAnsi"/>
        </w:rPr>
        <w:t>from</w:t>
      </w:r>
      <w:r w:rsidR="004C6F04">
        <w:rPr>
          <w:rFonts w:asciiTheme="minorHAnsi" w:hAnsiTheme="minorHAnsi" w:cstheme="minorHAnsi"/>
        </w:rPr>
        <w:t xml:space="preserve"> the COVID-19 pandemic in 2020. Case </w:t>
      </w:r>
      <w:r w:rsidR="0028658C">
        <w:rPr>
          <w:rFonts w:asciiTheme="minorHAnsi" w:hAnsiTheme="minorHAnsi" w:cstheme="minorHAnsi"/>
        </w:rPr>
        <w:t>volumes</w:t>
      </w:r>
      <w:r w:rsidR="004C6F04">
        <w:rPr>
          <w:rFonts w:asciiTheme="minorHAnsi" w:hAnsiTheme="minorHAnsi" w:cstheme="minorHAnsi"/>
        </w:rPr>
        <w:t xml:space="preserve"> have</w:t>
      </w:r>
      <w:r w:rsidR="000B3720">
        <w:rPr>
          <w:rFonts w:asciiTheme="minorHAnsi" w:hAnsiTheme="minorHAnsi" w:cstheme="minorHAnsi"/>
        </w:rPr>
        <w:t xml:space="preserve"> </w:t>
      </w:r>
      <w:r w:rsidR="00A027D3">
        <w:rPr>
          <w:rFonts w:asciiTheme="minorHAnsi" w:hAnsiTheme="minorHAnsi" w:cstheme="minorHAnsi"/>
        </w:rPr>
        <w:t>rebounded and stabilized</w:t>
      </w:r>
      <w:r w:rsidR="000B3720">
        <w:rPr>
          <w:rFonts w:asciiTheme="minorHAnsi" w:hAnsiTheme="minorHAnsi" w:cstheme="minorHAnsi"/>
        </w:rPr>
        <w:t xml:space="preserve"> </w:t>
      </w:r>
      <w:r w:rsidR="0089688A">
        <w:rPr>
          <w:rFonts w:asciiTheme="minorHAnsi" w:hAnsiTheme="minorHAnsi" w:cstheme="minorHAnsi"/>
        </w:rPr>
        <w:t xml:space="preserve">with gradual growth </w:t>
      </w:r>
      <w:r w:rsidR="000B3720">
        <w:rPr>
          <w:rFonts w:asciiTheme="minorHAnsi" w:hAnsiTheme="minorHAnsi" w:cstheme="minorHAnsi"/>
        </w:rPr>
        <w:t xml:space="preserve">since the depression in cases in CY2020 due to the COVID-19 Public Health Emergency. </w:t>
      </w:r>
      <w:r w:rsidR="00797BE3" w:rsidRPr="00380655">
        <w:rPr>
          <w:rFonts w:asciiTheme="minorHAnsi" w:hAnsiTheme="minorHAnsi" w:cstheme="minorHAnsi"/>
        </w:rPr>
        <w:t xml:space="preserve"> </w:t>
      </w:r>
      <w:r w:rsidR="004C6F04">
        <w:rPr>
          <w:rFonts w:asciiTheme="minorHAnsi" w:hAnsiTheme="minorHAnsi" w:cstheme="minorHAnsi"/>
        </w:rPr>
        <w:t>Case volumes have grown</w:t>
      </w:r>
      <w:r w:rsidR="000B3720">
        <w:rPr>
          <w:rFonts w:asciiTheme="minorHAnsi" w:hAnsiTheme="minorHAnsi" w:cstheme="minorHAnsi"/>
        </w:rPr>
        <w:t xml:space="preserve"> </w:t>
      </w:r>
      <w:r w:rsidR="00596B7F">
        <w:rPr>
          <w:rFonts w:asciiTheme="minorHAnsi" w:hAnsiTheme="minorHAnsi" w:cstheme="minorHAnsi"/>
        </w:rPr>
        <w:t>22</w:t>
      </w:r>
      <w:r w:rsidR="000B3720">
        <w:rPr>
          <w:rFonts w:asciiTheme="minorHAnsi" w:hAnsiTheme="minorHAnsi" w:cstheme="minorHAnsi"/>
        </w:rPr>
        <w:t xml:space="preserve">% </w:t>
      </w:r>
      <w:r w:rsidR="000B3720" w:rsidRPr="00380655">
        <w:rPr>
          <w:rFonts w:asciiTheme="minorHAnsi" w:hAnsiTheme="minorHAnsi"/>
        </w:rPr>
        <w:t>from</w:t>
      </w:r>
      <w:r w:rsidR="000B3720">
        <w:rPr>
          <w:rFonts w:asciiTheme="minorHAnsi" w:hAnsiTheme="minorHAnsi" w:cstheme="minorHAnsi"/>
        </w:rPr>
        <w:t xml:space="preserve"> CY 2020 to CY 2023.</w:t>
      </w:r>
      <w:r w:rsidR="00797BE3">
        <w:rPr>
          <w:rFonts w:asciiTheme="minorHAnsi" w:hAnsiTheme="minorHAnsi" w:cstheme="minorHAnsi"/>
        </w:rPr>
        <w:t xml:space="preserve">   </w:t>
      </w:r>
      <w:r>
        <w:rPr>
          <w:rFonts w:asciiTheme="minorHAnsi" w:hAnsiTheme="minorHAnsi" w:cstheme="minorHAnsi"/>
        </w:rPr>
        <w:t>Based on the current surgical cases in the first quarter of 2024, the Applicant expects</w:t>
      </w:r>
      <w:r w:rsidR="0089688A">
        <w:rPr>
          <w:rFonts w:asciiTheme="minorHAnsi" w:hAnsiTheme="minorHAnsi" w:cstheme="minorHAnsi"/>
        </w:rPr>
        <w:t xml:space="preserve"> continued gradual </w:t>
      </w:r>
      <w:r>
        <w:rPr>
          <w:rFonts w:asciiTheme="minorHAnsi" w:hAnsiTheme="minorHAnsi" w:cstheme="minorHAnsi"/>
        </w:rPr>
        <w:t xml:space="preserve">growth in future years.  </w:t>
      </w:r>
      <w:r w:rsidR="00797BE3">
        <w:rPr>
          <w:rFonts w:asciiTheme="minorHAnsi" w:hAnsiTheme="minorHAnsi" w:cstheme="minorHAnsi"/>
        </w:rPr>
        <w:t xml:space="preserve">See Table 7.   </w:t>
      </w:r>
    </w:p>
    <w:p w14:paraId="00B04D1A" w14:textId="1CFAB2E7" w:rsidR="00797BE3" w:rsidRDefault="00797BE3" w:rsidP="00797BE3">
      <w:pPr>
        <w:jc w:val="both"/>
        <w:rPr>
          <w:rFonts w:asciiTheme="minorHAnsi" w:hAnsiTheme="minorHAnsi" w:cstheme="minorHAnsi"/>
        </w:rPr>
      </w:pPr>
      <w:r>
        <w:rPr>
          <w:rFonts w:asciiTheme="minorHAnsi" w:hAnsiTheme="minorHAnsi" w:cstheme="minorHAnsi"/>
        </w:rPr>
        <w:t xml:space="preserve">  </w:t>
      </w:r>
    </w:p>
    <w:p w14:paraId="068A9C7D" w14:textId="77777777" w:rsidR="00797BE3" w:rsidRPr="006F4693" w:rsidRDefault="00797BE3" w:rsidP="00F20199">
      <w:pPr>
        <w:jc w:val="both"/>
        <w:rPr>
          <w:rFonts w:asciiTheme="minorHAnsi" w:hAnsiTheme="minorHAnsi" w:cstheme="minorHAnsi"/>
          <w:b/>
          <w:bCs/>
          <w:szCs w:val="24"/>
          <w:u w:val="single"/>
        </w:rPr>
      </w:pPr>
      <w:r w:rsidRPr="006F4693">
        <w:rPr>
          <w:rFonts w:asciiTheme="minorHAnsi" w:hAnsiTheme="minorHAnsi" w:cstheme="minorHAnsi"/>
          <w:b/>
          <w:szCs w:val="24"/>
          <w:u w:val="single"/>
        </w:rPr>
        <w:t>F1.</w:t>
      </w:r>
      <w:proofErr w:type="gramStart"/>
      <w:r w:rsidRPr="006F4693">
        <w:rPr>
          <w:rFonts w:asciiTheme="minorHAnsi" w:hAnsiTheme="minorHAnsi" w:cstheme="minorHAnsi"/>
          <w:b/>
          <w:szCs w:val="24"/>
          <w:u w:val="single"/>
        </w:rPr>
        <w:t>a.ii</w:t>
      </w:r>
      <w:proofErr w:type="gramEnd"/>
      <w:r w:rsidRPr="006F4693">
        <w:rPr>
          <w:rFonts w:asciiTheme="minorHAnsi" w:hAnsiTheme="minorHAnsi" w:cstheme="minorHAnsi"/>
          <w:b/>
          <w:szCs w:val="24"/>
          <w:u w:val="single"/>
        </w:rPr>
        <w:t xml:space="preserve"> </w:t>
      </w:r>
      <w:r w:rsidRPr="006F4693">
        <w:rPr>
          <w:rFonts w:asciiTheme="minorHAnsi" w:hAnsiTheme="minorHAnsi" w:cstheme="minorHAnsi"/>
          <w:b/>
          <w:bCs/>
          <w:szCs w:val="24"/>
          <w:u w:val="single"/>
        </w:rPr>
        <w:t>Need by Patient Panel</w:t>
      </w:r>
      <w:r w:rsidRPr="006F4693">
        <w:rPr>
          <w:rFonts w:asciiTheme="minorHAnsi" w:hAnsiTheme="minorHAnsi" w:cstheme="minorHAnsi"/>
          <w:b/>
          <w:bCs/>
          <w:szCs w:val="24"/>
        </w:rPr>
        <w:t>:</w:t>
      </w:r>
    </w:p>
    <w:p w14:paraId="7E38B93F" w14:textId="12A5772C" w:rsidR="00797BE3" w:rsidRDefault="00797BE3" w:rsidP="00F20199">
      <w:pPr>
        <w:autoSpaceDE w:val="0"/>
        <w:autoSpaceDN w:val="0"/>
        <w:adjustRightInd w:val="0"/>
        <w:jc w:val="both"/>
        <w:rPr>
          <w:rFonts w:asciiTheme="minorHAnsi" w:hAnsiTheme="minorHAnsi" w:cstheme="minorHAnsi"/>
          <w:b/>
          <w:szCs w:val="24"/>
        </w:rPr>
      </w:pPr>
      <w:r w:rsidRPr="006F4693">
        <w:rPr>
          <w:rFonts w:asciiTheme="minorHAnsi" w:hAnsiTheme="minorHAnsi" w:cstheme="minorHAnsi"/>
          <w:b/>
          <w:szCs w:val="24"/>
        </w:rPr>
        <w:t>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w:t>
      </w:r>
      <w:r>
        <w:rPr>
          <w:rFonts w:asciiTheme="minorHAnsi" w:hAnsiTheme="minorHAnsi" w:cstheme="minorHAnsi"/>
          <w:b/>
          <w:szCs w:val="24"/>
        </w:rPr>
        <w:t xml:space="preserve"> </w:t>
      </w:r>
      <w:r w:rsidRPr="006F4693">
        <w:rPr>
          <w:rFonts w:asciiTheme="minorHAnsi" w:hAnsiTheme="minorHAnsi" w:cstheme="minorHAnsi"/>
          <w:b/>
          <w:szCs w:val="24"/>
        </w:rPr>
        <w:t>principles underlying Public Health Value (see instructions) and ensure that Need is addressed in that context as well.</w:t>
      </w:r>
    </w:p>
    <w:p w14:paraId="4A964902" w14:textId="70D99E36" w:rsidR="00797BE3" w:rsidRPr="00F20199" w:rsidRDefault="00797BE3" w:rsidP="00F20199">
      <w:pPr>
        <w:autoSpaceDE w:val="0"/>
        <w:autoSpaceDN w:val="0"/>
        <w:adjustRightInd w:val="0"/>
        <w:jc w:val="both"/>
        <w:rPr>
          <w:rFonts w:asciiTheme="minorHAnsi" w:hAnsiTheme="minorHAnsi" w:cstheme="minorHAnsi"/>
          <w:szCs w:val="24"/>
        </w:rPr>
      </w:pPr>
      <w:r w:rsidRPr="00476BD2">
        <w:rPr>
          <w:rFonts w:asciiTheme="minorHAnsi" w:hAnsiTheme="minorHAnsi" w:cstheme="minorHAnsi"/>
          <w:szCs w:val="24"/>
        </w:rPr>
        <w:t xml:space="preserve">In considering the Proposed Project, the Applicant determined that its Patient Panel </w:t>
      </w:r>
      <w:r>
        <w:rPr>
          <w:rFonts w:asciiTheme="minorHAnsi" w:hAnsiTheme="minorHAnsi" w:cstheme="minorHAnsi"/>
          <w:szCs w:val="24"/>
        </w:rPr>
        <w:t>would benefit from access to an</w:t>
      </w:r>
      <w:r w:rsidRPr="00476BD2">
        <w:rPr>
          <w:rFonts w:asciiTheme="minorHAnsi" w:hAnsiTheme="minorHAnsi" w:cstheme="minorHAnsi"/>
          <w:szCs w:val="24"/>
        </w:rPr>
        <w:t xml:space="preserve"> ASC that provides the proposed Surgical Services. </w:t>
      </w:r>
      <w:r>
        <w:rPr>
          <w:rFonts w:asciiTheme="minorHAnsi" w:hAnsiTheme="minorHAnsi" w:cstheme="minorHAnsi"/>
          <w:szCs w:val="24"/>
        </w:rPr>
        <w:t xml:space="preserve">  </w:t>
      </w:r>
      <w:r w:rsidRPr="00476BD2">
        <w:rPr>
          <w:rFonts w:asciiTheme="minorHAnsi" w:hAnsiTheme="minorHAnsi" w:cstheme="minorHAnsi"/>
          <w:szCs w:val="24"/>
        </w:rPr>
        <w:t>This determin</w:t>
      </w:r>
      <w:r>
        <w:rPr>
          <w:rFonts w:asciiTheme="minorHAnsi" w:hAnsiTheme="minorHAnsi" w:cstheme="minorHAnsi"/>
          <w:szCs w:val="24"/>
        </w:rPr>
        <w:t>ation</w:t>
      </w:r>
      <w:r w:rsidRPr="00476BD2">
        <w:rPr>
          <w:rFonts w:asciiTheme="minorHAnsi" w:hAnsiTheme="minorHAnsi" w:cstheme="minorHAnsi"/>
          <w:szCs w:val="24"/>
        </w:rPr>
        <w:t xml:space="preserve"> was </w:t>
      </w:r>
      <w:r>
        <w:rPr>
          <w:rFonts w:asciiTheme="minorHAnsi" w:hAnsiTheme="minorHAnsi" w:cstheme="minorHAnsi"/>
          <w:szCs w:val="24"/>
        </w:rPr>
        <w:t xml:space="preserve">based on the proposed expansion of Surgical Services for the Patient Panel that are feasible in an ambulatory setting, </w:t>
      </w:r>
      <w:r w:rsidRPr="00476BD2">
        <w:rPr>
          <w:rFonts w:asciiTheme="minorHAnsi" w:hAnsiTheme="minorHAnsi" w:cstheme="minorHAnsi"/>
          <w:szCs w:val="24"/>
        </w:rPr>
        <w:t>an evaluation of the Patient Panel</w:t>
      </w:r>
      <w:r>
        <w:rPr>
          <w:rFonts w:asciiTheme="minorHAnsi" w:hAnsiTheme="minorHAnsi" w:cstheme="minorHAnsi"/>
          <w:szCs w:val="24"/>
        </w:rPr>
        <w:t xml:space="preserve">’s </w:t>
      </w:r>
      <w:r w:rsidRPr="00476BD2">
        <w:rPr>
          <w:rFonts w:asciiTheme="minorHAnsi" w:hAnsiTheme="minorHAnsi" w:cstheme="minorHAnsi"/>
          <w:szCs w:val="24"/>
        </w:rPr>
        <w:t>historical and projected demand</w:t>
      </w:r>
      <w:r>
        <w:rPr>
          <w:rFonts w:asciiTheme="minorHAnsi" w:hAnsiTheme="minorHAnsi" w:cstheme="minorHAnsi"/>
          <w:szCs w:val="24"/>
        </w:rPr>
        <w:t xml:space="preserve"> for the Surgical Services</w:t>
      </w:r>
      <w:r w:rsidRPr="00476BD2">
        <w:rPr>
          <w:rFonts w:asciiTheme="minorHAnsi" w:hAnsiTheme="minorHAnsi" w:cstheme="minorHAnsi"/>
          <w:szCs w:val="24"/>
        </w:rPr>
        <w:t>, as well as Atrius Health’</w:t>
      </w:r>
      <w:r>
        <w:rPr>
          <w:rFonts w:asciiTheme="minorHAnsi" w:hAnsiTheme="minorHAnsi" w:cstheme="minorHAnsi"/>
          <w:szCs w:val="24"/>
        </w:rPr>
        <w:t>s mission of “Improving Care to Transform Lives” by providing value-based care to its Patient Panel.  Atrius Health strives to ensure that its patient</w:t>
      </w:r>
      <w:r w:rsidR="000B3D4F">
        <w:rPr>
          <w:rFonts w:asciiTheme="minorHAnsi" w:hAnsiTheme="minorHAnsi" w:cstheme="minorHAnsi"/>
          <w:szCs w:val="24"/>
        </w:rPr>
        <w:t>s</w:t>
      </w:r>
      <w:r>
        <w:rPr>
          <w:rFonts w:asciiTheme="minorHAnsi" w:hAnsiTheme="minorHAnsi" w:cstheme="minorHAnsi"/>
          <w:szCs w:val="24"/>
        </w:rPr>
        <w:t xml:space="preserve"> receive </w:t>
      </w:r>
      <w:r w:rsidRPr="00476BD2">
        <w:rPr>
          <w:rFonts w:asciiTheme="minorHAnsi" w:hAnsiTheme="minorHAnsi" w:cstheme="minorHAnsi"/>
          <w:szCs w:val="24"/>
        </w:rPr>
        <w:t xml:space="preserve">the right care, at the </w:t>
      </w:r>
      <w:r>
        <w:rPr>
          <w:rFonts w:asciiTheme="minorHAnsi" w:hAnsiTheme="minorHAnsi" w:cstheme="minorHAnsi"/>
          <w:szCs w:val="24"/>
        </w:rPr>
        <w:t>right place, at the right time under</w:t>
      </w:r>
      <w:r w:rsidRPr="00476BD2">
        <w:rPr>
          <w:rFonts w:asciiTheme="minorHAnsi" w:hAnsiTheme="minorHAnsi" w:cstheme="minorHAnsi"/>
          <w:szCs w:val="24"/>
        </w:rPr>
        <w:t xml:space="preserve"> a risk-based reimbursement </w:t>
      </w:r>
      <w:proofErr w:type="gramStart"/>
      <w:r w:rsidRPr="00476BD2">
        <w:rPr>
          <w:rFonts w:asciiTheme="minorHAnsi" w:hAnsiTheme="minorHAnsi" w:cstheme="minorHAnsi"/>
          <w:szCs w:val="24"/>
        </w:rPr>
        <w:t>model, and</w:t>
      </w:r>
      <w:proofErr w:type="gramEnd"/>
      <w:r w:rsidRPr="00476BD2">
        <w:rPr>
          <w:rFonts w:asciiTheme="minorHAnsi" w:hAnsiTheme="minorHAnsi" w:cstheme="minorHAnsi"/>
          <w:szCs w:val="24"/>
        </w:rPr>
        <w:t xml:space="preserve"> has structured its care model across payers and products to provide high quality, cost effective care to </w:t>
      </w:r>
      <w:r>
        <w:rPr>
          <w:rFonts w:asciiTheme="minorHAnsi" w:hAnsiTheme="minorHAnsi" w:cstheme="minorHAnsi"/>
          <w:szCs w:val="24"/>
        </w:rPr>
        <w:t>the Applicant’s</w:t>
      </w:r>
      <w:r w:rsidRPr="00476BD2">
        <w:rPr>
          <w:rFonts w:asciiTheme="minorHAnsi" w:hAnsiTheme="minorHAnsi" w:cstheme="minorHAnsi"/>
          <w:szCs w:val="24"/>
        </w:rPr>
        <w:t xml:space="preserve"> patients while avoiding unnecessary or low-value care</w:t>
      </w:r>
      <w:r>
        <w:rPr>
          <w:rStyle w:val="FootnoteReference"/>
          <w:rFonts w:asciiTheme="minorHAnsi" w:hAnsiTheme="minorHAnsi" w:cstheme="minorHAnsi"/>
          <w:szCs w:val="24"/>
        </w:rPr>
        <w:footnoteReference w:id="4"/>
      </w:r>
      <w:r w:rsidRPr="00476BD2">
        <w:rPr>
          <w:rFonts w:asciiTheme="minorHAnsi" w:hAnsiTheme="minorHAnsi" w:cstheme="minorHAnsi"/>
          <w:szCs w:val="24"/>
        </w:rPr>
        <w:t>.</w:t>
      </w:r>
    </w:p>
    <w:p w14:paraId="5CC2533C" w14:textId="7AD8229B" w:rsidR="00797BE3" w:rsidRPr="00F20199" w:rsidRDefault="00797BE3" w:rsidP="00F20199">
      <w:pPr>
        <w:pStyle w:val="ListParagraph"/>
        <w:numPr>
          <w:ilvl w:val="0"/>
          <w:numId w:val="7"/>
        </w:numPr>
        <w:autoSpaceDE w:val="0"/>
        <w:autoSpaceDN w:val="0"/>
        <w:adjustRightInd w:val="0"/>
        <w:spacing w:after="200" w:line="276" w:lineRule="auto"/>
        <w:jc w:val="both"/>
        <w:rPr>
          <w:rFonts w:cstheme="minorHAnsi"/>
          <w:sz w:val="24"/>
          <w:szCs w:val="24"/>
          <w:u w:val="single"/>
        </w:rPr>
      </w:pPr>
      <w:r w:rsidRPr="00123FAF">
        <w:rPr>
          <w:rFonts w:cstheme="minorHAnsi"/>
          <w:sz w:val="24"/>
          <w:szCs w:val="24"/>
          <w:u w:val="single"/>
        </w:rPr>
        <w:t xml:space="preserve">Determining Need for Surgical Services Due to </w:t>
      </w:r>
      <w:r>
        <w:rPr>
          <w:rFonts w:cstheme="minorHAnsi"/>
          <w:sz w:val="24"/>
          <w:szCs w:val="24"/>
          <w:u w:val="single"/>
        </w:rPr>
        <w:t>Volume</w:t>
      </w:r>
    </w:p>
    <w:p w14:paraId="3A985893" w14:textId="1EB6F8C9" w:rsidR="00F20199" w:rsidRDefault="00797BE3" w:rsidP="00F20199">
      <w:pPr>
        <w:autoSpaceDE w:val="0"/>
        <w:autoSpaceDN w:val="0"/>
        <w:adjustRightInd w:val="0"/>
        <w:jc w:val="both"/>
        <w:rPr>
          <w:rFonts w:asciiTheme="minorHAnsi" w:hAnsiTheme="minorHAnsi" w:cstheme="minorHAnsi"/>
          <w:szCs w:val="24"/>
        </w:rPr>
      </w:pPr>
      <w:r>
        <w:rPr>
          <w:rFonts w:asciiTheme="minorHAnsi" w:hAnsiTheme="minorHAnsi" w:cstheme="minorHAnsi"/>
          <w:szCs w:val="24"/>
        </w:rPr>
        <w:t xml:space="preserve">As noted above, the growth in the </w:t>
      </w:r>
      <w:r w:rsidR="00C37306" w:rsidRPr="00C424BA">
        <w:rPr>
          <w:rFonts w:asciiTheme="minorHAnsi" w:hAnsiTheme="minorHAnsi" w:cstheme="minorHAnsi"/>
          <w:szCs w:val="24"/>
        </w:rPr>
        <w:t>number of</w:t>
      </w:r>
      <w:r w:rsidRPr="00C424BA">
        <w:rPr>
          <w:rFonts w:asciiTheme="minorHAnsi" w:hAnsiTheme="minorHAnsi" w:cstheme="minorHAnsi"/>
          <w:szCs w:val="24"/>
        </w:rPr>
        <w:t xml:space="preserve"> Surgical Patients has exceed</w:t>
      </w:r>
      <w:r w:rsidR="00C37306" w:rsidRPr="00C424BA">
        <w:rPr>
          <w:rFonts w:asciiTheme="minorHAnsi" w:hAnsiTheme="minorHAnsi" w:cstheme="minorHAnsi"/>
          <w:szCs w:val="24"/>
        </w:rPr>
        <w:t>ed</w:t>
      </w:r>
      <w:r w:rsidRPr="00C424BA">
        <w:rPr>
          <w:rFonts w:asciiTheme="minorHAnsi" w:hAnsiTheme="minorHAnsi" w:cstheme="minorHAnsi"/>
          <w:szCs w:val="24"/>
        </w:rPr>
        <w:t xml:space="preserve"> overall growth in the Patient Panel during </w:t>
      </w:r>
      <w:r w:rsidR="00C37306" w:rsidRPr="00C424BA">
        <w:rPr>
          <w:rFonts w:asciiTheme="minorHAnsi" w:hAnsiTheme="minorHAnsi" w:cstheme="minorHAnsi"/>
          <w:szCs w:val="24"/>
        </w:rPr>
        <w:t xml:space="preserve">the </w:t>
      </w:r>
      <w:r w:rsidRPr="00C424BA">
        <w:rPr>
          <w:rFonts w:asciiTheme="minorHAnsi" w:hAnsiTheme="minorHAnsi" w:cstheme="minorHAnsi"/>
          <w:szCs w:val="24"/>
        </w:rPr>
        <w:t xml:space="preserve">CY 2020 </w:t>
      </w:r>
      <w:r w:rsidR="00073DD5">
        <w:rPr>
          <w:rFonts w:asciiTheme="minorHAnsi" w:hAnsiTheme="minorHAnsi" w:cstheme="minorHAnsi"/>
          <w:szCs w:val="24"/>
        </w:rPr>
        <w:t>–</w:t>
      </w:r>
      <w:r w:rsidRPr="00C424BA">
        <w:rPr>
          <w:rFonts w:asciiTheme="minorHAnsi" w:hAnsiTheme="minorHAnsi" w:cstheme="minorHAnsi"/>
          <w:szCs w:val="24"/>
        </w:rPr>
        <w:t xml:space="preserve"> 202</w:t>
      </w:r>
      <w:r w:rsidR="00EA2977" w:rsidRPr="00C424BA">
        <w:rPr>
          <w:rFonts w:asciiTheme="minorHAnsi" w:hAnsiTheme="minorHAnsi" w:cstheme="minorHAnsi"/>
          <w:szCs w:val="24"/>
        </w:rPr>
        <w:t>3</w:t>
      </w:r>
      <w:r w:rsidR="00C37306" w:rsidRPr="00C424BA">
        <w:rPr>
          <w:rFonts w:asciiTheme="minorHAnsi" w:hAnsiTheme="minorHAnsi" w:cstheme="minorHAnsi"/>
          <w:szCs w:val="24"/>
        </w:rPr>
        <w:t xml:space="preserve"> period</w:t>
      </w:r>
      <w:r w:rsidRPr="00C424BA">
        <w:rPr>
          <w:rFonts w:asciiTheme="minorHAnsi" w:hAnsiTheme="minorHAnsi" w:cstheme="minorHAnsi"/>
          <w:szCs w:val="24"/>
        </w:rPr>
        <w:t xml:space="preserve">. The Applicant has also observed a growth in the population over 50, which accounts </w:t>
      </w:r>
      <w:r w:rsidRPr="00C424BA">
        <w:rPr>
          <w:rFonts w:asciiTheme="minorHAnsi" w:hAnsiTheme="minorHAnsi"/>
        </w:rPr>
        <w:t>for 62</w:t>
      </w:r>
      <w:r w:rsidR="009976C2" w:rsidRPr="00C424BA">
        <w:rPr>
          <w:rFonts w:asciiTheme="minorHAnsi" w:hAnsiTheme="minorHAnsi"/>
        </w:rPr>
        <w:t>.4</w:t>
      </w:r>
      <w:r w:rsidRPr="00C424BA">
        <w:rPr>
          <w:rFonts w:asciiTheme="minorHAnsi" w:hAnsiTheme="minorHAnsi"/>
        </w:rPr>
        <w:t>% of</w:t>
      </w:r>
      <w:r w:rsidRPr="00C424BA">
        <w:rPr>
          <w:rFonts w:asciiTheme="minorHAnsi" w:hAnsiTheme="minorHAnsi" w:cstheme="minorHAnsi"/>
          <w:szCs w:val="24"/>
        </w:rPr>
        <w:t xml:space="preserve"> surgical </w:t>
      </w:r>
      <w:r w:rsidR="00C424BA" w:rsidRPr="00C424BA">
        <w:rPr>
          <w:rFonts w:asciiTheme="minorHAnsi" w:hAnsiTheme="minorHAnsi" w:cstheme="minorHAnsi"/>
          <w:szCs w:val="24"/>
        </w:rPr>
        <w:t>patients</w:t>
      </w:r>
      <w:r w:rsidRPr="00C424BA">
        <w:rPr>
          <w:rFonts w:asciiTheme="minorHAnsi" w:hAnsiTheme="minorHAnsi" w:cstheme="minorHAnsi"/>
          <w:szCs w:val="24"/>
        </w:rPr>
        <w:t>.</w:t>
      </w:r>
      <w:r w:rsidR="00073DD5">
        <w:rPr>
          <w:rFonts w:asciiTheme="minorHAnsi" w:hAnsiTheme="minorHAnsi" w:cstheme="minorHAnsi"/>
          <w:szCs w:val="24"/>
        </w:rPr>
        <w:t xml:space="preserve"> </w:t>
      </w:r>
      <w:r w:rsidRPr="00C424BA">
        <w:rPr>
          <w:rFonts w:asciiTheme="minorHAnsi" w:hAnsiTheme="minorHAnsi" w:cstheme="minorHAnsi"/>
          <w:szCs w:val="24"/>
        </w:rPr>
        <w:t xml:space="preserve"> The Applicant projects that </w:t>
      </w:r>
      <w:r w:rsidR="00EA2977" w:rsidRPr="00C424BA">
        <w:rPr>
          <w:rFonts w:asciiTheme="minorHAnsi" w:hAnsiTheme="minorHAnsi" w:cstheme="minorHAnsi"/>
          <w:szCs w:val="24"/>
        </w:rPr>
        <w:t>its</w:t>
      </w:r>
      <w:r w:rsidRPr="00C424BA">
        <w:rPr>
          <w:rFonts w:asciiTheme="minorHAnsi" w:hAnsiTheme="minorHAnsi" w:cstheme="minorHAnsi"/>
          <w:szCs w:val="24"/>
        </w:rPr>
        <w:t xml:space="preserve"> volume of Surgical Services at the Center will increase</w:t>
      </w:r>
      <w:r>
        <w:rPr>
          <w:rFonts w:asciiTheme="minorHAnsi" w:hAnsiTheme="minorHAnsi" w:cstheme="minorHAnsi"/>
          <w:szCs w:val="24"/>
        </w:rPr>
        <w:t xml:space="preserve"> year-over-year. </w:t>
      </w:r>
      <w:r w:rsidR="008D1215">
        <w:rPr>
          <w:rFonts w:asciiTheme="minorHAnsi" w:hAnsiTheme="minorHAnsi" w:cstheme="minorHAnsi"/>
          <w:szCs w:val="24"/>
        </w:rPr>
        <w:t>T</w:t>
      </w:r>
      <w:r w:rsidRPr="001757F8">
        <w:rPr>
          <w:rFonts w:asciiTheme="minorHAnsi" w:hAnsiTheme="minorHAnsi" w:cstheme="minorHAnsi"/>
          <w:szCs w:val="24"/>
        </w:rPr>
        <w:t xml:space="preserve">he Applicant estimates that the projected case volume for the Proposed Project will gradually increase over the </w:t>
      </w:r>
      <w:r w:rsidRPr="00C424BA">
        <w:rPr>
          <w:rFonts w:asciiTheme="minorHAnsi" w:hAnsiTheme="minorHAnsi" w:cstheme="minorHAnsi"/>
          <w:szCs w:val="24"/>
        </w:rPr>
        <w:t xml:space="preserve">first five years </w:t>
      </w:r>
      <w:r w:rsidRPr="00C424BA">
        <w:rPr>
          <w:rFonts w:asciiTheme="minorHAnsi" w:hAnsiTheme="minorHAnsi"/>
        </w:rPr>
        <w:t xml:space="preserve">to </w:t>
      </w:r>
      <w:r w:rsidR="00EA2977" w:rsidRPr="00C424BA">
        <w:rPr>
          <w:rFonts w:asciiTheme="minorHAnsi" w:hAnsiTheme="minorHAnsi"/>
        </w:rPr>
        <w:t>6,615</w:t>
      </w:r>
      <w:r w:rsidR="00452129" w:rsidRPr="00C424BA">
        <w:rPr>
          <w:rFonts w:asciiTheme="minorHAnsi" w:hAnsiTheme="minorHAnsi"/>
        </w:rPr>
        <w:t xml:space="preserve"> </w:t>
      </w:r>
      <w:r w:rsidRPr="00C424BA">
        <w:rPr>
          <w:rFonts w:asciiTheme="minorHAnsi" w:hAnsiTheme="minorHAnsi"/>
        </w:rPr>
        <w:t>cases</w:t>
      </w:r>
      <w:r w:rsidRPr="00C424BA">
        <w:rPr>
          <w:rFonts w:asciiTheme="minorHAnsi" w:hAnsiTheme="minorHAnsi" w:cstheme="minorHAnsi"/>
          <w:szCs w:val="24"/>
        </w:rPr>
        <w:t xml:space="preserve"> in the fifth year of operations.  See Table </w:t>
      </w:r>
      <w:r w:rsidR="00FF53A3">
        <w:rPr>
          <w:rFonts w:asciiTheme="minorHAnsi" w:hAnsiTheme="minorHAnsi" w:cstheme="minorHAnsi"/>
          <w:szCs w:val="24"/>
        </w:rPr>
        <w:t>9</w:t>
      </w:r>
      <w:r w:rsidRPr="00C424BA">
        <w:rPr>
          <w:rFonts w:asciiTheme="minorHAnsi" w:hAnsiTheme="minorHAnsi" w:cstheme="minorHAnsi"/>
          <w:szCs w:val="24"/>
        </w:rPr>
        <w:t>.</w:t>
      </w:r>
      <w:r w:rsidR="001757F8" w:rsidRPr="00C424BA">
        <w:rPr>
          <w:rFonts w:asciiTheme="minorHAnsi" w:hAnsiTheme="minorHAnsi" w:cstheme="minorHAnsi"/>
          <w:szCs w:val="24"/>
        </w:rPr>
        <w:t xml:space="preserve">  </w:t>
      </w:r>
      <w:r w:rsidRPr="00C424BA">
        <w:rPr>
          <w:rFonts w:asciiTheme="minorHAnsi" w:hAnsiTheme="minorHAnsi" w:cstheme="minorHAnsi"/>
          <w:szCs w:val="24"/>
        </w:rPr>
        <w:t xml:space="preserve">The projected case volume assumes a </w:t>
      </w:r>
      <w:r w:rsidR="00470A5F" w:rsidRPr="00C424BA">
        <w:rPr>
          <w:rFonts w:asciiTheme="minorHAnsi" w:hAnsiTheme="minorHAnsi" w:cstheme="minorHAnsi"/>
          <w:szCs w:val="24"/>
        </w:rPr>
        <w:t xml:space="preserve">gradual </w:t>
      </w:r>
      <w:r w:rsidR="00470A5F">
        <w:rPr>
          <w:rFonts w:asciiTheme="minorHAnsi" w:hAnsiTheme="minorHAnsi" w:cstheme="minorHAnsi"/>
          <w:szCs w:val="24"/>
        </w:rPr>
        <w:t>ramp</w:t>
      </w:r>
      <w:r w:rsidRPr="00C424BA">
        <w:rPr>
          <w:rFonts w:asciiTheme="minorHAnsi" w:hAnsiTheme="minorHAnsi" w:cstheme="minorHAnsi"/>
          <w:szCs w:val="24"/>
        </w:rPr>
        <w:t xml:space="preserve"> up of</w:t>
      </w:r>
      <w:r>
        <w:rPr>
          <w:rFonts w:asciiTheme="minorHAnsi" w:hAnsiTheme="minorHAnsi" w:cstheme="minorHAnsi"/>
          <w:szCs w:val="24"/>
        </w:rPr>
        <w:t xml:space="preserve"> cases during the first </w:t>
      </w:r>
      <w:r w:rsidR="00A81AAA">
        <w:rPr>
          <w:rFonts w:asciiTheme="minorHAnsi" w:hAnsiTheme="minorHAnsi" w:cstheme="minorHAnsi"/>
          <w:szCs w:val="24"/>
        </w:rPr>
        <w:t xml:space="preserve">couple of </w:t>
      </w:r>
      <w:r>
        <w:rPr>
          <w:rFonts w:asciiTheme="minorHAnsi" w:hAnsiTheme="minorHAnsi" w:cstheme="minorHAnsi"/>
          <w:szCs w:val="24"/>
        </w:rPr>
        <w:t xml:space="preserve">years as Surgical Services shift from their current site of service to the Proposed Project, as well as </w:t>
      </w:r>
      <w:r w:rsidR="00A81AAA">
        <w:rPr>
          <w:rFonts w:asciiTheme="minorHAnsi" w:hAnsiTheme="minorHAnsi" w:cstheme="minorHAnsi"/>
          <w:szCs w:val="24"/>
        </w:rPr>
        <w:t xml:space="preserve">a </w:t>
      </w:r>
      <w:r>
        <w:rPr>
          <w:rFonts w:asciiTheme="minorHAnsi" w:hAnsiTheme="minorHAnsi" w:cstheme="minorHAnsi"/>
          <w:szCs w:val="24"/>
        </w:rPr>
        <w:t>modest</w:t>
      </w:r>
      <w:r w:rsidR="00A81AAA">
        <w:rPr>
          <w:rFonts w:asciiTheme="minorHAnsi" w:hAnsiTheme="minorHAnsi" w:cstheme="minorHAnsi"/>
          <w:szCs w:val="24"/>
        </w:rPr>
        <w:t xml:space="preserve"> 2%</w:t>
      </w:r>
      <w:r>
        <w:rPr>
          <w:rFonts w:asciiTheme="minorHAnsi" w:hAnsiTheme="minorHAnsi" w:cstheme="minorHAnsi"/>
          <w:szCs w:val="24"/>
        </w:rPr>
        <w:t xml:space="preserve"> organic growth due to the </w:t>
      </w:r>
      <w:r w:rsidR="00DC4189">
        <w:rPr>
          <w:rFonts w:asciiTheme="minorHAnsi" w:hAnsiTheme="minorHAnsi" w:cstheme="minorHAnsi"/>
          <w:szCs w:val="24"/>
        </w:rPr>
        <w:t xml:space="preserve">growing </w:t>
      </w:r>
      <w:r>
        <w:rPr>
          <w:rFonts w:asciiTheme="minorHAnsi" w:hAnsiTheme="minorHAnsi" w:cstheme="minorHAnsi"/>
          <w:szCs w:val="24"/>
        </w:rPr>
        <w:t>population as described below and advances in medical technology that will allow more procedures to be safely performed in an outpatient setting.</w:t>
      </w:r>
      <w:r w:rsidR="001757F8">
        <w:rPr>
          <w:rFonts w:asciiTheme="minorHAnsi" w:hAnsiTheme="minorHAnsi" w:cstheme="minorHAnsi"/>
          <w:szCs w:val="24"/>
        </w:rPr>
        <w:t xml:space="preserve">  </w:t>
      </w:r>
      <w:r>
        <w:rPr>
          <w:rFonts w:asciiTheme="minorHAnsi" w:hAnsiTheme="minorHAnsi" w:cstheme="minorHAnsi"/>
          <w:szCs w:val="24"/>
        </w:rPr>
        <w:t>Based on the projected case volume, the Applicant has determined that by year three of the Proposed Project</w:t>
      </w:r>
      <w:r w:rsidR="00C37306">
        <w:rPr>
          <w:rFonts w:asciiTheme="minorHAnsi" w:hAnsiTheme="minorHAnsi" w:cstheme="minorHAnsi"/>
          <w:szCs w:val="24"/>
        </w:rPr>
        <w:t xml:space="preserve">, </w:t>
      </w:r>
      <w:r w:rsidR="00184877">
        <w:rPr>
          <w:rFonts w:asciiTheme="minorHAnsi" w:hAnsiTheme="minorHAnsi" w:cstheme="minorHAnsi"/>
          <w:szCs w:val="24"/>
        </w:rPr>
        <w:t>the case volume</w:t>
      </w:r>
      <w:r>
        <w:rPr>
          <w:rFonts w:asciiTheme="minorHAnsi" w:hAnsiTheme="minorHAnsi" w:cstheme="minorHAnsi"/>
          <w:szCs w:val="24"/>
        </w:rPr>
        <w:t xml:space="preserve"> </w:t>
      </w:r>
      <w:r w:rsidR="00EA2977">
        <w:rPr>
          <w:rFonts w:asciiTheme="minorHAnsi" w:hAnsiTheme="minorHAnsi" w:cstheme="minorHAnsi"/>
          <w:szCs w:val="24"/>
        </w:rPr>
        <w:t>should be</w:t>
      </w:r>
      <w:r>
        <w:rPr>
          <w:rFonts w:asciiTheme="minorHAnsi" w:hAnsiTheme="minorHAnsi" w:cstheme="minorHAnsi"/>
          <w:szCs w:val="24"/>
        </w:rPr>
        <w:t xml:space="preserve"> able to support and maintain</w:t>
      </w:r>
      <w:r w:rsidRPr="006914A0">
        <w:rPr>
          <w:rFonts w:asciiTheme="minorHAnsi" w:hAnsiTheme="minorHAnsi" w:cstheme="minorHAnsi"/>
          <w:szCs w:val="24"/>
        </w:rPr>
        <w:t xml:space="preserve"> </w:t>
      </w:r>
      <w:r w:rsidR="00AD6663">
        <w:rPr>
          <w:rFonts w:asciiTheme="minorHAnsi" w:hAnsiTheme="minorHAnsi" w:cstheme="minorHAnsi"/>
          <w:szCs w:val="24"/>
        </w:rPr>
        <w:t>six</w:t>
      </w:r>
      <w:r w:rsidR="00AD6663" w:rsidRPr="006914A0">
        <w:rPr>
          <w:rFonts w:asciiTheme="minorHAnsi" w:hAnsiTheme="minorHAnsi" w:cstheme="minorHAnsi"/>
          <w:szCs w:val="24"/>
        </w:rPr>
        <w:t xml:space="preserve"> </w:t>
      </w:r>
      <w:r w:rsidRPr="006914A0">
        <w:rPr>
          <w:rFonts w:asciiTheme="minorHAnsi" w:hAnsiTheme="minorHAnsi" w:cstheme="minorHAnsi"/>
          <w:szCs w:val="24"/>
        </w:rPr>
        <w:t>(</w:t>
      </w:r>
      <w:r w:rsidR="00AD6663">
        <w:rPr>
          <w:rFonts w:asciiTheme="minorHAnsi" w:hAnsiTheme="minorHAnsi" w:cstheme="minorHAnsi"/>
          <w:szCs w:val="24"/>
        </w:rPr>
        <w:t>6</w:t>
      </w:r>
      <w:r w:rsidRPr="006914A0">
        <w:rPr>
          <w:rFonts w:asciiTheme="minorHAnsi" w:hAnsiTheme="minorHAnsi" w:cstheme="minorHAnsi"/>
          <w:szCs w:val="24"/>
        </w:rPr>
        <w:t>) operating rooms</w:t>
      </w:r>
      <w:r>
        <w:rPr>
          <w:rFonts w:asciiTheme="minorHAnsi" w:hAnsiTheme="minorHAnsi" w:cstheme="minorHAnsi"/>
          <w:szCs w:val="24"/>
        </w:rPr>
        <w:t xml:space="preserve">.  </w:t>
      </w:r>
    </w:p>
    <w:p w14:paraId="6FCA99AB" w14:textId="77777777" w:rsidR="00866009" w:rsidRPr="00F20199" w:rsidRDefault="00866009" w:rsidP="00F20199">
      <w:pPr>
        <w:autoSpaceDE w:val="0"/>
        <w:autoSpaceDN w:val="0"/>
        <w:adjustRightInd w:val="0"/>
        <w:jc w:val="both"/>
        <w:rPr>
          <w:rFonts w:asciiTheme="minorHAnsi" w:hAnsiTheme="minorHAnsi" w:cstheme="minorHAnsi"/>
          <w:szCs w:val="24"/>
        </w:rPr>
      </w:pPr>
    </w:p>
    <w:p w14:paraId="2B11DDDE" w14:textId="6BAC4480" w:rsidR="00797BE3" w:rsidRPr="00F20199" w:rsidRDefault="00797BE3" w:rsidP="00F20199">
      <w:pPr>
        <w:pStyle w:val="ListParagraph"/>
        <w:numPr>
          <w:ilvl w:val="0"/>
          <w:numId w:val="7"/>
        </w:numPr>
        <w:autoSpaceDE w:val="0"/>
        <w:autoSpaceDN w:val="0"/>
        <w:adjustRightInd w:val="0"/>
        <w:spacing w:after="200" w:line="276" w:lineRule="auto"/>
        <w:jc w:val="both"/>
        <w:rPr>
          <w:rFonts w:cstheme="minorHAnsi"/>
          <w:sz w:val="24"/>
          <w:szCs w:val="24"/>
          <w:u w:val="single"/>
        </w:rPr>
      </w:pPr>
      <w:r w:rsidRPr="00A90AF7">
        <w:rPr>
          <w:rFonts w:cstheme="minorHAnsi"/>
          <w:sz w:val="24"/>
          <w:szCs w:val="24"/>
          <w:u w:val="single"/>
        </w:rPr>
        <w:t xml:space="preserve">Need for the Surgical Services for an Aging Population </w:t>
      </w:r>
    </w:p>
    <w:p w14:paraId="67795175" w14:textId="030373B1" w:rsidR="00797BE3" w:rsidRPr="00F96B48" w:rsidRDefault="00797BE3" w:rsidP="00F20199">
      <w:pPr>
        <w:jc w:val="both"/>
        <w:rPr>
          <w:rFonts w:asciiTheme="minorHAnsi" w:hAnsiTheme="minorHAnsi" w:cstheme="minorHAnsi"/>
          <w:szCs w:val="24"/>
        </w:rPr>
      </w:pPr>
      <w:r w:rsidRPr="00F96B48">
        <w:rPr>
          <w:rFonts w:asciiTheme="minorHAnsi" w:hAnsiTheme="minorHAnsi" w:cstheme="minorHAnsi"/>
          <w:szCs w:val="24"/>
        </w:rPr>
        <w:t xml:space="preserve">The lack of </w:t>
      </w:r>
      <w:r>
        <w:rPr>
          <w:rFonts w:asciiTheme="minorHAnsi" w:hAnsiTheme="minorHAnsi" w:cstheme="minorHAnsi"/>
          <w:szCs w:val="24"/>
        </w:rPr>
        <w:t xml:space="preserve">capacity to provide the Surgical Services is a challenge both for Atrius Health and the Commonwealth as demand for these services is projected to grow.   As noted above, </w:t>
      </w:r>
      <w:proofErr w:type="gramStart"/>
      <w:r>
        <w:rPr>
          <w:rFonts w:asciiTheme="minorHAnsi" w:hAnsiTheme="minorHAnsi" w:cstheme="minorHAnsi"/>
          <w:szCs w:val="24"/>
        </w:rPr>
        <w:t>the majority of</w:t>
      </w:r>
      <w:proofErr w:type="gramEnd"/>
      <w:r>
        <w:rPr>
          <w:rFonts w:asciiTheme="minorHAnsi" w:hAnsiTheme="minorHAnsi" w:cstheme="minorHAnsi"/>
          <w:szCs w:val="24"/>
        </w:rPr>
        <w:t xml:space="preserve"> the Surgical Services are currently ordered for the Atrius Health patients who are 50 years and older.</w:t>
      </w:r>
      <w:r w:rsidR="001757F8">
        <w:rPr>
          <w:rFonts w:asciiTheme="minorHAnsi" w:hAnsiTheme="minorHAnsi" w:cstheme="minorHAnsi"/>
          <w:szCs w:val="24"/>
        </w:rPr>
        <w:t xml:space="preserve">  </w:t>
      </w:r>
      <w:r>
        <w:rPr>
          <w:rFonts w:asciiTheme="minorHAnsi" w:hAnsiTheme="minorHAnsi" w:cstheme="minorHAnsi"/>
          <w:szCs w:val="24"/>
        </w:rPr>
        <w:t>See Table 6.</w:t>
      </w:r>
      <w:r w:rsidR="001757F8">
        <w:rPr>
          <w:rFonts w:asciiTheme="minorHAnsi" w:hAnsiTheme="minorHAnsi" w:cstheme="minorHAnsi"/>
          <w:szCs w:val="24"/>
        </w:rPr>
        <w:t xml:space="preserve">  </w:t>
      </w:r>
      <w:r>
        <w:rPr>
          <w:rFonts w:asciiTheme="minorHAnsi" w:hAnsiTheme="minorHAnsi" w:cstheme="minorHAnsi"/>
          <w:szCs w:val="24"/>
        </w:rPr>
        <w:t>Looking at statewide population projections over the next 15-20 years</w:t>
      </w:r>
      <w:r w:rsidR="00452129">
        <w:rPr>
          <w:rFonts w:asciiTheme="minorHAnsi" w:hAnsiTheme="minorHAnsi" w:cstheme="minorHAnsi"/>
          <w:szCs w:val="24"/>
        </w:rPr>
        <w:t>,</w:t>
      </w:r>
      <w:r>
        <w:rPr>
          <w:rFonts w:asciiTheme="minorHAnsi" w:hAnsiTheme="minorHAnsi" w:cstheme="minorHAnsi"/>
          <w:szCs w:val="24"/>
        </w:rPr>
        <w:t xml:space="preserve"> the largest part of the Commonwealth’s population growth will be attributed to residents within the 50+ cohort.</w:t>
      </w:r>
      <w:r>
        <w:rPr>
          <w:rStyle w:val="FootnoteReference"/>
          <w:rFonts w:asciiTheme="minorHAnsi" w:hAnsiTheme="minorHAnsi" w:cstheme="minorHAnsi"/>
          <w:szCs w:val="24"/>
        </w:rPr>
        <w:footnoteReference w:id="5"/>
      </w:r>
      <w:r w:rsidR="001757F8">
        <w:rPr>
          <w:rFonts w:asciiTheme="minorHAnsi" w:hAnsiTheme="minorHAnsi" w:cstheme="minorHAnsi"/>
          <w:szCs w:val="24"/>
        </w:rPr>
        <w:t xml:space="preserve">  </w:t>
      </w:r>
      <w:r>
        <w:rPr>
          <w:rFonts w:asciiTheme="minorHAnsi" w:hAnsiTheme="minorHAnsi" w:cstheme="minorHAnsi"/>
          <w:szCs w:val="24"/>
        </w:rPr>
        <w:t xml:space="preserve">Additionally, the University of Massachusetts Donahue Institute’s </w:t>
      </w:r>
      <w:r>
        <w:rPr>
          <w:rFonts w:asciiTheme="minorHAnsi" w:hAnsiTheme="minorHAnsi" w:cstheme="minorHAnsi"/>
          <w:i/>
          <w:szCs w:val="24"/>
        </w:rPr>
        <w:t xml:space="preserve">Long-Term </w:t>
      </w:r>
      <w:r w:rsidRPr="00380655">
        <w:rPr>
          <w:rFonts w:asciiTheme="minorHAnsi" w:hAnsiTheme="minorHAnsi" w:cstheme="minorHAnsi"/>
          <w:i/>
          <w:szCs w:val="24"/>
        </w:rPr>
        <w:t>Population Projects for Massachusetts Regions and Municipalities</w:t>
      </w:r>
      <w:r w:rsidRPr="00380655">
        <w:rPr>
          <w:rFonts w:asciiTheme="minorHAnsi" w:hAnsiTheme="minorHAnsi" w:cstheme="minorHAnsi"/>
          <w:szCs w:val="24"/>
        </w:rPr>
        <w:t>, projects the number of residents ages 65 or older that reside in Atrius Health’s Primary Service Area</w:t>
      </w:r>
      <w:r w:rsidRPr="00380655">
        <w:rPr>
          <w:rStyle w:val="FootnoteReference"/>
          <w:rFonts w:asciiTheme="minorHAnsi" w:hAnsiTheme="minorHAnsi" w:cstheme="minorHAnsi"/>
          <w:szCs w:val="24"/>
        </w:rPr>
        <w:footnoteReference w:id="6"/>
      </w:r>
      <w:r w:rsidRPr="00380655">
        <w:rPr>
          <w:rFonts w:asciiTheme="minorHAnsi" w:hAnsiTheme="minorHAnsi" w:cstheme="minorHAnsi"/>
          <w:szCs w:val="24"/>
        </w:rPr>
        <w:t xml:space="preserve"> is anticipated to increase </w:t>
      </w:r>
      <w:r w:rsidR="00B56A16" w:rsidRPr="00073DD5">
        <w:rPr>
          <w:rFonts w:asciiTheme="minorHAnsi" w:hAnsiTheme="minorHAnsi"/>
        </w:rPr>
        <w:t>29</w:t>
      </w:r>
      <w:r w:rsidRPr="00380655">
        <w:rPr>
          <w:rFonts w:asciiTheme="minorHAnsi" w:hAnsiTheme="minorHAnsi"/>
        </w:rPr>
        <w:t>% from 2020 to 20</w:t>
      </w:r>
      <w:r w:rsidR="00B56A16" w:rsidRPr="00D22797">
        <w:rPr>
          <w:rFonts w:asciiTheme="minorHAnsi" w:hAnsiTheme="minorHAnsi"/>
        </w:rPr>
        <w:t>3</w:t>
      </w:r>
      <w:r w:rsidR="00B56A16" w:rsidRPr="00380655">
        <w:rPr>
          <w:rFonts w:asciiTheme="minorHAnsi" w:hAnsiTheme="minorHAnsi"/>
        </w:rPr>
        <w:t>0</w:t>
      </w:r>
      <w:r w:rsidRPr="00380655">
        <w:rPr>
          <w:rFonts w:asciiTheme="minorHAnsi" w:hAnsiTheme="minorHAnsi" w:cstheme="minorHAnsi"/>
          <w:szCs w:val="24"/>
        </w:rPr>
        <w:t>.</w:t>
      </w:r>
      <w:r>
        <w:rPr>
          <w:rFonts w:asciiTheme="minorHAnsi" w:hAnsiTheme="minorHAnsi" w:cstheme="minorHAnsi"/>
          <w:szCs w:val="24"/>
        </w:rPr>
        <w:t xml:space="preserve"> T</w:t>
      </w:r>
      <w:r w:rsidRPr="00793F1E">
        <w:rPr>
          <w:rFonts w:asciiTheme="minorHAnsi" w:hAnsiTheme="minorHAnsi" w:cstheme="minorHAnsi"/>
          <w:szCs w:val="24"/>
        </w:rPr>
        <w:t>his is consistent with national trends, which indicate that adults aged 55 plus have experienced the greatest increase in surgical procedures in ASCs since 1990.</w:t>
      </w:r>
      <w:r>
        <w:rPr>
          <w:rStyle w:val="FootnoteReference"/>
          <w:rFonts w:asciiTheme="minorHAnsi" w:hAnsiTheme="minorHAnsi" w:cstheme="minorHAnsi"/>
          <w:szCs w:val="24"/>
        </w:rPr>
        <w:footnoteReference w:id="7"/>
      </w:r>
      <w:r>
        <w:rPr>
          <w:rFonts w:asciiTheme="minorHAnsi" w:hAnsiTheme="minorHAnsi" w:cstheme="minorHAnsi"/>
          <w:szCs w:val="24"/>
        </w:rPr>
        <w:t xml:space="preserve">  Thus, as </w:t>
      </w:r>
      <w:r w:rsidRPr="00F96B48">
        <w:rPr>
          <w:rFonts w:asciiTheme="minorHAnsi" w:hAnsiTheme="minorHAnsi" w:cstheme="minorHAnsi"/>
          <w:szCs w:val="24"/>
        </w:rPr>
        <w:t xml:space="preserve">the Commonwealth’s population ages, demand for outpatient surgeries will grow, as it is this older age group that will most need the types of surgeries performed at the ASC.  </w:t>
      </w:r>
      <w:r>
        <w:rPr>
          <w:rFonts w:asciiTheme="minorHAnsi" w:hAnsiTheme="minorHAnsi" w:cstheme="minorHAnsi"/>
          <w:szCs w:val="24"/>
        </w:rPr>
        <w:t xml:space="preserve">The Proposed Project will allow the Applicant to address the needs of its aging Patient Panel through improved access to the Surgical Services.  </w:t>
      </w:r>
    </w:p>
    <w:p w14:paraId="37F37B2A" w14:textId="67FE9AA1" w:rsidR="00797BE3" w:rsidRPr="00F20199" w:rsidRDefault="00797BE3" w:rsidP="00F20199">
      <w:pPr>
        <w:pStyle w:val="ListParagraph"/>
        <w:numPr>
          <w:ilvl w:val="0"/>
          <w:numId w:val="7"/>
        </w:numPr>
        <w:autoSpaceDE w:val="0"/>
        <w:autoSpaceDN w:val="0"/>
        <w:adjustRightInd w:val="0"/>
        <w:spacing w:after="200" w:line="276" w:lineRule="auto"/>
        <w:jc w:val="both"/>
        <w:rPr>
          <w:rFonts w:cstheme="minorHAnsi"/>
          <w:sz w:val="24"/>
          <w:szCs w:val="24"/>
        </w:rPr>
      </w:pPr>
      <w:r w:rsidRPr="00A90AF7">
        <w:rPr>
          <w:rFonts w:cstheme="minorHAnsi"/>
          <w:sz w:val="24"/>
          <w:szCs w:val="24"/>
          <w:u w:val="single"/>
        </w:rPr>
        <w:t>Determining Need for the Surgical Services</w:t>
      </w:r>
      <w:r>
        <w:rPr>
          <w:rFonts w:cstheme="minorHAnsi"/>
          <w:sz w:val="24"/>
          <w:szCs w:val="24"/>
          <w:u w:val="single"/>
        </w:rPr>
        <w:t xml:space="preserve"> Due to Capacity </w:t>
      </w:r>
    </w:p>
    <w:p w14:paraId="12C8CD6E" w14:textId="3D98873A" w:rsidR="00797BE3" w:rsidRDefault="00797BE3" w:rsidP="00F20199">
      <w:pPr>
        <w:tabs>
          <w:tab w:val="left" w:pos="1525"/>
        </w:tabs>
        <w:autoSpaceDE w:val="0"/>
        <w:autoSpaceDN w:val="0"/>
        <w:adjustRightInd w:val="0"/>
        <w:jc w:val="both"/>
        <w:rPr>
          <w:rFonts w:asciiTheme="minorHAnsi" w:hAnsiTheme="minorHAnsi" w:cstheme="minorHAnsi"/>
          <w:szCs w:val="24"/>
        </w:rPr>
      </w:pPr>
      <w:r w:rsidRPr="004F3C1D">
        <w:rPr>
          <w:rFonts w:asciiTheme="minorHAnsi" w:hAnsiTheme="minorHAnsi" w:cstheme="minorHAnsi"/>
          <w:szCs w:val="24"/>
        </w:rPr>
        <w:t xml:space="preserve">As discussed above, </w:t>
      </w:r>
      <w:proofErr w:type="gramStart"/>
      <w:r w:rsidRPr="004F3C1D">
        <w:rPr>
          <w:rFonts w:asciiTheme="minorHAnsi" w:hAnsiTheme="minorHAnsi" w:cstheme="minorHAnsi"/>
          <w:szCs w:val="24"/>
        </w:rPr>
        <w:t xml:space="preserve">the </w:t>
      </w:r>
      <w:r w:rsidRPr="00E64CD3">
        <w:rPr>
          <w:rFonts w:asciiTheme="minorHAnsi" w:hAnsiTheme="minorHAnsi" w:cstheme="minorHAnsi"/>
          <w:szCs w:val="24"/>
        </w:rPr>
        <w:t>majority of</w:t>
      </w:r>
      <w:proofErr w:type="gramEnd"/>
      <w:r>
        <w:rPr>
          <w:rFonts w:asciiTheme="minorHAnsi" w:hAnsiTheme="minorHAnsi" w:cstheme="minorHAnsi"/>
          <w:szCs w:val="24"/>
        </w:rPr>
        <w:t xml:space="preserve"> the Surgical Patients are</w:t>
      </w:r>
      <w:r w:rsidRPr="004F3C1D">
        <w:rPr>
          <w:rFonts w:asciiTheme="minorHAnsi" w:hAnsiTheme="minorHAnsi" w:cstheme="minorHAnsi"/>
          <w:szCs w:val="24"/>
        </w:rPr>
        <w:t xml:space="preserve"> currently obtaining their Surgical Services in HOPD</w:t>
      </w:r>
      <w:r>
        <w:rPr>
          <w:rFonts w:asciiTheme="minorHAnsi" w:hAnsiTheme="minorHAnsi" w:cstheme="minorHAnsi"/>
          <w:szCs w:val="24"/>
        </w:rPr>
        <w:t>s</w:t>
      </w:r>
      <w:r w:rsidRPr="004F3C1D">
        <w:rPr>
          <w:rFonts w:asciiTheme="minorHAnsi" w:hAnsiTheme="minorHAnsi" w:cstheme="minorHAnsi"/>
          <w:szCs w:val="24"/>
        </w:rPr>
        <w:t xml:space="preserve"> and </w:t>
      </w:r>
      <w:r>
        <w:rPr>
          <w:rFonts w:asciiTheme="minorHAnsi" w:hAnsiTheme="minorHAnsi" w:cstheme="minorHAnsi"/>
          <w:szCs w:val="24"/>
        </w:rPr>
        <w:t>only a small percentage are getting care in an ASC.</w:t>
      </w:r>
      <w:r>
        <w:rPr>
          <w:rStyle w:val="FootnoteReference"/>
          <w:rFonts w:asciiTheme="minorHAnsi" w:hAnsiTheme="minorHAnsi" w:cstheme="minorHAnsi"/>
          <w:szCs w:val="24"/>
        </w:rPr>
        <w:footnoteReference w:id="8"/>
      </w:r>
      <w:r>
        <w:rPr>
          <w:rFonts w:asciiTheme="minorHAnsi" w:hAnsiTheme="minorHAnsi" w:cstheme="minorHAnsi"/>
          <w:szCs w:val="24"/>
        </w:rPr>
        <w:t xml:space="preserve">  </w:t>
      </w:r>
      <w:r w:rsidR="00FF53A3">
        <w:rPr>
          <w:rFonts w:asciiTheme="minorHAnsi" w:hAnsiTheme="minorHAnsi" w:cstheme="minorHAnsi"/>
          <w:szCs w:val="24"/>
        </w:rPr>
        <w:t xml:space="preserve">See Table 8. </w:t>
      </w:r>
      <w:r w:rsidR="00C04759">
        <w:rPr>
          <w:rFonts w:asciiTheme="minorHAnsi" w:hAnsiTheme="minorHAnsi" w:cstheme="minorHAnsi"/>
          <w:szCs w:val="24"/>
        </w:rPr>
        <w:t xml:space="preserve"> </w:t>
      </w:r>
      <w:r>
        <w:rPr>
          <w:rFonts w:asciiTheme="minorHAnsi" w:hAnsiTheme="minorHAnsi" w:cstheme="minorHAnsi"/>
          <w:szCs w:val="24"/>
        </w:rPr>
        <w:t>This is consistent with the HPC’s February 2024 report and June 2023 findings that access to ASCs is a challenge across the Commonwealth and that Massachusetts has the fourth lowest per capita number of ASCs as compared to other states.</w:t>
      </w:r>
      <w:r>
        <w:rPr>
          <w:rStyle w:val="FootnoteReference"/>
          <w:rFonts w:asciiTheme="minorHAnsi" w:hAnsiTheme="minorHAnsi" w:cstheme="minorHAnsi"/>
          <w:szCs w:val="24"/>
        </w:rPr>
        <w:footnoteReference w:id="9"/>
      </w:r>
      <w:r>
        <w:rPr>
          <w:rFonts w:asciiTheme="minorHAnsi" w:hAnsiTheme="minorHAnsi" w:cstheme="minorHAnsi"/>
          <w:szCs w:val="24"/>
        </w:rPr>
        <w:t xml:space="preserve">  </w:t>
      </w:r>
      <w:bookmarkStart w:id="1" w:name="_Hlk169264092"/>
      <w:r>
        <w:rPr>
          <w:rFonts w:asciiTheme="minorHAnsi" w:hAnsiTheme="minorHAnsi" w:cstheme="minorHAnsi"/>
          <w:szCs w:val="24"/>
        </w:rPr>
        <w:t xml:space="preserve">One reason for this is that Massachusetts enacted a </w:t>
      </w:r>
      <w:r w:rsidR="00F20199">
        <w:rPr>
          <w:rFonts w:asciiTheme="minorHAnsi" w:hAnsiTheme="minorHAnsi" w:cstheme="minorHAnsi"/>
          <w:szCs w:val="24"/>
        </w:rPr>
        <w:t>m</w:t>
      </w:r>
      <w:r>
        <w:rPr>
          <w:rFonts w:asciiTheme="minorHAnsi" w:hAnsiTheme="minorHAnsi" w:cstheme="minorHAnsi"/>
          <w:szCs w:val="24"/>
        </w:rPr>
        <w:t xml:space="preserve">oratorium on new ASCs from </w:t>
      </w:r>
      <w:r w:rsidRPr="00073DD5">
        <w:rPr>
          <w:rFonts w:asciiTheme="minorHAnsi" w:hAnsiTheme="minorHAnsi"/>
        </w:rPr>
        <w:t>1971 to 2017</w:t>
      </w:r>
      <w:r>
        <w:rPr>
          <w:rFonts w:asciiTheme="minorHAnsi" w:hAnsiTheme="minorHAnsi" w:cstheme="minorHAnsi"/>
          <w:szCs w:val="24"/>
        </w:rPr>
        <w:t>.</w:t>
      </w:r>
      <w:bookmarkEnd w:id="1"/>
      <w:r>
        <w:rPr>
          <w:rStyle w:val="FootnoteReference"/>
          <w:rFonts w:asciiTheme="minorHAnsi" w:hAnsiTheme="minorHAnsi" w:cstheme="minorHAnsi"/>
          <w:szCs w:val="24"/>
        </w:rPr>
        <w:footnoteReference w:id="10"/>
      </w:r>
      <w:r>
        <w:rPr>
          <w:rFonts w:asciiTheme="minorHAnsi" w:hAnsiTheme="minorHAnsi" w:cstheme="minorHAnsi"/>
          <w:szCs w:val="24"/>
        </w:rPr>
        <w:t xml:space="preserve">  In turn, the lack of ASCs has resulted in the Surgical Services mainly being provided in HOPDs.</w:t>
      </w:r>
      <w:r w:rsidRPr="00E05BB3">
        <w:rPr>
          <w:rStyle w:val="FootnoteReference"/>
          <w:rFonts w:asciiTheme="minorHAnsi" w:hAnsiTheme="minorHAnsi" w:cstheme="minorHAnsi"/>
          <w:szCs w:val="24"/>
        </w:rPr>
        <w:t xml:space="preserve"> </w:t>
      </w:r>
      <w:r>
        <w:rPr>
          <w:rStyle w:val="FootnoteReference"/>
          <w:rFonts w:asciiTheme="minorHAnsi" w:hAnsiTheme="minorHAnsi" w:cstheme="minorHAnsi"/>
          <w:szCs w:val="24"/>
        </w:rPr>
        <w:footnoteReference w:id="11"/>
      </w:r>
      <w:r>
        <w:rPr>
          <w:rFonts w:asciiTheme="minorHAnsi" w:hAnsiTheme="minorHAnsi" w:cstheme="minorHAnsi"/>
          <w:szCs w:val="24"/>
        </w:rPr>
        <w:t xml:space="preserve">  </w:t>
      </w:r>
    </w:p>
    <w:p w14:paraId="3C7DC044" w14:textId="77777777" w:rsidR="00797BE3" w:rsidRPr="006F6E43" w:rsidRDefault="00797BE3" w:rsidP="00F20199">
      <w:pPr>
        <w:pStyle w:val="ListParagraph"/>
        <w:numPr>
          <w:ilvl w:val="0"/>
          <w:numId w:val="7"/>
        </w:numPr>
        <w:autoSpaceDE w:val="0"/>
        <w:autoSpaceDN w:val="0"/>
        <w:adjustRightInd w:val="0"/>
        <w:spacing w:after="200" w:line="276" w:lineRule="auto"/>
        <w:jc w:val="both"/>
        <w:rPr>
          <w:rFonts w:cstheme="minorHAnsi"/>
          <w:b/>
          <w:szCs w:val="24"/>
        </w:rPr>
      </w:pPr>
      <w:bookmarkStart w:id="2" w:name="_Hlk169190576"/>
      <w:r w:rsidRPr="006F6E43">
        <w:rPr>
          <w:rFonts w:cstheme="minorHAnsi"/>
          <w:sz w:val="24"/>
          <w:szCs w:val="24"/>
          <w:u w:val="single"/>
        </w:rPr>
        <w:t>The Value of Integrating the ASC into Atrius Health</w:t>
      </w:r>
    </w:p>
    <w:p w14:paraId="70E0060A" w14:textId="78966D7A" w:rsidR="00797BE3" w:rsidRDefault="00797BE3" w:rsidP="00F20199">
      <w:pPr>
        <w:jc w:val="both"/>
        <w:rPr>
          <w:rFonts w:asciiTheme="minorHAnsi" w:hAnsiTheme="minorHAnsi" w:cstheme="minorHAnsi"/>
          <w:szCs w:val="24"/>
        </w:rPr>
      </w:pPr>
      <w:bookmarkStart w:id="3" w:name="_Hlk169190529"/>
      <w:bookmarkEnd w:id="2"/>
      <w:r>
        <w:rPr>
          <w:rFonts w:asciiTheme="minorHAnsi" w:hAnsiTheme="minorHAnsi" w:cstheme="minorHAnsi"/>
          <w:szCs w:val="24"/>
        </w:rPr>
        <w:t>In addition to the cost savings achieved by the Proposed Project and discussed in F1.a.iii, t</w:t>
      </w:r>
      <w:r w:rsidRPr="006914A0">
        <w:rPr>
          <w:rFonts w:asciiTheme="minorHAnsi" w:hAnsiTheme="minorHAnsi" w:cstheme="minorHAnsi"/>
          <w:szCs w:val="24"/>
        </w:rPr>
        <w:t>he Proposed Project will provide patients with a more streamlined</w:t>
      </w:r>
      <w:r>
        <w:rPr>
          <w:rFonts w:asciiTheme="minorHAnsi" w:hAnsiTheme="minorHAnsi" w:cstheme="minorHAnsi"/>
          <w:szCs w:val="24"/>
        </w:rPr>
        <w:t>, less fragmented patient experience</w:t>
      </w:r>
      <w:r w:rsidRPr="006914A0">
        <w:rPr>
          <w:rFonts w:asciiTheme="minorHAnsi" w:hAnsiTheme="minorHAnsi" w:cstheme="minorHAnsi"/>
          <w:szCs w:val="24"/>
        </w:rPr>
        <w:t xml:space="preserve">. </w:t>
      </w:r>
      <w:r>
        <w:rPr>
          <w:rFonts w:asciiTheme="minorHAnsi" w:hAnsiTheme="minorHAnsi" w:cstheme="minorHAnsi"/>
          <w:szCs w:val="24"/>
        </w:rPr>
        <w:t xml:space="preserve"> In 202</w:t>
      </w:r>
      <w:r w:rsidR="00057702">
        <w:rPr>
          <w:rFonts w:asciiTheme="minorHAnsi" w:hAnsiTheme="minorHAnsi" w:cstheme="minorHAnsi"/>
          <w:szCs w:val="24"/>
        </w:rPr>
        <w:t>2</w:t>
      </w:r>
      <w:r>
        <w:rPr>
          <w:rFonts w:asciiTheme="minorHAnsi" w:hAnsiTheme="minorHAnsi" w:cstheme="minorHAnsi"/>
          <w:szCs w:val="24"/>
        </w:rPr>
        <w:t xml:space="preserve">, </w:t>
      </w:r>
      <w:r w:rsidRPr="00057702">
        <w:rPr>
          <w:rFonts w:asciiTheme="minorHAnsi" w:hAnsiTheme="minorHAnsi" w:cstheme="minorHAnsi"/>
          <w:szCs w:val="24"/>
        </w:rPr>
        <w:t>5</w:t>
      </w:r>
      <w:r w:rsidR="001367E1">
        <w:rPr>
          <w:rFonts w:asciiTheme="minorHAnsi" w:hAnsiTheme="minorHAnsi" w:cstheme="minorHAnsi"/>
          <w:szCs w:val="24"/>
        </w:rPr>
        <w:t>6</w:t>
      </w:r>
      <w:r w:rsidRPr="00057702">
        <w:rPr>
          <w:rFonts w:asciiTheme="minorHAnsi" w:hAnsiTheme="minorHAnsi" w:cstheme="minorHAnsi"/>
          <w:szCs w:val="24"/>
        </w:rPr>
        <w:t>% of the Surgical Patients covered by risk products received care from surgeons outside of Atrius Health</w:t>
      </w:r>
      <w:r>
        <w:rPr>
          <w:rFonts w:asciiTheme="minorHAnsi" w:hAnsiTheme="minorHAnsi" w:cstheme="minorHAnsi"/>
          <w:szCs w:val="24"/>
        </w:rPr>
        <w:t>.</w:t>
      </w:r>
      <w:r w:rsidR="001757F8">
        <w:rPr>
          <w:rFonts w:asciiTheme="minorHAnsi" w:hAnsiTheme="minorHAnsi" w:cstheme="minorHAnsi"/>
          <w:szCs w:val="24"/>
        </w:rPr>
        <w:t xml:space="preserve">  </w:t>
      </w:r>
      <w:r>
        <w:rPr>
          <w:rFonts w:asciiTheme="minorHAnsi" w:hAnsiTheme="minorHAnsi" w:cstheme="minorHAnsi"/>
          <w:szCs w:val="24"/>
        </w:rPr>
        <w:t>This is more likely to result in a disjointed care experience because patients must navigate a different set of providers with whom they likely have a limited, time-</w:t>
      </w:r>
      <w:r w:rsidR="00184877">
        <w:rPr>
          <w:rFonts w:asciiTheme="minorHAnsi" w:hAnsiTheme="minorHAnsi" w:cstheme="minorHAnsi"/>
          <w:szCs w:val="24"/>
        </w:rPr>
        <w:t xml:space="preserve">bound </w:t>
      </w:r>
      <w:r>
        <w:rPr>
          <w:rFonts w:asciiTheme="minorHAnsi" w:hAnsiTheme="minorHAnsi" w:cstheme="minorHAnsi"/>
          <w:szCs w:val="24"/>
        </w:rPr>
        <w:t>relationship</w:t>
      </w:r>
      <w:r w:rsidR="00184877">
        <w:rPr>
          <w:rFonts w:asciiTheme="minorHAnsi" w:hAnsiTheme="minorHAnsi" w:cstheme="minorHAnsi"/>
          <w:szCs w:val="24"/>
        </w:rPr>
        <w:t>;</w:t>
      </w:r>
      <w:r>
        <w:rPr>
          <w:rFonts w:asciiTheme="minorHAnsi" w:hAnsiTheme="minorHAnsi" w:cstheme="minorHAnsi"/>
          <w:szCs w:val="24"/>
        </w:rPr>
        <w:t xml:space="preserve"> coordinate the sharing of medical records between the outside provider and their Atrius Health team</w:t>
      </w:r>
      <w:r w:rsidR="00184877">
        <w:rPr>
          <w:rFonts w:asciiTheme="minorHAnsi" w:hAnsiTheme="minorHAnsi" w:cstheme="minorHAnsi"/>
          <w:szCs w:val="24"/>
        </w:rPr>
        <w:t>;</w:t>
      </w:r>
      <w:r>
        <w:rPr>
          <w:rFonts w:asciiTheme="minorHAnsi" w:hAnsiTheme="minorHAnsi" w:cstheme="minorHAnsi"/>
          <w:szCs w:val="24"/>
        </w:rPr>
        <w:t xml:space="preserve"> experience repeat testing and diagnostics due to the lack of medical record integration</w:t>
      </w:r>
      <w:r w:rsidR="00184877">
        <w:rPr>
          <w:rFonts w:asciiTheme="minorHAnsi" w:hAnsiTheme="minorHAnsi" w:cstheme="minorHAnsi"/>
          <w:szCs w:val="24"/>
        </w:rPr>
        <w:t>;</w:t>
      </w:r>
      <w:r>
        <w:rPr>
          <w:rFonts w:asciiTheme="minorHAnsi" w:hAnsiTheme="minorHAnsi" w:cstheme="minorHAnsi"/>
          <w:szCs w:val="24"/>
        </w:rPr>
        <w:t xml:space="preserve"> and ensure follow-up with their Atrius Health primary care provider.  With the Proposed Project, the</w:t>
      </w:r>
      <w:r w:rsidR="006B06D2">
        <w:rPr>
          <w:rFonts w:asciiTheme="minorHAnsi" w:hAnsiTheme="minorHAnsi" w:cstheme="minorHAnsi"/>
          <w:szCs w:val="24"/>
        </w:rPr>
        <w:t>re will be medical record integration</w:t>
      </w:r>
      <w:r w:rsidR="00DC4189">
        <w:rPr>
          <w:rFonts w:asciiTheme="minorHAnsi" w:hAnsiTheme="minorHAnsi" w:cstheme="minorHAnsi"/>
          <w:szCs w:val="24"/>
        </w:rPr>
        <w:t>,</w:t>
      </w:r>
      <w:r w:rsidR="006B06D2">
        <w:rPr>
          <w:rFonts w:asciiTheme="minorHAnsi" w:hAnsiTheme="minorHAnsi" w:cstheme="minorHAnsi"/>
          <w:szCs w:val="24"/>
        </w:rPr>
        <w:t xml:space="preserve"> </w:t>
      </w:r>
      <w:r w:rsidR="007A4668">
        <w:rPr>
          <w:rFonts w:asciiTheme="minorHAnsi" w:hAnsiTheme="minorHAnsi" w:cstheme="minorHAnsi"/>
          <w:szCs w:val="24"/>
        </w:rPr>
        <w:t xml:space="preserve">providing </w:t>
      </w:r>
      <w:r w:rsidR="006B06D2">
        <w:rPr>
          <w:rFonts w:asciiTheme="minorHAnsi" w:hAnsiTheme="minorHAnsi" w:cstheme="minorHAnsi"/>
          <w:szCs w:val="24"/>
        </w:rPr>
        <w:t xml:space="preserve">the patient’s surgeon, primary care provider, and specialist timely access of the </w:t>
      </w:r>
      <w:r w:rsidR="00DC4189">
        <w:rPr>
          <w:rFonts w:asciiTheme="minorHAnsi" w:hAnsiTheme="minorHAnsi" w:cstheme="minorHAnsi"/>
          <w:szCs w:val="24"/>
        </w:rPr>
        <w:t xml:space="preserve">patient’s </w:t>
      </w:r>
      <w:r w:rsidR="006B06D2">
        <w:rPr>
          <w:rFonts w:asciiTheme="minorHAnsi" w:hAnsiTheme="minorHAnsi" w:cstheme="minorHAnsi"/>
          <w:szCs w:val="24"/>
        </w:rPr>
        <w:t>medical records</w:t>
      </w:r>
      <w:r>
        <w:rPr>
          <w:rFonts w:asciiTheme="minorHAnsi" w:hAnsiTheme="minorHAnsi" w:cstheme="minorHAnsi"/>
          <w:szCs w:val="24"/>
        </w:rPr>
        <w:t>.  One way this will be achieved is through the patient’s Atrius Health electronic me</w:t>
      </w:r>
      <w:r w:rsidRPr="006914A0">
        <w:rPr>
          <w:rFonts w:asciiTheme="minorHAnsi" w:hAnsiTheme="minorHAnsi" w:cstheme="minorHAnsi"/>
          <w:szCs w:val="24"/>
        </w:rPr>
        <w:t>dical record</w:t>
      </w:r>
      <w:r>
        <w:rPr>
          <w:rFonts w:asciiTheme="minorHAnsi" w:hAnsiTheme="minorHAnsi" w:cstheme="minorHAnsi"/>
          <w:szCs w:val="24"/>
        </w:rPr>
        <w:t xml:space="preserve"> (“EMR”).  The Patient Panel’s medical record</w:t>
      </w:r>
      <w:r w:rsidR="00DC4189">
        <w:rPr>
          <w:rFonts w:asciiTheme="minorHAnsi" w:hAnsiTheme="minorHAnsi" w:cstheme="minorHAnsi"/>
          <w:szCs w:val="24"/>
        </w:rPr>
        <w:t>s</w:t>
      </w:r>
      <w:r w:rsidR="00184877">
        <w:rPr>
          <w:rFonts w:asciiTheme="minorHAnsi" w:hAnsiTheme="minorHAnsi" w:cstheme="minorHAnsi"/>
          <w:szCs w:val="24"/>
        </w:rPr>
        <w:t>,</w:t>
      </w:r>
      <w:r>
        <w:rPr>
          <w:rFonts w:asciiTheme="minorHAnsi" w:hAnsiTheme="minorHAnsi" w:cstheme="minorHAnsi"/>
          <w:szCs w:val="24"/>
        </w:rPr>
        <w:t xml:space="preserve"> including health history, medications and test results will be </w:t>
      </w:r>
      <w:r w:rsidRPr="006914A0">
        <w:rPr>
          <w:rFonts w:asciiTheme="minorHAnsi" w:hAnsiTheme="minorHAnsi" w:cstheme="minorHAnsi"/>
          <w:szCs w:val="24"/>
        </w:rPr>
        <w:t>immediately available to their surgical clinical team</w:t>
      </w:r>
      <w:r>
        <w:rPr>
          <w:rFonts w:asciiTheme="minorHAnsi" w:hAnsiTheme="minorHAnsi" w:cstheme="minorHAnsi"/>
          <w:szCs w:val="24"/>
        </w:rPr>
        <w:t xml:space="preserve"> at the Center.  Likewise, the </w:t>
      </w:r>
      <w:r w:rsidR="00CD3F3D">
        <w:rPr>
          <w:rFonts w:asciiTheme="minorHAnsi" w:hAnsiTheme="minorHAnsi" w:cstheme="minorHAnsi"/>
          <w:szCs w:val="24"/>
        </w:rPr>
        <w:t xml:space="preserve">care documented by the </w:t>
      </w:r>
      <w:r>
        <w:rPr>
          <w:rFonts w:asciiTheme="minorHAnsi" w:hAnsiTheme="minorHAnsi" w:cstheme="minorHAnsi"/>
          <w:szCs w:val="24"/>
        </w:rPr>
        <w:t>surgical team</w:t>
      </w:r>
      <w:r w:rsidR="00CD3F3D">
        <w:rPr>
          <w:rFonts w:asciiTheme="minorHAnsi" w:hAnsiTheme="minorHAnsi" w:cstheme="minorHAnsi"/>
          <w:szCs w:val="24"/>
        </w:rPr>
        <w:t xml:space="preserve"> will</w:t>
      </w:r>
      <w:r>
        <w:rPr>
          <w:rFonts w:asciiTheme="minorHAnsi" w:hAnsiTheme="minorHAnsi" w:cstheme="minorHAnsi"/>
          <w:szCs w:val="24"/>
        </w:rPr>
        <w:t xml:space="preserve"> </w:t>
      </w:r>
      <w:r w:rsidR="00CD3F3D">
        <w:rPr>
          <w:rFonts w:asciiTheme="minorHAnsi" w:hAnsiTheme="minorHAnsi" w:cstheme="minorHAnsi"/>
          <w:szCs w:val="24"/>
        </w:rPr>
        <w:t>be</w:t>
      </w:r>
      <w:r w:rsidR="00073DD5">
        <w:rPr>
          <w:rFonts w:asciiTheme="minorHAnsi" w:hAnsiTheme="minorHAnsi" w:cstheme="minorHAnsi"/>
          <w:szCs w:val="24"/>
        </w:rPr>
        <w:t xml:space="preserve"> </w:t>
      </w:r>
      <w:r w:rsidRPr="006914A0">
        <w:rPr>
          <w:rFonts w:asciiTheme="minorHAnsi" w:hAnsiTheme="minorHAnsi" w:cstheme="minorHAnsi"/>
          <w:szCs w:val="24"/>
        </w:rPr>
        <w:t xml:space="preserve">accessible </w:t>
      </w:r>
      <w:r>
        <w:rPr>
          <w:rFonts w:asciiTheme="minorHAnsi" w:hAnsiTheme="minorHAnsi" w:cstheme="minorHAnsi"/>
          <w:szCs w:val="24"/>
        </w:rPr>
        <w:t>by a patient’s</w:t>
      </w:r>
      <w:r w:rsidRPr="006914A0">
        <w:rPr>
          <w:rFonts w:asciiTheme="minorHAnsi" w:hAnsiTheme="minorHAnsi" w:cstheme="minorHAnsi"/>
          <w:szCs w:val="24"/>
        </w:rPr>
        <w:t xml:space="preserve"> Atrius Health primary care provider and </w:t>
      </w:r>
      <w:r>
        <w:rPr>
          <w:rFonts w:asciiTheme="minorHAnsi" w:hAnsiTheme="minorHAnsi" w:cstheme="minorHAnsi"/>
          <w:szCs w:val="24"/>
        </w:rPr>
        <w:t xml:space="preserve">their </w:t>
      </w:r>
      <w:r w:rsidRPr="006914A0">
        <w:rPr>
          <w:rFonts w:asciiTheme="minorHAnsi" w:hAnsiTheme="minorHAnsi" w:cstheme="minorHAnsi"/>
          <w:szCs w:val="24"/>
        </w:rPr>
        <w:t>other Atrius Health clinicians.</w:t>
      </w:r>
      <w:r w:rsidRPr="006914A0" w:rsidDel="008C6A35">
        <w:rPr>
          <w:rFonts w:asciiTheme="minorHAnsi" w:hAnsiTheme="minorHAnsi" w:cstheme="minorHAnsi"/>
          <w:szCs w:val="24"/>
        </w:rPr>
        <w:t xml:space="preserve"> </w:t>
      </w:r>
      <w:r w:rsidRPr="006914A0">
        <w:rPr>
          <w:rFonts w:asciiTheme="minorHAnsi" w:hAnsiTheme="minorHAnsi" w:cstheme="minorHAnsi"/>
          <w:szCs w:val="24"/>
        </w:rPr>
        <w:t>This will</w:t>
      </w:r>
      <w:r>
        <w:rPr>
          <w:rFonts w:asciiTheme="minorHAnsi" w:hAnsiTheme="minorHAnsi" w:cstheme="minorHAnsi"/>
          <w:szCs w:val="24"/>
        </w:rPr>
        <w:t xml:space="preserve"> mean that a patient’s care team </w:t>
      </w:r>
      <w:r w:rsidR="00073DD5">
        <w:rPr>
          <w:rFonts w:asciiTheme="minorHAnsi" w:hAnsiTheme="minorHAnsi" w:cstheme="minorHAnsi"/>
          <w:szCs w:val="24"/>
        </w:rPr>
        <w:t xml:space="preserve">has </w:t>
      </w:r>
      <w:r w:rsidR="007A4668">
        <w:rPr>
          <w:rFonts w:asciiTheme="minorHAnsi" w:hAnsiTheme="minorHAnsi" w:cstheme="minorHAnsi"/>
          <w:szCs w:val="24"/>
        </w:rPr>
        <w:t xml:space="preserve">access to the same </w:t>
      </w:r>
      <w:r w:rsidR="00CD3F3D">
        <w:rPr>
          <w:rFonts w:asciiTheme="minorHAnsi" w:hAnsiTheme="minorHAnsi" w:cstheme="minorHAnsi"/>
          <w:szCs w:val="24"/>
        </w:rPr>
        <w:t>clinical information</w:t>
      </w:r>
      <w:r>
        <w:rPr>
          <w:rFonts w:asciiTheme="minorHAnsi" w:hAnsiTheme="minorHAnsi" w:cstheme="minorHAnsi"/>
          <w:szCs w:val="24"/>
        </w:rPr>
        <w:t>, which will</w:t>
      </w:r>
      <w:r w:rsidRPr="006914A0">
        <w:rPr>
          <w:rFonts w:asciiTheme="minorHAnsi" w:hAnsiTheme="minorHAnsi" w:cstheme="minorHAnsi"/>
          <w:szCs w:val="24"/>
        </w:rPr>
        <w:t xml:space="preserve"> reduce the need for additional labs, testing, and other pre-surgical work often required before the surgical procedures could be performed at non-Atrius </w:t>
      </w:r>
      <w:r>
        <w:rPr>
          <w:rFonts w:asciiTheme="minorHAnsi" w:hAnsiTheme="minorHAnsi" w:cstheme="minorHAnsi"/>
          <w:szCs w:val="24"/>
        </w:rPr>
        <w:t xml:space="preserve">Health </w:t>
      </w:r>
      <w:r w:rsidRPr="006914A0">
        <w:rPr>
          <w:rFonts w:asciiTheme="minorHAnsi" w:hAnsiTheme="minorHAnsi" w:cstheme="minorHAnsi"/>
          <w:szCs w:val="24"/>
        </w:rPr>
        <w:t>facilities.</w:t>
      </w:r>
      <w:r>
        <w:rPr>
          <w:rFonts w:asciiTheme="minorHAnsi" w:hAnsiTheme="minorHAnsi" w:cstheme="minorHAnsi"/>
          <w:szCs w:val="24"/>
        </w:rPr>
        <w:t xml:space="preserve">  It will also allow the Atrius Health primary care provider and surgeon to efficiently track a patient’s prognoses post-discharge from the Center.  </w:t>
      </w:r>
      <w:r w:rsidRPr="006914A0">
        <w:rPr>
          <w:rFonts w:asciiTheme="minorHAnsi" w:hAnsiTheme="minorHAnsi" w:cstheme="minorHAnsi"/>
          <w:szCs w:val="24"/>
        </w:rPr>
        <w:t xml:space="preserve">It will also ensure patients are comfortable in the knowledge that </w:t>
      </w:r>
      <w:proofErr w:type="gramStart"/>
      <w:r w:rsidRPr="006914A0">
        <w:rPr>
          <w:rFonts w:asciiTheme="minorHAnsi" w:hAnsiTheme="minorHAnsi" w:cstheme="minorHAnsi"/>
          <w:szCs w:val="24"/>
        </w:rPr>
        <w:t>all of</w:t>
      </w:r>
      <w:proofErr w:type="gramEnd"/>
      <w:r w:rsidRPr="006914A0">
        <w:rPr>
          <w:rFonts w:asciiTheme="minorHAnsi" w:hAnsiTheme="minorHAnsi" w:cstheme="minorHAnsi"/>
          <w:szCs w:val="24"/>
        </w:rPr>
        <w:t xml:space="preserve"> their care team </w:t>
      </w:r>
      <w:r>
        <w:rPr>
          <w:rFonts w:asciiTheme="minorHAnsi" w:hAnsiTheme="minorHAnsi" w:cstheme="minorHAnsi"/>
          <w:szCs w:val="24"/>
        </w:rPr>
        <w:t>m</w:t>
      </w:r>
      <w:r w:rsidRPr="006914A0">
        <w:rPr>
          <w:rFonts w:asciiTheme="minorHAnsi" w:hAnsiTheme="minorHAnsi" w:cstheme="minorHAnsi"/>
          <w:szCs w:val="24"/>
        </w:rPr>
        <w:t>embers are communicating and well-coordinated.</w:t>
      </w:r>
    </w:p>
    <w:bookmarkEnd w:id="3"/>
    <w:p w14:paraId="3F84C4CC" w14:textId="77777777" w:rsidR="00F20199" w:rsidRDefault="00F20199">
      <w:pPr>
        <w:spacing w:after="160" w:line="259" w:lineRule="auto"/>
        <w:rPr>
          <w:rFonts w:asciiTheme="minorHAnsi" w:hAnsiTheme="minorHAnsi" w:cstheme="minorHAnsi"/>
          <w:b/>
          <w:szCs w:val="24"/>
          <w:u w:val="single"/>
        </w:rPr>
      </w:pPr>
      <w:r>
        <w:rPr>
          <w:rFonts w:asciiTheme="minorHAnsi" w:hAnsiTheme="minorHAnsi" w:cstheme="minorHAnsi"/>
          <w:b/>
          <w:szCs w:val="24"/>
          <w:u w:val="single"/>
        </w:rPr>
        <w:br w:type="page"/>
      </w:r>
    </w:p>
    <w:p w14:paraId="009000B0" w14:textId="073CB8A8" w:rsidR="00797BE3" w:rsidRPr="006F4693" w:rsidRDefault="00797BE3" w:rsidP="00F20199">
      <w:pPr>
        <w:autoSpaceDE w:val="0"/>
        <w:autoSpaceDN w:val="0"/>
        <w:adjustRightInd w:val="0"/>
        <w:jc w:val="both"/>
        <w:rPr>
          <w:rFonts w:asciiTheme="minorHAnsi" w:hAnsiTheme="minorHAnsi" w:cstheme="minorHAnsi"/>
          <w:b/>
          <w:szCs w:val="24"/>
        </w:rPr>
      </w:pPr>
      <w:r w:rsidRPr="006F4693">
        <w:rPr>
          <w:rFonts w:asciiTheme="minorHAnsi" w:hAnsiTheme="minorHAnsi" w:cstheme="minorHAnsi"/>
          <w:b/>
          <w:szCs w:val="24"/>
          <w:u w:val="single"/>
        </w:rPr>
        <w:t>F1.a.iii Competition</w:t>
      </w:r>
      <w:r w:rsidRPr="006F4693">
        <w:rPr>
          <w:rFonts w:asciiTheme="minorHAnsi" w:hAnsiTheme="minorHAnsi" w:cstheme="minorHAnsi"/>
          <w:b/>
          <w:szCs w:val="24"/>
        </w:rPr>
        <w:t>:</w:t>
      </w:r>
    </w:p>
    <w:p w14:paraId="2F770015" w14:textId="77777777" w:rsidR="00797BE3" w:rsidRPr="006F4693" w:rsidRDefault="00797BE3" w:rsidP="00F20199">
      <w:pPr>
        <w:autoSpaceDE w:val="0"/>
        <w:autoSpaceDN w:val="0"/>
        <w:adjustRightInd w:val="0"/>
        <w:jc w:val="both"/>
        <w:rPr>
          <w:rFonts w:asciiTheme="minorHAnsi" w:hAnsiTheme="minorHAnsi" w:cstheme="minorHAnsi"/>
          <w:b/>
          <w:szCs w:val="24"/>
        </w:rPr>
      </w:pPr>
      <w:r w:rsidRPr="006F4693">
        <w:rPr>
          <w:rFonts w:asciiTheme="minorHAnsi" w:hAnsiTheme="minorHAnsi" w:cstheme="minorHAnsi"/>
          <w:b/>
          <w:szCs w:val="24"/>
        </w:rPr>
        <w:t xml:space="preserve">Provide evidence that the Proposed Project will compete </w:t>
      </w:r>
      <w:proofErr w:type="gramStart"/>
      <w:r w:rsidRPr="006F4693">
        <w:rPr>
          <w:rFonts w:asciiTheme="minorHAnsi" w:hAnsiTheme="minorHAnsi" w:cstheme="minorHAnsi"/>
          <w:b/>
          <w:szCs w:val="24"/>
        </w:rPr>
        <w:t>on the basis of</w:t>
      </w:r>
      <w:proofErr w:type="gramEnd"/>
      <w:r w:rsidRPr="006F4693">
        <w:rPr>
          <w:rFonts w:asciiTheme="minorHAnsi" w:hAnsiTheme="minorHAnsi" w:cstheme="minorHAnsi"/>
          <w:b/>
          <w:szCs w:val="24"/>
        </w:rPr>
        <w:t xml:space="preserve"> price, total medical expenses, provider costs, and other recognized measures of health care spending. When responding to this question, please consider Factor 4, Financial Feasibility and Reasonableness of Costs.</w:t>
      </w:r>
    </w:p>
    <w:p w14:paraId="6EC760CF" w14:textId="77777777" w:rsidR="00797BE3" w:rsidRDefault="00797BE3" w:rsidP="00F20199">
      <w:pPr>
        <w:jc w:val="both"/>
        <w:rPr>
          <w:rFonts w:asciiTheme="minorHAnsi" w:hAnsiTheme="minorHAnsi" w:cstheme="minorHAnsi"/>
        </w:rPr>
      </w:pPr>
      <w:r>
        <w:rPr>
          <w:rFonts w:asciiTheme="minorHAnsi" w:hAnsiTheme="minorHAnsi" w:cstheme="minorHAnsi"/>
        </w:rPr>
        <w:t>Consistent with the HPC’s 2024 Report: Trends in ASCs in Massachusetts</w:t>
      </w:r>
      <w:r>
        <w:rPr>
          <w:rStyle w:val="FootnoteReference"/>
          <w:rFonts w:asciiTheme="minorHAnsi" w:hAnsiTheme="minorHAnsi" w:cstheme="minorHAnsi"/>
        </w:rPr>
        <w:footnoteReference w:id="12"/>
      </w:r>
      <w:r>
        <w:rPr>
          <w:rFonts w:asciiTheme="minorHAnsi" w:hAnsiTheme="minorHAnsi" w:cstheme="minorHAnsi"/>
        </w:rPr>
        <w:t xml:space="preserve"> and 2023 Cost Trends Report</w:t>
      </w:r>
      <w:r>
        <w:rPr>
          <w:rStyle w:val="FootnoteReference"/>
          <w:rFonts w:asciiTheme="minorHAnsi" w:hAnsiTheme="minorHAnsi" w:cstheme="minorHAnsi"/>
        </w:rPr>
        <w:footnoteReference w:id="13"/>
      </w:r>
      <w:r>
        <w:rPr>
          <w:rFonts w:asciiTheme="minorHAnsi" w:hAnsiTheme="minorHAnsi" w:cstheme="minorHAnsi"/>
        </w:rPr>
        <w:t xml:space="preserve"> and DPH’s 2017 changes to the </w:t>
      </w:r>
      <w:proofErr w:type="spellStart"/>
      <w:r>
        <w:rPr>
          <w:rFonts w:asciiTheme="minorHAnsi" w:hAnsiTheme="minorHAnsi" w:cstheme="minorHAnsi"/>
        </w:rPr>
        <w:t>DoN</w:t>
      </w:r>
      <w:proofErr w:type="spellEnd"/>
      <w:r>
        <w:rPr>
          <w:rFonts w:asciiTheme="minorHAnsi" w:hAnsiTheme="minorHAnsi" w:cstheme="minorHAnsi"/>
        </w:rPr>
        <w:t xml:space="preserve"> Program</w:t>
      </w:r>
      <w:r>
        <w:rPr>
          <w:rStyle w:val="FootnoteReference"/>
          <w:rFonts w:asciiTheme="minorHAnsi" w:hAnsiTheme="minorHAnsi" w:cstheme="minorHAnsi"/>
        </w:rPr>
        <w:footnoteReference w:id="14"/>
      </w:r>
      <w:r>
        <w:rPr>
          <w:rFonts w:asciiTheme="minorHAnsi" w:hAnsiTheme="minorHAnsi" w:cstheme="minorHAnsi"/>
        </w:rPr>
        <w:t>, t</w:t>
      </w:r>
      <w:r w:rsidRPr="00CF5138">
        <w:rPr>
          <w:rFonts w:asciiTheme="minorHAnsi" w:hAnsiTheme="minorHAnsi" w:cstheme="minorHAnsi"/>
        </w:rPr>
        <w:t>he Proposed Project will compete based on price, total medical expense</w:t>
      </w:r>
      <w:r>
        <w:rPr>
          <w:rFonts w:asciiTheme="minorHAnsi" w:hAnsiTheme="minorHAnsi" w:cstheme="minorHAnsi"/>
        </w:rPr>
        <w:t xml:space="preserve"> (“TME”)</w:t>
      </w:r>
      <w:r w:rsidRPr="00CF5138">
        <w:rPr>
          <w:rFonts w:asciiTheme="minorHAnsi" w:hAnsiTheme="minorHAnsi" w:cstheme="minorHAnsi"/>
        </w:rPr>
        <w:t>, provider costs and other recognized measures of health care spending because it will provide a lower cost alternative to higher cost HOPDs for the same surgical procedures.</w:t>
      </w:r>
      <w:r>
        <w:rPr>
          <w:rStyle w:val="FootnoteReference"/>
          <w:rFonts w:asciiTheme="minorHAnsi" w:hAnsiTheme="minorHAnsi" w:cstheme="minorHAnsi"/>
        </w:rPr>
        <w:footnoteReference w:id="15"/>
      </w:r>
      <w:r w:rsidRPr="00CF5138">
        <w:rPr>
          <w:rFonts w:asciiTheme="minorHAnsi" w:hAnsiTheme="minorHAnsi" w:cstheme="minorHAnsi"/>
        </w:rPr>
        <w:t xml:space="preserve">  </w:t>
      </w:r>
      <w:r>
        <w:rPr>
          <w:rFonts w:asciiTheme="minorHAnsi" w:hAnsiTheme="minorHAnsi" w:cstheme="minorHAnsi"/>
        </w:rPr>
        <w:t xml:space="preserve"> </w:t>
      </w:r>
    </w:p>
    <w:p w14:paraId="71D9D481" w14:textId="0C335F36" w:rsidR="00797BE3" w:rsidRPr="005D6912" w:rsidRDefault="00797BE3" w:rsidP="00F20199">
      <w:pPr>
        <w:jc w:val="both"/>
        <w:rPr>
          <w:rFonts w:asciiTheme="minorHAnsi" w:hAnsiTheme="minorHAnsi" w:cstheme="minorHAnsi"/>
        </w:rPr>
      </w:pPr>
      <w:r w:rsidRPr="005D6912">
        <w:rPr>
          <w:rFonts w:asciiTheme="minorHAnsi" w:hAnsiTheme="minorHAnsi" w:cstheme="minorHAnsi"/>
        </w:rPr>
        <w:t xml:space="preserve">The Applicant has a demonstrated commitment to the Commonwealth’s cost containment goals.   </w:t>
      </w:r>
      <w:r>
        <w:rPr>
          <w:rFonts w:asciiTheme="minorHAnsi" w:hAnsiTheme="minorHAnsi" w:cstheme="minorHAnsi"/>
        </w:rPr>
        <w:t>The</w:t>
      </w:r>
      <w:r w:rsidRPr="005D6912">
        <w:rPr>
          <w:rFonts w:asciiTheme="minorHAnsi" w:hAnsiTheme="minorHAnsi" w:cstheme="minorHAnsi"/>
        </w:rPr>
        <w:t xml:space="preserve"> HPC 2021 Annual Cost Trends Report found </w:t>
      </w:r>
      <w:r>
        <w:rPr>
          <w:rFonts w:asciiTheme="minorHAnsi" w:hAnsiTheme="minorHAnsi" w:cstheme="minorHAnsi"/>
        </w:rPr>
        <w:t xml:space="preserve">the Applicant was </w:t>
      </w:r>
      <w:r w:rsidRPr="005D6912">
        <w:rPr>
          <w:rFonts w:asciiTheme="minorHAnsi" w:hAnsiTheme="minorHAnsi" w:cstheme="minorHAnsi"/>
        </w:rPr>
        <w:t>one of the lowest spending providers on low-value services</w:t>
      </w:r>
      <w:r w:rsidRPr="005D6912">
        <w:rPr>
          <w:rFonts w:asciiTheme="minorHAnsi" w:hAnsiTheme="minorHAnsi"/>
          <w:vertAlign w:val="superscript"/>
        </w:rPr>
        <w:footnoteReference w:id="16"/>
      </w:r>
      <w:r w:rsidRPr="005D6912">
        <w:rPr>
          <w:rFonts w:asciiTheme="minorHAnsi" w:hAnsiTheme="minorHAnsi" w:cstheme="minorHAnsi"/>
        </w:rPr>
        <w:t xml:space="preserve"> as compared to its peers</w:t>
      </w:r>
      <w:r>
        <w:rPr>
          <w:rFonts w:asciiTheme="minorHAnsi" w:hAnsiTheme="minorHAnsi" w:cstheme="minorHAnsi"/>
        </w:rPr>
        <w:t>.</w:t>
      </w:r>
      <w:r w:rsidRPr="005D6912">
        <w:rPr>
          <w:rFonts w:asciiTheme="minorHAnsi" w:hAnsiTheme="minorHAnsi" w:cstheme="minorHAnsi"/>
        </w:rPr>
        <w:t xml:space="preserve"> </w:t>
      </w:r>
      <w:r w:rsidRPr="005D6912">
        <w:rPr>
          <w:rFonts w:asciiTheme="minorHAnsi" w:hAnsiTheme="minorHAnsi"/>
          <w:vertAlign w:val="superscript"/>
        </w:rPr>
        <w:footnoteReference w:id="17"/>
      </w:r>
      <w:r w:rsidRPr="005D6912">
        <w:rPr>
          <w:rFonts w:asciiTheme="minorHAnsi" w:hAnsiTheme="minorHAnsi" w:cstheme="minorHAnsi"/>
          <w:vertAlign w:val="superscript"/>
        </w:rPr>
        <w:t>,</w:t>
      </w:r>
      <w:r w:rsidRPr="005D6912">
        <w:rPr>
          <w:rFonts w:asciiTheme="minorHAnsi" w:hAnsiTheme="minorHAnsi"/>
          <w:vertAlign w:val="superscript"/>
        </w:rPr>
        <w:footnoteReference w:id="18"/>
      </w:r>
      <w:r w:rsidRPr="005D6912">
        <w:rPr>
          <w:rFonts w:asciiTheme="minorHAnsi" w:hAnsiTheme="minorHAnsi" w:cstheme="minorHAnsi"/>
        </w:rPr>
        <w:t xml:space="preserve"> </w:t>
      </w:r>
      <w:bookmarkStart w:id="6" w:name="_Hlk141438997"/>
      <w:r>
        <w:rPr>
          <w:rFonts w:asciiTheme="minorHAnsi" w:hAnsiTheme="minorHAnsi" w:cstheme="minorHAnsi"/>
        </w:rPr>
        <w:t xml:space="preserve"> In spring 2023, t</w:t>
      </w:r>
      <w:r w:rsidRPr="005D6912">
        <w:rPr>
          <w:rFonts w:asciiTheme="minorHAnsi" w:hAnsiTheme="minorHAnsi" w:cstheme="minorHAnsi"/>
        </w:rPr>
        <w:t>he HPC</w:t>
      </w:r>
      <w:r>
        <w:rPr>
          <w:rFonts w:asciiTheme="minorHAnsi" w:hAnsiTheme="minorHAnsi" w:cstheme="minorHAnsi"/>
        </w:rPr>
        <w:t xml:space="preserve"> also</w:t>
      </w:r>
      <w:r w:rsidRPr="005D6912">
        <w:rPr>
          <w:rFonts w:asciiTheme="minorHAnsi" w:hAnsiTheme="minorHAnsi" w:cstheme="minorHAnsi"/>
        </w:rPr>
        <w:t xml:space="preserve"> reported that </w:t>
      </w:r>
      <w:r>
        <w:rPr>
          <w:rFonts w:asciiTheme="minorHAnsi" w:hAnsiTheme="minorHAnsi" w:cstheme="minorHAnsi"/>
        </w:rPr>
        <w:t>the Applicant</w:t>
      </w:r>
      <w:r w:rsidRPr="005D6912">
        <w:rPr>
          <w:rFonts w:asciiTheme="minorHAnsi" w:hAnsiTheme="minorHAnsi" w:cstheme="minorHAnsi"/>
        </w:rPr>
        <w:t xml:space="preserve"> was among three provider groups with the lowest unadjusted total medica</w:t>
      </w:r>
      <w:r>
        <w:rPr>
          <w:rFonts w:asciiTheme="minorHAnsi" w:hAnsiTheme="minorHAnsi" w:cstheme="minorHAnsi"/>
        </w:rPr>
        <w:t>l spending per member per year f</w:t>
      </w:r>
      <w:r w:rsidRPr="005D6912">
        <w:rPr>
          <w:rFonts w:asciiTheme="minorHAnsi" w:hAnsiTheme="minorHAnsi" w:cstheme="minorHAnsi"/>
        </w:rPr>
        <w:t>rom 2015-2021.</w:t>
      </w:r>
      <w:r w:rsidRPr="005D6912">
        <w:rPr>
          <w:rFonts w:asciiTheme="minorHAnsi" w:hAnsiTheme="minorHAnsi" w:cstheme="minorHAnsi"/>
          <w:vertAlign w:val="superscript"/>
        </w:rPr>
        <w:footnoteReference w:id="19"/>
      </w:r>
      <w:r w:rsidR="00CD3F3D">
        <w:rPr>
          <w:rFonts w:asciiTheme="minorHAnsi" w:hAnsiTheme="minorHAnsi" w:cstheme="minorHAnsi"/>
        </w:rPr>
        <w:t xml:space="preserve"> </w:t>
      </w:r>
      <w:r w:rsidR="00073DD5">
        <w:rPr>
          <w:rFonts w:asciiTheme="minorHAnsi" w:hAnsiTheme="minorHAnsi" w:cstheme="minorHAnsi"/>
        </w:rPr>
        <w:t xml:space="preserve"> </w:t>
      </w:r>
      <w:r w:rsidRPr="005D6912">
        <w:rPr>
          <w:rFonts w:asciiTheme="minorHAnsi" w:hAnsiTheme="minorHAnsi" w:cstheme="minorHAnsi"/>
        </w:rPr>
        <w:t xml:space="preserve">A foundational element of </w:t>
      </w:r>
      <w:r>
        <w:rPr>
          <w:rFonts w:asciiTheme="minorHAnsi" w:hAnsiTheme="minorHAnsi" w:cstheme="minorHAnsi"/>
        </w:rPr>
        <w:t xml:space="preserve">the Applicant’s ability to control costs </w:t>
      </w:r>
      <w:r w:rsidRPr="005D6912">
        <w:rPr>
          <w:rFonts w:asciiTheme="minorHAnsi" w:hAnsiTheme="minorHAnsi" w:cstheme="minorHAnsi"/>
        </w:rPr>
        <w:t>while ensuring high quality is the ability to offer a range of services within its own practices, minimizing the need to send patients to more expensive hospital-based or hospital-affiliated providers with higher reimbursement rates</w:t>
      </w:r>
      <w:r>
        <w:rPr>
          <w:rFonts w:asciiTheme="minorHAnsi" w:hAnsiTheme="minorHAnsi" w:cstheme="minorHAnsi"/>
        </w:rPr>
        <w:t xml:space="preserve"> and patient cost sharing</w:t>
      </w:r>
      <w:r w:rsidRPr="005D6912">
        <w:rPr>
          <w:rFonts w:asciiTheme="minorHAnsi" w:hAnsiTheme="minorHAnsi" w:cstheme="minorHAnsi"/>
        </w:rPr>
        <w:t xml:space="preserve">, </w:t>
      </w:r>
      <w:r>
        <w:rPr>
          <w:rFonts w:asciiTheme="minorHAnsi" w:hAnsiTheme="minorHAnsi" w:cstheme="minorHAnsi"/>
        </w:rPr>
        <w:t>allowing patients to experience lower cost-sharing</w:t>
      </w:r>
      <w:r w:rsidR="00ED74DC">
        <w:rPr>
          <w:rFonts w:asciiTheme="minorHAnsi" w:hAnsiTheme="minorHAnsi" w:cstheme="minorHAnsi"/>
        </w:rPr>
        <w:t xml:space="preserve"> and avoid</w:t>
      </w:r>
      <w:r>
        <w:rPr>
          <w:rFonts w:asciiTheme="minorHAnsi" w:hAnsiTheme="minorHAnsi" w:cstheme="minorHAnsi"/>
        </w:rPr>
        <w:t xml:space="preserve"> </w:t>
      </w:r>
      <w:r w:rsidRPr="005D6912">
        <w:rPr>
          <w:rFonts w:asciiTheme="minorHAnsi" w:hAnsiTheme="minorHAnsi" w:cstheme="minorHAnsi"/>
        </w:rPr>
        <w:t>administrative inefficiencies associated with external referrals</w:t>
      </w:r>
      <w:r w:rsidR="00ED74DC">
        <w:rPr>
          <w:rFonts w:asciiTheme="minorHAnsi" w:hAnsiTheme="minorHAnsi" w:cstheme="minorHAnsi"/>
        </w:rPr>
        <w:t xml:space="preserve"> along with</w:t>
      </w:r>
      <w:r w:rsidR="00073DD5">
        <w:rPr>
          <w:rFonts w:asciiTheme="minorHAnsi" w:hAnsiTheme="minorHAnsi" w:cstheme="minorHAnsi"/>
        </w:rPr>
        <w:t xml:space="preserve"> </w:t>
      </w:r>
      <w:r w:rsidRPr="005D6912">
        <w:rPr>
          <w:rFonts w:asciiTheme="minorHAnsi" w:hAnsiTheme="minorHAnsi" w:cstheme="minorHAnsi"/>
        </w:rPr>
        <w:t xml:space="preserve">disruptions to care. </w:t>
      </w:r>
      <w:bookmarkEnd w:id="6"/>
    </w:p>
    <w:p w14:paraId="4CBA565E" w14:textId="264A99C0" w:rsidR="00797BE3" w:rsidRDefault="00797BE3" w:rsidP="00F20199">
      <w:pPr>
        <w:jc w:val="both"/>
        <w:rPr>
          <w:rFonts w:asciiTheme="minorHAnsi" w:hAnsiTheme="minorHAnsi" w:cstheme="minorHAnsi"/>
        </w:rPr>
      </w:pPr>
      <w:r>
        <w:rPr>
          <w:rFonts w:asciiTheme="minorHAnsi" w:hAnsiTheme="minorHAnsi" w:cstheme="minorHAnsi"/>
        </w:rPr>
        <w:t>The Applicant’s</w:t>
      </w:r>
      <w:r w:rsidRPr="00CF5138">
        <w:rPr>
          <w:rFonts w:asciiTheme="minorHAnsi" w:hAnsiTheme="minorHAnsi" w:cstheme="minorHAnsi"/>
        </w:rPr>
        <w:t xml:space="preserve"> </w:t>
      </w:r>
      <w:r w:rsidR="00ED74DC">
        <w:rPr>
          <w:rFonts w:asciiTheme="minorHAnsi" w:hAnsiTheme="minorHAnsi" w:cstheme="minorHAnsi"/>
        </w:rPr>
        <w:t>care delivery</w:t>
      </w:r>
      <w:r w:rsidRPr="00CF5138">
        <w:rPr>
          <w:rFonts w:asciiTheme="minorHAnsi" w:hAnsiTheme="minorHAnsi" w:cstheme="minorHAnsi"/>
        </w:rPr>
        <w:t xml:space="preserve"> and business model</w:t>
      </w:r>
      <w:r w:rsidR="00ED74DC">
        <w:rPr>
          <w:rFonts w:asciiTheme="minorHAnsi" w:hAnsiTheme="minorHAnsi" w:cstheme="minorHAnsi"/>
        </w:rPr>
        <w:t>s</w:t>
      </w:r>
      <w:r w:rsidRPr="00CF5138">
        <w:rPr>
          <w:rFonts w:asciiTheme="minorHAnsi" w:hAnsiTheme="minorHAnsi" w:cstheme="minorHAnsi"/>
        </w:rPr>
        <w:t xml:space="preserve"> </w:t>
      </w:r>
      <w:r w:rsidR="00ED74DC">
        <w:rPr>
          <w:rFonts w:asciiTheme="minorHAnsi" w:hAnsiTheme="minorHAnsi" w:cstheme="minorHAnsi"/>
        </w:rPr>
        <w:t>are</w:t>
      </w:r>
      <w:r w:rsidRPr="00CF5138">
        <w:rPr>
          <w:rFonts w:asciiTheme="minorHAnsi" w:hAnsiTheme="minorHAnsi" w:cstheme="minorHAnsi"/>
        </w:rPr>
        <w:t xml:space="preserve"> focused on improving health outcomes through cost-effective delivery of coordinated services</w:t>
      </w:r>
      <w:bookmarkStart w:id="7" w:name="_BPDCD_18"/>
      <w:r w:rsidRPr="00CF5138">
        <w:rPr>
          <w:rFonts w:asciiTheme="minorHAnsi" w:hAnsiTheme="minorHAnsi" w:cstheme="minorHAnsi"/>
        </w:rPr>
        <w:t xml:space="preserve">. </w:t>
      </w:r>
      <w:bookmarkEnd w:id="7"/>
      <w:r>
        <w:rPr>
          <w:rFonts w:asciiTheme="minorHAnsi" w:hAnsiTheme="minorHAnsi" w:cstheme="minorHAnsi"/>
        </w:rPr>
        <w:t>The Applicant’s</w:t>
      </w:r>
      <w:r w:rsidRPr="00CF5138">
        <w:rPr>
          <w:rFonts w:asciiTheme="minorHAnsi" w:hAnsiTheme="minorHAnsi" w:cstheme="minorHAnsi"/>
        </w:rPr>
        <w:t xml:space="preserve"> system of integrated primary, specialty and ancillary services enables </w:t>
      </w:r>
      <w:r>
        <w:rPr>
          <w:rFonts w:asciiTheme="minorHAnsi" w:hAnsiTheme="minorHAnsi" w:cstheme="minorHAnsi"/>
        </w:rPr>
        <w:t>the Applicant’s</w:t>
      </w:r>
      <w:r w:rsidRPr="00CF5138">
        <w:rPr>
          <w:rFonts w:asciiTheme="minorHAnsi" w:hAnsiTheme="minorHAnsi" w:cstheme="minorHAnsi"/>
        </w:rPr>
        <w:t xml:space="preserve"> providers to refer patients within </w:t>
      </w:r>
      <w:r>
        <w:rPr>
          <w:rFonts w:asciiTheme="minorHAnsi" w:hAnsiTheme="minorHAnsi" w:cstheme="minorHAnsi"/>
        </w:rPr>
        <w:t>the Applicant’s</w:t>
      </w:r>
      <w:r w:rsidRPr="00CF5138">
        <w:rPr>
          <w:rFonts w:asciiTheme="minorHAnsi" w:hAnsiTheme="minorHAnsi" w:cstheme="minorHAnsi"/>
        </w:rPr>
        <w:t xml:space="preserve"> network, as clinically appropriate and in accordance with patient preferences, ensuring highly coordinated care in the lowest cost setting possible.  Th</w:t>
      </w:r>
      <w:r>
        <w:rPr>
          <w:rFonts w:asciiTheme="minorHAnsi" w:hAnsiTheme="minorHAnsi" w:cstheme="minorHAnsi"/>
        </w:rPr>
        <w:t>is</w:t>
      </w:r>
      <w:r w:rsidRPr="00CF5138">
        <w:rPr>
          <w:rFonts w:asciiTheme="minorHAnsi" w:hAnsiTheme="minorHAnsi" w:cstheme="minorHAnsi"/>
        </w:rPr>
        <w:t xml:space="preserve"> care model forms the foundation for </w:t>
      </w:r>
      <w:r>
        <w:rPr>
          <w:rFonts w:asciiTheme="minorHAnsi" w:hAnsiTheme="minorHAnsi" w:cstheme="minorHAnsi"/>
        </w:rPr>
        <w:t>the Applicant’s</w:t>
      </w:r>
      <w:r w:rsidRPr="00CF5138">
        <w:rPr>
          <w:rFonts w:asciiTheme="minorHAnsi" w:hAnsiTheme="minorHAnsi" w:cstheme="minorHAnsi"/>
        </w:rPr>
        <w:t xml:space="preserve"> long and successful history of participating in value- and risk-based arrangements with commercial and government payers</w:t>
      </w:r>
      <w:r>
        <w:rPr>
          <w:rFonts w:asciiTheme="minorHAnsi" w:hAnsiTheme="minorHAnsi" w:cstheme="minorHAnsi"/>
        </w:rPr>
        <w:t xml:space="preserve"> (referred to alternative payment arrangements or “APMs”)</w:t>
      </w:r>
      <w:r w:rsidRPr="00CF5138">
        <w:rPr>
          <w:rFonts w:asciiTheme="minorHAnsi" w:hAnsiTheme="minorHAnsi" w:cstheme="minorHAnsi"/>
        </w:rPr>
        <w:t xml:space="preserve">. </w:t>
      </w:r>
      <w:r>
        <w:rPr>
          <w:rFonts w:asciiTheme="minorHAnsi" w:hAnsiTheme="minorHAnsi" w:cstheme="minorHAnsi"/>
        </w:rPr>
        <w:t xml:space="preserve"> As </w:t>
      </w:r>
      <w:r w:rsidRPr="00C424BA">
        <w:rPr>
          <w:rFonts w:asciiTheme="minorHAnsi" w:hAnsiTheme="minorHAnsi" w:cstheme="minorHAnsi"/>
        </w:rPr>
        <w:t xml:space="preserve">noted </w:t>
      </w:r>
      <w:r w:rsidRPr="00C424BA">
        <w:rPr>
          <w:rFonts w:asciiTheme="minorHAnsi" w:hAnsiTheme="minorHAnsi"/>
        </w:rPr>
        <w:t xml:space="preserve">in Table 1, </w:t>
      </w:r>
      <w:r w:rsidR="008E6EE0" w:rsidRPr="00C424BA">
        <w:rPr>
          <w:rFonts w:asciiTheme="minorHAnsi" w:hAnsiTheme="minorHAnsi" w:cstheme="minorHAnsi"/>
        </w:rPr>
        <w:t>66</w:t>
      </w:r>
      <w:r w:rsidR="00057702" w:rsidRPr="00C424BA">
        <w:rPr>
          <w:rFonts w:asciiTheme="minorHAnsi" w:hAnsiTheme="minorHAnsi"/>
        </w:rPr>
        <w:t>%</w:t>
      </w:r>
      <w:r w:rsidRPr="00C424BA">
        <w:rPr>
          <w:rFonts w:asciiTheme="minorHAnsi" w:hAnsiTheme="minorHAnsi"/>
        </w:rPr>
        <w:t xml:space="preserve"> of the</w:t>
      </w:r>
      <w:r w:rsidRPr="00ED58EE">
        <w:rPr>
          <w:rFonts w:asciiTheme="minorHAnsi" w:hAnsiTheme="minorHAnsi" w:cstheme="minorHAnsi"/>
        </w:rPr>
        <w:t xml:space="preserve"> Patient Panel participates in APMs</w:t>
      </w:r>
      <w:r w:rsidR="00CE72CB">
        <w:rPr>
          <w:rFonts w:asciiTheme="minorHAnsi" w:hAnsiTheme="minorHAnsi" w:cstheme="minorHAnsi"/>
        </w:rPr>
        <w:t>, including the MassHealth ACO program</w:t>
      </w:r>
      <w:r w:rsidR="00C04759">
        <w:rPr>
          <w:rFonts w:asciiTheme="minorHAnsi" w:hAnsiTheme="minorHAnsi" w:cstheme="minorHAnsi"/>
        </w:rPr>
        <w:t xml:space="preserve">, </w:t>
      </w:r>
      <w:r w:rsidR="00CE72CB">
        <w:rPr>
          <w:rFonts w:asciiTheme="minorHAnsi" w:hAnsiTheme="minorHAnsi" w:cstheme="minorHAnsi"/>
        </w:rPr>
        <w:t xml:space="preserve">Medicare Shared Savings Program </w:t>
      </w:r>
      <w:r w:rsidR="00C04759">
        <w:rPr>
          <w:rFonts w:asciiTheme="minorHAnsi" w:hAnsiTheme="minorHAnsi" w:cstheme="minorHAnsi"/>
        </w:rPr>
        <w:t>and Medicare Primary Care First</w:t>
      </w:r>
      <w:r w:rsidRPr="00ED58EE">
        <w:rPr>
          <w:rFonts w:asciiTheme="minorHAnsi" w:hAnsiTheme="minorHAnsi" w:cstheme="minorHAnsi"/>
        </w:rPr>
        <w:t>.  The Applicant has been a market leader in the Commonwealth</w:t>
      </w:r>
      <w:r>
        <w:rPr>
          <w:rFonts w:asciiTheme="minorHAnsi" w:hAnsiTheme="minorHAnsi" w:cstheme="minorHAnsi"/>
        </w:rPr>
        <w:t xml:space="preserve"> in leveraging APMs to deliver efficiencies that result in overall costs savings while maintaining a high quality of care.  </w:t>
      </w:r>
      <w:r w:rsidRPr="00CF5138">
        <w:rPr>
          <w:rFonts w:asciiTheme="minorHAnsi" w:hAnsiTheme="minorHAnsi" w:cstheme="minorHAnsi"/>
        </w:rPr>
        <w:t xml:space="preserve">Under </w:t>
      </w:r>
      <w:r>
        <w:rPr>
          <w:rFonts w:asciiTheme="minorHAnsi" w:hAnsiTheme="minorHAnsi" w:cstheme="minorHAnsi"/>
        </w:rPr>
        <w:t xml:space="preserve">most of </w:t>
      </w:r>
      <w:r w:rsidRPr="00CF5138">
        <w:rPr>
          <w:rFonts w:asciiTheme="minorHAnsi" w:hAnsiTheme="minorHAnsi" w:cstheme="minorHAnsi"/>
        </w:rPr>
        <w:t xml:space="preserve">these arrangements, </w:t>
      </w:r>
      <w:r>
        <w:rPr>
          <w:rFonts w:asciiTheme="minorHAnsi" w:hAnsiTheme="minorHAnsi" w:cstheme="minorHAnsi"/>
        </w:rPr>
        <w:t>the Applicant</w:t>
      </w:r>
      <w:r w:rsidRPr="00CF5138">
        <w:rPr>
          <w:rFonts w:asciiTheme="minorHAnsi" w:hAnsiTheme="minorHAnsi" w:cstheme="minorHAnsi"/>
        </w:rPr>
        <w:t xml:space="preserve"> is fully accountable</w:t>
      </w:r>
      <w:r w:rsidR="00073DD5">
        <w:rPr>
          <w:rFonts w:asciiTheme="minorHAnsi" w:hAnsiTheme="minorHAnsi" w:cstheme="minorHAnsi"/>
        </w:rPr>
        <w:t xml:space="preserve"> </w:t>
      </w:r>
      <w:r w:rsidRPr="00CF5138">
        <w:rPr>
          <w:rFonts w:asciiTheme="minorHAnsi" w:hAnsiTheme="minorHAnsi" w:cstheme="minorHAnsi"/>
        </w:rPr>
        <w:t>for all care and tr</w:t>
      </w:r>
      <w:r>
        <w:rPr>
          <w:rFonts w:asciiTheme="minorHAnsi" w:hAnsiTheme="minorHAnsi" w:cstheme="minorHAnsi"/>
        </w:rPr>
        <w:t>eatment rendered to its patients</w:t>
      </w:r>
      <w:r w:rsidRPr="00CF5138">
        <w:rPr>
          <w:rFonts w:asciiTheme="minorHAnsi" w:hAnsiTheme="minorHAnsi" w:cstheme="minorHAnsi"/>
        </w:rPr>
        <w:t xml:space="preserve">.  </w:t>
      </w:r>
      <w:r>
        <w:rPr>
          <w:rFonts w:asciiTheme="minorHAnsi" w:hAnsiTheme="minorHAnsi" w:cstheme="minorHAnsi"/>
        </w:rPr>
        <w:t xml:space="preserve">Adding the Proposed Project to the Applicant’s toolbox will ensure that it continues to drive value </w:t>
      </w:r>
      <w:r w:rsidR="00353E59">
        <w:rPr>
          <w:rFonts w:asciiTheme="minorHAnsi" w:hAnsiTheme="minorHAnsi" w:cstheme="minorHAnsi"/>
        </w:rPr>
        <w:t xml:space="preserve">under </w:t>
      </w:r>
      <w:r>
        <w:rPr>
          <w:rFonts w:asciiTheme="minorHAnsi" w:hAnsiTheme="minorHAnsi" w:cstheme="minorHAnsi"/>
        </w:rPr>
        <w:t>the APMs and achieve cost savings that will flow back to payor</w:t>
      </w:r>
      <w:r w:rsidR="00353E59">
        <w:rPr>
          <w:rFonts w:asciiTheme="minorHAnsi" w:hAnsiTheme="minorHAnsi" w:cstheme="minorHAnsi"/>
        </w:rPr>
        <w:t>s</w:t>
      </w:r>
      <w:r>
        <w:rPr>
          <w:rFonts w:asciiTheme="minorHAnsi" w:hAnsiTheme="minorHAnsi" w:cstheme="minorHAnsi"/>
        </w:rPr>
        <w:t xml:space="preserve">, patients and the Commonwealth.  </w:t>
      </w:r>
    </w:p>
    <w:p w14:paraId="23903795" w14:textId="6C72EA58" w:rsidR="00797BE3" w:rsidRDefault="00797BE3" w:rsidP="00F20199">
      <w:pPr>
        <w:jc w:val="both"/>
        <w:rPr>
          <w:rFonts w:asciiTheme="minorHAnsi" w:hAnsiTheme="minorHAnsi" w:cstheme="minorHAnsi"/>
        </w:rPr>
      </w:pPr>
      <w:r>
        <w:rPr>
          <w:rFonts w:asciiTheme="minorHAnsi" w:hAnsiTheme="minorHAnsi" w:cstheme="minorHAnsi"/>
        </w:rPr>
        <w:t>The Applicant</w:t>
      </w:r>
      <w:r w:rsidRPr="005D6912">
        <w:rPr>
          <w:rFonts w:asciiTheme="minorHAnsi" w:hAnsiTheme="minorHAnsi" w:cstheme="minorHAnsi"/>
        </w:rPr>
        <w:t xml:space="preserve"> projects that the Proposed Project will generate </w:t>
      </w:r>
      <w:r w:rsidR="00CD3F3D">
        <w:rPr>
          <w:rFonts w:asciiTheme="minorHAnsi" w:hAnsiTheme="minorHAnsi" w:cstheme="minorHAnsi"/>
        </w:rPr>
        <w:t xml:space="preserve">a </w:t>
      </w:r>
      <w:r w:rsidRPr="005D6912">
        <w:rPr>
          <w:rFonts w:asciiTheme="minorHAnsi" w:hAnsiTheme="minorHAnsi" w:cstheme="minorHAnsi"/>
        </w:rPr>
        <w:t>significant</w:t>
      </w:r>
      <w:r>
        <w:rPr>
          <w:rFonts w:asciiTheme="minorHAnsi" w:hAnsiTheme="minorHAnsi" w:cstheme="minorHAnsi"/>
        </w:rPr>
        <w:t xml:space="preserve"> savings from shifting the site of Surgical Services from HOPD</w:t>
      </w:r>
      <w:r w:rsidR="00452129">
        <w:rPr>
          <w:rFonts w:asciiTheme="minorHAnsi" w:hAnsiTheme="minorHAnsi" w:cstheme="minorHAnsi"/>
        </w:rPr>
        <w:t>s</w:t>
      </w:r>
      <w:r w:rsidR="00C52D3E">
        <w:rPr>
          <w:rFonts w:asciiTheme="minorHAnsi" w:hAnsiTheme="minorHAnsi" w:cstheme="minorHAnsi"/>
        </w:rPr>
        <w:t xml:space="preserve"> to the Center</w:t>
      </w:r>
      <w:r>
        <w:rPr>
          <w:rFonts w:asciiTheme="minorHAnsi" w:hAnsiTheme="minorHAnsi" w:cstheme="minorHAnsi"/>
        </w:rPr>
        <w:t xml:space="preserve"> that will lower its TME.  </w:t>
      </w:r>
      <w:r w:rsidR="00C52D3E">
        <w:rPr>
          <w:rFonts w:asciiTheme="minorHAnsi" w:hAnsiTheme="minorHAnsi" w:cstheme="minorHAnsi"/>
        </w:rPr>
        <w:t xml:space="preserve">In aggregate, the Proposed Project is anticipated to reduce medical expenses, and by performing cases in a single facility, Atrius Health will gain operational efficiencies and patients will benefit from enhanced care coordination and practice efficiency.  </w:t>
      </w:r>
      <w:r w:rsidRPr="00F733EF">
        <w:rPr>
          <w:rFonts w:asciiTheme="minorHAnsi" w:hAnsiTheme="minorHAnsi" w:cstheme="minorHAnsi"/>
        </w:rPr>
        <w:t xml:space="preserve">Based on the Proposed </w:t>
      </w:r>
      <w:r w:rsidRPr="00380655">
        <w:rPr>
          <w:rFonts w:asciiTheme="minorHAnsi" w:hAnsiTheme="minorHAnsi" w:cstheme="minorHAnsi"/>
        </w:rPr>
        <w:t xml:space="preserve">Project case volume projections in Table </w:t>
      </w:r>
      <w:r w:rsidR="00CE72CB">
        <w:rPr>
          <w:rFonts w:asciiTheme="minorHAnsi" w:hAnsiTheme="minorHAnsi" w:cstheme="minorHAnsi"/>
        </w:rPr>
        <w:t>9</w:t>
      </w:r>
      <w:r w:rsidRPr="00380655">
        <w:rPr>
          <w:rFonts w:asciiTheme="minorHAnsi" w:hAnsiTheme="minorHAnsi" w:cstheme="minorHAnsi"/>
        </w:rPr>
        <w:t xml:space="preserve">, by the </w:t>
      </w:r>
      <w:r w:rsidR="00361D38" w:rsidRPr="00380655">
        <w:rPr>
          <w:rFonts w:asciiTheme="minorHAnsi" w:hAnsiTheme="minorHAnsi" w:cstheme="minorHAnsi"/>
        </w:rPr>
        <w:t xml:space="preserve">second </w:t>
      </w:r>
      <w:r w:rsidRPr="00380655">
        <w:rPr>
          <w:rFonts w:asciiTheme="minorHAnsi" w:hAnsiTheme="minorHAnsi" w:cstheme="minorHAnsi"/>
        </w:rPr>
        <w:t xml:space="preserve">year of operations, the Applicant anticipates that </w:t>
      </w:r>
      <w:r w:rsidRPr="00380655">
        <w:rPr>
          <w:rFonts w:asciiTheme="minorHAnsi" w:hAnsiTheme="minorHAnsi"/>
        </w:rPr>
        <w:t>1</w:t>
      </w:r>
      <w:r w:rsidR="00361D38" w:rsidRPr="00380655">
        <w:rPr>
          <w:rFonts w:asciiTheme="minorHAnsi" w:hAnsiTheme="minorHAnsi"/>
        </w:rPr>
        <w:t>1</w:t>
      </w:r>
      <w:r w:rsidRPr="00380655">
        <w:rPr>
          <w:rFonts w:asciiTheme="minorHAnsi" w:hAnsiTheme="minorHAnsi"/>
        </w:rPr>
        <w:t xml:space="preserve">% of the Surgical Services will shift from hospital inpatient setting, </w:t>
      </w:r>
      <w:r w:rsidR="00361D38" w:rsidRPr="00380655">
        <w:rPr>
          <w:rFonts w:asciiTheme="minorHAnsi" w:hAnsiTheme="minorHAnsi"/>
        </w:rPr>
        <w:t>68</w:t>
      </w:r>
      <w:r w:rsidRPr="00380655">
        <w:rPr>
          <w:rFonts w:asciiTheme="minorHAnsi" w:hAnsiTheme="minorHAnsi"/>
        </w:rPr>
        <w:t xml:space="preserve">% of cases from a HOPD, </w:t>
      </w:r>
      <w:r w:rsidR="00361D38" w:rsidRPr="00380655">
        <w:rPr>
          <w:rFonts w:asciiTheme="minorHAnsi" w:hAnsiTheme="minorHAnsi"/>
        </w:rPr>
        <w:t>and 20</w:t>
      </w:r>
      <w:r w:rsidRPr="00380655">
        <w:rPr>
          <w:rFonts w:asciiTheme="minorHAnsi" w:hAnsiTheme="minorHAnsi"/>
        </w:rPr>
        <w:t>% from other ASCs</w:t>
      </w:r>
      <w:r w:rsidR="00057702" w:rsidRPr="00380655">
        <w:rPr>
          <w:rFonts w:asciiTheme="minorHAnsi" w:hAnsiTheme="minorHAnsi"/>
        </w:rPr>
        <w:t xml:space="preserve"> to the Center</w:t>
      </w:r>
      <w:r w:rsidR="00361D38" w:rsidRPr="00380655">
        <w:rPr>
          <w:rFonts w:asciiTheme="minorHAnsi" w:hAnsiTheme="minorHAnsi" w:cstheme="minorHAnsi"/>
        </w:rPr>
        <w:t xml:space="preserve">. </w:t>
      </w:r>
      <w:r w:rsidRPr="00380655">
        <w:rPr>
          <w:rFonts w:asciiTheme="minorHAnsi" w:hAnsiTheme="minorHAnsi" w:cstheme="minorHAnsi"/>
        </w:rPr>
        <w:t xml:space="preserve"> Looking at relative prices on Surgical Services claims data and the Proposed Project’s anticipated volume, the Applicant has estimated cost savings in the </w:t>
      </w:r>
      <w:r w:rsidR="00361D38" w:rsidRPr="00380655">
        <w:rPr>
          <w:rFonts w:asciiTheme="minorHAnsi" w:hAnsiTheme="minorHAnsi" w:cstheme="minorHAnsi"/>
        </w:rPr>
        <w:t xml:space="preserve">second </w:t>
      </w:r>
      <w:r w:rsidRPr="00380655">
        <w:rPr>
          <w:rFonts w:asciiTheme="minorHAnsi" w:hAnsiTheme="minorHAnsi" w:cstheme="minorHAnsi"/>
        </w:rPr>
        <w:t xml:space="preserve">year of Proposed Project will </w:t>
      </w:r>
      <w:r w:rsidRPr="00380655">
        <w:rPr>
          <w:rFonts w:asciiTheme="minorHAnsi" w:hAnsiTheme="minorHAnsi"/>
        </w:rPr>
        <w:t>be $</w:t>
      </w:r>
      <w:r w:rsidR="00361D38" w:rsidRPr="00380655">
        <w:rPr>
          <w:rFonts w:asciiTheme="minorHAnsi" w:hAnsiTheme="minorHAnsi"/>
        </w:rPr>
        <w:t>15.9</w:t>
      </w:r>
      <w:r w:rsidRPr="00380655">
        <w:rPr>
          <w:rFonts w:asciiTheme="minorHAnsi" w:hAnsiTheme="minorHAnsi"/>
        </w:rPr>
        <w:t xml:space="preserve"> million annually</w:t>
      </w:r>
      <w:r w:rsidRPr="00380655">
        <w:rPr>
          <w:rFonts w:asciiTheme="minorHAnsi" w:hAnsiTheme="minorHAnsi" w:cstheme="minorHAnsi"/>
        </w:rPr>
        <w:t xml:space="preserve">, with </w:t>
      </w:r>
      <w:proofErr w:type="gramStart"/>
      <w:r w:rsidRPr="00380655">
        <w:rPr>
          <w:rFonts w:asciiTheme="minorHAnsi" w:hAnsiTheme="minorHAnsi" w:cstheme="minorHAnsi"/>
        </w:rPr>
        <w:t>the vast majority of</w:t>
      </w:r>
      <w:proofErr w:type="gramEnd"/>
      <w:r w:rsidRPr="00380655">
        <w:rPr>
          <w:rFonts w:asciiTheme="minorHAnsi" w:hAnsiTheme="minorHAnsi" w:cstheme="minorHAnsi"/>
        </w:rPr>
        <w:t xml:space="preserve"> savings </w:t>
      </w:r>
      <w:r w:rsidRPr="00380655">
        <w:rPr>
          <w:rFonts w:asciiTheme="minorHAnsi" w:hAnsiTheme="minorHAnsi"/>
        </w:rPr>
        <w:t>(</w:t>
      </w:r>
      <w:r w:rsidR="00361D38" w:rsidRPr="00380655">
        <w:rPr>
          <w:rFonts w:asciiTheme="minorHAnsi" w:hAnsiTheme="minorHAnsi"/>
        </w:rPr>
        <w:t>89</w:t>
      </w:r>
      <w:r w:rsidRPr="00380655">
        <w:rPr>
          <w:rFonts w:asciiTheme="minorHAnsi" w:hAnsiTheme="minorHAnsi"/>
        </w:rPr>
        <w:t>% or $14.1 million)</w:t>
      </w:r>
      <w:r w:rsidRPr="00057702">
        <w:rPr>
          <w:rFonts w:asciiTheme="minorHAnsi" w:hAnsiTheme="minorHAnsi" w:cstheme="minorHAnsi"/>
        </w:rPr>
        <w:t xml:space="preserve"> coming from shifting case</w:t>
      </w:r>
      <w:r w:rsidR="00921D0C">
        <w:rPr>
          <w:rFonts w:asciiTheme="minorHAnsi" w:hAnsiTheme="minorHAnsi" w:cstheme="minorHAnsi"/>
        </w:rPr>
        <w:t>s</w:t>
      </w:r>
      <w:r w:rsidRPr="005D6912">
        <w:rPr>
          <w:rFonts w:asciiTheme="minorHAnsi" w:hAnsiTheme="minorHAnsi" w:cstheme="minorHAnsi"/>
        </w:rPr>
        <w:t xml:space="preserve"> from </w:t>
      </w:r>
      <w:r>
        <w:rPr>
          <w:rFonts w:asciiTheme="minorHAnsi" w:hAnsiTheme="minorHAnsi" w:cstheme="minorHAnsi"/>
        </w:rPr>
        <w:t>an HOPD to the Center</w:t>
      </w:r>
      <w:r w:rsidRPr="005D6912">
        <w:rPr>
          <w:rFonts w:asciiTheme="minorHAnsi" w:hAnsiTheme="minorHAnsi" w:cstheme="minorHAnsi"/>
        </w:rPr>
        <w:t>.</w:t>
      </w:r>
      <w:r>
        <w:rPr>
          <w:rFonts w:asciiTheme="minorHAnsi" w:hAnsiTheme="minorHAnsi" w:cstheme="minorHAnsi"/>
        </w:rPr>
        <w:t xml:space="preserve"> </w:t>
      </w:r>
      <w:r w:rsidR="00057702">
        <w:rPr>
          <w:rFonts w:asciiTheme="minorHAnsi" w:hAnsiTheme="minorHAnsi" w:cstheme="minorHAnsi"/>
        </w:rPr>
        <w:t xml:space="preserve"> </w:t>
      </w:r>
      <w:r>
        <w:rPr>
          <w:rFonts w:asciiTheme="minorHAnsi" w:hAnsiTheme="minorHAnsi" w:cstheme="minorHAnsi"/>
        </w:rPr>
        <w:t xml:space="preserve">In the fourth year and beyond of the Proposed Project, these cost savings will continue.  </w:t>
      </w:r>
      <w:r w:rsidRPr="005D6912">
        <w:rPr>
          <w:rFonts w:asciiTheme="minorHAnsi" w:hAnsiTheme="minorHAnsi" w:cstheme="minorHAnsi"/>
        </w:rPr>
        <w:t xml:space="preserve">This </w:t>
      </w:r>
      <w:r>
        <w:rPr>
          <w:rFonts w:asciiTheme="minorHAnsi" w:hAnsiTheme="minorHAnsi" w:cstheme="minorHAnsi"/>
        </w:rPr>
        <w:t xml:space="preserve">cost savings will have a positive impact on patients, who will have reduced cost sharing for Surgical Services at the Center, and </w:t>
      </w:r>
      <w:r w:rsidR="00921D0C">
        <w:rPr>
          <w:rFonts w:asciiTheme="minorHAnsi" w:hAnsiTheme="minorHAnsi" w:cstheme="minorHAnsi"/>
        </w:rPr>
        <w:t xml:space="preserve">both governmental and commercial </w:t>
      </w:r>
      <w:r>
        <w:rPr>
          <w:rFonts w:asciiTheme="minorHAnsi" w:hAnsiTheme="minorHAnsi" w:cstheme="minorHAnsi"/>
        </w:rPr>
        <w:t>payors.  In the long term, the Applicant hopes that the Proposed Project will contribute to the ability to maintain and/or lower insurance premiums and positively contribute to lowering the health cost benchmark for the Commonwealth.</w:t>
      </w:r>
    </w:p>
    <w:p w14:paraId="0A71F2A2" w14:textId="77777777" w:rsidR="00F20199" w:rsidRDefault="00F20199" w:rsidP="00F20199">
      <w:pPr>
        <w:jc w:val="both"/>
        <w:rPr>
          <w:rFonts w:asciiTheme="minorHAnsi" w:hAnsiTheme="minorHAnsi" w:cstheme="minorHAnsi"/>
        </w:rPr>
      </w:pPr>
    </w:p>
    <w:p w14:paraId="62343AB0" w14:textId="77777777" w:rsidR="003628F3" w:rsidRDefault="003628F3">
      <w:pPr>
        <w:spacing w:after="160" w:line="259" w:lineRule="auto"/>
        <w:rPr>
          <w:rFonts w:asciiTheme="minorHAnsi" w:hAnsiTheme="minorHAnsi" w:cstheme="minorHAnsi"/>
          <w:b/>
          <w:szCs w:val="24"/>
          <w:u w:val="single"/>
        </w:rPr>
      </w:pPr>
      <w:r>
        <w:rPr>
          <w:rFonts w:asciiTheme="minorHAnsi" w:hAnsiTheme="minorHAnsi" w:cstheme="minorHAnsi"/>
          <w:b/>
          <w:szCs w:val="24"/>
          <w:u w:val="single"/>
        </w:rPr>
        <w:br w:type="page"/>
      </w:r>
    </w:p>
    <w:p w14:paraId="17F46387" w14:textId="44B80212" w:rsidR="00797BE3" w:rsidRPr="006F4693" w:rsidRDefault="00797BE3" w:rsidP="003628F3">
      <w:pPr>
        <w:autoSpaceDE w:val="0"/>
        <w:autoSpaceDN w:val="0"/>
        <w:adjustRightInd w:val="0"/>
        <w:jc w:val="both"/>
        <w:rPr>
          <w:rFonts w:asciiTheme="minorHAnsi" w:hAnsiTheme="minorHAnsi" w:cstheme="minorHAnsi"/>
          <w:b/>
          <w:szCs w:val="24"/>
        </w:rPr>
      </w:pPr>
      <w:r w:rsidRPr="006F4693">
        <w:rPr>
          <w:rFonts w:asciiTheme="minorHAnsi" w:hAnsiTheme="minorHAnsi" w:cstheme="minorHAnsi"/>
          <w:b/>
          <w:szCs w:val="24"/>
          <w:u w:val="single"/>
        </w:rPr>
        <w:t>F1.b.i Public Health Value /Evidence-Based</w:t>
      </w:r>
      <w:r w:rsidRPr="006F4693">
        <w:rPr>
          <w:rFonts w:asciiTheme="minorHAnsi" w:hAnsiTheme="minorHAnsi" w:cstheme="minorHAnsi"/>
          <w:b/>
          <w:szCs w:val="24"/>
        </w:rPr>
        <w:t>:</w:t>
      </w:r>
    </w:p>
    <w:p w14:paraId="72193459" w14:textId="3DADF103" w:rsidR="00797BE3" w:rsidRDefault="00797BE3" w:rsidP="003628F3">
      <w:pPr>
        <w:autoSpaceDE w:val="0"/>
        <w:autoSpaceDN w:val="0"/>
        <w:adjustRightInd w:val="0"/>
        <w:jc w:val="both"/>
        <w:rPr>
          <w:rFonts w:asciiTheme="minorHAnsi" w:hAnsiTheme="minorHAnsi" w:cstheme="minorHAnsi"/>
          <w:b/>
          <w:szCs w:val="24"/>
        </w:rPr>
      </w:pPr>
      <w:r w:rsidRPr="006F4693">
        <w:rPr>
          <w:rFonts w:asciiTheme="minorHAnsi" w:hAnsiTheme="minorHAnsi" w:cstheme="minorHAnsi"/>
          <w:b/>
          <w:szCs w:val="24"/>
        </w:rPr>
        <w:t xml:space="preserve">Provide information on the evidence-base for the Proposed Project. That is, how does the Proposed Project address the Need that Applicant has identified. </w:t>
      </w:r>
    </w:p>
    <w:p w14:paraId="4BFA3224" w14:textId="7C08AC1C" w:rsidR="00797BE3" w:rsidRPr="00E92398" w:rsidRDefault="00797BE3" w:rsidP="003628F3">
      <w:pPr>
        <w:jc w:val="both"/>
        <w:rPr>
          <w:rFonts w:asciiTheme="minorHAnsi" w:hAnsiTheme="minorHAnsi" w:cstheme="minorHAnsi"/>
        </w:rPr>
      </w:pPr>
      <w:r>
        <w:rPr>
          <w:rFonts w:asciiTheme="minorHAnsi" w:hAnsiTheme="minorHAnsi" w:cstheme="minorHAnsi"/>
        </w:rPr>
        <w:t>In addition to reducing costs by shifting care from hospitals to ASCs, p</w:t>
      </w:r>
      <w:r w:rsidRPr="00E92398">
        <w:rPr>
          <w:rFonts w:asciiTheme="minorHAnsi" w:hAnsiTheme="minorHAnsi" w:cstheme="minorHAnsi"/>
        </w:rPr>
        <w:t xml:space="preserve">atient care and outcomes related to services delivered in an ASC have several advantages relative to services performed in a </w:t>
      </w:r>
      <w:r>
        <w:rPr>
          <w:rFonts w:asciiTheme="minorHAnsi" w:hAnsiTheme="minorHAnsi" w:cstheme="minorHAnsi"/>
        </w:rPr>
        <w:t>HOPD</w:t>
      </w:r>
      <w:r w:rsidRPr="00E92398">
        <w:rPr>
          <w:rFonts w:asciiTheme="minorHAnsi" w:hAnsiTheme="minorHAnsi" w:cstheme="minorHAnsi"/>
        </w:rPr>
        <w:t>.</w:t>
      </w:r>
      <w:r w:rsidR="00361D38">
        <w:rPr>
          <w:rFonts w:asciiTheme="minorHAnsi" w:hAnsiTheme="minorHAnsi" w:cstheme="minorHAnsi"/>
        </w:rPr>
        <w:t xml:space="preserve"> </w:t>
      </w:r>
      <w:r w:rsidRPr="00E92398">
        <w:rPr>
          <w:rFonts w:asciiTheme="minorHAnsi" w:hAnsiTheme="minorHAnsi" w:cstheme="minorHAnsi"/>
        </w:rPr>
        <w:t xml:space="preserve"> Specifically, services performed in an ASC benefit from enhanced clinical quality on several factors, greater service efficiency, and greater patient convenience.</w:t>
      </w:r>
    </w:p>
    <w:p w14:paraId="58627A00" w14:textId="74AB5E39" w:rsidR="00797BE3" w:rsidRPr="00E92398" w:rsidRDefault="00797BE3" w:rsidP="003628F3">
      <w:pPr>
        <w:jc w:val="both"/>
        <w:rPr>
          <w:rFonts w:asciiTheme="minorHAnsi" w:hAnsiTheme="minorHAnsi" w:cstheme="minorHAnsi"/>
        </w:rPr>
      </w:pPr>
      <w:r w:rsidRPr="00E92398">
        <w:rPr>
          <w:rFonts w:asciiTheme="minorHAnsi" w:hAnsiTheme="minorHAnsi" w:cstheme="minorHAnsi"/>
        </w:rPr>
        <w:t>Evidence has shown that cases performed in an ASC have better quality outcomes. Surgeries performed in an ASC are generally shorter and patient recovery time is faster than cases performed in a hospital</w:t>
      </w:r>
      <w:r w:rsidRPr="00E92398">
        <w:rPr>
          <w:rStyle w:val="FootnoteReference"/>
          <w:rFonts w:asciiTheme="minorHAnsi" w:hAnsiTheme="minorHAnsi" w:cstheme="minorHAnsi"/>
        </w:rPr>
        <w:footnoteReference w:id="20"/>
      </w:r>
      <w:r w:rsidRPr="00E92398">
        <w:rPr>
          <w:rFonts w:asciiTheme="minorHAnsi" w:hAnsiTheme="minorHAnsi" w:cstheme="minorHAnsi"/>
        </w:rPr>
        <w:t>.</w:t>
      </w:r>
      <w:r w:rsidR="001367E1">
        <w:rPr>
          <w:rFonts w:asciiTheme="minorHAnsi" w:hAnsiTheme="minorHAnsi" w:cstheme="minorHAnsi"/>
        </w:rPr>
        <w:t xml:space="preserve"> </w:t>
      </w:r>
      <w:r w:rsidRPr="00E92398">
        <w:rPr>
          <w:rFonts w:asciiTheme="minorHAnsi" w:hAnsiTheme="minorHAnsi" w:cstheme="minorHAnsi"/>
        </w:rPr>
        <w:t xml:space="preserve"> Infection rates for procedures performed in ASCs are significantly lower than that of hospital outpatient surgical departments, and morbidity and mortality following ASC procedures is favorable.</w:t>
      </w:r>
      <w:r w:rsidRPr="00E92398">
        <w:rPr>
          <w:rStyle w:val="FootnoteReference"/>
          <w:rFonts w:asciiTheme="minorHAnsi" w:hAnsiTheme="minorHAnsi" w:cstheme="minorHAnsi"/>
        </w:rPr>
        <w:footnoteReference w:id="21"/>
      </w:r>
      <w:r w:rsidRPr="00E92398">
        <w:rPr>
          <w:rFonts w:asciiTheme="minorHAnsi" w:hAnsiTheme="minorHAnsi" w:cstheme="minorHAnsi"/>
        </w:rPr>
        <w:t xml:space="preserve"> </w:t>
      </w:r>
      <w:r w:rsidR="001367E1">
        <w:rPr>
          <w:rFonts w:asciiTheme="minorHAnsi" w:hAnsiTheme="minorHAnsi" w:cstheme="minorHAnsi"/>
        </w:rPr>
        <w:t xml:space="preserve"> </w:t>
      </w:r>
      <w:r w:rsidRPr="00E92398">
        <w:rPr>
          <w:rFonts w:asciiTheme="minorHAnsi" w:hAnsiTheme="minorHAnsi" w:cstheme="minorHAnsi"/>
        </w:rPr>
        <w:t xml:space="preserve">ASC patients are less likely to revisit the hospital within one-week of surgery compared with those treated in a </w:t>
      </w:r>
      <w:r>
        <w:rPr>
          <w:rFonts w:asciiTheme="minorHAnsi" w:hAnsiTheme="minorHAnsi" w:cstheme="minorHAnsi"/>
        </w:rPr>
        <w:t>HOPD</w:t>
      </w:r>
      <w:r w:rsidRPr="00E92398">
        <w:rPr>
          <w:rFonts w:asciiTheme="minorHAnsi" w:hAnsiTheme="minorHAnsi" w:cstheme="minorHAnsi"/>
        </w:rPr>
        <w:t>.</w:t>
      </w:r>
      <w:r w:rsidRPr="00E92398">
        <w:rPr>
          <w:rStyle w:val="FootnoteReference"/>
          <w:rFonts w:asciiTheme="minorHAnsi" w:hAnsiTheme="minorHAnsi" w:cstheme="minorHAnsi"/>
        </w:rPr>
        <w:footnoteReference w:id="22"/>
      </w:r>
      <w:r w:rsidRPr="00E92398">
        <w:rPr>
          <w:rFonts w:asciiTheme="minorHAnsi" w:hAnsiTheme="minorHAnsi" w:cstheme="minorHAnsi"/>
        </w:rPr>
        <w:t xml:space="preserve"> </w:t>
      </w:r>
      <w:r w:rsidR="001367E1">
        <w:rPr>
          <w:rFonts w:asciiTheme="minorHAnsi" w:hAnsiTheme="minorHAnsi" w:cstheme="minorHAnsi"/>
        </w:rPr>
        <w:t xml:space="preserve"> </w:t>
      </w:r>
      <w:r w:rsidRPr="00E92398">
        <w:rPr>
          <w:rFonts w:asciiTheme="minorHAnsi" w:hAnsiTheme="minorHAnsi" w:cstheme="minorHAnsi"/>
        </w:rPr>
        <w:t>Similarly, hospital readmission rates at the 30 and 90 day mark post-surgery are lower for ASC patients compared with patients treated in hospitals.</w:t>
      </w:r>
      <w:r w:rsidRPr="00E92398">
        <w:rPr>
          <w:rStyle w:val="FootnoteReference"/>
          <w:rFonts w:asciiTheme="minorHAnsi" w:hAnsiTheme="minorHAnsi" w:cstheme="minorHAnsi"/>
        </w:rPr>
        <w:footnoteReference w:id="23"/>
      </w:r>
      <w:r w:rsidRPr="00E92398">
        <w:rPr>
          <w:rFonts w:asciiTheme="minorHAnsi" w:hAnsiTheme="minorHAnsi" w:cstheme="minorHAnsi"/>
        </w:rPr>
        <w:t xml:space="preserve"> </w:t>
      </w:r>
    </w:p>
    <w:p w14:paraId="54EF338E" w14:textId="6D4AAB83" w:rsidR="00797BE3" w:rsidRDefault="00797BE3" w:rsidP="003628F3">
      <w:pPr>
        <w:jc w:val="both"/>
        <w:rPr>
          <w:rFonts w:asciiTheme="minorHAnsi" w:hAnsiTheme="minorHAnsi" w:cstheme="minorHAnsi"/>
        </w:rPr>
      </w:pPr>
      <w:r>
        <w:rPr>
          <w:rFonts w:asciiTheme="minorHAnsi" w:hAnsiTheme="minorHAnsi" w:cstheme="minorHAnsi"/>
        </w:rPr>
        <w:t xml:space="preserve">In addition to better quality </w:t>
      </w:r>
      <w:r w:rsidRPr="003551D4">
        <w:rPr>
          <w:rFonts w:asciiTheme="minorHAnsi" w:hAnsiTheme="minorHAnsi" w:cstheme="minorHAnsi"/>
        </w:rPr>
        <w:t>outcomes, ASCs offer greater clinical and operational efficiencies compared to HOPDs.</w:t>
      </w:r>
      <w:r>
        <w:rPr>
          <w:rStyle w:val="FootnoteReference"/>
          <w:rFonts w:asciiTheme="minorHAnsi" w:hAnsiTheme="minorHAnsi" w:cstheme="minorHAnsi"/>
        </w:rPr>
        <w:footnoteReference w:id="24"/>
      </w:r>
      <w:r w:rsidRPr="003551D4">
        <w:rPr>
          <w:rFonts w:asciiTheme="minorHAnsi" w:hAnsiTheme="minorHAnsi" w:cstheme="minorHAnsi"/>
        </w:rPr>
        <w:t xml:space="preserve">  ASCs focus on performing a subset</w:t>
      </w:r>
      <w:r w:rsidRPr="00E92398">
        <w:rPr>
          <w:rFonts w:asciiTheme="minorHAnsi" w:hAnsiTheme="minorHAnsi" w:cstheme="minorHAnsi"/>
        </w:rPr>
        <w:t xml:space="preserve"> of surgical procedures in a limited number of medical specialties, and they are designed to provide care for specific categories of lower-acuity surgical cases. </w:t>
      </w:r>
      <w:r w:rsidR="001367E1">
        <w:rPr>
          <w:rFonts w:asciiTheme="minorHAnsi" w:hAnsiTheme="minorHAnsi" w:cstheme="minorHAnsi"/>
        </w:rPr>
        <w:t xml:space="preserve"> </w:t>
      </w:r>
      <w:r>
        <w:rPr>
          <w:rFonts w:asciiTheme="minorHAnsi" w:hAnsiTheme="minorHAnsi" w:cstheme="minorHAnsi"/>
        </w:rPr>
        <w:t xml:space="preserve">This results in a </w:t>
      </w:r>
      <w:r w:rsidRPr="00E92398">
        <w:rPr>
          <w:rFonts w:asciiTheme="minorHAnsi" w:hAnsiTheme="minorHAnsi" w:cstheme="minorHAnsi"/>
        </w:rPr>
        <w:t xml:space="preserve">limited scope of care, and </w:t>
      </w:r>
      <w:r>
        <w:rPr>
          <w:rFonts w:asciiTheme="minorHAnsi" w:hAnsiTheme="minorHAnsi" w:cstheme="minorHAnsi"/>
        </w:rPr>
        <w:t>allows staff to organize</w:t>
      </w:r>
      <w:r w:rsidRPr="00E92398">
        <w:rPr>
          <w:rFonts w:asciiTheme="minorHAnsi" w:hAnsiTheme="minorHAnsi" w:cstheme="minorHAnsi"/>
        </w:rPr>
        <w:t xml:space="preserve"> their services to support this specialized practice, mean</w:t>
      </w:r>
      <w:r>
        <w:rPr>
          <w:rFonts w:asciiTheme="minorHAnsi" w:hAnsiTheme="minorHAnsi" w:cstheme="minorHAnsi"/>
        </w:rPr>
        <w:t>ing</w:t>
      </w:r>
      <w:r w:rsidRPr="00E92398">
        <w:rPr>
          <w:rFonts w:asciiTheme="minorHAnsi" w:hAnsiTheme="minorHAnsi" w:cstheme="minorHAnsi"/>
        </w:rPr>
        <w:t xml:space="preserve"> that scheduling is more predictable and leads to greater efficiency and lower costs.</w:t>
      </w:r>
      <w:r w:rsidRPr="00E92398">
        <w:rPr>
          <w:rStyle w:val="FootnoteReference"/>
          <w:rFonts w:asciiTheme="minorHAnsi" w:hAnsiTheme="minorHAnsi" w:cstheme="minorHAnsi"/>
        </w:rPr>
        <w:footnoteReference w:id="25"/>
      </w:r>
      <w:r>
        <w:rPr>
          <w:rFonts w:asciiTheme="minorHAnsi" w:hAnsiTheme="minorHAnsi" w:cstheme="minorHAnsi"/>
        </w:rPr>
        <w:t xml:space="preserve"> </w:t>
      </w:r>
      <w:r w:rsidR="00073DD5">
        <w:rPr>
          <w:rFonts w:asciiTheme="minorHAnsi" w:hAnsiTheme="minorHAnsi" w:cstheme="minorHAnsi"/>
        </w:rPr>
        <w:t xml:space="preserve"> </w:t>
      </w:r>
      <w:r w:rsidRPr="00E92398">
        <w:rPr>
          <w:rFonts w:asciiTheme="minorHAnsi" w:hAnsiTheme="minorHAnsi" w:cstheme="minorHAnsi"/>
        </w:rPr>
        <w:t xml:space="preserve">As a result, ASCs can achieve efficiencies </w:t>
      </w:r>
      <w:r>
        <w:rPr>
          <w:rFonts w:asciiTheme="minorHAnsi" w:hAnsiTheme="minorHAnsi" w:cstheme="minorHAnsi"/>
        </w:rPr>
        <w:t xml:space="preserve">such as improved scheduling and shorter wait times </w:t>
      </w:r>
      <w:r w:rsidRPr="00E92398">
        <w:rPr>
          <w:rFonts w:asciiTheme="minorHAnsi" w:hAnsiTheme="minorHAnsi" w:cstheme="minorHAnsi"/>
        </w:rPr>
        <w:t>from their tighter focus on a specific range of procedures</w:t>
      </w:r>
      <w:r>
        <w:rPr>
          <w:rFonts w:asciiTheme="minorHAnsi" w:hAnsiTheme="minorHAnsi" w:cstheme="minorHAnsi"/>
        </w:rPr>
        <w:t xml:space="preserve"> as compared to hospitals which </w:t>
      </w:r>
      <w:r w:rsidRPr="00E92398">
        <w:rPr>
          <w:rFonts w:asciiTheme="minorHAnsi" w:hAnsiTheme="minorHAnsi" w:cstheme="minorHAnsi"/>
        </w:rPr>
        <w:t>are prone to delays resulting from emergencies or emergent inpatient surgeries.</w:t>
      </w:r>
      <w:r w:rsidRPr="00E92398">
        <w:rPr>
          <w:rStyle w:val="FootnoteReference"/>
          <w:rFonts w:asciiTheme="minorHAnsi" w:hAnsiTheme="minorHAnsi" w:cstheme="minorHAnsi"/>
        </w:rPr>
        <w:footnoteReference w:id="26"/>
      </w:r>
      <w:r w:rsidRPr="00E92398">
        <w:rPr>
          <w:rFonts w:asciiTheme="minorHAnsi" w:hAnsiTheme="minorHAnsi" w:cstheme="minorHAnsi"/>
          <w:vertAlign w:val="superscript"/>
        </w:rPr>
        <w:t>,</w:t>
      </w:r>
      <w:r w:rsidRPr="00E92398">
        <w:rPr>
          <w:rStyle w:val="FootnoteReference"/>
          <w:rFonts w:asciiTheme="minorHAnsi" w:hAnsiTheme="minorHAnsi" w:cstheme="minorHAnsi"/>
        </w:rPr>
        <w:footnoteReference w:id="27"/>
      </w:r>
      <w:r>
        <w:rPr>
          <w:rFonts w:asciiTheme="minorHAnsi" w:hAnsiTheme="minorHAnsi" w:cstheme="minorHAnsi"/>
          <w:vertAlign w:val="superscript"/>
        </w:rPr>
        <w:t>,</w:t>
      </w:r>
      <w:r w:rsidRPr="00E92398">
        <w:rPr>
          <w:rStyle w:val="FootnoteReference"/>
          <w:rFonts w:asciiTheme="minorHAnsi" w:hAnsiTheme="minorHAnsi" w:cstheme="minorHAnsi"/>
        </w:rPr>
        <w:footnoteReference w:id="28"/>
      </w:r>
      <w:r>
        <w:rPr>
          <w:rFonts w:asciiTheme="minorHAnsi" w:hAnsiTheme="minorHAnsi" w:cstheme="minorHAnsi"/>
          <w:vertAlign w:val="superscript"/>
        </w:rPr>
        <w:t>,</w:t>
      </w:r>
      <w:r w:rsidRPr="0018680A">
        <w:rPr>
          <w:rStyle w:val="FootnoteReference"/>
          <w:rFonts w:asciiTheme="minorHAnsi" w:hAnsiTheme="minorHAnsi" w:cstheme="minorHAnsi"/>
        </w:rPr>
        <w:t xml:space="preserve"> </w:t>
      </w:r>
      <w:r w:rsidRPr="00E92398">
        <w:rPr>
          <w:rStyle w:val="FootnoteReference"/>
          <w:rFonts w:asciiTheme="minorHAnsi" w:hAnsiTheme="minorHAnsi" w:cstheme="minorHAnsi"/>
        </w:rPr>
        <w:footnoteReference w:id="29"/>
      </w:r>
      <w:r w:rsidRPr="00E92398">
        <w:rPr>
          <w:rFonts w:asciiTheme="minorHAnsi" w:hAnsiTheme="minorHAnsi" w:cstheme="minorHAnsi"/>
        </w:rPr>
        <w:t>.</w:t>
      </w:r>
      <w:r w:rsidR="00073DD5">
        <w:rPr>
          <w:rFonts w:asciiTheme="minorHAnsi" w:hAnsiTheme="minorHAnsi" w:cstheme="minorHAnsi"/>
        </w:rPr>
        <w:t xml:space="preserve"> </w:t>
      </w:r>
      <w:r w:rsidRPr="00E92398">
        <w:rPr>
          <w:rFonts w:asciiTheme="minorHAnsi" w:hAnsiTheme="minorHAnsi" w:cstheme="minorHAnsi"/>
        </w:rPr>
        <w:t xml:space="preserve"> ASCs only accommodate routine, scheduled procedures, and are therefore not as affected by the schedule disruptions that can occur in </w:t>
      </w:r>
      <w:r>
        <w:rPr>
          <w:rFonts w:asciiTheme="minorHAnsi" w:hAnsiTheme="minorHAnsi" w:cstheme="minorHAnsi"/>
        </w:rPr>
        <w:t>a</w:t>
      </w:r>
      <w:r w:rsidRPr="00E92398">
        <w:rPr>
          <w:rFonts w:asciiTheme="minorHAnsi" w:hAnsiTheme="minorHAnsi" w:cstheme="minorHAnsi"/>
        </w:rPr>
        <w:t xml:space="preserve"> hospital setting.</w:t>
      </w:r>
      <w:r w:rsidR="00073DD5">
        <w:rPr>
          <w:rFonts w:asciiTheme="minorHAnsi" w:hAnsiTheme="minorHAnsi" w:cstheme="minorHAnsi"/>
        </w:rPr>
        <w:t xml:space="preserve">  </w:t>
      </w:r>
      <w:r w:rsidRPr="00E92398">
        <w:rPr>
          <w:rFonts w:asciiTheme="minorHAnsi" w:hAnsiTheme="minorHAnsi" w:cstheme="minorHAnsi"/>
        </w:rPr>
        <w:t xml:space="preserve">In contrast, hospital-based operating rooms also must be equipped to accommodate </w:t>
      </w:r>
      <w:r w:rsidR="00353E59">
        <w:rPr>
          <w:rFonts w:asciiTheme="minorHAnsi" w:hAnsiTheme="minorHAnsi" w:cstheme="minorHAnsi"/>
        </w:rPr>
        <w:t xml:space="preserve">more </w:t>
      </w:r>
      <w:r w:rsidRPr="00E92398">
        <w:rPr>
          <w:rFonts w:asciiTheme="minorHAnsi" w:hAnsiTheme="minorHAnsi" w:cstheme="minorHAnsi"/>
        </w:rPr>
        <w:t>complex cases</w:t>
      </w:r>
      <w:r>
        <w:rPr>
          <w:rFonts w:asciiTheme="minorHAnsi" w:hAnsiTheme="minorHAnsi" w:cstheme="minorHAnsi"/>
        </w:rPr>
        <w:t>.</w:t>
      </w:r>
      <w:r w:rsidRPr="00E92398">
        <w:rPr>
          <w:rStyle w:val="FootnoteReference"/>
          <w:rFonts w:asciiTheme="minorHAnsi" w:hAnsiTheme="minorHAnsi" w:cstheme="minorHAnsi"/>
        </w:rPr>
        <w:footnoteReference w:id="30"/>
      </w:r>
      <w:r w:rsidRPr="00E92398">
        <w:rPr>
          <w:rFonts w:asciiTheme="minorHAnsi" w:hAnsiTheme="minorHAnsi" w:cstheme="minorHAnsi"/>
        </w:rPr>
        <w:t xml:space="preserve"> </w:t>
      </w:r>
    </w:p>
    <w:p w14:paraId="7799BB74" w14:textId="77777777" w:rsidR="00797BE3" w:rsidRDefault="00797BE3" w:rsidP="003628F3">
      <w:pPr>
        <w:jc w:val="both"/>
        <w:rPr>
          <w:rFonts w:asciiTheme="minorHAnsi" w:hAnsiTheme="minorHAnsi" w:cstheme="minorHAnsi"/>
        </w:rPr>
      </w:pPr>
      <w:r>
        <w:rPr>
          <w:rFonts w:asciiTheme="minorHAnsi" w:hAnsiTheme="minorHAnsi" w:cstheme="minorHAnsi"/>
        </w:rPr>
        <w:t>T</w:t>
      </w:r>
      <w:r w:rsidRPr="00E92398">
        <w:rPr>
          <w:rFonts w:asciiTheme="minorHAnsi" w:hAnsiTheme="minorHAnsi" w:cstheme="minorHAnsi"/>
        </w:rPr>
        <w:t>he development of minimally invasive procedures and advancements in the administration of anesthesia have contributed to increased migration of surgical procedures from inpatient to outpatient care.</w:t>
      </w:r>
      <w:r w:rsidRPr="00E92398">
        <w:rPr>
          <w:rStyle w:val="FootnoteReference"/>
          <w:rFonts w:asciiTheme="minorHAnsi" w:hAnsiTheme="minorHAnsi" w:cstheme="minorHAnsi"/>
        </w:rPr>
        <w:footnoteReference w:id="31"/>
      </w:r>
      <w:r>
        <w:rPr>
          <w:rFonts w:asciiTheme="minorHAnsi" w:hAnsiTheme="minorHAnsi" w:cstheme="minorHAnsi"/>
        </w:rPr>
        <w:t xml:space="preserve">  Additionally, a</w:t>
      </w:r>
      <w:r w:rsidRPr="00E92398">
        <w:rPr>
          <w:rFonts w:asciiTheme="minorHAnsi" w:hAnsiTheme="minorHAnsi" w:cstheme="minorHAnsi"/>
        </w:rPr>
        <w:t>nticipated advances in medical technology</w:t>
      </w:r>
      <w:r>
        <w:rPr>
          <w:rFonts w:asciiTheme="minorHAnsi" w:hAnsiTheme="minorHAnsi" w:cstheme="minorHAnsi"/>
        </w:rPr>
        <w:t xml:space="preserve"> and favorable regulatory treatment by third party payers</w:t>
      </w:r>
      <w:r w:rsidRPr="00E92398">
        <w:rPr>
          <w:rFonts w:asciiTheme="minorHAnsi" w:hAnsiTheme="minorHAnsi" w:cstheme="minorHAnsi"/>
        </w:rPr>
        <w:t xml:space="preserve"> will increase the number and types of cases that can be performed in an ASC. </w:t>
      </w:r>
      <w:r>
        <w:rPr>
          <w:rFonts w:asciiTheme="minorHAnsi" w:hAnsiTheme="minorHAnsi" w:cstheme="minorHAnsi"/>
        </w:rPr>
        <w:t xml:space="preserve"> </w:t>
      </w:r>
      <w:r w:rsidRPr="003551D4">
        <w:rPr>
          <w:rFonts w:asciiTheme="minorHAnsi" w:hAnsiTheme="minorHAnsi" w:cstheme="minorHAnsi"/>
        </w:rPr>
        <w:t xml:space="preserve">These enhanced </w:t>
      </w:r>
      <w:r>
        <w:rPr>
          <w:rFonts w:asciiTheme="minorHAnsi" w:hAnsiTheme="minorHAnsi" w:cstheme="minorHAnsi"/>
        </w:rPr>
        <w:t xml:space="preserve">quality and </w:t>
      </w:r>
      <w:r w:rsidRPr="003551D4">
        <w:rPr>
          <w:rFonts w:asciiTheme="minorHAnsi" w:hAnsiTheme="minorHAnsi" w:cstheme="minorHAnsi"/>
        </w:rPr>
        <w:t xml:space="preserve">efficiencies of ASCs will </w:t>
      </w:r>
      <w:r>
        <w:rPr>
          <w:rFonts w:asciiTheme="minorHAnsi" w:hAnsiTheme="minorHAnsi" w:cstheme="minorHAnsi"/>
        </w:rPr>
        <w:t xml:space="preserve">result in a more </w:t>
      </w:r>
      <w:r w:rsidRPr="003551D4">
        <w:rPr>
          <w:rFonts w:asciiTheme="minorHAnsi" w:hAnsiTheme="minorHAnsi" w:cstheme="minorHAnsi"/>
        </w:rPr>
        <w:t>positive surgical experience relative to surgeries performed in a hospital setting</w:t>
      </w:r>
      <w:r>
        <w:rPr>
          <w:rFonts w:asciiTheme="minorHAnsi" w:hAnsiTheme="minorHAnsi" w:cstheme="minorHAnsi"/>
        </w:rPr>
        <w:t xml:space="preserve"> and provide </w:t>
      </w:r>
      <w:r w:rsidRPr="003551D4">
        <w:rPr>
          <w:rFonts w:asciiTheme="minorHAnsi" w:hAnsiTheme="minorHAnsi" w:cstheme="minorHAnsi"/>
        </w:rPr>
        <w:t>increased patient convenience.</w:t>
      </w:r>
    </w:p>
    <w:p w14:paraId="5FB94E6B" w14:textId="77777777" w:rsidR="00797BE3" w:rsidRPr="006F4693" w:rsidRDefault="00797BE3" w:rsidP="003628F3">
      <w:pPr>
        <w:autoSpaceDE w:val="0"/>
        <w:autoSpaceDN w:val="0"/>
        <w:adjustRightInd w:val="0"/>
        <w:jc w:val="both"/>
        <w:rPr>
          <w:rFonts w:asciiTheme="minorHAnsi" w:hAnsiTheme="minorHAnsi" w:cstheme="minorHAnsi"/>
          <w:b/>
          <w:szCs w:val="24"/>
        </w:rPr>
      </w:pPr>
      <w:r w:rsidRPr="006F4693">
        <w:rPr>
          <w:rFonts w:asciiTheme="minorHAnsi" w:hAnsiTheme="minorHAnsi" w:cstheme="minorHAnsi"/>
          <w:b/>
          <w:szCs w:val="24"/>
          <w:u w:val="single"/>
        </w:rPr>
        <w:t>F1.</w:t>
      </w:r>
      <w:proofErr w:type="gramStart"/>
      <w:r w:rsidRPr="006F4693">
        <w:rPr>
          <w:rFonts w:asciiTheme="minorHAnsi" w:hAnsiTheme="minorHAnsi" w:cstheme="minorHAnsi"/>
          <w:b/>
          <w:szCs w:val="24"/>
          <w:u w:val="single"/>
        </w:rPr>
        <w:t>b.ii</w:t>
      </w:r>
      <w:proofErr w:type="gramEnd"/>
      <w:r w:rsidRPr="006F4693">
        <w:rPr>
          <w:rFonts w:asciiTheme="minorHAnsi" w:hAnsiTheme="minorHAnsi" w:cstheme="minorHAnsi"/>
          <w:b/>
          <w:szCs w:val="24"/>
          <w:u w:val="single"/>
        </w:rPr>
        <w:t xml:space="preserve"> Public Health Value /Outcome-Oriented</w:t>
      </w:r>
      <w:r w:rsidRPr="006F4693">
        <w:rPr>
          <w:rFonts w:asciiTheme="minorHAnsi" w:hAnsiTheme="minorHAnsi" w:cstheme="minorHAnsi"/>
          <w:b/>
          <w:szCs w:val="24"/>
        </w:rPr>
        <w:t>:</w:t>
      </w:r>
    </w:p>
    <w:p w14:paraId="27405A6A" w14:textId="107892C4" w:rsidR="00797BE3" w:rsidRDefault="00797BE3" w:rsidP="003628F3">
      <w:pPr>
        <w:autoSpaceDE w:val="0"/>
        <w:autoSpaceDN w:val="0"/>
        <w:adjustRightInd w:val="0"/>
        <w:jc w:val="both"/>
        <w:rPr>
          <w:rFonts w:asciiTheme="minorHAnsi" w:hAnsiTheme="minorHAnsi" w:cstheme="minorHAnsi"/>
          <w:b/>
          <w:szCs w:val="24"/>
        </w:rPr>
      </w:pPr>
      <w:r w:rsidRPr="006F4693">
        <w:rPr>
          <w:rFonts w:asciiTheme="minorHAnsi" w:hAnsiTheme="minorHAnsi" w:cstheme="minorHAnsi"/>
          <w:b/>
          <w:szCs w:val="24"/>
        </w:rPr>
        <w:t>Describe the impact of the Proposed Project and how the Applicant will assess such impact. Provide projections demonstrating how the Proposed Project will improve health outcomes, quality of life, or health equity. Only measures that can be tracked and</w:t>
      </w:r>
      <w:r w:rsidR="003628F3">
        <w:rPr>
          <w:rFonts w:asciiTheme="minorHAnsi" w:hAnsiTheme="minorHAnsi" w:cstheme="minorHAnsi"/>
          <w:b/>
          <w:szCs w:val="24"/>
        </w:rPr>
        <w:t xml:space="preserve"> </w:t>
      </w:r>
      <w:r w:rsidRPr="006F4693">
        <w:rPr>
          <w:rFonts w:asciiTheme="minorHAnsi" w:hAnsiTheme="minorHAnsi" w:cstheme="minorHAnsi"/>
          <w:b/>
          <w:szCs w:val="24"/>
        </w:rPr>
        <w:t>reported over time should be utilized.</w:t>
      </w:r>
    </w:p>
    <w:p w14:paraId="2DE791FF" w14:textId="3D04447B" w:rsidR="00797BE3" w:rsidRDefault="00797BE3" w:rsidP="003628F3">
      <w:pPr>
        <w:jc w:val="both"/>
        <w:rPr>
          <w:rFonts w:asciiTheme="minorHAnsi" w:hAnsiTheme="minorHAnsi" w:cstheme="minorHAnsi"/>
          <w:szCs w:val="24"/>
        </w:rPr>
      </w:pPr>
      <w:r w:rsidRPr="009F6518">
        <w:rPr>
          <w:rFonts w:asciiTheme="minorHAnsi" w:hAnsiTheme="minorHAnsi" w:cstheme="minorHAnsi"/>
          <w:szCs w:val="24"/>
        </w:rPr>
        <w:t>The Proposed Project will improve timely access to surgical procedures in a low</w:t>
      </w:r>
      <w:r w:rsidR="00353E59">
        <w:rPr>
          <w:rFonts w:asciiTheme="minorHAnsi" w:hAnsiTheme="minorHAnsi" w:cstheme="minorHAnsi"/>
          <w:szCs w:val="24"/>
        </w:rPr>
        <w:t>-</w:t>
      </w:r>
      <w:r w:rsidRPr="009F6518">
        <w:rPr>
          <w:rFonts w:asciiTheme="minorHAnsi" w:hAnsiTheme="minorHAnsi" w:cstheme="minorHAnsi"/>
          <w:szCs w:val="24"/>
        </w:rPr>
        <w:t xml:space="preserve">cost setting for the Patient Panel.  </w:t>
      </w:r>
      <w:r w:rsidRPr="006F4693">
        <w:rPr>
          <w:rFonts w:asciiTheme="minorHAnsi" w:hAnsiTheme="minorHAnsi" w:cstheme="minorHAnsi"/>
          <w:szCs w:val="24"/>
        </w:rPr>
        <w:t xml:space="preserve">To assess the impact of the </w:t>
      </w:r>
      <w:r>
        <w:rPr>
          <w:rFonts w:asciiTheme="minorHAnsi" w:hAnsiTheme="minorHAnsi" w:cstheme="minorHAnsi"/>
          <w:szCs w:val="24"/>
        </w:rPr>
        <w:t xml:space="preserve">Proposed Project, the Applicant worked with SCA to </w:t>
      </w:r>
      <w:r w:rsidRPr="006F4693">
        <w:rPr>
          <w:rFonts w:asciiTheme="minorHAnsi" w:hAnsiTheme="minorHAnsi" w:cstheme="minorHAnsi"/>
          <w:szCs w:val="24"/>
        </w:rPr>
        <w:t xml:space="preserve">develop the following quality metrics. </w:t>
      </w:r>
      <w:r w:rsidR="00CD3F3D">
        <w:rPr>
          <w:rFonts w:asciiTheme="minorHAnsi" w:hAnsiTheme="minorHAnsi" w:cstheme="minorHAnsi"/>
          <w:szCs w:val="24"/>
        </w:rPr>
        <w:t xml:space="preserve"> </w:t>
      </w:r>
      <w:r w:rsidRPr="006F4693">
        <w:rPr>
          <w:rFonts w:asciiTheme="minorHAnsi" w:hAnsiTheme="minorHAnsi" w:cstheme="minorHAnsi"/>
          <w:szCs w:val="24"/>
        </w:rPr>
        <w:t xml:space="preserve">All measures will be reported on an annual basis following the first year of the Proposed Project’s implementation. </w:t>
      </w:r>
      <w:r w:rsidR="00CD3F3D">
        <w:rPr>
          <w:rFonts w:asciiTheme="minorHAnsi" w:hAnsiTheme="minorHAnsi" w:cstheme="minorHAnsi"/>
          <w:szCs w:val="24"/>
        </w:rPr>
        <w:t xml:space="preserve"> </w:t>
      </w:r>
      <w:r w:rsidRPr="006F4693">
        <w:rPr>
          <w:rFonts w:asciiTheme="minorHAnsi" w:hAnsiTheme="minorHAnsi" w:cstheme="minorHAnsi"/>
          <w:szCs w:val="24"/>
        </w:rPr>
        <w:t xml:space="preserve">The measures are discussed below: </w:t>
      </w:r>
    </w:p>
    <w:p w14:paraId="34A91A4F" w14:textId="77777777" w:rsidR="00866009" w:rsidRDefault="00866009" w:rsidP="003628F3">
      <w:pPr>
        <w:jc w:val="both"/>
        <w:rPr>
          <w:rFonts w:asciiTheme="minorHAnsi" w:hAnsiTheme="minorHAnsi" w:cstheme="minorHAnsi"/>
          <w:szCs w:val="24"/>
        </w:rPr>
      </w:pPr>
    </w:p>
    <w:p w14:paraId="3513EF97" w14:textId="77777777" w:rsidR="00866009" w:rsidRDefault="00866009" w:rsidP="003628F3">
      <w:pPr>
        <w:jc w:val="both"/>
        <w:rPr>
          <w:rFonts w:asciiTheme="minorHAnsi" w:hAnsiTheme="minorHAnsi" w:cstheme="minorHAnsi"/>
          <w:szCs w:val="24"/>
        </w:rPr>
      </w:pPr>
    </w:p>
    <w:p w14:paraId="3C26F9D4" w14:textId="124E6E8C" w:rsidR="00797BE3" w:rsidRPr="003628F3" w:rsidRDefault="00797BE3" w:rsidP="003628F3">
      <w:pPr>
        <w:pStyle w:val="ListParagraph"/>
        <w:numPr>
          <w:ilvl w:val="0"/>
          <w:numId w:val="1"/>
        </w:numPr>
        <w:spacing w:after="200" w:line="276" w:lineRule="auto"/>
        <w:contextualSpacing w:val="0"/>
        <w:jc w:val="both"/>
        <w:rPr>
          <w:rFonts w:cstheme="minorHAnsi"/>
          <w:sz w:val="24"/>
          <w:szCs w:val="24"/>
        </w:rPr>
      </w:pPr>
      <w:r>
        <w:rPr>
          <w:rFonts w:cstheme="minorHAnsi"/>
          <w:b/>
          <w:sz w:val="24"/>
          <w:szCs w:val="24"/>
        </w:rPr>
        <w:t xml:space="preserve">Clinical Quality – Surgical Site Infection Rate.  </w:t>
      </w:r>
      <w:r>
        <w:rPr>
          <w:rFonts w:cstheme="minorHAnsi"/>
          <w:sz w:val="24"/>
          <w:szCs w:val="24"/>
        </w:rPr>
        <w:t xml:space="preserve">Surgical site infections can be a significant setback to a patient’s recovery.  Effective surgical infection prevention encompasses systems and processes to reduce risk factors and optimize evidence-based processes of care. </w:t>
      </w:r>
    </w:p>
    <w:p w14:paraId="5E996902" w14:textId="59F0BD35" w:rsidR="00797BE3" w:rsidRPr="003628F3" w:rsidRDefault="00797BE3" w:rsidP="003628F3">
      <w:pPr>
        <w:pStyle w:val="ListParagraph"/>
        <w:numPr>
          <w:ilvl w:val="0"/>
          <w:numId w:val="3"/>
        </w:numPr>
        <w:spacing w:after="200" w:line="276" w:lineRule="auto"/>
        <w:contextualSpacing w:val="0"/>
        <w:jc w:val="both"/>
        <w:rPr>
          <w:rFonts w:cstheme="minorHAnsi"/>
          <w:sz w:val="24"/>
          <w:szCs w:val="24"/>
        </w:rPr>
      </w:pPr>
      <w:r w:rsidRPr="009F6518">
        <w:rPr>
          <w:rFonts w:cstheme="minorHAnsi"/>
          <w:i/>
          <w:sz w:val="24"/>
          <w:szCs w:val="24"/>
        </w:rPr>
        <w:t>Measure</w:t>
      </w:r>
      <w:r w:rsidRPr="009F6518">
        <w:rPr>
          <w:rFonts w:cstheme="minorHAnsi"/>
          <w:sz w:val="24"/>
          <w:szCs w:val="24"/>
        </w:rPr>
        <w:t xml:space="preserve">:  </w:t>
      </w:r>
      <w:r>
        <w:rPr>
          <w:rFonts w:cstheme="minorHAnsi"/>
          <w:sz w:val="24"/>
          <w:szCs w:val="24"/>
        </w:rPr>
        <w:t xml:space="preserve">The Applicant will review </w:t>
      </w:r>
      <w:r w:rsidRPr="009F6518">
        <w:rPr>
          <w:rFonts w:cstheme="minorHAnsi"/>
          <w:sz w:val="24"/>
          <w:szCs w:val="24"/>
        </w:rPr>
        <w:t>Outpatient Procedure Component Surgical Site Infection (OPC-SSI)</w:t>
      </w:r>
      <w:r>
        <w:rPr>
          <w:rFonts w:cstheme="minorHAnsi"/>
          <w:sz w:val="24"/>
          <w:szCs w:val="24"/>
        </w:rPr>
        <w:t xml:space="preserve"> Ratios</w:t>
      </w:r>
      <w:r w:rsidRPr="009F6518">
        <w:rPr>
          <w:rFonts w:cstheme="minorHAnsi"/>
          <w:sz w:val="24"/>
          <w:szCs w:val="24"/>
        </w:rPr>
        <w:t>, as defined by the CDC’s National Healthcare Safety Network (NHSN).</w:t>
      </w:r>
      <w:r>
        <w:rPr>
          <w:rFonts w:cstheme="minorHAnsi"/>
          <w:sz w:val="24"/>
          <w:szCs w:val="24"/>
        </w:rPr>
        <w:t xml:space="preserve">  OPC-SSI Ratios will be benchmarked against national data on an annual basis. </w:t>
      </w:r>
    </w:p>
    <w:p w14:paraId="45B6269E" w14:textId="4754431E" w:rsidR="00797BE3" w:rsidRPr="003628F3" w:rsidRDefault="00797BE3" w:rsidP="003628F3">
      <w:pPr>
        <w:pStyle w:val="ListParagraph"/>
        <w:numPr>
          <w:ilvl w:val="0"/>
          <w:numId w:val="3"/>
        </w:numPr>
        <w:spacing w:after="200" w:line="276" w:lineRule="auto"/>
        <w:contextualSpacing w:val="0"/>
        <w:jc w:val="both"/>
        <w:rPr>
          <w:rFonts w:cstheme="minorHAnsi"/>
          <w:sz w:val="24"/>
          <w:szCs w:val="24"/>
        </w:rPr>
      </w:pPr>
      <w:r w:rsidRPr="009F6518">
        <w:rPr>
          <w:rFonts w:cstheme="minorHAnsi"/>
          <w:i/>
          <w:sz w:val="24"/>
          <w:szCs w:val="24"/>
        </w:rPr>
        <w:t xml:space="preserve">Projections: </w:t>
      </w:r>
      <w:r w:rsidRPr="009F6518">
        <w:rPr>
          <w:rFonts w:cstheme="minorHAnsi"/>
          <w:sz w:val="24"/>
          <w:szCs w:val="24"/>
        </w:rPr>
        <w:t>The Applicant will provide baseline measures and three years of projections one year following implementation of the Proposed Project.</w:t>
      </w:r>
    </w:p>
    <w:p w14:paraId="7639F704" w14:textId="075F704A" w:rsidR="00797BE3" w:rsidRPr="003628F3" w:rsidRDefault="00797BE3" w:rsidP="003628F3">
      <w:pPr>
        <w:pStyle w:val="ListParagraph"/>
        <w:numPr>
          <w:ilvl w:val="0"/>
          <w:numId w:val="1"/>
        </w:numPr>
        <w:spacing w:after="200" w:line="276" w:lineRule="auto"/>
        <w:contextualSpacing w:val="0"/>
        <w:jc w:val="both"/>
        <w:rPr>
          <w:rFonts w:cstheme="minorHAnsi"/>
          <w:sz w:val="24"/>
          <w:szCs w:val="24"/>
        </w:rPr>
      </w:pPr>
      <w:r w:rsidRPr="00CE0E03">
        <w:rPr>
          <w:rFonts w:cstheme="minorHAnsi"/>
          <w:b/>
          <w:bCs/>
        </w:rPr>
        <w:t xml:space="preserve">Clinical Quality – </w:t>
      </w:r>
      <w:r>
        <w:rPr>
          <w:rFonts w:cstheme="minorHAnsi"/>
          <w:b/>
          <w:bCs/>
        </w:rPr>
        <w:t xml:space="preserve">On-Time Starts.   </w:t>
      </w:r>
      <w:r w:rsidRPr="000D1A02">
        <w:rPr>
          <w:rFonts w:cstheme="minorHAnsi"/>
          <w:bCs/>
          <w:sz w:val="24"/>
          <w:szCs w:val="24"/>
        </w:rPr>
        <w:t>Ensuring that procedures start on-time is not only important to ensure that a provider is achieving efficiencies</w:t>
      </w:r>
      <w:r w:rsidR="00353E59">
        <w:rPr>
          <w:rFonts w:cstheme="minorHAnsi"/>
          <w:bCs/>
          <w:sz w:val="24"/>
          <w:szCs w:val="24"/>
        </w:rPr>
        <w:t>,</w:t>
      </w:r>
      <w:r w:rsidRPr="000D1A02">
        <w:rPr>
          <w:rFonts w:cstheme="minorHAnsi"/>
          <w:bCs/>
          <w:sz w:val="24"/>
          <w:szCs w:val="24"/>
        </w:rPr>
        <w:t xml:space="preserve"> but it </w:t>
      </w:r>
      <w:r w:rsidR="00353E59">
        <w:rPr>
          <w:rFonts w:cstheme="minorHAnsi"/>
          <w:bCs/>
          <w:sz w:val="24"/>
          <w:szCs w:val="24"/>
        </w:rPr>
        <w:t>also</w:t>
      </w:r>
      <w:r w:rsidRPr="000D1A02">
        <w:rPr>
          <w:rFonts w:cstheme="minorHAnsi"/>
          <w:bCs/>
          <w:sz w:val="24"/>
          <w:szCs w:val="24"/>
        </w:rPr>
        <w:t xml:space="preserve"> positively contributes to patient satisfaction and outcomes.</w:t>
      </w:r>
      <w:r>
        <w:rPr>
          <w:rFonts w:cstheme="minorHAnsi"/>
          <w:bCs/>
        </w:rPr>
        <w:t xml:space="preserve">   </w:t>
      </w:r>
    </w:p>
    <w:p w14:paraId="59269FBF" w14:textId="747EC489" w:rsidR="00797BE3" w:rsidRPr="003628F3" w:rsidRDefault="00797BE3" w:rsidP="003628F3">
      <w:pPr>
        <w:pStyle w:val="ListParagraph"/>
        <w:numPr>
          <w:ilvl w:val="0"/>
          <w:numId w:val="4"/>
        </w:numPr>
        <w:spacing w:after="200" w:line="276" w:lineRule="auto"/>
        <w:contextualSpacing w:val="0"/>
        <w:jc w:val="both"/>
        <w:rPr>
          <w:rFonts w:cstheme="minorHAnsi"/>
          <w:sz w:val="24"/>
          <w:szCs w:val="24"/>
        </w:rPr>
      </w:pPr>
      <w:r w:rsidRPr="009F6518">
        <w:rPr>
          <w:rFonts w:cstheme="minorHAnsi"/>
          <w:i/>
          <w:sz w:val="24"/>
          <w:szCs w:val="24"/>
        </w:rPr>
        <w:t>Measure</w:t>
      </w:r>
      <w:r w:rsidRPr="009F6518">
        <w:rPr>
          <w:rFonts w:cstheme="minorHAnsi"/>
          <w:sz w:val="24"/>
          <w:szCs w:val="24"/>
        </w:rPr>
        <w:t xml:space="preserve">: </w:t>
      </w:r>
      <w:r>
        <w:rPr>
          <w:rFonts w:cstheme="minorHAnsi"/>
          <w:sz w:val="24"/>
          <w:szCs w:val="24"/>
        </w:rPr>
        <w:t xml:space="preserve"> The Applicant will review its p</w:t>
      </w:r>
      <w:r w:rsidRPr="009F6518">
        <w:rPr>
          <w:rFonts w:cstheme="minorHAnsi"/>
          <w:sz w:val="24"/>
          <w:szCs w:val="24"/>
        </w:rPr>
        <w:t>ercent of On-</w:t>
      </w:r>
      <w:r>
        <w:rPr>
          <w:rFonts w:cstheme="minorHAnsi"/>
          <w:sz w:val="24"/>
          <w:szCs w:val="24"/>
        </w:rPr>
        <w:t>T</w:t>
      </w:r>
      <w:r w:rsidRPr="009F6518">
        <w:rPr>
          <w:rFonts w:cstheme="minorHAnsi"/>
          <w:sz w:val="24"/>
          <w:szCs w:val="24"/>
        </w:rPr>
        <w:t>ime Starts</w:t>
      </w:r>
      <w:r>
        <w:rPr>
          <w:rFonts w:cstheme="minorHAnsi"/>
          <w:sz w:val="24"/>
          <w:szCs w:val="24"/>
        </w:rPr>
        <w:t xml:space="preserve">.  </w:t>
      </w:r>
    </w:p>
    <w:p w14:paraId="46285F5A" w14:textId="64DC4E82" w:rsidR="00797BE3" w:rsidRPr="003628F3" w:rsidRDefault="00797BE3" w:rsidP="003628F3">
      <w:pPr>
        <w:pStyle w:val="ListParagraph"/>
        <w:numPr>
          <w:ilvl w:val="0"/>
          <w:numId w:val="4"/>
        </w:numPr>
        <w:spacing w:after="200" w:line="276" w:lineRule="auto"/>
        <w:contextualSpacing w:val="0"/>
        <w:jc w:val="both"/>
        <w:rPr>
          <w:rFonts w:cstheme="minorHAnsi"/>
          <w:sz w:val="24"/>
          <w:szCs w:val="24"/>
        </w:rPr>
      </w:pPr>
      <w:r w:rsidRPr="009F6518">
        <w:rPr>
          <w:rFonts w:cstheme="minorHAnsi"/>
          <w:i/>
          <w:sz w:val="24"/>
          <w:szCs w:val="24"/>
        </w:rPr>
        <w:t xml:space="preserve">Projections: </w:t>
      </w:r>
      <w:r w:rsidRPr="009F6518">
        <w:rPr>
          <w:rFonts w:cstheme="minorHAnsi"/>
          <w:sz w:val="24"/>
          <w:szCs w:val="24"/>
        </w:rPr>
        <w:t>The Applicant will provide baseline measures and three years of projections one year following implementation of the Proposed Project.</w:t>
      </w:r>
    </w:p>
    <w:p w14:paraId="227A00DD" w14:textId="513893F5" w:rsidR="00797BE3" w:rsidRPr="003628F3" w:rsidRDefault="00797BE3" w:rsidP="003628F3">
      <w:pPr>
        <w:pStyle w:val="ListParagraph"/>
        <w:numPr>
          <w:ilvl w:val="0"/>
          <w:numId w:val="1"/>
        </w:numPr>
        <w:spacing w:after="200" w:line="276" w:lineRule="auto"/>
        <w:contextualSpacing w:val="0"/>
        <w:jc w:val="both"/>
        <w:rPr>
          <w:rFonts w:cstheme="minorHAnsi"/>
          <w:sz w:val="24"/>
          <w:szCs w:val="24"/>
        </w:rPr>
      </w:pPr>
      <w:r w:rsidRPr="00CE0E03">
        <w:rPr>
          <w:rFonts w:cstheme="minorHAnsi"/>
          <w:b/>
          <w:bCs/>
        </w:rPr>
        <w:t>Clinical Quality – Hospital Transfer</w:t>
      </w:r>
      <w:r>
        <w:rPr>
          <w:rFonts w:cstheme="minorHAnsi"/>
          <w:b/>
          <w:bCs/>
        </w:rPr>
        <w:t xml:space="preserve"> Rate.   </w:t>
      </w:r>
    </w:p>
    <w:p w14:paraId="6FB26890" w14:textId="653C9DE3" w:rsidR="00797BE3" w:rsidRPr="003628F3" w:rsidRDefault="00797BE3" w:rsidP="003628F3">
      <w:pPr>
        <w:pStyle w:val="ListParagraph"/>
        <w:numPr>
          <w:ilvl w:val="0"/>
          <w:numId w:val="5"/>
        </w:numPr>
        <w:spacing w:after="200" w:line="276" w:lineRule="auto"/>
        <w:contextualSpacing w:val="0"/>
        <w:jc w:val="both"/>
        <w:rPr>
          <w:rFonts w:cstheme="minorHAnsi"/>
          <w:sz w:val="24"/>
          <w:szCs w:val="24"/>
        </w:rPr>
      </w:pPr>
      <w:r w:rsidRPr="009F6518">
        <w:rPr>
          <w:rFonts w:cstheme="minorHAnsi"/>
          <w:i/>
          <w:sz w:val="24"/>
          <w:szCs w:val="24"/>
        </w:rPr>
        <w:t>Measure</w:t>
      </w:r>
      <w:r w:rsidRPr="009F6518">
        <w:rPr>
          <w:rFonts w:cstheme="minorHAnsi"/>
          <w:sz w:val="24"/>
          <w:szCs w:val="24"/>
        </w:rPr>
        <w:t xml:space="preserve">:   </w:t>
      </w:r>
      <w:r>
        <w:rPr>
          <w:rFonts w:cstheme="minorHAnsi"/>
          <w:sz w:val="24"/>
          <w:szCs w:val="24"/>
        </w:rPr>
        <w:t xml:space="preserve"> The Applicant will review the number of hospital admission transfers per 1,000 ASC admissions, defined and reported by the ASC Quality Collaboration (ASCQC).  </w:t>
      </w:r>
    </w:p>
    <w:p w14:paraId="1A7B6604" w14:textId="351D465C" w:rsidR="00797BE3" w:rsidRPr="003628F3" w:rsidRDefault="00797BE3" w:rsidP="003628F3">
      <w:pPr>
        <w:pStyle w:val="ListParagraph"/>
        <w:numPr>
          <w:ilvl w:val="0"/>
          <w:numId w:val="5"/>
        </w:numPr>
        <w:spacing w:after="200" w:line="276" w:lineRule="auto"/>
        <w:contextualSpacing w:val="0"/>
        <w:jc w:val="both"/>
        <w:rPr>
          <w:rFonts w:cstheme="minorHAnsi"/>
          <w:sz w:val="24"/>
          <w:szCs w:val="24"/>
        </w:rPr>
      </w:pPr>
      <w:r w:rsidRPr="009F6518">
        <w:rPr>
          <w:rFonts w:cstheme="minorHAnsi"/>
          <w:i/>
          <w:sz w:val="24"/>
          <w:szCs w:val="24"/>
        </w:rPr>
        <w:t xml:space="preserve">Projections: </w:t>
      </w:r>
      <w:r w:rsidRPr="009F6518">
        <w:rPr>
          <w:rFonts w:cstheme="minorHAnsi"/>
          <w:sz w:val="24"/>
          <w:szCs w:val="24"/>
        </w:rPr>
        <w:t>The Applicant will provide baseline measures and three years of projections one year following implementation of the Proposed Project.</w:t>
      </w:r>
    </w:p>
    <w:p w14:paraId="69473991" w14:textId="3668FD32" w:rsidR="00797BE3" w:rsidRPr="003628F3" w:rsidRDefault="00797BE3" w:rsidP="003628F3">
      <w:pPr>
        <w:pStyle w:val="ListParagraph"/>
        <w:numPr>
          <w:ilvl w:val="0"/>
          <w:numId w:val="1"/>
        </w:numPr>
        <w:spacing w:after="200" w:line="276" w:lineRule="auto"/>
        <w:contextualSpacing w:val="0"/>
        <w:jc w:val="both"/>
        <w:rPr>
          <w:rFonts w:cstheme="minorHAnsi"/>
          <w:b/>
          <w:sz w:val="24"/>
          <w:szCs w:val="24"/>
        </w:rPr>
      </w:pPr>
      <w:r w:rsidRPr="003551D4">
        <w:rPr>
          <w:rFonts w:cstheme="minorHAnsi"/>
          <w:b/>
          <w:sz w:val="24"/>
          <w:szCs w:val="24"/>
        </w:rPr>
        <w:t xml:space="preserve">Patient Satisfaction.  </w:t>
      </w:r>
      <w:r>
        <w:rPr>
          <w:rFonts w:cstheme="minorHAnsi"/>
          <w:b/>
          <w:sz w:val="24"/>
          <w:szCs w:val="24"/>
        </w:rPr>
        <w:t xml:space="preserve"> </w:t>
      </w:r>
      <w:r>
        <w:rPr>
          <w:rFonts w:cstheme="minorHAnsi"/>
          <w:sz w:val="24"/>
          <w:szCs w:val="24"/>
        </w:rPr>
        <w:t xml:space="preserve">The </w:t>
      </w:r>
      <w:r w:rsidRPr="009F6518">
        <w:rPr>
          <w:rFonts w:cstheme="minorHAnsi"/>
          <w:sz w:val="24"/>
          <w:szCs w:val="24"/>
        </w:rPr>
        <w:t>Outpatient &amp; Ambulatory Surgery Community Assessment of Healthcare Providers and Systems (OAS-CAHPS) survey</w:t>
      </w:r>
      <w:r>
        <w:rPr>
          <w:rFonts w:cstheme="minorHAnsi"/>
          <w:sz w:val="24"/>
          <w:szCs w:val="24"/>
        </w:rPr>
        <w:t xml:space="preserve"> is designed to measure the experience of care for patients who have visited Medicare-certified HOPDs or ASCs for surgery or procedures to inform quality improvement and comparative consumer information about the facility. </w:t>
      </w:r>
    </w:p>
    <w:p w14:paraId="62E1C27D" w14:textId="6844A1FF" w:rsidR="00797BE3" w:rsidRPr="003628F3" w:rsidRDefault="00797BE3" w:rsidP="003628F3">
      <w:pPr>
        <w:pStyle w:val="ListParagraph"/>
        <w:numPr>
          <w:ilvl w:val="0"/>
          <w:numId w:val="2"/>
        </w:numPr>
        <w:spacing w:after="200" w:line="276" w:lineRule="auto"/>
        <w:contextualSpacing w:val="0"/>
        <w:jc w:val="both"/>
        <w:rPr>
          <w:rFonts w:cstheme="minorHAnsi"/>
          <w:sz w:val="24"/>
          <w:szCs w:val="24"/>
        </w:rPr>
      </w:pPr>
      <w:r w:rsidRPr="009F6518">
        <w:rPr>
          <w:rFonts w:cstheme="minorHAnsi"/>
          <w:i/>
          <w:sz w:val="24"/>
          <w:szCs w:val="24"/>
        </w:rPr>
        <w:t>Measure</w:t>
      </w:r>
      <w:r w:rsidRPr="009F6518">
        <w:rPr>
          <w:rFonts w:cstheme="minorHAnsi"/>
          <w:sz w:val="24"/>
          <w:szCs w:val="24"/>
        </w:rPr>
        <w:t xml:space="preserve">:   </w:t>
      </w:r>
      <w:r>
        <w:rPr>
          <w:rFonts w:cstheme="minorHAnsi"/>
          <w:sz w:val="24"/>
          <w:szCs w:val="24"/>
        </w:rPr>
        <w:t xml:space="preserve">The Center will use the </w:t>
      </w:r>
      <w:r w:rsidRPr="009F6518">
        <w:rPr>
          <w:rFonts w:cstheme="minorHAnsi"/>
          <w:sz w:val="24"/>
          <w:szCs w:val="24"/>
        </w:rPr>
        <w:t>OAS-CAHPS survey</w:t>
      </w:r>
      <w:r>
        <w:rPr>
          <w:rFonts w:cstheme="minorHAnsi"/>
          <w:sz w:val="24"/>
          <w:szCs w:val="24"/>
        </w:rPr>
        <w:t xml:space="preserve"> to assess patient satisfaction with the Project.</w:t>
      </w:r>
      <w:r w:rsidR="00CD3F3D">
        <w:rPr>
          <w:rFonts w:cstheme="minorHAnsi"/>
          <w:sz w:val="24"/>
          <w:szCs w:val="24"/>
        </w:rPr>
        <w:t xml:space="preserve">  </w:t>
      </w:r>
      <w:r>
        <w:rPr>
          <w:rFonts w:cstheme="minorHAnsi"/>
          <w:sz w:val="24"/>
          <w:szCs w:val="24"/>
        </w:rPr>
        <w:t xml:space="preserve">The survey </w:t>
      </w:r>
      <w:r w:rsidRPr="009F6518">
        <w:rPr>
          <w:rFonts w:cstheme="minorHAnsi"/>
          <w:sz w:val="24"/>
          <w:szCs w:val="24"/>
        </w:rPr>
        <w:t>will be provided to all eligible patients</w:t>
      </w:r>
      <w:r>
        <w:rPr>
          <w:rFonts w:cstheme="minorHAnsi"/>
          <w:sz w:val="24"/>
          <w:szCs w:val="24"/>
        </w:rPr>
        <w:t xml:space="preserve"> on an annual basis. </w:t>
      </w:r>
    </w:p>
    <w:p w14:paraId="2AA8FF56" w14:textId="387B83F6" w:rsidR="00452129" w:rsidRPr="003628F3" w:rsidRDefault="00797BE3" w:rsidP="003628F3">
      <w:pPr>
        <w:pStyle w:val="ListParagraph"/>
        <w:numPr>
          <w:ilvl w:val="0"/>
          <w:numId w:val="2"/>
        </w:numPr>
        <w:spacing w:after="200" w:line="276" w:lineRule="auto"/>
        <w:contextualSpacing w:val="0"/>
        <w:jc w:val="both"/>
        <w:rPr>
          <w:rFonts w:cstheme="minorHAnsi"/>
          <w:sz w:val="24"/>
          <w:szCs w:val="24"/>
        </w:rPr>
      </w:pPr>
      <w:r w:rsidRPr="006F4693">
        <w:rPr>
          <w:rFonts w:cstheme="minorHAnsi"/>
          <w:i/>
          <w:sz w:val="24"/>
          <w:szCs w:val="24"/>
        </w:rPr>
        <w:t xml:space="preserve">Projections: </w:t>
      </w:r>
      <w:r w:rsidRPr="006F4693">
        <w:rPr>
          <w:rFonts w:cstheme="minorHAnsi"/>
          <w:sz w:val="24"/>
          <w:szCs w:val="24"/>
        </w:rPr>
        <w:t>The Applicant will provide baseline measures and three years of projections one year following implementation of the Proposed Project.</w:t>
      </w:r>
    </w:p>
    <w:p w14:paraId="5F0A0BEF" w14:textId="2C1AC1F0" w:rsidR="00797BE3" w:rsidRPr="003628F3" w:rsidRDefault="003628F3" w:rsidP="003628F3">
      <w:pPr>
        <w:jc w:val="both"/>
        <w:rPr>
          <w:rFonts w:asciiTheme="minorHAnsi" w:hAnsiTheme="minorHAnsi" w:cstheme="minorHAnsi"/>
          <w:b/>
          <w:szCs w:val="24"/>
          <w:u w:val="single"/>
        </w:rPr>
      </w:pPr>
      <w:r>
        <w:rPr>
          <w:rFonts w:asciiTheme="minorHAnsi" w:hAnsiTheme="minorHAnsi" w:cstheme="minorHAnsi"/>
          <w:b/>
          <w:szCs w:val="24"/>
          <w:u w:val="single"/>
        </w:rPr>
        <w:br w:type="page"/>
      </w:r>
      <w:r w:rsidR="00797BE3" w:rsidRPr="006F4693">
        <w:rPr>
          <w:rFonts w:asciiTheme="minorHAnsi" w:hAnsiTheme="minorHAnsi" w:cstheme="minorHAnsi"/>
          <w:b/>
          <w:szCs w:val="24"/>
          <w:u w:val="single"/>
        </w:rPr>
        <w:t>F1.b.iii Public Health Value /Health Equity-Focused</w:t>
      </w:r>
      <w:r w:rsidR="00797BE3" w:rsidRPr="006F4693">
        <w:rPr>
          <w:rFonts w:asciiTheme="minorHAnsi" w:hAnsiTheme="minorHAnsi" w:cstheme="minorHAnsi"/>
          <w:b/>
          <w:szCs w:val="24"/>
        </w:rPr>
        <w:t xml:space="preserve">: </w:t>
      </w:r>
    </w:p>
    <w:p w14:paraId="78335553" w14:textId="39E3C4FC" w:rsidR="00797BE3" w:rsidRDefault="00797BE3" w:rsidP="003628F3">
      <w:pPr>
        <w:autoSpaceDE w:val="0"/>
        <w:autoSpaceDN w:val="0"/>
        <w:adjustRightInd w:val="0"/>
        <w:jc w:val="both"/>
        <w:rPr>
          <w:rFonts w:asciiTheme="minorHAnsi" w:hAnsiTheme="minorHAnsi" w:cstheme="minorHAnsi"/>
          <w:b/>
          <w:szCs w:val="24"/>
        </w:rPr>
      </w:pPr>
      <w:r w:rsidRPr="006F4693">
        <w:rPr>
          <w:rFonts w:asciiTheme="minorHAnsi" w:hAnsiTheme="minorHAnsi" w:cstheme="minorHAnsi"/>
          <w:b/>
          <w:szCs w:val="24"/>
        </w:rPr>
        <w:t>For Proposed Projects addressing health inequities identified within the Applicant's description of the Proposed Project's need base, please justify how the Proposed Project will reduce the health inequity, including the operational components (e.g.</w:t>
      </w:r>
      <w:r>
        <w:rPr>
          <w:rFonts w:asciiTheme="minorHAnsi" w:hAnsiTheme="minorHAnsi" w:cstheme="minorHAnsi"/>
          <w:b/>
          <w:szCs w:val="24"/>
        </w:rPr>
        <w:t xml:space="preserve"> </w:t>
      </w:r>
      <w:r w:rsidRPr="006F4693">
        <w:rPr>
          <w:rFonts w:asciiTheme="minorHAnsi" w:hAnsiTheme="minorHAnsi" w:cstheme="minorHAnsi"/>
          <w:b/>
          <w:szCs w:val="24"/>
        </w:rPr>
        <w:t>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w:t>
      </w:r>
    </w:p>
    <w:p w14:paraId="645D4D62" w14:textId="6EC5C293" w:rsidR="00797BE3" w:rsidRPr="00257A80" w:rsidRDefault="00797BE3" w:rsidP="003628F3">
      <w:pPr>
        <w:jc w:val="both"/>
        <w:rPr>
          <w:rFonts w:asciiTheme="minorHAnsi" w:hAnsiTheme="minorHAnsi" w:cstheme="minorHAnsi"/>
          <w:szCs w:val="24"/>
        </w:rPr>
      </w:pPr>
      <w:r w:rsidRPr="00257A80">
        <w:rPr>
          <w:rFonts w:asciiTheme="minorHAnsi" w:hAnsiTheme="minorHAnsi" w:cstheme="minorHAnsi"/>
          <w:szCs w:val="24"/>
        </w:rPr>
        <w:t xml:space="preserve">Atrius Health is an HPC-certified ACO driven to improve the health and wellness of the population of the Commonwealth by providing high-quality, coordinated care for patients across Eastern Massachusetts.  Atrius Health is committed to serving a diverse patient population and strives to address the needs of individuals who may be at particular risk for poor health </w:t>
      </w:r>
      <w:proofErr w:type="gramStart"/>
      <w:r w:rsidRPr="00257A80">
        <w:rPr>
          <w:rFonts w:asciiTheme="minorHAnsi" w:hAnsiTheme="minorHAnsi" w:cstheme="minorHAnsi"/>
          <w:szCs w:val="24"/>
        </w:rPr>
        <w:t>as a result of</w:t>
      </w:r>
      <w:proofErr w:type="gramEnd"/>
      <w:r w:rsidRPr="00257A80">
        <w:rPr>
          <w:rFonts w:asciiTheme="minorHAnsi" w:hAnsiTheme="minorHAnsi" w:cstheme="minorHAnsi"/>
          <w:szCs w:val="24"/>
        </w:rPr>
        <w:t xml:space="preserve"> social and other conditions.</w:t>
      </w:r>
      <w:r w:rsidR="00361D38">
        <w:rPr>
          <w:rFonts w:asciiTheme="minorHAnsi" w:hAnsiTheme="minorHAnsi" w:cstheme="minorHAnsi"/>
          <w:szCs w:val="24"/>
        </w:rPr>
        <w:t xml:space="preserve"> </w:t>
      </w:r>
      <w:r w:rsidRPr="00257A80">
        <w:rPr>
          <w:rFonts w:asciiTheme="minorHAnsi" w:hAnsiTheme="minorHAnsi" w:cstheme="minorHAnsi"/>
          <w:szCs w:val="24"/>
        </w:rPr>
        <w:t xml:space="preserve"> As further detailed throughout this proposal, the </w:t>
      </w:r>
      <w:r w:rsidR="00452129">
        <w:rPr>
          <w:rFonts w:asciiTheme="minorHAnsi" w:hAnsiTheme="minorHAnsi" w:cstheme="minorHAnsi"/>
          <w:szCs w:val="24"/>
        </w:rPr>
        <w:t>P</w:t>
      </w:r>
      <w:r w:rsidR="00452129" w:rsidRPr="00257A80">
        <w:rPr>
          <w:rFonts w:asciiTheme="minorHAnsi" w:hAnsiTheme="minorHAnsi" w:cstheme="minorHAnsi"/>
          <w:szCs w:val="24"/>
        </w:rPr>
        <w:t xml:space="preserve">roposed </w:t>
      </w:r>
      <w:r w:rsidRPr="00257A80">
        <w:rPr>
          <w:rFonts w:asciiTheme="minorHAnsi" w:hAnsiTheme="minorHAnsi" w:cstheme="minorHAnsi"/>
          <w:szCs w:val="24"/>
        </w:rPr>
        <w:t xml:space="preserve">Project </w:t>
      </w:r>
      <w:r w:rsidR="00353E59">
        <w:rPr>
          <w:rFonts w:asciiTheme="minorHAnsi" w:hAnsiTheme="minorHAnsi" w:cstheme="minorHAnsi"/>
          <w:szCs w:val="24"/>
        </w:rPr>
        <w:t>will</w:t>
      </w:r>
      <w:r w:rsidR="00353E59" w:rsidRPr="00257A80">
        <w:rPr>
          <w:rFonts w:asciiTheme="minorHAnsi" w:hAnsiTheme="minorHAnsi" w:cstheme="minorHAnsi"/>
          <w:szCs w:val="24"/>
        </w:rPr>
        <w:t xml:space="preserve"> </w:t>
      </w:r>
      <w:r w:rsidRPr="00257A80">
        <w:rPr>
          <w:rFonts w:asciiTheme="minorHAnsi" w:hAnsiTheme="minorHAnsi" w:cstheme="minorHAnsi"/>
          <w:szCs w:val="24"/>
        </w:rPr>
        <w:t>increase access to high quality surgical services for all patients.</w:t>
      </w:r>
    </w:p>
    <w:p w14:paraId="6A6E88BB" w14:textId="1F825177" w:rsidR="00797BE3" w:rsidRDefault="00797BE3" w:rsidP="003628F3">
      <w:pPr>
        <w:jc w:val="both"/>
        <w:rPr>
          <w:rFonts w:asciiTheme="minorHAnsi" w:hAnsiTheme="minorHAnsi" w:cstheme="minorHAnsi"/>
          <w:szCs w:val="24"/>
        </w:rPr>
      </w:pPr>
      <w:r w:rsidRPr="00257A80">
        <w:rPr>
          <w:rFonts w:asciiTheme="minorHAnsi" w:hAnsiTheme="minorHAnsi" w:cstheme="minorHAnsi"/>
          <w:szCs w:val="24"/>
        </w:rPr>
        <w:t>Atrius Health prides itself on delivering a model of care that is focused on the individual, regardless of payer source or ability to pay.  Atrius Health accepts most insurance plans and works with patients who have difficulty paying for care</w:t>
      </w:r>
      <w:r>
        <w:rPr>
          <w:rFonts w:asciiTheme="minorHAnsi" w:hAnsiTheme="minorHAnsi" w:cstheme="minorHAnsi"/>
          <w:szCs w:val="24"/>
        </w:rPr>
        <w:t xml:space="preserve"> under a financial assistance policy</w:t>
      </w:r>
      <w:r w:rsidRPr="002D79A0">
        <w:rPr>
          <w:rFonts w:asciiTheme="minorHAnsi" w:hAnsiTheme="minorHAnsi" w:cstheme="minorHAnsi"/>
          <w:szCs w:val="24"/>
        </w:rPr>
        <w:t>.</w:t>
      </w:r>
      <w:r w:rsidR="00361D38">
        <w:rPr>
          <w:rFonts w:asciiTheme="minorHAnsi" w:hAnsiTheme="minorHAnsi" w:cstheme="minorHAnsi"/>
          <w:szCs w:val="24"/>
        </w:rPr>
        <w:t xml:space="preserve">  </w:t>
      </w:r>
      <w:r w:rsidRPr="00257A80">
        <w:rPr>
          <w:rFonts w:asciiTheme="minorHAnsi" w:hAnsiTheme="minorHAnsi" w:cstheme="minorHAnsi"/>
          <w:szCs w:val="24"/>
        </w:rPr>
        <w:t xml:space="preserve">Atrius Health has always participated in Medicaid (MassHealth) and currently participates as the ACO Partner in the MassHealth ACO plan, Fallon Health - Atrius Health Care Collaborative. </w:t>
      </w:r>
      <w:r w:rsidR="00361D38">
        <w:rPr>
          <w:rFonts w:asciiTheme="minorHAnsi" w:hAnsiTheme="minorHAnsi" w:cstheme="minorHAnsi"/>
          <w:szCs w:val="24"/>
        </w:rPr>
        <w:t xml:space="preserve"> </w:t>
      </w:r>
      <w:r w:rsidR="0030548D">
        <w:rPr>
          <w:rFonts w:asciiTheme="minorHAnsi" w:hAnsiTheme="minorHAnsi" w:cstheme="minorHAnsi"/>
          <w:szCs w:val="24"/>
        </w:rPr>
        <w:t xml:space="preserve">Even prior </w:t>
      </w:r>
      <w:r w:rsidR="00DB10E7">
        <w:rPr>
          <w:rFonts w:asciiTheme="minorHAnsi" w:hAnsiTheme="minorHAnsi" w:cstheme="minorHAnsi"/>
          <w:szCs w:val="24"/>
        </w:rPr>
        <w:t>to the launch of the MassHealth ACO program</w:t>
      </w:r>
      <w:r w:rsidR="002752E1">
        <w:rPr>
          <w:rFonts w:asciiTheme="minorHAnsi" w:hAnsiTheme="minorHAnsi" w:cstheme="minorHAnsi"/>
          <w:szCs w:val="24"/>
        </w:rPr>
        <w:t xml:space="preserve"> in 2018</w:t>
      </w:r>
      <w:r w:rsidR="00DB10E7">
        <w:rPr>
          <w:rFonts w:asciiTheme="minorHAnsi" w:hAnsiTheme="minorHAnsi" w:cstheme="minorHAnsi"/>
          <w:szCs w:val="24"/>
        </w:rPr>
        <w:t xml:space="preserve">, Atrius Health was </w:t>
      </w:r>
      <w:r w:rsidR="008D1215">
        <w:rPr>
          <w:rFonts w:asciiTheme="minorHAnsi" w:hAnsiTheme="minorHAnsi" w:cstheme="minorHAnsi"/>
          <w:szCs w:val="24"/>
        </w:rPr>
        <w:t xml:space="preserve">one of the few provider groups in the state </w:t>
      </w:r>
      <w:r w:rsidR="00DB10E7">
        <w:rPr>
          <w:rFonts w:asciiTheme="minorHAnsi" w:hAnsiTheme="minorHAnsi" w:cstheme="minorHAnsi"/>
          <w:szCs w:val="24"/>
        </w:rPr>
        <w:t xml:space="preserve">in a </w:t>
      </w:r>
      <w:r w:rsidR="008D1215">
        <w:rPr>
          <w:rFonts w:asciiTheme="minorHAnsi" w:hAnsiTheme="minorHAnsi" w:cstheme="minorHAnsi"/>
          <w:szCs w:val="24"/>
        </w:rPr>
        <w:t>full-</w:t>
      </w:r>
      <w:r w:rsidR="00DB10E7">
        <w:rPr>
          <w:rFonts w:asciiTheme="minorHAnsi" w:hAnsiTheme="minorHAnsi" w:cstheme="minorHAnsi"/>
          <w:szCs w:val="24"/>
        </w:rPr>
        <w:t xml:space="preserve">risk arrangement for MassHealth.  </w:t>
      </w:r>
      <w:r w:rsidRPr="00257A80">
        <w:rPr>
          <w:rFonts w:asciiTheme="minorHAnsi" w:hAnsiTheme="minorHAnsi" w:cstheme="minorHAnsi"/>
          <w:szCs w:val="24"/>
        </w:rPr>
        <w:t xml:space="preserve">Atrius Health participates in Medicare alternative payment models, such as the Medicare Shared Savings Program and Primary Care First, the aims of which include improving access to, and coordinating care for Medicare beneficiaries.  </w:t>
      </w:r>
    </w:p>
    <w:p w14:paraId="0A9CD2D0" w14:textId="1213390F" w:rsidR="00B35615" w:rsidRDefault="0092496D" w:rsidP="003628F3">
      <w:pPr>
        <w:jc w:val="both"/>
        <w:rPr>
          <w:rFonts w:asciiTheme="minorHAnsi" w:hAnsiTheme="minorHAnsi" w:cstheme="minorHAnsi"/>
          <w:szCs w:val="24"/>
        </w:rPr>
      </w:pPr>
      <w:r>
        <w:rPr>
          <w:rFonts w:asciiTheme="minorHAnsi" w:hAnsiTheme="minorHAnsi" w:cstheme="minorHAnsi"/>
          <w:szCs w:val="24"/>
        </w:rPr>
        <w:t xml:space="preserve">Since </w:t>
      </w:r>
      <w:r w:rsidR="00B35615">
        <w:rPr>
          <w:rFonts w:asciiTheme="minorHAnsi" w:hAnsiTheme="minorHAnsi" w:cstheme="minorHAnsi"/>
          <w:szCs w:val="24"/>
        </w:rPr>
        <w:t xml:space="preserve">the launch of the </w:t>
      </w:r>
      <w:r>
        <w:rPr>
          <w:rFonts w:asciiTheme="minorHAnsi" w:hAnsiTheme="minorHAnsi" w:cstheme="minorHAnsi"/>
          <w:szCs w:val="24"/>
        </w:rPr>
        <w:t>MassHealth ACO</w:t>
      </w:r>
      <w:r w:rsidR="00B35615">
        <w:rPr>
          <w:rFonts w:asciiTheme="minorHAnsi" w:hAnsiTheme="minorHAnsi" w:cstheme="minorHAnsi"/>
          <w:szCs w:val="24"/>
        </w:rPr>
        <w:t xml:space="preserve"> program</w:t>
      </w:r>
      <w:r>
        <w:rPr>
          <w:rFonts w:asciiTheme="minorHAnsi" w:hAnsiTheme="minorHAnsi" w:cstheme="minorHAnsi"/>
          <w:szCs w:val="24"/>
        </w:rPr>
        <w:t xml:space="preserve"> in 2018, the </w:t>
      </w:r>
      <w:r w:rsidR="00B35615">
        <w:rPr>
          <w:rFonts w:asciiTheme="minorHAnsi" w:hAnsiTheme="minorHAnsi" w:cstheme="minorHAnsi"/>
          <w:szCs w:val="24"/>
        </w:rPr>
        <w:t>Atrius Health</w:t>
      </w:r>
      <w:r>
        <w:rPr>
          <w:rFonts w:asciiTheme="minorHAnsi" w:hAnsiTheme="minorHAnsi" w:cstheme="minorHAnsi"/>
          <w:szCs w:val="24"/>
        </w:rPr>
        <w:t xml:space="preserve">’s MassHealth population has almost doubled.  </w:t>
      </w:r>
      <w:r w:rsidR="0047240F">
        <w:rPr>
          <w:rFonts w:asciiTheme="minorHAnsi" w:hAnsiTheme="minorHAnsi" w:cstheme="minorHAnsi"/>
          <w:szCs w:val="24"/>
        </w:rPr>
        <w:t>Atrius Health has one of the highest rates of voluntary attribution amongst the other ACOs and saw</w:t>
      </w:r>
      <w:r>
        <w:rPr>
          <w:rFonts w:asciiTheme="minorHAnsi" w:hAnsiTheme="minorHAnsi" w:cstheme="minorHAnsi"/>
          <w:szCs w:val="24"/>
        </w:rPr>
        <w:t xml:space="preserve"> a 40% growth in its MassHealth population during Public Health Emergency (PHE)</w:t>
      </w:r>
      <w:r w:rsidR="0047240F">
        <w:rPr>
          <w:rFonts w:asciiTheme="minorHAnsi" w:hAnsiTheme="minorHAnsi" w:cstheme="minorHAnsi"/>
          <w:szCs w:val="24"/>
        </w:rPr>
        <w:t>.</w:t>
      </w:r>
      <w:r w:rsidR="000B6452">
        <w:rPr>
          <w:rStyle w:val="FootnoteReference"/>
          <w:rFonts w:asciiTheme="minorHAnsi" w:hAnsiTheme="minorHAnsi" w:cstheme="minorHAnsi"/>
          <w:szCs w:val="24"/>
        </w:rPr>
        <w:footnoteReference w:id="32"/>
      </w:r>
      <w:r w:rsidR="0047240F">
        <w:rPr>
          <w:rFonts w:asciiTheme="minorHAnsi" w:hAnsiTheme="minorHAnsi" w:cstheme="minorHAnsi"/>
          <w:szCs w:val="24"/>
        </w:rPr>
        <w:t xml:space="preserve">  Although the </w:t>
      </w:r>
      <w:r w:rsidR="00B35615">
        <w:rPr>
          <w:rFonts w:asciiTheme="minorHAnsi" w:hAnsiTheme="minorHAnsi" w:cstheme="minorHAnsi"/>
          <w:szCs w:val="24"/>
        </w:rPr>
        <w:t>lift of the PHE and reinstate</w:t>
      </w:r>
      <w:r w:rsidR="0047240F">
        <w:rPr>
          <w:rFonts w:asciiTheme="minorHAnsi" w:hAnsiTheme="minorHAnsi" w:cstheme="minorHAnsi"/>
          <w:szCs w:val="24"/>
        </w:rPr>
        <w:t>ment of the</w:t>
      </w:r>
      <w:r w:rsidR="00B35615">
        <w:rPr>
          <w:rFonts w:asciiTheme="minorHAnsi" w:hAnsiTheme="minorHAnsi" w:cstheme="minorHAnsi"/>
          <w:szCs w:val="24"/>
        </w:rPr>
        <w:t xml:space="preserve"> MassHealth redetermination process has led to 8% decrease in Atrius Health’s MassHealth population</w:t>
      </w:r>
      <w:r w:rsidR="00B35615">
        <w:rPr>
          <w:rStyle w:val="FootnoteReference"/>
          <w:rFonts w:asciiTheme="minorHAnsi" w:hAnsiTheme="minorHAnsi" w:cstheme="minorHAnsi"/>
          <w:szCs w:val="24"/>
        </w:rPr>
        <w:footnoteReference w:id="33"/>
      </w:r>
      <w:r w:rsidR="0047240F">
        <w:rPr>
          <w:rFonts w:asciiTheme="minorHAnsi" w:hAnsiTheme="minorHAnsi" w:cstheme="minorHAnsi"/>
          <w:szCs w:val="24"/>
        </w:rPr>
        <w:t xml:space="preserve">, </w:t>
      </w:r>
      <w:r w:rsidR="00B35615">
        <w:rPr>
          <w:rFonts w:asciiTheme="minorHAnsi" w:hAnsiTheme="minorHAnsi" w:cstheme="minorHAnsi"/>
          <w:szCs w:val="24"/>
        </w:rPr>
        <w:t xml:space="preserve">it is </w:t>
      </w:r>
      <w:r w:rsidR="0047240F">
        <w:rPr>
          <w:rFonts w:asciiTheme="minorHAnsi" w:hAnsiTheme="minorHAnsi" w:cstheme="minorHAnsi"/>
          <w:szCs w:val="24"/>
        </w:rPr>
        <w:t>a smaller decrease than what has been</w:t>
      </w:r>
      <w:r w:rsidR="00B35615">
        <w:rPr>
          <w:rFonts w:asciiTheme="minorHAnsi" w:hAnsiTheme="minorHAnsi" w:cstheme="minorHAnsi"/>
          <w:szCs w:val="24"/>
        </w:rPr>
        <w:t xml:space="preserve"> seen across the Commonwealth.</w:t>
      </w:r>
      <w:r w:rsidR="0047240F">
        <w:rPr>
          <w:rStyle w:val="FootnoteReference"/>
          <w:rFonts w:asciiTheme="minorHAnsi" w:hAnsiTheme="minorHAnsi" w:cstheme="minorHAnsi"/>
          <w:szCs w:val="24"/>
        </w:rPr>
        <w:footnoteReference w:id="34"/>
      </w:r>
      <w:r w:rsidR="0047240F">
        <w:rPr>
          <w:rFonts w:asciiTheme="minorHAnsi" w:hAnsiTheme="minorHAnsi" w:cstheme="minorHAnsi"/>
          <w:szCs w:val="24"/>
        </w:rPr>
        <w:t xml:space="preserve">  </w:t>
      </w:r>
    </w:p>
    <w:p w14:paraId="602446AE" w14:textId="03FC8C3E" w:rsidR="002752E1" w:rsidRPr="00257A80" w:rsidRDefault="002752E1" w:rsidP="003628F3">
      <w:pPr>
        <w:jc w:val="both"/>
        <w:rPr>
          <w:rFonts w:asciiTheme="minorHAnsi" w:hAnsiTheme="minorHAnsi" w:cstheme="minorHAnsi"/>
          <w:szCs w:val="24"/>
        </w:rPr>
      </w:pPr>
      <w:r>
        <w:rPr>
          <w:rFonts w:asciiTheme="minorHAnsi" w:hAnsiTheme="minorHAnsi" w:cstheme="minorHAnsi"/>
          <w:szCs w:val="24"/>
        </w:rPr>
        <w:t xml:space="preserve">Under the new MassHealth ACO model, Atrius Health </w:t>
      </w:r>
      <w:r w:rsidR="00C070F8">
        <w:rPr>
          <w:rFonts w:asciiTheme="minorHAnsi" w:hAnsiTheme="minorHAnsi" w:cstheme="minorHAnsi"/>
          <w:szCs w:val="24"/>
        </w:rPr>
        <w:t>has</w:t>
      </w:r>
      <w:r>
        <w:rPr>
          <w:rFonts w:asciiTheme="minorHAnsi" w:hAnsiTheme="minorHAnsi" w:cstheme="minorHAnsi"/>
          <w:szCs w:val="24"/>
        </w:rPr>
        <w:t xml:space="preserve"> expanded and improved connection to health-related social need services, long-term services and supports, behavioral health services, and care management services for the Atrius Health’s MassHealth patient population.  Atrius Health plans to continue to provide these </w:t>
      </w:r>
      <w:r w:rsidR="00C070F8">
        <w:rPr>
          <w:rFonts w:asciiTheme="minorHAnsi" w:hAnsiTheme="minorHAnsi" w:cstheme="minorHAnsi"/>
          <w:szCs w:val="24"/>
        </w:rPr>
        <w:t>services to</w:t>
      </w:r>
      <w:r>
        <w:rPr>
          <w:rFonts w:asciiTheme="minorHAnsi" w:hAnsiTheme="minorHAnsi" w:cstheme="minorHAnsi"/>
          <w:szCs w:val="24"/>
        </w:rPr>
        <w:t xml:space="preserve"> </w:t>
      </w:r>
      <w:r w:rsidR="00C070F8">
        <w:rPr>
          <w:rFonts w:asciiTheme="minorHAnsi" w:hAnsiTheme="minorHAnsi" w:cstheme="minorHAnsi"/>
          <w:szCs w:val="24"/>
        </w:rPr>
        <w:t xml:space="preserve">meet </w:t>
      </w:r>
      <w:r>
        <w:rPr>
          <w:rFonts w:asciiTheme="minorHAnsi" w:hAnsiTheme="minorHAnsi" w:cstheme="minorHAnsi"/>
          <w:szCs w:val="24"/>
        </w:rPr>
        <w:t>the unique needs of the MassHealth population.</w:t>
      </w:r>
    </w:p>
    <w:p w14:paraId="2D806FDC" w14:textId="5B6EC869" w:rsidR="00797BE3" w:rsidRPr="00257A80" w:rsidRDefault="00797BE3" w:rsidP="003628F3">
      <w:pPr>
        <w:jc w:val="both"/>
        <w:rPr>
          <w:rFonts w:asciiTheme="minorHAnsi" w:hAnsiTheme="minorHAnsi" w:cstheme="minorHAnsi"/>
          <w:szCs w:val="24"/>
        </w:rPr>
      </w:pPr>
      <w:r w:rsidRPr="00257A80">
        <w:rPr>
          <w:rFonts w:asciiTheme="minorHAnsi" w:hAnsiTheme="minorHAnsi" w:cstheme="minorHAnsi"/>
          <w:szCs w:val="24"/>
        </w:rPr>
        <w:t xml:space="preserve">The Proposed Project will contribute to </w:t>
      </w:r>
      <w:bookmarkStart w:id="9" w:name="_BPDCI_57"/>
      <w:r w:rsidRPr="00257A80">
        <w:rPr>
          <w:rFonts w:asciiTheme="minorHAnsi" w:hAnsiTheme="minorHAnsi" w:cstheme="minorHAnsi"/>
          <w:szCs w:val="24"/>
        </w:rPr>
        <w:t xml:space="preserve">Atrius Health’s </w:t>
      </w:r>
      <w:bookmarkEnd w:id="9"/>
      <w:r w:rsidRPr="00257A80">
        <w:rPr>
          <w:rFonts w:asciiTheme="minorHAnsi" w:hAnsiTheme="minorHAnsi" w:cstheme="minorHAnsi"/>
          <w:szCs w:val="24"/>
        </w:rPr>
        <w:t>efforts to improve access to care for underserved populations by making surgical services more accessible at a lower cost to its patients across Eastern Massachusetts.  The HPC has shared findings from an analysis of the CHIA 2019 Massachusetts Health Insurance Survey, indicating that among Massachusetts commercially insured patients with lower incomes</w:t>
      </w:r>
      <w:r w:rsidRPr="00D26FAB">
        <w:rPr>
          <w:rFonts w:asciiTheme="minorHAnsi" w:hAnsiTheme="minorHAnsi" w:cstheme="minorHAnsi"/>
          <w:szCs w:val="24"/>
        </w:rPr>
        <w:t xml:space="preserve">, </w:t>
      </w:r>
      <w:r w:rsidRPr="003912FE">
        <w:rPr>
          <w:rFonts w:asciiTheme="minorHAnsi" w:hAnsiTheme="minorHAnsi"/>
        </w:rPr>
        <w:t>59</w:t>
      </w:r>
      <w:r w:rsidR="00D26FAB" w:rsidRPr="00D26FAB">
        <w:rPr>
          <w:rFonts w:asciiTheme="minorHAnsi" w:hAnsiTheme="minorHAnsi" w:cstheme="minorHAnsi"/>
          <w:szCs w:val="24"/>
        </w:rPr>
        <w:t>.3</w:t>
      </w:r>
      <w:r w:rsidRPr="003912FE">
        <w:rPr>
          <w:rFonts w:asciiTheme="minorHAnsi" w:hAnsiTheme="minorHAnsi"/>
        </w:rPr>
        <w:t>% had</w:t>
      </w:r>
      <w:r w:rsidRPr="00257A80">
        <w:rPr>
          <w:rFonts w:asciiTheme="minorHAnsi" w:hAnsiTheme="minorHAnsi" w:cstheme="minorHAnsi"/>
          <w:szCs w:val="24"/>
        </w:rPr>
        <w:t xml:space="preserve"> trouble accessing care due to cost.  The HPC has also found that lower-income residents disproportionately </w:t>
      </w:r>
      <w:bookmarkStart w:id="10" w:name="_BPDCD_58"/>
      <w:r w:rsidRPr="00257A80">
        <w:rPr>
          <w:rFonts w:asciiTheme="minorHAnsi" w:hAnsiTheme="minorHAnsi" w:cstheme="minorHAnsi"/>
          <w:szCs w:val="24"/>
        </w:rPr>
        <w:t xml:space="preserve">forgo </w:t>
      </w:r>
      <w:bookmarkEnd w:id="10"/>
      <w:r w:rsidRPr="00257A80">
        <w:rPr>
          <w:rFonts w:asciiTheme="minorHAnsi" w:hAnsiTheme="minorHAnsi" w:cstheme="minorHAnsi"/>
          <w:szCs w:val="24"/>
        </w:rPr>
        <w:t>needed care.</w:t>
      </w:r>
      <w:r w:rsidRPr="00257A80">
        <w:rPr>
          <w:rStyle w:val="FootnoteReference"/>
          <w:rFonts w:asciiTheme="minorHAnsi" w:hAnsiTheme="minorHAnsi" w:cstheme="minorHAnsi"/>
          <w:szCs w:val="24"/>
        </w:rPr>
        <w:footnoteReference w:id="35"/>
      </w:r>
      <w:r w:rsidRPr="00257A80">
        <w:rPr>
          <w:rFonts w:asciiTheme="minorHAnsi" w:hAnsiTheme="minorHAnsi" w:cstheme="minorHAnsi"/>
          <w:szCs w:val="24"/>
        </w:rPr>
        <w:t xml:space="preserve">  Reducing </w:t>
      </w:r>
      <w:bookmarkStart w:id="11" w:name="_BPDCD_59"/>
      <w:r w:rsidRPr="00257A80">
        <w:rPr>
          <w:rFonts w:asciiTheme="minorHAnsi" w:hAnsiTheme="minorHAnsi" w:cstheme="minorHAnsi"/>
          <w:szCs w:val="24"/>
        </w:rPr>
        <w:t xml:space="preserve">the cost </w:t>
      </w:r>
      <w:bookmarkEnd w:id="11"/>
      <w:r w:rsidRPr="00257A80">
        <w:rPr>
          <w:rFonts w:asciiTheme="minorHAnsi" w:hAnsiTheme="minorHAnsi" w:cstheme="minorHAnsi"/>
          <w:szCs w:val="24"/>
        </w:rPr>
        <w:t xml:space="preserve">of care, including for surgical needs, can be incredibly meaningful for families with significant cost-sharing as part of their health insurance plans.  Because the Proposed Project will </w:t>
      </w:r>
      <w:bookmarkStart w:id="12" w:name="_BPDCD_60"/>
      <w:r w:rsidRPr="00257A80">
        <w:rPr>
          <w:rFonts w:asciiTheme="minorHAnsi" w:hAnsiTheme="minorHAnsi" w:cstheme="minorHAnsi"/>
          <w:szCs w:val="24"/>
        </w:rPr>
        <w:t xml:space="preserve">improve </w:t>
      </w:r>
      <w:bookmarkEnd w:id="12"/>
      <w:r w:rsidRPr="00257A80">
        <w:rPr>
          <w:rFonts w:asciiTheme="minorHAnsi" w:hAnsiTheme="minorHAnsi" w:cstheme="minorHAnsi"/>
          <w:szCs w:val="24"/>
        </w:rPr>
        <w:t xml:space="preserve">affordability for lower-income residents by offering surgical services at lower cost than hospital-based surgical services - which will reduce out-of-pocket expenses for patients with cost-sharing obligations for these services- it will help address inequities in access and cost of care.  </w:t>
      </w:r>
    </w:p>
    <w:p w14:paraId="6874340D" w14:textId="7F26DF35" w:rsidR="001068A8" w:rsidRDefault="00797BE3" w:rsidP="003628F3">
      <w:pPr>
        <w:jc w:val="both"/>
        <w:rPr>
          <w:rFonts w:asciiTheme="minorHAnsi" w:hAnsiTheme="minorHAnsi" w:cstheme="minorHAnsi"/>
          <w:szCs w:val="24"/>
        </w:rPr>
      </w:pPr>
      <w:r w:rsidRPr="00257A80">
        <w:rPr>
          <w:rFonts w:asciiTheme="minorHAnsi" w:hAnsiTheme="minorHAnsi" w:cstheme="minorHAnsi"/>
          <w:szCs w:val="24"/>
        </w:rPr>
        <w:t xml:space="preserve">Atrius Health respects and honors the cultural differences among its </w:t>
      </w:r>
      <w:r w:rsidR="00972B46">
        <w:rPr>
          <w:rFonts w:asciiTheme="minorHAnsi" w:hAnsiTheme="minorHAnsi" w:cstheme="minorHAnsi"/>
          <w:szCs w:val="24"/>
        </w:rPr>
        <w:t>P</w:t>
      </w:r>
      <w:r w:rsidRPr="00257A80">
        <w:rPr>
          <w:rFonts w:asciiTheme="minorHAnsi" w:hAnsiTheme="minorHAnsi" w:cstheme="minorHAnsi"/>
          <w:szCs w:val="24"/>
        </w:rPr>
        <w:t xml:space="preserve">atient </w:t>
      </w:r>
      <w:r w:rsidR="00972B46">
        <w:rPr>
          <w:rFonts w:asciiTheme="minorHAnsi" w:hAnsiTheme="minorHAnsi" w:cstheme="minorHAnsi"/>
          <w:szCs w:val="24"/>
        </w:rPr>
        <w:t>P</w:t>
      </w:r>
      <w:r w:rsidRPr="00257A80">
        <w:rPr>
          <w:rFonts w:asciiTheme="minorHAnsi" w:hAnsiTheme="minorHAnsi" w:cstheme="minorHAnsi"/>
          <w:szCs w:val="24"/>
        </w:rPr>
        <w:t>anel and staff. Atrius Health has a robust DEI (diversity, equity and inclusion) program, which provides training to staff on cultural and socioeconomic differences as part of an effort to help address any disparities and inequities in patient care.</w:t>
      </w:r>
      <w:r w:rsidR="001068A8">
        <w:rPr>
          <w:rFonts w:asciiTheme="minorHAnsi" w:hAnsiTheme="minorHAnsi" w:cstheme="minorHAnsi"/>
          <w:szCs w:val="24"/>
        </w:rPr>
        <w:t xml:space="preserve"> </w:t>
      </w:r>
      <w:r w:rsidRPr="00257A80">
        <w:rPr>
          <w:rFonts w:asciiTheme="minorHAnsi" w:hAnsiTheme="minorHAnsi" w:cstheme="minorHAnsi"/>
          <w:szCs w:val="24"/>
        </w:rPr>
        <w:t xml:space="preserve"> </w:t>
      </w:r>
      <w:r w:rsidR="001068A8">
        <w:rPr>
          <w:rFonts w:asciiTheme="minorHAnsi" w:hAnsiTheme="minorHAnsi" w:cstheme="minorHAnsi"/>
          <w:szCs w:val="24"/>
        </w:rPr>
        <w:t>Atrius Health strives to hire and retain medical staff and</w:t>
      </w:r>
      <w:r w:rsidR="001068A8" w:rsidRPr="00257A80">
        <w:rPr>
          <w:rFonts w:asciiTheme="minorHAnsi" w:hAnsiTheme="minorHAnsi" w:cstheme="minorHAnsi"/>
          <w:szCs w:val="24"/>
        </w:rPr>
        <w:t xml:space="preserve"> leadership </w:t>
      </w:r>
      <w:r w:rsidR="001068A8">
        <w:rPr>
          <w:rFonts w:asciiTheme="minorHAnsi" w:hAnsiTheme="minorHAnsi" w:cstheme="minorHAnsi"/>
          <w:szCs w:val="24"/>
        </w:rPr>
        <w:t>that is</w:t>
      </w:r>
      <w:r w:rsidR="001068A8" w:rsidRPr="00257A80">
        <w:rPr>
          <w:rFonts w:asciiTheme="minorHAnsi" w:hAnsiTheme="minorHAnsi" w:cstheme="minorHAnsi"/>
          <w:szCs w:val="24"/>
        </w:rPr>
        <w:t xml:space="preserve"> culturally diverse</w:t>
      </w:r>
      <w:r w:rsidR="001068A8">
        <w:rPr>
          <w:rFonts w:asciiTheme="minorHAnsi" w:hAnsiTheme="minorHAnsi" w:cstheme="minorHAnsi"/>
          <w:szCs w:val="24"/>
        </w:rPr>
        <w:t>.  T</w:t>
      </w:r>
      <w:r w:rsidR="001068A8" w:rsidRPr="00257A80">
        <w:rPr>
          <w:rFonts w:asciiTheme="minorHAnsi" w:hAnsiTheme="minorHAnsi" w:cstheme="minorHAnsi"/>
          <w:szCs w:val="24"/>
        </w:rPr>
        <w:t xml:space="preserve">he staff performing surgical services </w:t>
      </w:r>
      <w:r w:rsidR="007A4668">
        <w:rPr>
          <w:rFonts w:asciiTheme="minorHAnsi" w:hAnsiTheme="minorHAnsi" w:cstheme="minorHAnsi"/>
          <w:szCs w:val="24"/>
        </w:rPr>
        <w:t xml:space="preserve">will </w:t>
      </w:r>
      <w:r w:rsidR="001068A8" w:rsidRPr="00257A80">
        <w:rPr>
          <w:rFonts w:asciiTheme="minorHAnsi" w:hAnsiTheme="minorHAnsi" w:cstheme="minorHAnsi"/>
          <w:szCs w:val="24"/>
        </w:rPr>
        <w:t xml:space="preserve">provide respectful, compassionate, and empathetic care to all patients consistent with Atrius Health policy and its DEI program. </w:t>
      </w:r>
      <w:r w:rsidR="001068A8">
        <w:rPr>
          <w:rFonts w:asciiTheme="minorHAnsi" w:hAnsiTheme="minorHAnsi" w:cstheme="minorHAnsi"/>
          <w:szCs w:val="24"/>
        </w:rPr>
        <w:t xml:space="preserve"> </w:t>
      </w:r>
    </w:p>
    <w:p w14:paraId="3350236A" w14:textId="74521926" w:rsidR="00797BE3" w:rsidRPr="007C37B9" w:rsidRDefault="00797BE3" w:rsidP="003628F3">
      <w:pPr>
        <w:jc w:val="both"/>
        <w:rPr>
          <w:rFonts w:asciiTheme="minorHAnsi" w:hAnsiTheme="minorHAnsi" w:cstheme="minorHAnsi"/>
          <w:szCs w:val="24"/>
        </w:rPr>
      </w:pPr>
      <w:r w:rsidRPr="00257A80">
        <w:rPr>
          <w:rFonts w:asciiTheme="minorHAnsi" w:hAnsiTheme="minorHAnsi" w:cstheme="minorHAnsi"/>
          <w:szCs w:val="24"/>
        </w:rPr>
        <w:t xml:space="preserve">The Atrius Health </w:t>
      </w:r>
      <w:proofErr w:type="spellStart"/>
      <w:r w:rsidRPr="00257A80">
        <w:rPr>
          <w:rFonts w:asciiTheme="minorHAnsi" w:hAnsiTheme="minorHAnsi" w:cstheme="minorHAnsi"/>
          <w:szCs w:val="24"/>
        </w:rPr>
        <w:t>Health</w:t>
      </w:r>
      <w:proofErr w:type="spellEnd"/>
      <w:r w:rsidRPr="00257A80">
        <w:rPr>
          <w:rFonts w:asciiTheme="minorHAnsi" w:hAnsiTheme="minorHAnsi" w:cstheme="minorHAnsi"/>
          <w:szCs w:val="24"/>
        </w:rPr>
        <w:t xml:space="preserve"> Equity Steering Committee is charged with monitoring health disparities and establishing plans to reduce inequities, improving equitable access to services for all Atrius Health patients.  The scope of the Health Equity Steering Committee is broad and includes surgical services, including those to be provided under the Proposed Project. </w:t>
      </w:r>
      <w:r w:rsidR="006C1D55">
        <w:rPr>
          <w:rFonts w:asciiTheme="minorHAnsi" w:hAnsiTheme="minorHAnsi" w:cstheme="minorHAnsi"/>
          <w:szCs w:val="24"/>
        </w:rPr>
        <w:t xml:space="preserve"> </w:t>
      </w:r>
      <w:r w:rsidRPr="007C37B9">
        <w:rPr>
          <w:rFonts w:asciiTheme="minorHAnsi" w:hAnsiTheme="minorHAnsi" w:cstheme="minorHAnsi"/>
          <w:szCs w:val="24"/>
        </w:rPr>
        <w:t>As part of the health equ</w:t>
      </w:r>
      <w:r>
        <w:rPr>
          <w:rFonts w:asciiTheme="minorHAnsi" w:hAnsiTheme="minorHAnsi" w:cstheme="minorHAnsi"/>
          <w:szCs w:val="24"/>
        </w:rPr>
        <w:t>ity program enacted under the MassHealth</w:t>
      </w:r>
      <w:r w:rsidRPr="007C37B9">
        <w:rPr>
          <w:rFonts w:asciiTheme="minorHAnsi" w:hAnsiTheme="minorHAnsi" w:cstheme="minorHAnsi"/>
          <w:szCs w:val="24"/>
        </w:rPr>
        <w:t xml:space="preserve"> ACO program, Atrius Health is focused on reducing health disparities through improving the IT infrastructure for race, ethnicity, disability, sexual orientation, and gender identify data collection and reporting; implementing clinical and non-clinical intervention to address health disparities among patients with disabilities, hypertension and/or diabetes; and establishing organizational health equity awareness and structures through diversity, equity, and inclusion training such as implicit bias</w:t>
      </w:r>
      <w:r w:rsidR="00972B46">
        <w:rPr>
          <w:rFonts w:asciiTheme="minorHAnsi" w:hAnsiTheme="minorHAnsi" w:cstheme="minorHAnsi"/>
          <w:szCs w:val="24"/>
        </w:rPr>
        <w:t xml:space="preserve"> and LGBTQ+ competency trainings</w:t>
      </w:r>
      <w:r w:rsidRPr="007C37B9">
        <w:rPr>
          <w:rFonts w:asciiTheme="minorHAnsi" w:hAnsiTheme="minorHAnsi" w:cstheme="minorHAnsi"/>
          <w:szCs w:val="24"/>
        </w:rPr>
        <w:t>.</w:t>
      </w:r>
      <w:r w:rsidR="004034BE">
        <w:rPr>
          <w:rFonts w:asciiTheme="minorHAnsi" w:hAnsiTheme="minorHAnsi" w:cstheme="minorHAnsi"/>
          <w:szCs w:val="24"/>
        </w:rPr>
        <w:t xml:space="preserve"> </w:t>
      </w:r>
      <w:r w:rsidR="00972B46">
        <w:rPr>
          <w:rFonts w:asciiTheme="minorHAnsi" w:hAnsiTheme="minorHAnsi" w:cstheme="minorHAnsi"/>
          <w:szCs w:val="24"/>
        </w:rPr>
        <w:t xml:space="preserve"> </w:t>
      </w:r>
      <w:r w:rsidR="004034BE">
        <w:rPr>
          <w:rFonts w:asciiTheme="minorHAnsi" w:hAnsiTheme="minorHAnsi" w:cstheme="minorHAnsi"/>
          <w:szCs w:val="24"/>
        </w:rPr>
        <w:t xml:space="preserve">In addition, </w:t>
      </w:r>
      <w:r w:rsidR="004034BE" w:rsidRPr="004034BE">
        <w:rPr>
          <w:rFonts w:asciiTheme="minorHAnsi" w:hAnsiTheme="minorHAnsi" w:cstheme="minorHAnsi"/>
          <w:szCs w:val="24"/>
        </w:rPr>
        <w:t xml:space="preserve">Atrius Health is actively partnering with </w:t>
      </w:r>
      <w:r w:rsidR="004034BE">
        <w:rPr>
          <w:rFonts w:asciiTheme="minorHAnsi" w:hAnsiTheme="minorHAnsi" w:cstheme="minorHAnsi"/>
          <w:szCs w:val="24"/>
        </w:rPr>
        <w:t xml:space="preserve">other </w:t>
      </w:r>
      <w:r w:rsidR="004034BE" w:rsidRPr="004034BE">
        <w:rPr>
          <w:rFonts w:asciiTheme="minorHAnsi" w:hAnsiTheme="minorHAnsi" w:cstheme="minorHAnsi"/>
          <w:szCs w:val="24"/>
        </w:rPr>
        <w:t xml:space="preserve">health plans to explore incorporating accountability in reducing health disparities into quality and </w:t>
      </w:r>
      <w:r w:rsidR="00972B46" w:rsidRPr="004034BE">
        <w:rPr>
          <w:rFonts w:asciiTheme="minorHAnsi" w:hAnsiTheme="minorHAnsi" w:cstheme="minorHAnsi"/>
          <w:szCs w:val="24"/>
        </w:rPr>
        <w:t>value-based</w:t>
      </w:r>
      <w:r w:rsidR="004034BE" w:rsidRPr="004034BE">
        <w:rPr>
          <w:rFonts w:asciiTheme="minorHAnsi" w:hAnsiTheme="minorHAnsi" w:cstheme="minorHAnsi"/>
          <w:szCs w:val="24"/>
        </w:rPr>
        <w:t xml:space="preserve"> arrangements</w:t>
      </w:r>
      <w:r w:rsidR="004034BE">
        <w:rPr>
          <w:rFonts w:asciiTheme="minorHAnsi" w:hAnsiTheme="minorHAnsi" w:cstheme="minorHAnsi"/>
          <w:szCs w:val="24"/>
        </w:rPr>
        <w:t>.</w:t>
      </w:r>
    </w:p>
    <w:p w14:paraId="246B60D7" w14:textId="77777777" w:rsidR="00797BE3" w:rsidRPr="007C37B9" w:rsidRDefault="00797BE3" w:rsidP="003628F3">
      <w:pPr>
        <w:jc w:val="both"/>
        <w:rPr>
          <w:rFonts w:asciiTheme="minorHAnsi" w:hAnsiTheme="minorHAnsi" w:cstheme="minorHAnsi"/>
          <w:szCs w:val="24"/>
        </w:rPr>
      </w:pPr>
      <w:r w:rsidRPr="00257A80">
        <w:rPr>
          <w:rFonts w:asciiTheme="minorHAnsi" w:hAnsiTheme="minorHAnsi" w:cstheme="minorHAnsi"/>
          <w:szCs w:val="24"/>
        </w:rPr>
        <w:t xml:space="preserve">Atrius Health provides interpreter services for 240 spoken languages for patients in their preferred language as well as American Sign Language.  </w:t>
      </w:r>
      <w:r w:rsidRPr="007C37B9">
        <w:rPr>
          <w:rFonts w:asciiTheme="minorHAnsi" w:hAnsiTheme="minorHAnsi" w:cstheme="minorHAnsi"/>
          <w:szCs w:val="24"/>
        </w:rPr>
        <w:t>This service is offered through the Atrius Health Interpretive Services Departments and offers free telephonic, video, or in-person interpreter services through a third-party vendor.  The telephonic or video interpreter services are available at all Atrius Health sites.  Also, Atrius Health currently provides on-site in-person interpretation for diagnostic imaging, cardiac testing, and in the endoscopy department. These services are coordinated by Atrius Health staff and will be made available for the Proposed Project.</w:t>
      </w:r>
    </w:p>
    <w:p w14:paraId="466EEEF3" w14:textId="3C0BD8D2" w:rsidR="00797BE3" w:rsidRPr="00921A38" w:rsidRDefault="00797BE3" w:rsidP="003628F3">
      <w:pPr>
        <w:jc w:val="both"/>
        <w:rPr>
          <w:rFonts w:asciiTheme="minorHAnsi" w:hAnsiTheme="minorHAnsi" w:cstheme="minorHAnsi"/>
          <w:szCs w:val="24"/>
        </w:rPr>
      </w:pPr>
      <w:r w:rsidRPr="00257A80">
        <w:rPr>
          <w:rFonts w:asciiTheme="minorHAnsi" w:hAnsiTheme="minorHAnsi" w:cstheme="minorHAnsi"/>
          <w:szCs w:val="24"/>
        </w:rPr>
        <w:t>Atrius Health has instituted Social Needs Screening protocols across its primary care practice.</w:t>
      </w:r>
      <w:r w:rsidR="006C1D55">
        <w:rPr>
          <w:rFonts w:asciiTheme="minorHAnsi" w:hAnsiTheme="minorHAnsi" w:cstheme="minorHAnsi"/>
          <w:szCs w:val="24"/>
        </w:rPr>
        <w:t xml:space="preserve"> </w:t>
      </w:r>
      <w:r w:rsidRPr="00257A80">
        <w:rPr>
          <w:rFonts w:asciiTheme="minorHAnsi" w:hAnsiTheme="minorHAnsi" w:cstheme="minorHAnsi"/>
          <w:szCs w:val="24"/>
        </w:rPr>
        <w:t xml:space="preserve"> One important benefit of the Center will be that the results of social needs screening – and all other medical history and information – will be immediately available to clinical staff at the Center and automatically part of the care planning process</w:t>
      </w:r>
      <w:r>
        <w:rPr>
          <w:rFonts w:asciiTheme="minorHAnsi" w:hAnsiTheme="minorHAnsi" w:cstheme="minorHAnsi"/>
          <w:szCs w:val="24"/>
        </w:rPr>
        <w:t xml:space="preserve"> via an integrated medical record</w:t>
      </w:r>
      <w:r w:rsidRPr="00257A80">
        <w:rPr>
          <w:rFonts w:asciiTheme="minorHAnsi" w:hAnsiTheme="minorHAnsi" w:cstheme="minorHAnsi"/>
          <w:szCs w:val="24"/>
        </w:rPr>
        <w:t xml:space="preserve">. This means that patient social care needs can be seamlessly incorporated into care plan development. </w:t>
      </w:r>
      <w:r w:rsidR="006C1D55">
        <w:rPr>
          <w:rFonts w:asciiTheme="minorHAnsi" w:hAnsiTheme="minorHAnsi" w:cstheme="minorHAnsi"/>
          <w:szCs w:val="24"/>
        </w:rPr>
        <w:t xml:space="preserve"> </w:t>
      </w:r>
      <w:r w:rsidRPr="00257A80">
        <w:rPr>
          <w:rFonts w:asciiTheme="minorHAnsi" w:hAnsiTheme="minorHAnsi" w:cstheme="minorHAnsi"/>
          <w:szCs w:val="24"/>
        </w:rPr>
        <w:t>Atrius Health employs a robust Social Work program</w:t>
      </w:r>
      <w:r w:rsidR="003912FE">
        <w:rPr>
          <w:rFonts w:asciiTheme="minorHAnsi" w:hAnsiTheme="minorHAnsi" w:cstheme="minorHAnsi"/>
          <w:szCs w:val="24"/>
        </w:rPr>
        <w:t xml:space="preserve">.  </w:t>
      </w:r>
      <w:r w:rsidR="00353E59">
        <w:rPr>
          <w:rFonts w:asciiTheme="minorHAnsi" w:hAnsiTheme="minorHAnsi" w:cstheme="minorHAnsi"/>
          <w:szCs w:val="24"/>
        </w:rPr>
        <w:t>T</w:t>
      </w:r>
      <w:r w:rsidRPr="00257A80">
        <w:rPr>
          <w:rFonts w:asciiTheme="minorHAnsi" w:hAnsiTheme="minorHAnsi" w:cstheme="minorHAnsi"/>
          <w:szCs w:val="24"/>
        </w:rPr>
        <w:t>hese staff are available to help with care planning when patients have social care needs</w:t>
      </w:r>
      <w:r>
        <w:rPr>
          <w:rFonts w:asciiTheme="minorHAnsi" w:hAnsiTheme="minorHAnsi" w:cstheme="minorHAnsi"/>
          <w:szCs w:val="24"/>
        </w:rPr>
        <w:t xml:space="preserve"> </w:t>
      </w:r>
      <w:r w:rsidRPr="00257A80">
        <w:rPr>
          <w:rFonts w:asciiTheme="minorHAnsi" w:hAnsiTheme="minorHAnsi" w:cstheme="minorHAnsi"/>
          <w:szCs w:val="24"/>
        </w:rPr>
        <w:t>and will be available to help with patient care needs at the ASC.</w:t>
      </w:r>
      <w:r w:rsidR="006C1D55">
        <w:rPr>
          <w:rFonts w:asciiTheme="minorHAnsi" w:hAnsiTheme="minorHAnsi" w:cstheme="minorHAnsi"/>
          <w:szCs w:val="24"/>
        </w:rPr>
        <w:t xml:space="preserve"> </w:t>
      </w:r>
      <w:r w:rsidRPr="00257A80">
        <w:rPr>
          <w:rFonts w:asciiTheme="minorHAnsi" w:hAnsiTheme="minorHAnsi" w:cstheme="minorHAnsi"/>
          <w:szCs w:val="24"/>
        </w:rPr>
        <w:t xml:space="preserve"> </w:t>
      </w:r>
      <w:r>
        <w:rPr>
          <w:rFonts w:asciiTheme="minorHAnsi" w:hAnsiTheme="minorHAnsi" w:cstheme="minorHAnsi"/>
          <w:szCs w:val="24"/>
        </w:rPr>
        <w:t xml:space="preserve">The Social Work team </w:t>
      </w:r>
      <w:proofErr w:type="gramStart"/>
      <w:r>
        <w:rPr>
          <w:rFonts w:asciiTheme="minorHAnsi" w:hAnsiTheme="minorHAnsi" w:cstheme="minorHAnsi"/>
          <w:szCs w:val="24"/>
        </w:rPr>
        <w:t>provides assistance</w:t>
      </w:r>
      <w:proofErr w:type="gramEnd"/>
      <w:r>
        <w:rPr>
          <w:rFonts w:asciiTheme="minorHAnsi" w:hAnsiTheme="minorHAnsi" w:cstheme="minorHAnsi"/>
          <w:szCs w:val="24"/>
        </w:rPr>
        <w:t xml:space="preserve"> in arranging transportation for patients that need it. </w:t>
      </w:r>
      <w:r w:rsidRPr="00257A80">
        <w:rPr>
          <w:rFonts w:asciiTheme="minorHAnsi" w:hAnsiTheme="minorHAnsi" w:cstheme="minorHAnsi"/>
          <w:szCs w:val="24"/>
        </w:rPr>
        <w:t xml:space="preserve"> These elements of integration create a significant differentiator in comparison </w:t>
      </w:r>
      <w:r>
        <w:rPr>
          <w:rFonts w:asciiTheme="minorHAnsi" w:hAnsiTheme="minorHAnsi" w:cstheme="minorHAnsi"/>
          <w:szCs w:val="24"/>
        </w:rPr>
        <w:t>t</w:t>
      </w:r>
      <w:r w:rsidRPr="00257A80">
        <w:rPr>
          <w:rFonts w:asciiTheme="minorHAnsi" w:hAnsiTheme="minorHAnsi" w:cstheme="minorHAnsi"/>
          <w:szCs w:val="24"/>
        </w:rPr>
        <w:t xml:space="preserve">o services provided in a non-affiliated ASC or hospital. </w:t>
      </w:r>
    </w:p>
    <w:p w14:paraId="5157105A" w14:textId="39DF86A4" w:rsidR="00DF2913" w:rsidRDefault="00DF2913" w:rsidP="00797BE3">
      <w:pPr>
        <w:jc w:val="both"/>
        <w:rPr>
          <w:rFonts w:asciiTheme="minorHAnsi" w:hAnsiTheme="minorHAnsi" w:cstheme="minorHAnsi"/>
          <w:szCs w:val="24"/>
        </w:rPr>
      </w:pPr>
      <w:r>
        <w:rPr>
          <w:rFonts w:asciiTheme="minorHAnsi" w:hAnsiTheme="minorHAnsi" w:cstheme="minorHAnsi"/>
          <w:szCs w:val="24"/>
        </w:rPr>
        <w:t xml:space="preserve">In March 2024, </w:t>
      </w:r>
      <w:r w:rsidRPr="000F28D4">
        <w:rPr>
          <w:rFonts w:asciiTheme="minorHAnsi" w:hAnsiTheme="minorHAnsi" w:cstheme="minorHAnsi"/>
          <w:szCs w:val="24"/>
        </w:rPr>
        <w:t xml:space="preserve">Atrius Health launched Pride+ Care </w:t>
      </w:r>
      <w:r>
        <w:rPr>
          <w:rFonts w:asciiTheme="minorHAnsi" w:hAnsiTheme="minorHAnsi" w:cstheme="minorHAnsi"/>
          <w:szCs w:val="24"/>
        </w:rPr>
        <w:t xml:space="preserve">to </w:t>
      </w:r>
      <w:r w:rsidRPr="00921A38">
        <w:rPr>
          <w:rFonts w:asciiTheme="minorHAnsi" w:hAnsiTheme="minorHAnsi" w:cstheme="minorHAnsi"/>
          <w:szCs w:val="24"/>
        </w:rPr>
        <w:t>improve care and services for Atrius Health LGBTQIA+ patients.</w:t>
      </w:r>
      <w:r>
        <w:rPr>
          <w:rFonts w:asciiTheme="minorHAnsi" w:hAnsiTheme="minorHAnsi" w:cstheme="minorHAnsi"/>
          <w:szCs w:val="24"/>
        </w:rPr>
        <w:t xml:space="preserve"> </w:t>
      </w:r>
      <w:r w:rsidRPr="00921A38">
        <w:rPr>
          <w:rFonts w:asciiTheme="minorHAnsi" w:hAnsiTheme="minorHAnsi" w:cstheme="minorHAnsi"/>
          <w:szCs w:val="24"/>
        </w:rPr>
        <w:t xml:space="preserve"> The program provides comprehensive care to adult LGBTQIA+ patients in the Primary Care setting.</w:t>
      </w:r>
      <w:r>
        <w:rPr>
          <w:rFonts w:asciiTheme="minorHAnsi" w:hAnsiTheme="minorHAnsi" w:cstheme="minorHAnsi"/>
          <w:szCs w:val="24"/>
        </w:rPr>
        <w:t xml:space="preserve"> </w:t>
      </w:r>
      <w:r w:rsidRPr="00921A38">
        <w:rPr>
          <w:rFonts w:asciiTheme="minorHAnsi" w:hAnsiTheme="minorHAnsi" w:cstheme="minorHAnsi"/>
          <w:szCs w:val="24"/>
        </w:rPr>
        <w:t xml:space="preserve"> By linking patients with expert clinicians and offering customized services, </w:t>
      </w:r>
      <w:r w:rsidR="00D4689A">
        <w:rPr>
          <w:rFonts w:asciiTheme="minorHAnsi" w:hAnsiTheme="minorHAnsi" w:cstheme="minorHAnsi"/>
          <w:szCs w:val="24"/>
        </w:rPr>
        <w:t>the practice</w:t>
      </w:r>
      <w:r w:rsidRPr="00921A38">
        <w:rPr>
          <w:rFonts w:asciiTheme="minorHAnsi" w:hAnsiTheme="minorHAnsi" w:cstheme="minorHAnsi"/>
          <w:szCs w:val="24"/>
        </w:rPr>
        <w:t xml:space="preserve"> aim</w:t>
      </w:r>
      <w:r w:rsidR="00D4689A">
        <w:rPr>
          <w:rFonts w:asciiTheme="minorHAnsi" w:hAnsiTheme="minorHAnsi" w:cstheme="minorHAnsi"/>
          <w:szCs w:val="24"/>
        </w:rPr>
        <w:t>s</w:t>
      </w:r>
      <w:r w:rsidRPr="00921A38">
        <w:rPr>
          <w:rFonts w:asciiTheme="minorHAnsi" w:hAnsiTheme="minorHAnsi" w:cstheme="minorHAnsi"/>
          <w:szCs w:val="24"/>
        </w:rPr>
        <w:t xml:space="preserve"> to elevate engagement, experiences, &amp; health outcomes within the LGBTQIA+ communities. </w:t>
      </w:r>
      <w:r>
        <w:rPr>
          <w:rFonts w:asciiTheme="minorHAnsi" w:hAnsiTheme="minorHAnsi" w:cstheme="minorHAnsi"/>
          <w:szCs w:val="24"/>
        </w:rPr>
        <w:t xml:space="preserve"> </w:t>
      </w:r>
      <w:r w:rsidRPr="00921A38">
        <w:rPr>
          <w:rFonts w:asciiTheme="minorHAnsi" w:hAnsiTheme="minorHAnsi" w:cstheme="minorHAnsi"/>
          <w:szCs w:val="24"/>
        </w:rPr>
        <w:t>The program team includes primary care clinicians, behavioral health providers, and a care facilitator that specialize in LGBTQIA+ and gender affirming care.</w:t>
      </w:r>
      <w:r>
        <w:rPr>
          <w:rFonts w:asciiTheme="minorHAnsi" w:hAnsiTheme="minorHAnsi" w:cstheme="minorHAnsi"/>
          <w:szCs w:val="24"/>
        </w:rPr>
        <w:t xml:space="preserve"> </w:t>
      </w:r>
      <w:r w:rsidRPr="00921A38">
        <w:rPr>
          <w:rFonts w:asciiTheme="minorHAnsi" w:hAnsiTheme="minorHAnsi" w:cstheme="minorHAnsi"/>
          <w:szCs w:val="24"/>
        </w:rPr>
        <w:t xml:space="preserve"> The Pride+ Care program created systemic changes at Atrius by updating care flows to include more affirming language, training all staff at pilot sites in LGBTQ+ inclusive care practices, and building </w:t>
      </w:r>
      <w:proofErr w:type="gramStart"/>
      <w:r w:rsidRPr="00921A38">
        <w:rPr>
          <w:rFonts w:asciiTheme="minorHAnsi" w:hAnsiTheme="minorHAnsi" w:cstheme="minorHAnsi"/>
          <w:szCs w:val="24"/>
        </w:rPr>
        <w:t>off of</w:t>
      </w:r>
      <w:proofErr w:type="gramEnd"/>
      <w:r w:rsidRPr="00921A38">
        <w:rPr>
          <w:rFonts w:asciiTheme="minorHAnsi" w:hAnsiTheme="minorHAnsi" w:cstheme="minorHAnsi"/>
          <w:szCs w:val="24"/>
        </w:rPr>
        <w:t xml:space="preserve"> prior E</w:t>
      </w:r>
      <w:r w:rsidR="00D4689A">
        <w:rPr>
          <w:rFonts w:asciiTheme="minorHAnsi" w:hAnsiTheme="minorHAnsi" w:cstheme="minorHAnsi"/>
          <w:szCs w:val="24"/>
        </w:rPr>
        <w:t>MR</w:t>
      </w:r>
      <w:r w:rsidRPr="00921A38">
        <w:rPr>
          <w:rFonts w:asciiTheme="minorHAnsi" w:hAnsiTheme="minorHAnsi" w:cstheme="minorHAnsi"/>
          <w:szCs w:val="24"/>
        </w:rPr>
        <w:t xml:space="preserve"> enhancements to the sexual orientation and gender identity (SOGI) data collection to ensure communication practices and processes were inclusive and affirming.</w:t>
      </w:r>
    </w:p>
    <w:p w14:paraId="53BDBE05" w14:textId="77777777" w:rsidR="003628F3" w:rsidRDefault="003628F3" w:rsidP="00797BE3">
      <w:pPr>
        <w:jc w:val="both"/>
        <w:rPr>
          <w:rFonts w:asciiTheme="minorHAnsi" w:hAnsiTheme="minorHAnsi" w:cstheme="minorHAnsi"/>
          <w:szCs w:val="24"/>
        </w:rPr>
      </w:pPr>
    </w:p>
    <w:p w14:paraId="6D637850" w14:textId="77777777" w:rsidR="00866009" w:rsidRDefault="00866009" w:rsidP="00797BE3">
      <w:pPr>
        <w:jc w:val="both"/>
        <w:rPr>
          <w:rFonts w:asciiTheme="minorHAnsi" w:hAnsiTheme="minorHAnsi" w:cstheme="minorHAnsi"/>
          <w:szCs w:val="24"/>
        </w:rPr>
      </w:pPr>
    </w:p>
    <w:p w14:paraId="7FDAEC84" w14:textId="77777777" w:rsidR="00866009" w:rsidRDefault="00866009" w:rsidP="00797BE3">
      <w:pPr>
        <w:jc w:val="both"/>
        <w:rPr>
          <w:rFonts w:asciiTheme="minorHAnsi" w:hAnsiTheme="minorHAnsi" w:cstheme="minorHAnsi"/>
          <w:szCs w:val="24"/>
        </w:rPr>
      </w:pPr>
    </w:p>
    <w:p w14:paraId="6D1DC994" w14:textId="77777777" w:rsidR="00866009" w:rsidRPr="00921A38" w:rsidRDefault="00866009" w:rsidP="00797BE3">
      <w:pPr>
        <w:jc w:val="both"/>
        <w:rPr>
          <w:rFonts w:asciiTheme="minorHAnsi" w:hAnsiTheme="minorHAnsi" w:cstheme="minorHAnsi"/>
          <w:szCs w:val="24"/>
        </w:rPr>
      </w:pPr>
    </w:p>
    <w:p w14:paraId="0E1DA242" w14:textId="4D83BBD2" w:rsidR="00797BE3" w:rsidRPr="003628F3" w:rsidRDefault="00797BE3" w:rsidP="003628F3">
      <w:pPr>
        <w:autoSpaceDE w:val="0"/>
        <w:autoSpaceDN w:val="0"/>
        <w:adjustRightInd w:val="0"/>
        <w:jc w:val="both"/>
        <w:rPr>
          <w:rFonts w:asciiTheme="minorHAnsi" w:hAnsiTheme="minorHAnsi" w:cstheme="minorHAnsi"/>
          <w:b/>
          <w:szCs w:val="24"/>
        </w:rPr>
      </w:pPr>
      <w:r w:rsidRPr="003628F3">
        <w:rPr>
          <w:rFonts w:asciiTheme="minorHAnsi" w:hAnsiTheme="minorHAnsi" w:cstheme="minorHAnsi"/>
          <w:b/>
          <w:szCs w:val="24"/>
        </w:rPr>
        <w:t>F1.</w:t>
      </w:r>
      <w:proofErr w:type="gramStart"/>
      <w:r w:rsidRPr="003628F3">
        <w:rPr>
          <w:rFonts w:asciiTheme="minorHAnsi" w:hAnsiTheme="minorHAnsi" w:cstheme="minorHAnsi"/>
          <w:b/>
          <w:szCs w:val="24"/>
        </w:rPr>
        <w:t>b.iv</w:t>
      </w:r>
      <w:proofErr w:type="gramEnd"/>
      <w:r w:rsidRPr="003628F3">
        <w:rPr>
          <w:rFonts w:asciiTheme="minorHAnsi" w:hAnsiTheme="minorHAnsi" w:cstheme="minorHAnsi"/>
          <w:b/>
          <w:szCs w:val="24"/>
        </w:rPr>
        <w:t xml:space="preserve"> Provide additional information to demonstrate that the Proposed Project will result in improved health outcomes and quality of life of the Applicant's existing Patient Panel, while providing reasonable assurances of health equity.</w:t>
      </w:r>
    </w:p>
    <w:p w14:paraId="21E67D38" w14:textId="5DC467DC" w:rsidR="00797BE3" w:rsidRPr="003628F3" w:rsidRDefault="00797BE3" w:rsidP="003628F3">
      <w:pPr>
        <w:jc w:val="both"/>
        <w:rPr>
          <w:rFonts w:asciiTheme="minorHAnsi" w:hAnsiTheme="minorHAnsi" w:cstheme="minorHAnsi"/>
        </w:rPr>
      </w:pPr>
      <w:r w:rsidRPr="003628F3">
        <w:rPr>
          <w:rFonts w:asciiTheme="minorHAnsi" w:hAnsiTheme="minorHAnsi" w:cstheme="minorHAnsi"/>
        </w:rPr>
        <w:t>The Proposed Project will improve health outcomes and quality of life for the Patient Population by providing increased access to high-quality, convenient surgical services with increased care coordination. As compared to HOPDs, the ASC will provide patients with an opportunity to obtain their Surgical Services in a convenient community-based setting.</w:t>
      </w:r>
      <w:r w:rsidR="006C1D55" w:rsidRPr="003628F3">
        <w:rPr>
          <w:rFonts w:asciiTheme="minorHAnsi" w:hAnsiTheme="minorHAnsi" w:cstheme="minorHAnsi"/>
        </w:rPr>
        <w:t xml:space="preserve">  </w:t>
      </w:r>
      <w:r w:rsidRPr="003628F3">
        <w:rPr>
          <w:rFonts w:asciiTheme="minorHAnsi" w:hAnsiTheme="minorHAnsi" w:cstheme="minorHAnsi"/>
        </w:rPr>
        <w:t>The Proposed Project will be centrally located within convenient driving distance for most Atrius patients, easily accessible from multiple major highways (</w:t>
      </w:r>
      <w:r w:rsidR="006C1D55" w:rsidRPr="003628F3">
        <w:rPr>
          <w:rFonts w:asciiTheme="minorHAnsi" w:hAnsiTheme="minorHAnsi" w:cstheme="minorHAnsi"/>
        </w:rPr>
        <w:t>near the intersection of Route 2 and I-95</w:t>
      </w:r>
      <w:r w:rsidR="007B1E9B" w:rsidRPr="003628F3">
        <w:rPr>
          <w:rFonts w:asciiTheme="minorHAnsi" w:hAnsiTheme="minorHAnsi" w:cstheme="minorHAnsi"/>
        </w:rPr>
        <w:t>) and</w:t>
      </w:r>
      <w:r w:rsidRPr="003628F3">
        <w:rPr>
          <w:rFonts w:asciiTheme="minorHAnsi" w:hAnsiTheme="minorHAnsi" w:cstheme="minorHAnsi"/>
        </w:rPr>
        <w:t xml:space="preserve"> provide access to ample free parking.  In addition, because Atrius Health providers utilizing the Center will continue to provide office-based consultation care in their offices, patients will be able to receive pre-operative consultations and follow-up care in their own communities, rather than having to travel for pre-operative or post-operative care. This will be a significant source of additional convenience for patients and their family caregivers. </w:t>
      </w:r>
    </w:p>
    <w:p w14:paraId="225E8C83" w14:textId="2EE1D66B" w:rsidR="00797BE3" w:rsidRPr="003628F3" w:rsidRDefault="00797BE3" w:rsidP="003628F3">
      <w:pPr>
        <w:jc w:val="both"/>
        <w:rPr>
          <w:rFonts w:asciiTheme="minorHAnsi" w:hAnsiTheme="minorHAnsi" w:cstheme="minorHAnsi"/>
        </w:rPr>
      </w:pPr>
      <w:r w:rsidRPr="003628F3">
        <w:rPr>
          <w:rFonts w:asciiTheme="minorHAnsi" w:hAnsiTheme="minorHAnsi" w:cstheme="minorHAnsi"/>
        </w:rPr>
        <w:t>The Proposed Project will also streamline patient experience</w:t>
      </w:r>
      <w:r w:rsidR="007B1E9B" w:rsidRPr="003628F3">
        <w:rPr>
          <w:rFonts w:asciiTheme="minorHAnsi" w:hAnsiTheme="minorHAnsi" w:cstheme="minorHAnsi"/>
        </w:rPr>
        <w:t xml:space="preserve"> which </w:t>
      </w:r>
      <w:r w:rsidRPr="003628F3">
        <w:rPr>
          <w:rFonts w:asciiTheme="minorHAnsi" w:hAnsiTheme="minorHAnsi" w:cstheme="minorHAnsi"/>
        </w:rPr>
        <w:t xml:space="preserve">will reduce patient stress and contribute to positive health outcomes. To do this, the Applicant employs </w:t>
      </w:r>
      <w:proofErr w:type="gramStart"/>
      <w:r w:rsidRPr="003628F3">
        <w:rPr>
          <w:rFonts w:asciiTheme="minorHAnsi" w:hAnsiTheme="minorHAnsi" w:cstheme="minorHAnsi"/>
        </w:rPr>
        <w:t>a number of</w:t>
      </w:r>
      <w:proofErr w:type="gramEnd"/>
      <w:r w:rsidRPr="003628F3">
        <w:rPr>
          <w:rFonts w:asciiTheme="minorHAnsi" w:hAnsiTheme="minorHAnsi" w:cstheme="minorHAnsi"/>
        </w:rPr>
        <w:t xml:space="preserve"> software tools to communicate with its patients.  These include online scheduling, patient notices, test results, and wide variety of other patient communication tools that allow patients to directly communicate with their care teams, register and arrange for care, and receive information from their providers. The Proposed Project will build upon these capabilities to create patient access tools that will significantly enhance the ease and convenience of their Surgical Services by integrating the process into their existing patient health portal – from referral, to scheduling, to pre-registration, to discharge planning and follow up care.</w:t>
      </w:r>
    </w:p>
    <w:p w14:paraId="204135CA" w14:textId="4068D123" w:rsidR="00797BE3" w:rsidRDefault="00797BE3" w:rsidP="003628F3">
      <w:pPr>
        <w:jc w:val="both"/>
        <w:rPr>
          <w:rFonts w:asciiTheme="minorHAnsi" w:hAnsiTheme="minorHAnsi" w:cstheme="minorHAnsi"/>
        </w:rPr>
      </w:pPr>
      <w:r w:rsidRPr="003628F3">
        <w:rPr>
          <w:rFonts w:asciiTheme="minorHAnsi" w:hAnsiTheme="minorHAnsi" w:cstheme="minorHAnsi"/>
        </w:rPr>
        <w:t xml:space="preserve">As discussed in the Application, the Proposed Project will have a direct impact on health equity as it will reduce the out-of-pocket expenses for patients whose cost sharing obligations </w:t>
      </w:r>
      <w:r w:rsidR="007B1E9B" w:rsidRPr="003628F3">
        <w:rPr>
          <w:rFonts w:asciiTheme="minorHAnsi" w:hAnsiTheme="minorHAnsi" w:cstheme="minorHAnsi"/>
        </w:rPr>
        <w:t xml:space="preserve">are </w:t>
      </w:r>
      <w:r w:rsidRPr="003628F3">
        <w:rPr>
          <w:rFonts w:asciiTheme="minorHAnsi" w:hAnsiTheme="minorHAnsi" w:cstheme="minorHAnsi"/>
        </w:rPr>
        <w:t xml:space="preserve">higher for Surgical Services in a hospital.  In addition, the Proposed Project is conveniently located in a community-based setting, which will allow patient to timely access Surgical Services in a state-of-the art facility, which should reduce </w:t>
      </w:r>
      <w:r w:rsidR="006C1D55" w:rsidRPr="003628F3">
        <w:rPr>
          <w:rFonts w:asciiTheme="minorHAnsi" w:hAnsiTheme="minorHAnsi" w:cstheme="minorHAnsi"/>
        </w:rPr>
        <w:t>their time</w:t>
      </w:r>
      <w:r w:rsidRPr="003628F3">
        <w:rPr>
          <w:rFonts w:asciiTheme="minorHAnsi" w:hAnsiTheme="minorHAnsi" w:cstheme="minorHAnsi"/>
        </w:rPr>
        <w:t xml:space="preserve"> off work, and reduce child and elder care expenses.  </w:t>
      </w:r>
    </w:p>
    <w:p w14:paraId="57DDA768" w14:textId="77777777" w:rsidR="003628F3" w:rsidRDefault="003628F3" w:rsidP="003628F3">
      <w:pPr>
        <w:jc w:val="both"/>
        <w:rPr>
          <w:rFonts w:asciiTheme="minorHAnsi" w:hAnsiTheme="minorHAnsi" w:cstheme="minorHAnsi"/>
        </w:rPr>
      </w:pPr>
    </w:p>
    <w:p w14:paraId="5118BE49" w14:textId="77777777" w:rsidR="00866009" w:rsidRDefault="00866009" w:rsidP="003628F3">
      <w:pPr>
        <w:jc w:val="both"/>
        <w:rPr>
          <w:rFonts w:asciiTheme="minorHAnsi" w:hAnsiTheme="minorHAnsi" w:cstheme="minorHAnsi"/>
        </w:rPr>
      </w:pPr>
    </w:p>
    <w:p w14:paraId="2D824A31" w14:textId="77777777" w:rsidR="00866009" w:rsidRDefault="00866009" w:rsidP="003628F3">
      <w:pPr>
        <w:jc w:val="both"/>
        <w:rPr>
          <w:rFonts w:asciiTheme="minorHAnsi" w:hAnsiTheme="minorHAnsi" w:cstheme="minorHAnsi"/>
        </w:rPr>
      </w:pPr>
    </w:p>
    <w:p w14:paraId="2CDDCC5A" w14:textId="77777777" w:rsidR="00866009" w:rsidRPr="003628F3" w:rsidRDefault="00866009" w:rsidP="003628F3">
      <w:pPr>
        <w:jc w:val="both"/>
        <w:rPr>
          <w:rFonts w:asciiTheme="minorHAnsi" w:hAnsiTheme="minorHAnsi" w:cstheme="minorHAnsi"/>
        </w:rPr>
      </w:pPr>
    </w:p>
    <w:p w14:paraId="172F2124" w14:textId="3E152D9D" w:rsidR="00797BE3" w:rsidRDefault="00797BE3" w:rsidP="003628F3">
      <w:pPr>
        <w:autoSpaceDE w:val="0"/>
        <w:autoSpaceDN w:val="0"/>
        <w:adjustRightInd w:val="0"/>
        <w:jc w:val="both"/>
        <w:rPr>
          <w:rFonts w:asciiTheme="minorHAnsi" w:hAnsiTheme="minorHAnsi" w:cstheme="minorHAnsi"/>
          <w:b/>
          <w:szCs w:val="24"/>
        </w:rPr>
      </w:pPr>
      <w:bookmarkStart w:id="13" w:name="_Hlk169191599"/>
      <w:r w:rsidRPr="006F4693">
        <w:rPr>
          <w:rFonts w:asciiTheme="minorHAnsi" w:hAnsiTheme="minorHAnsi" w:cstheme="minorHAnsi"/>
          <w:b/>
          <w:szCs w:val="24"/>
        </w:rPr>
        <w:t>F1.c 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w:t>
      </w:r>
      <w:bookmarkEnd w:id="13"/>
    </w:p>
    <w:p w14:paraId="061715C8" w14:textId="3C5B24EF" w:rsidR="00797BE3" w:rsidRPr="00194D57" w:rsidRDefault="00797BE3" w:rsidP="003628F3">
      <w:pPr>
        <w:jc w:val="both"/>
        <w:rPr>
          <w:rFonts w:asciiTheme="minorHAnsi" w:hAnsiTheme="minorHAnsi" w:cstheme="minorHAnsi"/>
          <w:szCs w:val="24"/>
        </w:rPr>
      </w:pPr>
      <w:r>
        <w:rPr>
          <w:rFonts w:asciiTheme="minorHAnsi" w:hAnsiTheme="minorHAnsi" w:cstheme="minorHAnsi"/>
          <w:szCs w:val="24"/>
        </w:rPr>
        <w:t xml:space="preserve">To achieve operational efficiencies at the Center, </w:t>
      </w:r>
      <w:r w:rsidR="009442E0">
        <w:rPr>
          <w:rFonts w:asciiTheme="minorHAnsi" w:hAnsiTheme="minorHAnsi" w:cstheme="minorHAnsi"/>
          <w:szCs w:val="24"/>
        </w:rPr>
        <w:t xml:space="preserve">the </w:t>
      </w:r>
      <w:r>
        <w:rPr>
          <w:rFonts w:asciiTheme="minorHAnsi" w:hAnsiTheme="minorHAnsi" w:cstheme="minorHAnsi"/>
          <w:szCs w:val="24"/>
        </w:rPr>
        <w:t>Applicant</w:t>
      </w:r>
      <w:r w:rsidR="003912FE">
        <w:rPr>
          <w:rFonts w:asciiTheme="minorHAnsi" w:hAnsiTheme="minorHAnsi" w:cstheme="minorHAnsi"/>
          <w:szCs w:val="24"/>
        </w:rPr>
        <w:t xml:space="preserve"> </w:t>
      </w:r>
      <w:r w:rsidR="009442E0">
        <w:rPr>
          <w:rFonts w:asciiTheme="minorHAnsi" w:hAnsiTheme="minorHAnsi" w:cstheme="minorHAnsi"/>
          <w:szCs w:val="24"/>
        </w:rPr>
        <w:t>will</w:t>
      </w:r>
      <w:r>
        <w:rPr>
          <w:rFonts w:asciiTheme="minorHAnsi" w:hAnsiTheme="minorHAnsi" w:cstheme="minorHAnsi"/>
          <w:szCs w:val="24"/>
        </w:rPr>
        <w:t xml:space="preserve"> </w:t>
      </w:r>
      <w:r w:rsidRPr="00194D57">
        <w:rPr>
          <w:rFonts w:asciiTheme="minorHAnsi" w:hAnsiTheme="minorHAnsi" w:cstheme="minorHAnsi"/>
          <w:szCs w:val="24"/>
        </w:rPr>
        <w:t>work with SCA, a national leader in ASC operations and management, to bring a broad and deep set of capabilities, services, and industry expertise that will create an outstanding surgical experience for Atrius Health patients. SCA</w:t>
      </w:r>
      <w:r>
        <w:rPr>
          <w:rFonts w:asciiTheme="minorHAnsi" w:hAnsiTheme="minorHAnsi" w:cstheme="minorHAnsi"/>
          <w:szCs w:val="24"/>
        </w:rPr>
        <w:t>,</w:t>
      </w:r>
      <w:r w:rsidRPr="00194D57">
        <w:rPr>
          <w:rFonts w:asciiTheme="minorHAnsi" w:hAnsiTheme="minorHAnsi" w:cstheme="minorHAnsi"/>
          <w:szCs w:val="24"/>
        </w:rPr>
        <w:t xml:space="preserve"> through a management agreement with </w:t>
      </w:r>
      <w:r w:rsidRPr="005B249D">
        <w:rPr>
          <w:rFonts w:asciiTheme="minorHAnsi" w:hAnsiTheme="minorHAnsi" w:cstheme="minorHAnsi"/>
        </w:rPr>
        <w:t>AHASC</w:t>
      </w:r>
      <w:r>
        <w:rPr>
          <w:rFonts w:asciiTheme="minorHAnsi" w:hAnsiTheme="minorHAnsi" w:cstheme="minorHAnsi"/>
        </w:rPr>
        <w:t>,</w:t>
      </w:r>
      <w:r w:rsidRPr="00194D57">
        <w:rPr>
          <w:rFonts w:asciiTheme="minorHAnsi" w:hAnsiTheme="minorHAnsi" w:cstheme="minorHAnsi"/>
          <w:szCs w:val="24"/>
        </w:rPr>
        <w:t xml:space="preserve"> will provide comprehensive clinical, operational, and administrative services that will ensure the Center is efficient, professionally managed, and economical, leveraging design and operations experience; integrated and custom technology solutions; supply chain advantages and economies of scale; quality management and clinical support; and a wide range of reporting, quality assurance, risk management, and benchmarking tools. </w:t>
      </w:r>
      <w:r>
        <w:rPr>
          <w:rFonts w:asciiTheme="minorHAnsi" w:hAnsiTheme="minorHAnsi" w:cstheme="minorHAnsi"/>
          <w:szCs w:val="24"/>
        </w:rPr>
        <w:t xml:space="preserve">Additionally, the Center will be a state-of-the art facility that is built out to ensure it is compliant with best practice for infection control and other building system efficiencies.  The Center </w:t>
      </w:r>
      <w:r w:rsidRPr="00194D57">
        <w:rPr>
          <w:rFonts w:asciiTheme="minorHAnsi" w:hAnsiTheme="minorHAnsi" w:cstheme="minorHAnsi"/>
          <w:szCs w:val="24"/>
        </w:rPr>
        <w:t>will be Medicare certified and accredited by The Joint Commission and the Accreditation Association for Ambulatory Health Care.</w:t>
      </w:r>
    </w:p>
    <w:p w14:paraId="3EAB59DF" w14:textId="2A73CE6B" w:rsidR="00797BE3" w:rsidRPr="00194D57" w:rsidRDefault="00797BE3" w:rsidP="003628F3">
      <w:pPr>
        <w:jc w:val="both"/>
        <w:rPr>
          <w:rFonts w:asciiTheme="minorHAnsi" w:hAnsiTheme="minorHAnsi" w:cstheme="minorHAnsi"/>
          <w:szCs w:val="24"/>
        </w:rPr>
      </w:pPr>
      <w:bookmarkStart w:id="14" w:name="_Hlk169191553"/>
      <w:r w:rsidRPr="00194D57">
        <w:rPr>
          <w:rFonts w:asciiTheme="minorHAnsi" w:hAnsiTheme="minorHAnsi" w:cstheme="minorHAnsi"/>
          <w:szCs w:val="24"/>
        </w:rPr>
        <w:t xml:space="preserve">Not only will the Proposed Project be operationally efficient and effective, but it will </w:t>
      </w:r>
      <w:r>
        <w:rPr>
          <w:rFonts w:asciiTheme="minorHAnsi" w:hAnsiTheme="minorHAnsi" w:cstheme="minorHAnsi"/>
          <w:szCs w:val="24"/>
        </w:rPr>
        <w:t xml:space="preserve">offer the Surgical Services in a state-of-the art ASC, where a patient’s care will be integrated with their </w:t>
      </w:r>
      <w:r w:rsidRPr="00194D57">
        <w:rPr>
          <w:rFonts w:asciiTheme="minorHAnsi" w:hAnsiTheme="minorHAnsi" w:cstheme="minorHAnsi"/>
          <w:szCs w:val="24"/>
        </w:rPr>
        <w:t xml:space="preserve">primary and specialty care. </w:t>
      </w:r>
      <w:r>
        <w:rPr>
          <w:rFonts w:asciiTheme="minorHAnsi" w:hAnsiTheme="minorHAnsi" w:cstheme="minorHAnsi"/>
          <w:szCs w:val="24"/>
        </w:rPr>
        <w:t xml:space="preserve"> As discussed above, the integrated EMR</w:t>
      </w:r>
      <w:r w:rsidR="003912FE">
        <w:rPr>
          <w:rFonts w:asciiTheme="minorHAnsi" w:hAnsiTheme="minorHAnsi" w:cstheme="minorHAnsi"/>
          <w:szCs w:val="24"/>
        </w:rPr>
        <w:t xml:space="preserve"> </w:t>
      </w:r>
      <w:r w:rsidRPr="00194D57">
        <w:rPr>
          <w:rFonts w:asciiTheme="minorHAnsi" w:hAnsiTheme="minorHAnsi" w:cstheme="minorHAnsi"/>
          <w:szCs w:val="24"/>
        </w:rPr>
        <w:t xml:space="preserve">facilitates the delivery of efficient and effective care by ensuring that </w:t>
      </w:r>
      <w:r>
        <w:rPr>
          <w:rFonts w:asciiTheme="minorHAnsi" w:hAnsiTheme="minorHAnsi" w:cstheme="minorHAnsi"/>
          <w:szCs w:val="24"/>
        </w:rPr>
        <w:t>the entire care team has</w:t>
      </w:r>
      <w:r w:rsidRPr="00194D57">
        <w:rPr>
          <w:rFonts w:asciiTheme="minorHAnsi" w:hAnsiTheme="minorHAnsi" w:cstheme="minorHAnsi"/>
          <w:szCs w:val="24"/>
        </w:rPr>
        <w:t xml:space="preserve"> timely access to needed data, as well as to each other, facilitating diagnosis and treatment.  </w:t>
      </w:r>
      <w:r>
        <w:rPr>
          <w:rFonts w:asciiTheme="minorHAnsi" w:hAnsiTheme="minorHAnsi" w:cstheme="minorHAnsi"/>
          <w:szCs w:val="24"/>
        </w:rPr>
        <w:t xml:space="preserve">The </w:t>
      </w:r>
      <w:r w:rsidRPr="00194D57">
        <w:rPr>
          <w:rFonts w:asciiTheme="minorHAnsi" w:hAnsiTheme="minorHAnsi" w:cstheme="minorHAnsi"/>
          <w:szCs w:val="24"/>
        </w:rPr>
        <w:t xml:space="preserve">EMR functionality allows </w:t>
      </w:r>
      <w:r>
        <w:rPr>
          <w:rFonts w:asciiTheme="minorHAnsi" w:hAnsiTheme="minorHAnsi" w:cstheme="minorHAnsi"/>
          <w:szCs w:val="24"/>
        </w:rPr>
        <w:t xml:space="preserve">the Applicant’s </w:t>
      </w:r>
      <w:r w:rsidRPr="00194D57">
        <w:rPr>
          <w:rFonts w:asciiTheme="minorHAnsi" w:hAnsiTheme="minorHAnsi" w:cstheme="minorHAnsi"/>
          <w:szCs w:val="24"/>
        </w:rPr>
        <w:t xml:space="preserve">surgeons to share operative notes and post-operative discharge instructions with </w:t>
      </w:r>
      <w:r>
        <w:rPr>
          <w:rFonts w:asciiTheme="minorHAnsi" w:hAnsiTheme="minorHAnsi" w:cstheme="minorHAnsi"/>
          <w:szCs w:val="24"/>
        </w:rPr>
        <w:t xml:space="preserve">the Applicant’s </w:t>
      </w:r>
      <w:r w:rsidRPr="00194D57">
        <w:rPr>
          <w:rFonts w:asciiTheme="minorHAnsi" w:hAnsiTheme="minorHAnsi" w:cstheme="minorHAnsi"/>
          <w:szCs w:val="24"/>
        </w:rPr>
        <w:t xml:space="preserve">primary care physicians so both physicians may track patient prognoses post-discharge. </w:t>
      </w:r>
      <w:r>
        <w:rPr>
          <w:rFonts w:asciiTheme="minorHAnsi" w:hAnsiTheme="minorHAnsi" w:cstheme="minorHAnsi"/>
          <w:szCs w:val="24"/>
        </w:rPr>
        <w:t>This will</w:t>
      </w:r>
      <w:r w:rsidRPr="00194D57">
        <w:rPr>
          <w:rFonts w:asciiTheme="minorHAnsi" w:hAnsiTheme="minorHAnsi" w:cstheme="minorHAnsi"/>
          <w:szCs w:val="24"/>
        </w:rPr>
        <w:t xml:space="preserve"> improve efficiency and continuity and coordination of care by easing coordination of visits to multiple providers.</w:t>
      </w:r>
    </w:p>
    <w:p w14:paraId="4EA38D0A" w14:textId="3A4221D9" w:rsidR="00797BE3" w:rsidRDefault="00797BE3" w:rsidP="003628F3">
      <w:pPr>
        <w:jc w:val="both"/>
        <w:rPr>
          <w:rFonts w:asciiTheme="minorHAnsi" w:hAnsiTheme="minorHAnsi" w:cstheme="minorHAnsi"/>
          <w:szCs w:val="24"/>
        </w:rPr>
      </w:pPr>
      <w:r>
        <w:rPr>
          <w:rFonts w:asciiTheme="minorHAnsi" w:hAnsiTheme="minorHAnsi" w:cstheme="minorHAnsi"/>
          <w:szCs w:val="24"/>
        </w:rPr>
        <w:t>Lastly,</w:t>
      </w:r>
      <w:r w:rsidRPr="00194D57">
        <w:rPr>
          <w:rFonts w:asciiTheme="minorHAnsi" w:hAnsiTheme="minorHAnsi" w:cstheme="minorHAnsi"/>
          <w:szCs w:val="24"/>
        </w:rPr>
        <w:t xml:space="preserve"> the Proposed Project </w:t>
      </w:r>
      <w:r>
        <w:rPr>
          <w:rFonts w:asciiTheme="minorHAnsi" w:hAnsiTheme="minorHAnsi" w:cstheme="minorHAnsi"/>
          <w:szCs w:val="24"/>
        </w:rPr>
        <w:t xml:space="preserve">will leverage the Applicant’s existing </w:t>
      </w:r>
      <w:r w:rsidRPr="00194D57">
        <w:rPr>
          <w:rFonts w:asciiTheme="minorHAnsi" w:hAnsiTheme="minorHAnsi" w:cstheme="minorHAnsi"/>
          <w:szCs w:val="24"/>
        </w:rPr>
        <w:t>resources</w:t>
      </w:r>
      <w:r w:rsidR="004E7ECA">
        <w:rPr>
          <w:rFonts w:asciiTheme="minorHAnsi" w:hAnsiTheme="minorHAnsi" w:cstheme="minorHAnsi"/>
          <w:szCs w:val="24"/>
        </w:rPr>
        <w:t xml:space="preserve"> to help</w:t>
      </w:r>
      <w:r w:rsidRPr="00194D57">
        <w:rPr>
          <w:rFonts w:asciiTheme="minorHAnsi" w:hAnsiTheme="minorHAnsi" w:cstheme="minorHAnsi"/>
          <w:szCs w:val="24"/>
        </w:rPr>
        <w:t xml:space="preserve"> facilitate a more effective and efficient patient experience, from referral through discharge, with surgical staff able to access patient medical history, lab results, and social needs information, consult primary care and specialists via virtual consultations.</w:t>
      </w:r>
      <w:r w:rsidR="003912FE">
        <w:rPr>
          <w:rFonts w:asciiTheme="minorHAnsi" w:hAnsiTheme="minorHAnsi" w:cstheme="minorHAnsi"/>
          <w:szCs w:val="24"/>
        </w:rPr>
        <w:t xml:space="preserve">  </w:t>
      </w:r>
      <w:r w:rsidRPr="00194D57">
        <w:rPr>
          <w:rFonts w:asciiTheme="minorHAnsi" w:hAnsiTheme="minorHAnsi" w:cstheme="minorHAnsi"/>
          <w:szCs w:val="24"/>
        </w:rPr>
        <w:t>The Center will also fit into the</w:t>
      </w:r>
      <w:r>
        <w:rPr>
          <w:rFonts w:asciiTheme="minorHAnsi" w:hAnsiTheme="minorHAnsi" w:cstheme="minorHAnsi"/>
          <w:szCs w:val="24"/>
        </w:rPr>
        <w:t xml:space="preserve"> Applicant’s</w:t>
      </w:r>
      <w:r w:rsidRPr="00194D57">
        <w:rPr>
          <w:rFonts w:asciiTheme="minorHAnsi" w:hAnsiTheme="minorHAnsi" w:cstheme="minorHAnsi"/>
          <w:szCs w:val="24"/>
        </w:rPr>
        <w:t xml:space="preserve"> broader clinical eco-system, which includes strong existing clinical integration with several local hospitals and home health services.</w:t>
      </w:r>
    </w:p>
    <w:p w14:paraId="13B5CB87" w14:textId="77777777" w:rsidR="003628F3" w:rsidRDefault="003628F3" w:rsidP="003628F3">
      <w:pPr>
        <w:jc w:val="both"/>
        <w:rPr>
          <w:rFonts w:asciiTheme="minorHAnsi" w:hAnsiTheme="minorHAnsi" w:cstheme="minorHAnsi"/>
          <w:szCs w:val="24"/>
        </w:rPr>
      </w:pPr>
    </w:p>
    <w:p w14:paraId="2355309B" w14:textId="77777777" w:rsidR="00866009" w:rsidRDefault="00866009" w:rsidP="003628F3">
      <w:pPr>
        <w:jc w:val="both"/>
        <w:rPr>
          <w:rFonts w:asciiTheme="minorHAnsi" w:hAnsiTheme="minorHAnsi" w:cstheme="minorHAnsi"/>
          <w:szCs w:val="24"/>
        </w:rPr>
      </w:pPr>
    </w:p>
    <w:bookmarkEnd w:id="14"/>
    <w:p w14:paraId="3F7B8FBC" w14:textId="77777777" w:rsidR="00797BE3" w:rsidRPr="006F4693" w:rsidRDefault="00797BE3" w:rsidP="003628F3">
      <w:pPr>
        <w:jc w:val="both"/>
        <w:rPr>
          <w:rFonts w:asciiTheme="minorHAnsi" w:hAnsiTheme="minorHAnsi" w:cstheme="minorHAnsi"/>
          <w:b/>
          <w:szCs w:val="24"/>
        </w:rPr>
      </w:pPr>
      <w:r w:rsidRPr="006F4693">
        <w:rPr>
          <w:rFonts w:asciiTheme="minorHAnsi" w:hAnsiTheme="minorHAnsi" w:cstheme="minorHAnsi"/>
          <w:b/>
          <w:szCs w:val="24"/>
        </w:rPr>
        <w:t>F1.d Provide evidence of consultation, both prior to and after the Filing Date, with all Government Agencies with relevant licensure, certification, or other regulatory oversight of the Applicant or the Proposed Project.</w:t>
      </w:r>
    </w:p>
    <w:p w14:paraId="0245FA57" w14:textId="77777777" w:rsidR="00797BE3" w:rsidRPr="006F4693" w:rsidRDefault="00797BE3" w:rsidP="003628F3">
      <w:pPr>
        <w:autoSpaceDE w:val="0"/>
        <w:autoSpaceDN w:val="0"/>
        <w:adjustRightInd w:val="0"/>
        <w:jc w:val="both"/>
        <w:rPr>
          <w:rFonts w:asciiTheme="minorHAnsi" w:hAnsiTheme="minorHAnsi" w:cstheme="minorHAnsi"/>
          <w:szCs w:val="24"/>
        </w:rPr>
      </w:pPr>
      <w:r w:rsidRPr="00814ED7">
        <w:rPr>
          <w:rFonts w:asciiTheme="minorHAnsi" w:hAnsiTheme="minorHAnsi" w:cstheme="minorHAnsi"/>
          <w:szCs w:val="24"/>
        </w:rPr>
        <w:t xml:space="preserve">The Applicant and its representatives have had discussions with the Department of Public Health’s Determination of Need Program, Division of Health Care Facility Licensure and Certification and the Division of Community Health Planning, </w:t>
      </w:r>
      <w:r w:rsidRPr="00814ED7">
        <w:rPr>
          <w:rFonts w:asciiTheme="minorHAnsi" w:hAnsiTheme="minorHAnsi" w:cstheme="minorHAnsi"/>
        </w:rPr>
        <w:t>and the Health Policy Commission.</w:t>
      </w:r>
      <w:r>
        <w:rPr>
          <w:rFonts w:asciiTheme="minorHAnsi" w:hAnsiTheme="minorHAnsi" w:cstheme="minorHAnsi"/>
        </w:rPr>
        <w:t xml:space="preserve"> </w:t>
      </w:r>
      <w:r w:rsidRPr="006F4693">
        <w:rPr>
          <w:rFonts w:asciiTheme="minorHAnsi" w:hAnsiTheme="minorHAnsi" w:cstheme="minorHAnsi"/>
        </w:rPr>
        <w:t xml:space="preserve"> </w:t>
      </w:r>
    </w:p>
    <w:p w14:paraId="3CCC8B88" w14:textId="2F422E7D" w:rsidR="00797BE3" w:rsidRDefault="00797BE3" w:rsidP="003628F3">
      <w:pPr>
        <w:autoSpaceDE w:val="0"/>
        <w:autoSpaceDN w:val="0"/>
        <w:adjustRightInd w:val="0"/>
        <w:jc w:val="both"/>
        <w:rPr>
          <w:rFonts w:asciiTheme="minorHAnsi" w:hAnsiTheme="minorHAnsi" w:cstheme="minorHAnsi"/>
          <w:b/>
          <w:szCs w:val="24"/>
        </w:rPr>
      </w:pPr>
      <w:r w:rsidRPr="006F4693">
        <w:rPr>
          <w:rFonts w:asciiTheme="minorHAnsi" w:hAnsiTheme="minorHAnsi" w:cstheme="minorHAnsi"/>
          <w:b/>
          <w:szCs w:val="24"/>
        </w:rPr>
        <w:t>F1.e.i Process for Determining Need/Evidence of Community Engagement: For assistance in responding to this portion of the Application, Applicant is encouraged to review Community Engagement Standards for Community Health Planning Guideline. With</w:t>
      </w:r>
      <w:r>
        <w:rPr>
          <w:rFonts w:asciiTheme="minorHAnsi" w:hAnsiTheme="minorHAnsi" w:cstheme="minorHAnsi"/>
          <w:b/>
          <w:szCs w:val="24"/>
        </w:rPr>
        <w:t xml:space="preserve"> </w:t>
      </w:r>
      <w:r w:rsidRPr="006F4693">
        <w:rPr>
          <w:rFonts w:asciiTheme="minorHAnsi" w:hAnsiTheme="minorHAnsi" w:cstheme="minorHAnsi"/>
          <w:b/>
          <w:szCs w:val="24"/>
        </w:rPr>
        <w:t>respect to the existing Patient Panel, please describe the process through which Applicant determined the need for the Proposed Project.</w:t>
      </w:r>
    </w:p>
    <w:p w14:paraId="0E11B77A" w14:textId="77777777" w:rsidR="00797BE3" w:rsidRPr="00814ED7" w:rsidRDefault="00797BE3" w:rsidP="003628F3">
      <w:pPr>
        <w:jc w:val="both"/>
        <w:rPr>
          <w:rFonts w:asciiTheme="minorHAnsi" w:hAnsiTheme="minorHAnsi" w:cstheme="minorHAnsi"/>
          <w:szCs w:val="24"/>
        </w:rPr>
      </w:pPr>
      <w:r w:rsidRPr="00814ED7">
        <w:rPr>
          <w:rFonts w:asciiTheme="minorHAnsi" w:hAnsiTheme="minorHAnsi" w:cstheme="minorHAnsi"/>
          <w:szCs w:val="24"/>
        </w:rPr>
        <w:t xml:space="preserve">In addition to relying on the data described throughout this </w:t>
      </w:r>
      <w:r>
        <w:rPr>
          <w:rFonts w:asciiTheme="minorHAnsi" w:hAnsiTheme="minorHAnsi" w:cstheme="minorHAnsi"/>
          <w:szCs w:val="24"/>
        </w:rPr>
        <w:t>A</w:t>
      </w:r>
      <w:r w:rsidRPr="00814ED7">
        <w:rPr>
          <w:rFonts w:asciiTheme="minorHAnsi" w:hAnsiTheme="minorHAnsi" w:cstheme="minorHAnsi"/>
          <w:szCs w:val="24"/>
        </w:rPr>
        <w:t>pplication that demonstrates the need for the Proposed Project, the Applicant has also engaged the community to elicit feedback from patients and its physicians regarding the Proposed Project.</w:t>
      </w:r>
    </w:p>
    <w:p w14:paraId="58B87958" w14:textId="595275D3" w:rsidR="00797BE3" w:rsidRPr="00814ED7" w:rsidRDefault="00797BE3" w:rsidP="003628F3">
      <w:pPr>
        <w:jc w:val="both"/>
        <w:rPr>
          <w:rFonts w:asciiTheme="minorHAnsi" w:hAnsiTheme="minorHAnsi" w:cstheme="minorHAnsi"/>
          <w:szCs w:val="24"/>
        </w:rPr>
      </w:pPr>
      <w:r w:rsidRPr="00814ED7">
        <w:rPr>
          <w:rFonts w:asciiTheme="minorHAnsi" w:hAnsiTheme="minorHAnsi" w:cstheme="minorHAnsi"/>
          <w:szCs w:val="24"/>
        </w:rPr>
        <w:t xml:space="preserve">The Proposed Project was presented to the Atrius Health Patients and Family Advisory Council (PFAC) on November 6, 2023. </w:t>
      </w:r>
      <w:r w:rsidR="00921A38">
        <w:rPr>
          <w:rFonts w:asciiTheme="minorHAnsi" w:hAnsiTheme="minorHAnsi" w:cstheme="minorHAnsi"/>
          <w:szCs w:val="24"/>
        </w:rPr>
        <w:t xml:space="preserve"> </w:t>
      </w:r>
      <w:r w:rsidRPr="00814ED7">
        <w:rPr>
          <w:rFonts w:asciiTheme="minorHAnsi" w:hAnsiTheme="minorHAnsi" w:cstheme="minorHAnsi"/>
          <w:szCs w:val="24"/>
        </w:rPr>
        <w:t xml:space="preserve">The presentation included an overview of the Center and the proposed </w:t>
      </w:r>
      <w:r>
        <w:rPr>
          <w:rFonts w:asciiTheme="minorHAnsi" w:hAnsiTheme="minorHAnsi" w:cstheme="minorHAnsi"/>
          <w:szCs w:val="24"/>
        </w:rPr>
        <w:t>S</w:t>
      </w:r>
      <w:r w:rsidRPr="00814ED7">
        <w:rPr>
          <w:rFonts w:asciiTheme="minorHAnsi" w:hAnsiTheme="minorHAnsi" w:cstheme="minorHAnsi"/>
          <w:szCs w:val="24"/>
        </w:rPr>
        <w:t xml:space="preserve">urgical </w:t>
      </w:r>
      <w:r>
        <w:rPr>
          <w:rFonts w:asciiTheme="minorHAnsi" w:hAnsiTheme="minorHAnsi" w:cstheme="minorHAnsi"/>
          <w:szCs w:val="24"/>
        </w:rPr>
        <w:t>S</w:t>
      </w:r>
      <w:r w:rsidRPr="00814ED7">
        <w:rPr>
          <w:rFonts w:asciiTheme="minorHAnsi" w:hAnsiTheme="minorHAnsi" w:cstheme="minorHAnsi"/>
          <w:szCs w:val="24"/>
        </w:rPr>
        <w:t>ervice</w:t>
      </w:r>
      <w:r>
        <w:rPr>
          <w:rFonts w:asciiTheme="minorHAnsi" w:hAnsiTheme="minorHAnsi" w:cstheme="minorHAnsi"/>
          <w:szCs w:val="24"/>
        </w:rPr>
        <w:t xml:space="preserve">s </w:t>
      </w:r>
      <w:r w:rsidR="00FF2426" w:rsidRPr="00814ED7">
        <w:rPr>
          <w:rFonts w:asciiTheme="minorHAnsi" w:hAnsiTheme="minorHAnsi" w:cstheme="minorHAnsi"/>
          <w:szCs w:val="24"/>
        </w:rPr>
        <w:t>offering and</w:t>
      </w:r>
      <w:r w:rsidRPr="00814ED7">
        <w:rPr>
          <w:rFonts w:asciiTheme="minorHAnsi" w:hAnsiTheme="minorHAnsi" w:cstheme="minorHAnsi"/>
          <w:szCs w:val="24"/>
        </w:rPr>
        <w:t xml:space="preserve"> included a discussion of the implications for patients having surgical services provided locally and internally to Atrius Health, including improved coordination of care and access to high quality, lower-cost surgical services.</w:t>
      </w:r>
    </w:p>
    <w:p w14:paraId="3813FD63" w14:textId="79F52F04" w:rsidR="00797BE3" w:rsidRDefault="00797BE3" w:rsidP="003628F3">
      <w:pPr>
        <w:jc w:val="both"/>
        <w:rPr>
          <w:rFonts w:cstheme="minorHAnsi"/>
        </w:rPr>
      </w:pPr>
      <w:r w:rsidRPr="00814ED7">
        <w:rPr>
          <w:rFonts w:asciiTheme="minorHAnsi" w:hAnsiTheme="minorHAnsi" w:cstheme="minorHAnsi"/>
          <w:szCs w:val="24"/>
        </w:rPr>
        <w:t xml:space="preserve">Members of the PFAC were </w:t>
      </w:r>
      <w:r>
        <w:rPr>
          <w:rFonts w:asciiTheme="minorHAnsi" w:hAnsiTheme="minorHAnsi" w:cstheme="minorHAnsi"/>
          <w:szCs w:val="24"/>
        </w:rPr>
        <w:t xml:space="preserve">enthusiastic and supportive of the Proposed Project.  There was an active discussion at the meeting where the PFAC members asked several </w:t>
      </w:r>
      <w:proofErr w:type="gramStart"/>
      <w:r w:rsidR="001367E1">
        <w:rPr>
          <w:rFonts w:asciiTheme="minorHAnsi" w:hAnsiTheme="minorHAnsi" w:cstheme="minorHAnsi"/>
          <w:szCs w:val="24"/>
        </w:rPr>
        <w:t>questions, and</w:t>
      </w:r>
      <w:proofErr w:type="gramEnd"/>
      <w:r>
        <w:rPr>
          <w:rFonts w:asciiTheme="minorHAnsi" w:hAnsiTheme="minorHAnsi" w:cstheme="minorHAnsi"/>
          <w:szCs w:val="24"/>
        </w:rPr>
        <w:t xml:space="preserve"> provided input and feedback on </w:t>
      </w:r>
      <w:r w:rsidR="009442E0">
        <w:rPr>
          <w:rFonts w:asciiTheme="minorHAnsi" w:hAnsiTheme="minorHAnsi" w:cstheme="minorHAnsi"/>
          <w:szCs w:val="24"/>
        </w:rPr>
        <w:t xml:space="preserve">the </w:t>
      </w:r>
      <w:r>
        <w:rPr>
          <w:rFonts w:asciiTheme="minorHAnsi" w:hAnsiTheme="minorHAnsi" w:cstheme="minorHAnsi"/>
          <w:szCs w:val="24"/>
        </w:rPr>
        <w:t>Center.</w:t>
      </w:r>
      <w:r w:rsidR="00921A38">
        <w:rPr>
          <w:rFonts w:asciiTheme="minorHAnsi" w:hAnsiTheme="minorHAnsi" w:cstheme="minorHAnsi"/>
          <w:szCs w:val="24"/>
        </w:rPr>
        <w:t xml:space="preserve"> </w:t>
      </w:r>
      <w:r>
        <w:rPr>
          <w:rFonts w:asciiTheme="minorHAnsi" w:hAnsiTheme="minorHAnsi" w:cstheme="minorHAnsi"/>
          <w:szCs w:val="24"/>
        </w:rPr>
        <w:t xml:space="preserve"> PFAC member questions focused on the location of and accessibility of the Center; the Surgical Services to be offered at the Center compared to their current sites; which patients could access these services; the integration of the Surgical Services into Atrius Health’s model of care; the time frame for implementation and requirements to open the Center. Members said that they believed that it was consistent with Atrius Health’s approach to providing a wide array of services under a single umbrella, would enhance convenience for patients and provide benefit to the community. </w:t>
      </w:r>
      <w:r w:rsidRPr="00B53DB2">
        <w:rPr>
          <w:rFonts w:asciiTheme="minorHAnsi" w:hAnsiTheme="minorHAnsi" w:cstheme="minorHAnsi"/>
          <w:szCs w:val="24"/>
        </w:rPr>
        <w:t xml:space="preserve"> A copy of the presentation is attached </w:t>
      </w:r>
      <w:r w:rsidRPr="008E6EE0">
        <w:rPr>
          <w:rFonts w:asciiTheme="minorHAnsi" w:hAnsiTheme="minorHAnsi" w:cstheme="minorHAnsi"/>
          <w:szCs w:val="24"/>
        </w:rPr>
        <w:t xml:space="preserve">as </w:t>
      </w:r>
      <w:r w:rsidRPr="00921A38">
        <w:rPr>
          <w:rFonts w:asciiTheme="minorHAnsi" w:hAnsiTheme="minorHAnsi"/>
        </w:rPr>
        <w:t xml:space="preserve">Exhibit </w:t>
      </w:r>
      <w:r w:rsidR="00A97866" w:rsidRPr="00921A38">
        <w:rPr>
          <w:rFonts w:asciiTheme="minorHAnsi" w:hAnsiTheme="minorHAnsi"/>
        </w:rPr>
        <w:t>8</w:t>
      </w:r>
      <w:r w:rsidRPr="00921A38">
        <w:rPr>
          <w:rFonts w:asciiTheme="minorHAnsi" w:hAnsiTheme="minorHAnsi"/>
        </w:rPr>
        <w:t>.</w:t>
      </w:r>
      <w:r>
        <w:rPr>
          <w:rFonts w:asciiTheme="minorHAnsi" w:hAnsiTheme="minorHAnsi" w:cstheme="minorHAnsi"/>
          <w:szCs w:val="24"/>
        </w:rPr>
        <w:t xml:space="preserve"> </w:t>
      </w:r>
    </w:p>
    <w:p w14:paraId="71EC7F53" w14:textId="0DFB8329" w:rsidR="00797BE3" w:rsidRPr="00814ED7" w:rsidRDefault="00797BE3" w:rsidP="003628F3">
      <w:pPr>
        <w:contextualSpacing/>
        <w:jc w:val="both"/>
        <w:rPr>
          <w:rFonts w:asciiTheme="minorHAnsi" w:hAnsiTheme="minorHAnsi" w:cstheme="minorHAnsi"/>
          <w:szCs w:val="24"/>
        </w:rPr>
      </w:pPr>
      <w:r>
        <w:rPr>
          <w:rFonts w:asciiTheme="minorHAnsi" w:hAnsiTheme="minorHAnsi" w:cstheme="minorHAnsi"/>
          <w:szCs w:val="24"/>
        </w:rPr>
        <w:t xml:space="preserve">The Applicant also engaged other local stakeholders including Jeanette A. McCarthy, the Mayor of Waltham, as well as the office of State Senator Michael Barrette and State Representative Thomas Stanley, both of </w:t>
      </w:r>
      <w:r w:rsidRPr="00CF03C1">
        <w:rPr>
          <w:rFonts w:asciiTheme="minorHAnsi" w:hAnsiTheme="minorHAnsi" w:cstheme="minorHAnsi"/>
          <w:szCs w:val="24"/>
        </w:rPr>
        <w:t>whose districts include the City of Waltham.</w:t>
      </w:r>
      <w:r w:rsidR="00D26FAB">
        <w:rPr>
          <w:rFonts w:asciiTheme="minorHAnsi" w:hAnsiTheme="minorHAnsi" w:cstheme="minorHAnsi"/>
          <w:szCs w:val="24"/>
        </w:rPr>
        <w:t xml:space="preserve"> </w:t>
      </w:r>
      <w:r w:rsidR="003912FE">
        <w:rPr>
          <w:rFonts w:asciiTheme="minorHAnsi" w:hAnsiTheme="minorHAnsi" w:cstheme="minorHAnsi"/>
          <w:szCs w:val="24"/>
        </w:rPr>
        <w:t xml:space="preserve"> </w:t>
      </w:r>
      <w:r w:rsidR="009442E0">
        <w:rPr>
          <w:rFonts w:asciiTheme="minorHAnsi" w:hAnsiTheme="minorHAnsi" w:cstheme="minorHAnsi"/>
          <w:szCs w:val="24"/>
        </w:rPr>
        <w:t>All</w:t>
      </w:r>
      <w:r w:rsidRPr="00CF03C1">
        <w:rPr>
          <w:rFonts w:asciiTheme="minorHAnsi" w:hAnsiTheme="minorHAnsi" w:cstheme="minorHAnsi"/>
          <w:szCs w:val="24"/>
        </w:rPr>
        <w:t xml:space="preserve"> were supportive of the </w:t>
      </w:r>
      <w:r>
        <w:rPr>
          <w:rFonts w:asciiTheme="minorHAnsi" w:hAnsiTheme="minorHAnsi" w:cstheme="minorHAnsi"/>
          <w:szCs w:val="24"/>
        </w:rPr>
        <w:t>Proposed P</w:t>
      </w:r>
      <w:r w:rsidRPr="00CF03C1">
        <w:rPr>
          <w:rFonts w:asciiTheme="minorHAnsi" w:hAnsiTheme="minorHAnsi" w:cstheme="minorHAnsi"/>
          <w:szCs w:val="24"/>
        </w:rPr>
        <w:t>roject.</w:t>
      </w:r>
    </w:p>
    <w:p w14:paraId="18DD947B" w14:textId="77777777" w:rsidR="00797BE3" w:rsidRDefault="00797BE3" w:rsidP="003628F3">
      <w:pPr>
        <w:autoSpaceDE w:val="0"/>
        <w:autoSpaceDN w:val="0"/>
        <w:adjustRightInd w:val="0"/>
        <w:jc w:val="both"/>
        <w:rPr>
          <w:rFonts w:asciiTheme="minorHAnsi" w:hAnsiTheme="minorHAnsi" w:cstheme="minorHAnsi"/>
          <w:b/>
          <w:szCs w:val="24"/>
        </w:rPr>
      </w:pPr>
    </w:p>
    <w:p w14:paraId="1FA2626D" w14:textId="18FE5032" w:rsidR="00797BE3" w:rsidRPr="003628F3" w:rsidRDefault="00797BE3" w:rsidP="003628F3">
      <w:pPr>
        <w:autoSpaceDE w:val="0"/>
        <w:autoSpaceDN w:val="0"/>
        <w:adjustRightInd w:val="0"/>
        <w:jc w:val="both"/>
        <w:rPr>
          <w:rFonts w:asciiTheme="minorHAnsi" w:hAnsiTheme="minorHAnsi" w:cstheme="minorHAnsi"/>
          <w:b/>
          <w:szCs w:val="24"/>
        </w:rPr>
      </w:pPr>
      <w:r w:rsidRPr="006F4693">
        <w:rPr>
          <w:rFonts w:asciiTheme="minorHAnsi" w:hAnsiTheme="minorHAnsi" w:cstheme="minorHAnsi"/>
          <w:b/>
          <w:szCs w:val="24"/>
        </w:rPr>
        <w:t>F1.</w:t>
      </w:r>
      <w:proofErr w:type="gramStart"/>
      <w:r w:rsidRPr="006F4693">
        <w:rPr>
          <w:rFonts w:asciiTheme="minorHAnsi" w:hAnsiTheme="minorHAnsi" w:cstheme="minorHAnsi"/>
          <w:b/>
          <w:szCs w:val="24"/>
        </w:rPr>
        <w:t>e.ii</w:t>
      </w:r>
      <w:proofErr w:type="gramEnd"/>
      <w:r w:rsidRPr="006F4693">
        <w:rPr>
          <w:rFonts w:asciiTheme="minorHAnsi" w:hAnsiTheme="minorHAnsi" w:cstheme="minorHAnsi"/>
          <w:b/>
          <w:szCs w:val="24"/>
        </w:rPr>
        <w:t xml:space="preserve"> Please provide evidence of sound Community Engagement and consultation </w:t>
      </w:r>
      <w:r>
        <w:rPr>
          <w:rFonts w:asciiTheme="minorHAnsi" w:hAnsiTheme="minorHAnsi" w:cstheme="minorHAnsi"/>
          <w:b/>
          <w:szCs w:val="24"/>
        </w:rPr>
        <w:t>t</w:t>
      </w:r>
      <w:r w:rsidRPr="006F4693">
        <w:rPr>
          <w:rFonts w:asciiTheme="minorHAnsi" w:hAnsiTheme="minorHAnsi" w:cstheme="minorHAnsi"/>
          <w:b/>
          <w:szCs w:val="24"/>
        </w:rPr>
        <w:t>hroughout the development of the Proposed Project. A successful Applicant will, at a minimum, describe the process whereby the “Public Health Value” of the Proposed</w:t>
      </w:r>
      <w:r>
        <w:rPr>
          <w:rFonts w:asciiTheme="minorHAnsi" w:hAnsiTheme="minorHAnsi" w:cstheme="minorHAnsi"/>
          <w:b/>
          <w:szCs w:val="24"/>
        </w:rPr>
        <w:t xml:space="preserve"> </w:t>
      </w:r>
      <w:r w:rsidRPr="006F4693">
        <w:rPr>
          <w:rFonts w:asciiTheme="minorHAnsi" w:hAnsiTheme="minorHAnsi" w:cstheme="minorHAnsi"/>
          <w:b/>
          <w:szCs w:val="24"/>
        </w:rPr>
        <w:t xml:space="preserve">Project was considered, and will describe the Community Engagement process as it occurred and is occurring currently in, at least, the following contexts: Identification of Patient Panel Need; Design/selection of </w:t>
      </w:r>
      <w:proofErr w:type="spellStart"/>
      <w:r w:rsidRPr="006F4693">
        <w:rPr>
          <w:rFonts w:asciiTheme="minorHAnsi" w:hAnsiTheme="minorHAnsi" w:cstheme="minorHAnsi"/>
          <w:b/>
          <w:szCs w:val="24"/>
        </w:rPr>
        <w:t>DoN</w:t>
      </w:r>
      <w:proofErr w:type="spellEnd"/>
      <w:r w:rsidRPr="006F4693">
        <w:rPr>
          <w:rFonts w:asciiTheme="minorHAnsi" w:hAnsiTheme="minorHAnsi" w:cstheme="minorHAnsi"/>
          <w:b/>
          <w:szCs w:val="24"/>
        </w:rPr>
        <w:t xml:space="preserve"> Project in response to “Patient Panel”</w:t>
      </w:r>
      <w:r>
        <w:rPr>
          <w:rFonts w:asciiTheme="minorHAnsi" w:hAnsiTheme="minorHAnsi" w:cstheme="minorHAnsi"/>
          <w:b/>
          <w:szCs w:val="24"/>
        </w:rPr>
        <w:t xml:space="preserve"> </w:t>
      </w:r>
      <w:r w:rsidRPr="006F4693">
        <w:rPr>
          <w:rFonts w:asciiTheme="minorHAnsi" w:hAnsiTheme="minorHAnsi" w:cstheme="minorHAnsi"/>
          <w:b/>
          <w:szCs w:val="24"/>
        </w:rPr>
        <w:t>need; and Linking the Proposed Project to “Public Health Value”.</w:t>
      </w:r>
    </w:p>
    <w:p w14:paraId="27C51115" w14:textId="6F575F62" w:rsidR="00A97866" w:rsidRDefault="00797BE3" w:rsidP="00797BE3">
      <w:pPr>
        <w:jc w:val="both"/>
        <w:rPr>
          <w:rFonts w:asciiTheme="minorHAnsi" w:hAnsiTheme="minorHAnsi" w:cstheme="minorHAnsi"/>
          <w:szCs w:val="24"/>
        </w:rPr>
      </w:pPr>
      <w:r>
        <w:rPr>
          <w:rFonts w:asciiTheme="minorHAnsi" w:hAnsiTheme="minorHAnsi" w:cstheme="minorHAnsi"/>
          <w:szCs w:val="24"/>
        </w:rPr>
        <w:t xml:space="preserve">To ensure sound community engagement for the Proposed Project, the Applicant took the actions </w:t>
      </w:r>
      <w:r w:rsidRPr="00B53DB2">
        <w:rPr>
          <w:rFonts w:asciiTheme="minorHAnsi" w:hAnsiTheme="minorHAnsi" w:cstheme="minorHAnsi"/>
          <w:szCs w:val="24"/>
        </w:rPr>
        <w:t xml:space="preserve">described above, </w:t>
      </w:r>
      <w:r>
        <w:rPr>
          <w:rFonts w:asciiTheme="minorHAnsi" w:hAnsiTheme="minorHAnsi" w:cstheme="minorHAnsi"/>
          <w:szCs w:val="24"/>
        </w:rPr>
        <w:t xml:space="preserve">including meeting with its </w:t>
      </w:r>
      <w:r w:rsidRPr="00B53DB2">
        <w:rPr>
          <w:rFonts w:asciiTheme="minorHAnsi" w:hAnsiTheme="minorHAnsi" w:cstheme="minorHAnsi"/>
          <w:szCs w:val="24"/>
        </w:rPr>
        <w:t xml:space="preserve">PFAC on November 6, </w:t>
      </w:r>
      <w:proofErr w:type="gramStart"/>
      <w:r w:rsidRPr="00B53DB2">
        <w:rPr>
          <w:rFonts w:asciiTheme="minorHAnsi" w:hAnsiTheme="minorHAnsi" w:cstheme="minorHAnsi"/>
          <w:szCs w:val="24"/>
        </w:rPr>
        <w:t>2023</w:t>
      </w:r>
      <w:proofErr w:type="gramEnd"/>
      <w:r w:rsidRPr="00B53DB2">
        <w:rPr>
          <w:rFonts w:asciiTheme="minorHAnsi" w:hAnsiTheme="minorHAnsi" w:cstheme="minorHAnsi"/>
          <w:szCs w:val="24"/>
        </w:rPr>
        <w:t xml:space="preserve"> to present the Proposed Project. </w:t>
      </w:r>
    </w:p>
    <w:p w14:paraId="1E6877EF" w14:textId="77777777" w:rsidR="00797BE3" w:rsidRPr="006F4693" w:rsidRDefault="00797BE3" w:rsidP="00797BE3">
      <w:pPr>
        <w:autoSpaceDE w:val="0"/>
        <w:autoSpaceDN w:val="0"/>
        <w:adjustRightInd w:val="0"/>
        <w:spacing w:after="0" w:line="240" w:lineRule="auto"/>
        <w:rPr>
          <w:rFonts w:asciiTheme="minorHAnsi" w:hAnsiTheme="minorHAnsi" w:cstheme="minorHAnsi"/>
          <w:b/>
          <w:szCs w:val="24"/>
        </w:rPr>
      </w:pPr>
      <w:r w:rsidRPr="006F4693">
        <w:rPr>
          <w:rFonts w:asciiTheme="minorHAnsi" w:hAnsiTheme="minorHAnsi" w:cstheme="minorHAnsi"/>
          <w:b/>
          <w:szCs w:val="24"/>
        </w:rPr>
        <w:t>Factor 2: Health Priorities</w:t>
      </w:r>
    </w:p>
    <w:p w14:paraId="28CDCE96" w14:textId="77777777" w:rsidR="00797BE3" w:rsidRPr="006F4693" w:rsidRDefault="00797BE3" w:rsidP="00797BE3">
      <w:pPr>
        <w:autoSpaceDE w:val="0"/>
        <w:autoSpaceDN w:val="0"/>
        <w:adjustRightInd w:val="0"/>
        <w:spacing w:after="0" w:line="240" w:lineRule="auto"/>
        <w:rPr>
          <w:rFonts w:asciiTheme="minorHAnsi" w:hAnsiTheme="minorHAnsi" w:cstheme="minorHAnsi"/>
          <w:b/>
          <w:szCs w:val="24"/>
        </w:rPr>
      </w:pPr>
    </w:p>
    <w:p w14:paraId="7A7B2442" w14:textId="77777777" w:rsidR="00797BE3" w:rsidRDefault="00797BE3" w:rsidP="00797BE3">
      <w:pPr>
        <w:autoSpaceDE w:val="0"/>
        <w:autoSpaceDN w:val="0"/>
        <w:adjustRightInd w:val="0"/>
        <w:spacing w:after="0" w:line="240" w:lineRule="auto"/>
        <w:jc w:val="both"/>
        <w:rPr>
          <w:rFonts w:asciiTheme="minorHAnsi" w:hAnsiTheme="minorHAnsi" w:cstheme="minorHAnsi"/>
          <w:b/>
          <w:szCs w:val="24"/>
        </w:rPr>
      </w:pPr>
      <w:r w:rsidRPr="006F4693">
        <w:rPr>
          <w:rFonts w:asciiTheme="minorHAnsi" w:hAnsiTheme="minorHAnsi" w:cstheme="minorHAnsi"/>
          <w:b/>
          <w:szCs w:val="24"/>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612AFB06" w14:textId="77777777" w:rsidR="00797BE3" w:rsidRDefault="00797BE3" w:rsidP="00797BE3">
      <w:pPr>
        <w:autoSpaceDE w:val="0"/>
        <w:autoSpaceDN w:val="0"/>
        <w:adjustRightInd w:val="0"/>
        <w:spacing w:after="0" w:line="240" w:lineRule="auto"/>
        <w:jc w:val="both"/>
        <w:rPr>
          <w:rFonts w:asciiTheme="minorHAnsi" w:hAnsiTheme="minorHAnsi" w:cstheme="minorHAnsi"/>
          <w:b/>
          <w:szCs w:val="24"/>
        </w:rPr>
      </w:pPr>
    </w:p>
    <w:p w14:paraId="48ED098B" w14:textId="77777777" w:rsidR="00797BE3" w:rsidRPr="006F4693" w:rsidRDefault="00797BE3" w:rsidP="003628F3">
      <w:pPr>
        <w:autoSpaceDE w:val="0"/>
        <w:autoSpaceDN w:val="0"/>
        <w:adjustRightInd w:val="0"/>
        <w:jc w:val="both"/>
        <w:rPr>
          <w:rFonts w:asciiTheme="minorHAnsi" w:hAnsiTheme="minorHAnsi" w:cstheme="minorHAnsi"/>
          <w:b/>
          <w:szCs w:val="24"/>
        </w:rPr>
      </w:pPr>
      <w:r w:rsidRPr="006F4693">
        <w:rPr>
          <w:rFonts w:asciiTheme="minorHAnsi" w:hAnsiTheme="minorHAnsi" w:cstheme="minorHAnsi"/>
          <w:b/>
          <w:szCs w:val="24"/>
        </w:rPr>
        <w:t>F2.a Cost Containment:</w:t>
      </w:r>
    </w:p>
    <w:p w14:paraId="6F6C5617" w14:textId="15B0E42D" w:rsidR="00797BE3" w:rsidRPr="003628F3" w:rsidRDefault="00797BE3" w:rsidP="003628F3">
      <w:pPr>
        <w:autoSpaceDE w:val="0"/>
        <w:autoSpaceDN w:val="0"/>
        <w:adjustRightInd w:val="0"/>
        <w:jc w:val="both"/>
        <w:rPr>
          <w:rFonts w:asciiTheme="minorHAnsi" w:hAnsiTheme="minorHAnsi" w:cstheme="minorHAnsi"/>
          <w:b/>
          <w:szCs w:val="24"/>
        </w:rPr>
      </w:pPr>
      <w:r w:rsidRPr="006F4693">
        <w:rPr>
          <w:rFonts w:asciiTheme="minorHAnsi" w:hAnsiTheme="minorHAnsi" w:cstheme="minorHAnsi"/>
          <w:b/>
          <w:szCs w:val="24"/>
        </w:rPr>
        <w:t>Using objective data, please describe, for each new or expanded service, how the Proposed Project will meaningfully contribute to the Commonwealth's goals for cost containment.</w:t>
      </w:r>
    </w:p>
    <w:p w14:paraId="2A2FB67B" w14:textId="77777777" w:rsidR="00797BE3" w:rsidRPr="002D3C04" w:rsidRDefault="00797BE3" w:rsidP="003628F3">
      <w:pPr>
        <w:jc w:val="both"/>
        <w:rPr>
          <w:rFonts w:asciiTheme="minorHAnsi" w:hAnsiTheme="minorHAnsi" w:cstheme="minorHAnsi"/>
        </w:rPr>
      </w:pPr>
      <w:r>
        <w:rPr>
          <w:rFonts w:asciiTheme="minorHAnsi" w:hAnsiTheme="minorHAnsi" w:cstheme="minorHAnsi"/>
        </w:rPr>
        <w:t xml:space="preserve">One of the Commonwealth’s primary goals for </w:t>
      </w:r>
      <w:r w:rsidRPr="002D3C04">
        <w:rPr>
          <w:rFonts w:asciiTheme="minorHAnsi" w:hAnsiTheme="minorHAnsi" w:cstheme="minorHAnsi"/>
        </w:rPr>
        <w:t xml:space="preserve">cost containment </w:t>
      </w:r>
      <w:r>
        <w:rPr>
          <w:rFonts w:asciiTheme="minorHAnsi" w:hAnsiTheme="minorHAnsi" w:cstheme="minorHAnsi"/>
        </w:rPr>
        <w:t xml:space="preserve">is to provide </w:t>
      </w:r>
      <w:r w:rsidRPr="002D3C04">
        <w:rPr>
          <w:rFonts w:asciiTheme="minorHAnsi" w:hAnsiTheme="minorHAnsi" w:cstheme="minorHAnsi"/>
        </w:rPr>
        <w:t>low-cost care without sacrificing high quality.</w:t>
      </w:r>
      <w:r>
        <w:rPr>
          <w:rStyle w:val="FootnoteReference"/>
          <w:rFonts w:asciiTheme="minorHAnsi" w:hAnsiTheme="minorHAnsi" w:cstheme="minorHAnsi"/>
        </w:rPr>
        <w:footnoteReference w:id="36"/>
      </w:r>
      <w:r w:rsidRPr="002D3C04">
        <w:rPr>
          <w:rFonts w:asciiTheme="minorHAnsi" w:hAnsiTheme="minorHAnsi" w:cstheme="minorHAnsi"/>
        </w:rPr>
        <w:t xml:space="preserve"> </w:t>
      </w:r>
      <w:r>
        <w:rPr>
          <w:rFonts w:asciiTheme="minorHAnsi" w:hAnsiTheme="minorHAnsi" w:cstheme="minorHAnsi"/>
        </w:rPr>
        <w:t xml:space="preserve"> </w:t>
      </w:r>
      <w:r w:rsidRPr="002D3C04">
        <w:rPr>
          <w:rFonts w:asciiTheme="minorHAnsi" w:hAnsiTheme="minorHAnsi" w:cstheme="minorHAnsi"/>
        </w:rPr>
        <w:t xml:space="preserve">As discussed </w:t>
      </w:r>
      <w:r>
        <w:rPr>
          <w:rFonts w:asciiTheme="minorHAnsi" w:hAnsiTheme="minorHAnsi" w:cstheme="minorHAnsi"/>
        </w:rPr>
        <w:t>in this Application</w:t>
      </w:r>
      <w:r w:rsidRPr="002D3C04">
        <w:rPr>
          <w:rFonts w:asciiTheme="minorHAnsi" w:hAnsiTheme="minorHAnsi" w:cstheme="minorHAnsi"/>
        </w:rPr>
        <w:t xml:space="preserve">, the Proposed Project will contribute directly and meaningfully to the Commonwealth’s cost containment goals by improving </w:t>
      </w:r>
      <w:r>
        <w:rPr>
          <w:rFonts w:asciiTheme="minorHAnsi" w:hAnsiTheme="minorHAnsi" w:cstheme="minorHAnsi"/>
        </w:rPr>
        <w:t xml:space="preserve">the </w:t>
      </w:r>
      <w:r w:rsidRPr="002D3C04">
        <w:rPr>
          <w:rFonts w:asciiTheme="minorHAnsi" w:hAnsiTheme="minorHAnsi" w:cstheme="minorHAnsi"/>
        </w:rPr>
        <w:t xml:space="preserve">availability and accessibility of lower cost surgical services as an alternative to higher cost, hospital-based services. Broadly speaking, </w:t>
      </w:r>
      <w:r w:rsidRPr="00790880">
        <w:rPr>
          <w:rFonts w:asciiTheme="minorHAnsi" w:hAnsiTheme="minorHAnsi"/>
        </w:rPr>
        <w:t>ASC reimbursement rates are 48% of the amount paid to hospital outpatient departments.</w:t>
      </w:r>
      <w:r w:rsidRPr="00790880">
        <w:rPr>
          <w:rStyle w:val="FootnoteReference"/>
          <w:rFonts w:asciiTheme="minorHAnsi" w:hAnsiTheme="minorHAnsi"/>
        </w:rPr>
        <w:footnoteReference w:id="37"/>
      </w:r>
      <w:r w:rsidRPr="00790880">
        <w:rPr>
          <w:rFonts w:asciiTheme="minorHAnsi" w:hAnsiTheme="minorHAnsi"/>
        </w:rPr>
        <w:t xml:space="preserve"> Data from the 2018 HOPD Medicare Fee Schedule suggests that if half of all eligible surgical procedures were shifted to the ASC from a HODP, Medicare would save $2.5 billion annually.</w:t>
      </w:r>
      <w:r w:rsidRPr="00790880">
        <w:rPr>
          <w:rStyle w:val="FootnoteReference"/>
          <w:rFonts w:asciiTheme="minorHAnsi" w:hAnsiTheme="minorHAnsi"/>
        </w:rPr>
        <w:footnoteReference w:id="38"/>
      </w:r>
    </w:p>
    <w:p w14:paraId="0378458F" w14:textId="77777777" w:rsidR="00797BE3" w:rsidRPr="002D3C04" w:rsidRDefault="00797BE3" w:rsidP="003628F3">
      <w:pPr>
        <w:jc w:val="both"/>
        <w:rPr>
          <w:rFonts w:asciiTheme="minorHAnsi" w:hAnsiTheme="minorHAnsi" w:cstheme="minorHAnsi"/>
        </w:rPr>
      </w:pPr>
      <w:r w:rsidRPr="002D3C04">
        <w:rPr>
          <w:rFonts w:asciiTheme="minorHAnsi" w:hAnsiTheme="minorHAnsi" w:cstheme="minorHAnsi"/>
        </w:rPr>
        <w:t xml:space="preserve">Moreover, </w:t>
      </w:r>
      <w:r>
        <w:rPr>
          <w:rFonts w:asciiTheme="minorHAnsi" w:hAnsiTheme="minorHAnsi" w:cstheme="minorHAnsi"/>
        </w:rPr>
        <w:t>the Applicant</w:t>
      </w:r>
      <w:r w:rsidRPr="002D3C04">
        <w:rPr>
          <w:rFonts w:asciiTheme="minorHAnsi" w:hAnsiTheme="minorHAnsi" w:cstheme="minorHAnsi"/>
        </w:rPr>
        <w:t xml:space="preserve"> </w:t>
      </w:r>
      <w:r>
        <w:rPr>
          <w:rFonts w:asciiTheme="minorHAnsi" w:hAnsiTheme="minorHAnsi" w:cstheme="minorHAnsi"/>
        </w:rPr>
        <w:t>has</w:t>
      </w:r>
      <w:r w:rsidRPr="002D3C04">
        <w:rPr>
          <w:rFonts w:asciiTheme="minorHAnsi" w:hAnsiTheme="minorHAnsi" w:cstheme="minorHAnsi"/>
        </w:rPr>
        <w:t xml:space="preserve"> establishe</w:t>
      </w:r>
      <w:r>
        <w:rPr>
          <w:rFonts w:asciiTheme="minorHAnsi" w:hAnsiTheme="minorHAnsi" w:cstheme="minorHAnsi"/>
        </w:rPr>
        <w:t xml:space="preserve">d its strength in managing TME </w:t>
      </w:r>
      <w:r w:rsidRPr="002D3C04">
        <w:rPr>
          <w:rFonts w:asciiTheme="minorHAnsi" w:hAnsiTheme="minorHAnsi" w:cstheme="minorHAnsi"/>
        </w:rPr>
        <w:t>and minimizing the use of low-value services.</w:t>
      </w:r>
      <w:r w:rsidRPr="002D3C04">
        <w:rPr>
          <w:rStyle w:val="FootnoteReference"/>
          <w:rFonts w:asciiTheme="minorHAnsi" w:hAnsiTheme="minorHAnsi" w:cstheme="minorHAnsi"/>
        </w:rPr>
        <w:footnoteReference w:id="39"/>
      </w:r>
      <w:r>
        <w:rPr>
          <w:rFonts w:asciiTheme="minorHAnsi" w:hAnsiTheme="minorHAnsi" w:cstheme="minorHAnsi"/>
        </w:rPr>
        <w:t xml:space="preserve"> </w:t>
      </w:r>
      <w:r w:rsidRPr="002D3C04">
        <w:rPr>
          <w:rFonts w:asciiTheme="minorHAnsi" w:hAnsiTheme="minorHAnsi" w:cstheme="minorHAnsi"/>
        </w:rPr>
        <w:t xml:space="preserve"> The Proposed Project will help ensure that </w:t>
      </w:r>
      <w:r>
        <w:rPr>
          <w:rFonts w:asciiTheme="minorHAnsi" w:hAnsiTheme="minorHAnsi" w:cstheme="minorHAnsi"/>
        </w:rPr>
        <w:t>the Applicant</w:t>
      </w:r>
      <w:r w:rsidRPr="002D3C04">
        <w:rPr>
          <w:rFonts w:asciiTheme="minorHAnsi" w:hAnsiTheme="minorHAnsi" w:cstheme="minorHAnsi"/>
        </w:rPr>
        <w:t xml:space="preserve"> </w:t>
      </w:r>
      <w:r>
        <w:rPr>
          <w:rFonts w:asciiTheme="minorHAnsi" w:hAnsiTheme="minorHAnsi" w:cstheme="minorHAnsi"/>
        </w:rPr>
        <w:t xml:space="preserve">as a non-hospital health care provider </w:t>
      </w:r>
      <w:r w:rsidRPr="002D3C04">
        <w:rPr>
          <w:rFonts w:asciiTheme="minorHAnsi" w:hAnsiTheme="minorHAnsi" w:cstheme="minorHAnsi"/>
        </w:rPr>
        <w:t xml:space="preserve">continues to deliver timely, connected and coordinated care to its </w:t>
      </w:r>
      <w:r>
        <w:rPr>
          <w:rFonts w:asciiTheme="minorHAnsi" w:hAnsiTheme="minorHAnsi" w:cstheme="minorHAnsi"/>
        </w:rPr>
        <w:t xml:space="preserve">patients at a state-of-the-art facility in a </w:t>
      </w:r>
      <w:proofErr w:type="gramStart"/>
      <w:r>
        <w:rPr>
          <w:rFonts w:asciiTheme="minorHAnsi" w:hAnsiTheme="minorHAnsi" w:cstheme="minorHAnsi"/>
        </w:rPr>
        <w:t>low cost</w:t>
      </w:r>
      <w:proofErr w:type="gramEnd"/>
      <w:r>
        <w:rPr>
          <w:rFonts w:asciiTheme="minorHAnsi" w:hAnsiTheme="minorHAnsi" w:cstheme="minorHAnsi"/>
        </w:rPr>
        <w:t xml:space="preserve"> setting in their community. </w:t>
      </w:r>
      <w:r w:rsidRPr="002D3C04">
        <w:rPr>
          <w:rFonts w:asciiTheme="minorHAnsi" w:hAnsiTheme="minorHAnsi" w:cstheme="minorHAnsi"/>
        </w:rPr>
        <w:t xml:space="preserve"> </w:t>
      </w:r>
    </w:p>
    <w:p w14:paraId="38112D41" w14:textId="6DECC51E" w:rsidR="00797BE3" w:rsidRPr="006F4693" w:rsidRDefault="00797BE3" w:rsidP="003628F3">
      <w:pPr>
        <w:autoSpaceDE w:val="0"/>
        <w:autoSpaceDN w:val="0"/>
        <w:adjustRightInd w:val="0"/>
        <w:jc w:val="both"/>
        <w:rPr>
          <w:rFonts w:asciiTheme="minorHAnsi" w:hAnsiTheme="minorHAnsi" w:cstheme="minorHAnsi"/>
          <w:b/>
          <w:szCs w:val="24"/>
        </w:rPr>
      </w:pPr>
      <w:r w:rsidRPr="006F4693">
        <w:rPr>
          <w:rFonts w:asciiTheme="minorHAnsi" w:hAnsiTheme="minorHAnsi" w:cstheme="minorHAnsi"/>
          <w:b/>
          <w:szCs w:val="24"/>
        </w:rPr>
        <w:t>F2.b Public Health Outcomes:</w:t>
      </w:r>
    </w:p>
    <w:p w14:paraId="14E81301" w14:textId="1F8C7368" w:rsidR="00797BE3" w:rsidRPr="003628F3" w:rsidRDefault="00797BE3" w:rsidP="003628F3">
      <w:pPr>
        <w:autoSpaceDE w:val="0"/>
        <w:autoSpaceDN w:val="0"/>
        <w:adjustRightInd w:val="0"/>
        <w:jc w:val="both"/>
        <w:rPr>
          <w:rFonts w:asciiTheme="minorHAnsi" w:hAnsiTheme="minorHAnsi" w:cstheme="minorHAnsi"/>
          <w:b/>
          <w:szCs w:val="24"/>
        </w:rPr>
      </w:pPr>
      <w:r w:rsidRPr="006F4693">
        <w:rPr>
          <w:rFonts w:asciiTheme="minorHAnsi" w:hAnsiTheme="minorHAnsi" w:cstheme="minorHAnsi"/>
          <w:b/>
          <w:szCs w:val="24"/>
        </w:rPr>
        <w:t>Describe, as relevant, for each new or expanded service, how the Proposed Project will improve public health outcomes.</w:t>
      </w:r>
    </w:p>
    <w:p w14:paraId="262DC1BD" w14:textId="77777777" w:rsidR="00797BE3" w:rsidRDefault="00797BE3" w:rsidP="003628F3">
      <w:pPr>
        <w:autoSpaceDE w:val="0"/>
        <w:autoSpaceDN w:val="0"/>
        <w:adjustRightInd w:val="0"/>
        <w:jc w:val="both"/>
        <w:rPr>
          <w:rFonts w:asciiTheme="minorHAnsi" w:hAnsiTheme="minorHAnsi" w:cstheme="minorHAnsi"/>
          <w:szCs w:val="24"/>
        </w:rPr>
      </w:pPr>
      <w:r w:rsidRPr="006F4693">
        <w:rPr>
          <w:rFonts w:asciiTheme="minorHAnsi" w:hAnsiTheme="minorHAnsi" w:cstheme="minorHAnsi"/>
          <w:szCs w:val="24"/>
        </w:rPr>
        <w:t xml:space="preserve">As discussed in the Application, the Applicant anticipates that demand for the Proposed Project’s </w:t>
      </w:r>
      <w:r>
        <w:rPr>
          <w:rFonts w:asciiTheme="minorHAnsi" w:hAnsiTheme="minorHAnsi" w:cstheme="minorHAnsi"/>
          <w:szCs w:val="24"/>
        </w:rPr>
        <w:t>Surgical S</w:t>
      </w:r>
      <w:r w:rsidRPr="006F4693">
        <w:rPr>
          <w:rFonts w:asciiTheme="minorHAnsi" w:hAnsiTheme="minorHAnsi" w:cstheme="minorHAnsi"/>
          <w:szCs w:val="24"/>
        </w:rPr>
        <w:t xml:space="preserve">ervices will continue to increase over time as the </w:t>
      </w:r>
      <w:r>
        <w:rPr>
          <w:rFonts w:asciiTheme="minorHAnsi" w:hAnsiTheme="minorHAnsi" w:cstheme="minorHAnsi"/>
          <w:szCs w:val="24"/>
        </w:rPr>
        <w:t>Patient Panel</w:t>
      </w:r>
      <w:r w:rsidRPr="006F4693">
        <w:rPr>
          <w:rFonts w:asciiTheme="minorHAnsi" w:hAnsiTheme="minorHAnsi" w:cstheme="minorHAnsi"/>
          <w:szCs w:val="24"/>
        </w:rPr>
        <w:t xml:space="preserve"> ages.   More timely access will facilitate treatment and result in improved patient experience and public health outcomes. </w:t>
      </w:r>
    </w:p>
    <w:p w14:paraId="55D5A75F" w14:textId="77777777" w:rsidR="00797BE3" w:rsidRPr="006F4693" w:rsidRDefault="00797BE3" w:rsidP="003628F3">
      <w:pPr>
        <w:autoSpaceDE w:val="0"/>
        <w:autoSpaceDN w:val="0"/>
        <w:adjustRightInd w:val="0"/>
        <w:jc w:val="both"/>
        <w:rPr>
          <w:rFonts w:asciiTheme="minorHAnsi" w:hAnsiTheme="minorHAnsi" w:cstheme="minorHAnsi"/>
          <w:b/>
          <w:szCs w:val="24"/>
        </w:rPr>
      </w:pPr>
      <w:r w:rsidRPr="006F4693">
        <w:rPr>
          <w:rFonts w:asciiTheme="minorHAnsi" w:hAnsiTheme="minorHAnsi" w:cstheme="minorHAnsi"/>
          <w:b/>
          <w:szCs w:val="24"/>
        </w:rPr>
        <w:t>F2.c Delivery System Transformation:</w:t>
      </w:r>
    </w:p>
    <w:p w14:paraId="0082BA3D" w14:textId="77777777" w:rsidR="00797BE3" w:rsidRPr="006F4693" w:rsidRDefault="00797BE3" w:rsidP="003628F3">
      <w:pPr>
        <w:autoSpaceDE w:val="0"/>
        <w:autoSpaceDN w:val="0"/>
        <w:adjustRightInd w:val="0"/>
        <w:jc w:val="both"/>
        <w:rPr>
          <w:rFonts w:asciiTheme="minorHAnsi" w:hAnsiTheme="minorHAnsi" w:cstheme="minorHAnsi"/>
          <w:b/>
          <w:szCs w:val="24"/>
        </w:rPr>
      </w:pPr>
      <w:r w:rsidRPr="006F4693">
        <w:rPr>
          <w:rFonts w:asciiTheme="minorHAnsi" w:hAnsiTheme="minorHAnsi" w:cstheme="minorHAnsi"/>
          <w:b/>
          <w:szCs w:val="24"/>
        </w:rPr>
        <w:t>Because the integration of social services and community-based expertise is central to goal of delivery system transformation, discuss how the needs of their patient panel have been assessed and linkages to social services organizations have been created</w:t>
      </w:r>
      <w:r>
        <w:rPr>
          <w:rFonts w:asciiTheme="minorHAnsi" w:hAnsiTheme="minorHAnsi" w:cstheme="minorHAnsi"/>
          <w:b/>
          <w:szCs w:val="24"/>
        </w:rPr>
        <w:t xml:space="preserve"> </w:t>
      </w:r>
      <w:r w:rsidRPr="006F4693">
        <w:rPr>
          <w:rFonts w:asciiTheme="minorHAnsi" w:hAnsiTheme="minorHAnsi" w:cstheme="minorHAnsi"/>
          <w:b/>
          <w:szCs w:val="24"/>
        </w:rPr>
        <w:t>and how the social determinants of health have been incorporated into care planning.</w:t>
      </w:r>
    </w:p>
    <w:p w14:paraId="5D4282ED" w14:textId="6BA3DEFA" w:rsidR="00797BE3" w:rsidRPr="003D1B24" w:rsidRDefault="00797BE3" w:rsidP="003628F3">
      <w:pPr>
        <w:jc w:val="both"/>
        <w:rPr>
          <w:rFonts w:asciiTheme="minorHAnsi" w:hAnsiTheme="minorHAnsi" w:cstheme="minorHAnsi"/>
          <w:szCs w:val="24"/>
        </w:rPr>
      </w:pPr>
      <w:r w:rsidRPr="003D1B24">
        <w:rPr>
          <w:rFonts w:asciiTheme="minorHAnsi" w:hAnsiTheme="minorHAnsi" w:cstheme="minorHAnsi"/>
          <w:szCs w:val="24"/>
        </w:rPr>
        <w:t xml:space="preserve">Atrius Health aims to provide consistently culturally competent care to its entire patient population. Atrius Health’s emphasis on diversity, equity, and inclusion guides major decisions made by the organization. </w:t>
      </w:r>
      <w:r w:rsidR="006C1D55">
        <w:rPr>
          <w:rFonts w:asciiTheme="minorHAnsi" w:hAnsiTheme="minorHAnsi" w:cstheme="minorHAnsi"/>
          <w:szCs w:val="24"/>
        </w:rPr>
        <w:t xml:space="preserve"> </w:t>
      </w:r>
      <w:r w:rsidRPr="003D1B24">
        <w:rPr>
          <w:rFonts w:asciiTheme="minorHAnsi" w:hAnsiTheme="minorHAnsi" w:cstheme="minorHAnsi"/>
          <w:szCs w:val="24"/>
        </w:rPr>
        <w:t xml:space="preserve">Atrius Health patients speak dozens of languages; </w:t>
      </w:r>
      <w:r>
        <w:rPr>
          <w:rFonts w:asciiTheme="minorHAnsi" w:hAnsiTheme="minorHAnsi" w:cstheme="minorHAnsi"/>
          <w:szCs w:val="24"/>
        </w:rPr>
        <w:t>as noted above</w:t>
      </w:r>
      <w:r w:rsidR="009442E0">
        <w:rPr>
          <w:rFonts w:asciiTheme="minorHAnsi" w:hAnsiTheme="minorHAnsi" w:cstheme="minorHAnsi"/>
          <w:szCs w:val="24"/>
        </w:rPr>
        <w:t>,</w:t>
      </w:r>
      <w:r>
        <w:rPr>
          <w:rFonts w:asciiTheme="minorHAnsi" w:hAnsiTheme="minorHAnsi" w:cstheme="minorHAnsi"/>
          <w:szCs w:val="24"/>
        </w:rPr>
        <w:t xml:space="preserve"> </w:t>
      </w:r>
      <w:r w:rsidRPr="003D1B24">
        <w:rPr>
          <w:rFonts w:asciiTheme="minorHAnsi" w:hAnsiTheme="minorHAnsi" w:cstheme="minorHAnsi"/>
          <w:szCs w:val="24"/>
        </w:rPr>
        <w:t xml:space="preserve">interpreter services are available to make sure that patients fully understand procedures and other components of their care plans. </w:t>
      </w:r>
    </w:p>
    <w:p w14:paraId="5BA59A98" w14:textId="77777777" w:rsidR="00797BE3" w:rsidRPr="00B53DB2" w:rsidRDefault="00797BE3" w:rsidP="003628F3">
      <w:pPr>
        <w:jc w:val="both"/>
        <w:rPr>
          <w:rFonts w:asciiTheme="minorHAnsi" w:hAnsiTheme="minorHAnsi" w:cstheme="minorHAnsi"/>
          <w:szCs w:val="24"/>
        </w:rPr>
      </w:pPr>
      <w:r w:rsidRPr="003D1B24">
        <w:rPr>
          <w:rFonts w:asciiTheme="minorHAnsi" w:hAnsiTheme="minorHAnsi" w:cstheme="minorHAnsi"/>
          <w:szCs w:val="24"/>
        </w:rPr>
        <w:t xml:space="preserve">Atrius Health routinely screens for health-related social needs in its pediatric and adult populations.  When patients screen positive, Atrius Health connects patients to internal and external resources (e.g., social work; community health worker; community services using the </w:t>
      </w:r>
      <w:proofErr w:type="spellStart"/>
      <w:r w:rsidRPr="003D1B24">
        <w:rPr>
          <w:rFonts w:asciiTheme="minorHAnsi" w:hAnsiTheme="minorHAnsi" w:cstheme="minorHAnsi"/>
          <w:szCs w:val="24"/>
        </w:rPr>
        <w:t>FindHelp</w:t>
      </w:r>
      <w:proofErr w:type="spellEnd"/>
      <w:r w:rsidRPr="003D1B24">
        <w:rPr>
          <w:rFonts w:asciiTheme="minorHAnsi" w:hAnsiTheme="minorHAnsi" w:cstheme="minorHAnsi"/>
          <w:szCs w:val="24"/>
        </w:rPr>
        <w:t xml:space="preserve"> community resource directory) to support identified needs, including but not limited to those specific to an aging population. For its MassHealth ACO population specifically, Atrius Health has established partnerships with social services organizations including Community</w:t>
      </w:r>
      <w:r w:rsidRPr="00B53DB2">
        <w:rPr>
          <w:rFonts w:asciiTheme="minorHAnsi" w:hAnsiTheme="minorHAnsi" w:cstheme="minorHAnsi"/>
          <w:szCs w:val="24"/>
        </w:rPr>
        <w:t xml:space="preserve"> Servings, Just Roots, and the Massachusetts Housing Coalition.  The efforts will be integrated into the Proposed Project and fully available to all eligible Atrius Health patients</w:t>
      </w:r>
      <w:r>
        <w:rPr>
          <w:rFonts w:asciiTheme="minorHAnsi" w:hAnsiTheme="minorHAnsi" w:cstheme="minorHAnsi"/>
          <w:szCs w:val="24"/>
        </w:rPr>
        <w:t>.</w:t>
      </w:r>
    </w:p>
    <w:p w14:paraId="7B28AF4D" w14:textId="3E753AC1" w:rsidR="00797BE3" w:rsidRPr="00B53DB2" w:rsidRDefault="00797BE3" w:rsidP="00797BE3">
      <w:pPr>
        <w:jc w:val="both"/>
        <w:rPr>
          <w:rFonts w:asciiTheme="minorHAnsi" w:hAnsiTheme="minorHAnsi" w:cstheme="minorHAnsi"/>
          <w:szCs w:val="24"/>
        </w:rPr>
      </w:pPr>
      <w:r w:rsidRPr="00B53DB2">
        <w:rPr>
          <w:rFonts w:asciiTheme="minorHAnsi" w:hAnsiTheme="minorHAnsi" w:cstheme="minorHAnsi"/>
          <w:szCs w:val="24"/>
        </w:rPr>
        <w:t xml:space="preserve">In addition, Atrius Health </w:t>
      </w:r>
      <w:r w:rsidR="009043B9">
        <w:rPr>
          <w:rFonts w:asciiTheme="minorHAnsi" w:hAnsiTheme="minorHAnsi" w:cstheme="minorHAnsi"/>
          <w:szCs w:val="24"/>
        </w:rPr>
        <w:t xml:space="preserve">has implemented EMR capabilities to </w:t>
      </w:r>
      <w:r w:rsidRPr="00B53DB2">
        <w:rPr>
          <w:rFonts w:asciiTheme="minorHAnsi" w:hAnsiTheme="minorHAnsi" w:cstheme="minorHAnsi"/>
          <w:szCs w:val="24"/>
        </w:rPr>
        <w:t xml:space="preserve">capture </w:t>
      </w:r>
      <w:r w:rsidR="009043B9">
        <w:rPr>
          <w:rFonts w:asciiTheme="minorHAnsi" w:hAnsiTheme="minorHAnsi" w:cstheme="minorHAnsi"/>
          <w:szCs w:val="24"/>
        </w:rPr>
        <w:t xml:space="preserve">patient-reported sexual orientation, gender identity, </w:t>
      </w:r>
      <w:r w:rsidRPr="00B53DB2">
        <w:rPr>
          <w:rFonts w:asciiTheme="minorHAnsi" w:hAnsiTheme="minorHAnsi" w:cstheme="minorHAnsi"/>
          <w:szCs w:val="24"/>
        </w:rPr>
        <w:t>race, ethnicity, and language data more accurately and in greater detail to help better identify and reduce disparities.</w:t>
      </w:r>
    </w:p>
    <w:p w14:paraId="62DA275D" w14:textId="69CB45B7" w:rsidR="00797BE3" w:rsidRPr="00B53DB2" w:rsidRDefault="00797BE3" w:rsidP="00797BE3">
      <w:pPr>
        <w:jc w:val="both"/>
        <w:rPr>
          <w:rFonts w:asciiTheme="minorHAnsi" w:hAnsiTheme="minorHAnsi" w:cstheme="minorHAnsi"/>
          <w:szCs w:val="24"/>
        </w:rPr>
      </w:pPr>
      <w:r w:rsidRPr="00B53DB2">
        <w:rPr>
          <w:rFonts w:asciiTheme="minorHAnsi" w:hAnsiTheme="minorHAnsi" w:cstheme="minorHAnsi"/>
          <w:szCs w:val="24"/>
        </w:rPr>
        <w:t>Atrius Health trains staff regularly to honor and respect patients of all cultural, racial, and ethnic backgrounds, seeking to improve our cultural competence.</w:t>
      </w:r>
      <w:r>
        <w:rPr>
          <w:rFonts w:asciiTheme="minorHAnsi" w:hAnsiTheme="minorHAnsi" w:cstheme="minorHAnsi"/>
          <w:szCs w:val="24"/>
        </w:rPr>
        <w:t xml:space="preserve"> </w:t>
      </w:r>
      <w:r w:rsidR="006C1D55">
        <w:rPr>
          <w:rFonts w:asciiTheme="minorHAnsi" w:hAnsiTheme="minorHAnsi" w:cstheme="minorHAnsi"/>
          <w:szCs w:val="24"/>
        </w:rPr>
        <w:t xml:space="preserve"> </w:t>
      </w:r>
      <w:r>
        <w:rPr>
          <w:rFonts w:asciiTheme="minorHAnsi" w:hAnsiTheme="minorHAnsi" w:cstheme="minorHAnsi"/>
          <w:szCs w:val="24"/>
        </w:rPr>
        <w:t xml:space="preserve">For example, </w:t>
      </w:r>
      <w:r w:rsidRPr="00B53DB2">
        <w:rPr>
          <w:rFonts w:asciiTheme="minorHAnsi" w:hAnsiTheme="minorHAnsi" w:cstheme="minorHAnsi"/>
          <w:szCs w:val="24"/>
        </w:rPr>
        <w:t>in 2023</w:t>
      </w:r>
      <w:r>
        <w:rPr>
          <w:rFonts w:asciiTheme="minorHAnsi" w:hAnsiTheme="minorHAnsi" w:cstheme="minorHAnsi"/>
          <w:szCs w:val="24"/>
        </w:rPr>
        <w:t>,</w:t>
      </w:r>
      <w:r w:rsidRPr="00B53DB2">
        <w:rPr>
          <w:rFonts w:asciiTheme="minorHAnsi" w:hAnsiTheme="minorHAnsi" w:cstheme="minorHAnsi"/>
          <w:szCs w:val="24"/>
        </w:rPr>
        <w:t xml:space="preserve"> all staff have completed implicit bias training.</w:t>
      </w:r>
      <w:r>
        <w:rPr>
          <w:rFonts w:asciiTheme="minorHAnsi" w:hAnsiTheme="minorHAnsi" w:cstheme="minorHAnsi"/>
          <w:szCs w:val="24"/>
        </w:rPr>
        <w:t xml:space="preserve"> </w:t>
      </w:r>
      <w:r w:rsidRPr="00B53DB2">
        <w:rPr>
          <w:rFonts w:asciiTheme="minorHAnsi" w:hAnsiTheme="minorHAnsi" w:cstheme="minorHAnsi"/>
          <w:szCs w:val="24"/>
        </w:rPr>
        <w:t xml:space="preserve"> In addition to trainings, Atrius Health offers DEI resources on its Intranet, available to all staff. </w:t>
      </w:r>
    </w:p>
    <w:p w14:paraId="0222FAF3" w14:textId="0E6EDEFB" w:rsidR="00797BE3" w:rsidRPr="003628F3" w:rsidRDefault="00797BE3" w:rsidP="003628F3">
      <w:pPr>
        <w:autoSpaceDE w:val="0"/>
        <w:autoSpaceDN w:val="0"/>
        <w:adjustRightInd w:val="0"/>
        <w:jc w:val="both"/>
        <w:rPr>
          <w:rFonts w:asciiTheme="minorHAnsi" w:hAnsiTheme="minorHAnsi" w:cstheme="minorHAnsi"/>
          <w:b/>
          <w:szCs w:val="24"/>
        </w:rPr>
      </w:pPr>
      <w:r w:rsidRPr="003628F3">
        <w:rPr>
          <w:rFonts w:asciiTheme="minorHAnsi" w:hAnsiTheme="minorHAnsi" w:cstheme="minorHAnsi"/>
          <w:b/>
          <w:szCs w:val="24"/>
        </w:rPr>
        <w:t>Factor 5: Relative Merit</w:t>
      </w:r>
    </w:p>
    <w:p w14:paraId="4D406650" w14:textId="261342F7" w:rsidR="00797BE3" w:rsidRPr="003628F3" w:rsidRDefault="00797BE3" w:rsidP="003628F3">
      <w:pPr>
        <w:autoSpaceDE w:val="0"/>
        <w:autoSpaceDN w:val="0"/>
        <w:adjustRightInd w:val="0"/>
        <w:jc w:val="both"/>
        <w:rPr>
          <w:rFonts w:asciiTheme="minorHAnsi" w:hAnsiTheme="minorHAnsi" w:cstheme="minorHAnsi"/>
          <w:b/>
          <w:szCs w:val="24"/>
        </w:rPr>
      </w:pPr>
      <w:proofErr w:type="gramStart"/>
      <w:r w:rsidRPr="003628F3">
        <w:rPr>
          <w:rFonts w:asciiTheme="minorHAnsi" w:hAnsiTheme="minorHAnsi" w:cstheme="minorHAnsi"/>
          <w:b/>
          <w:szCs w:val="24"/>
        </w:rPr>
        <w:t>F5.a.i  Describe</w:t>
      </w:r>
      <w:proofErr w:type="gramEnd"/>
      <w:r w:rsidRPr="003628F3">
        <w:rPr>
          <w:rFonts w:asciiTheme="minorHAnsi" w:hAnsiTheme="minorHAnsi" w:cstheme="minorHAnsi"/>
          <w:b/>
          <w:szCs w:val="24"/>
        </w:rPr>
        <w:t xml:space="preserve"> the process of analysis and the conclusion that the Proposed Project, on balance, is superior to alternative and substitute methods for meeting the existing Patient Panel needs as those have been identified by the Applicant pursuant to 105 CMR 100.210(A)(1). When conducting this evaluation and articulating the relative merit determination, Applicant shall </w:t>
      </w:r>
      <w:proofErr w:type="gramStart"/>
      <w:r w:rsidRPr="003628F3">
        <w:rPr>
          <w:rFonts w:asciiTheme="minorHAnsi" w:hAnsiTheme="minorHAnsi" w:cstheme="minorHAnsi"/>
          <w:b/>
          <w:szCs w:val="24"/>
        </w:rPr>
        <w:t>take into account</w:t>
      </w:r>
      <w:proofErr w:type="gramEnd"/>
      <w:r w:rsidRPr="003628F3">
        <w:rPr>
          <w:rFonts w:asciiTheme="minorHAnsi" w:hAnsiTheme="minorHAnsi" w:cstheme="minorHAnsi"/>
          <w:b/>
          <w:szCs w:val="24"/>
        </w:rPr>
        <w:t>, at a minimum, the quality, efficiency, and capital and operating costs of the Proposed Project relative to potential alternatives or evidence-based strategies and public health interventions.</w:t>
      </w:r>
    </w:p>
    <w:p w14:paraId="6F308B17" w14:textId="4BFCC5BC" w:rsidR="00797BE3" w:rsidRPr="003628F3" w:rsidRDefault="00797BE3" w:rsidP="003628F3">
      <w:pPr>
        <w:autoSpaceDE w:val="0"/>
        <w:autoSpaceDN w:val="0"/>
        <w:adjustRightInd w:val="0"/>
        <w:jc w:val="both"/>
        <w:rPr>
          <w:rFonts w:asciiTheme="minorHAnsi" w:hAnsiTheme="minorHAnsi" w:cstheme="minorHAnsi"/>
          <w:szCs w:val="24"/>
        </w:rPr>
      </w:pPr>
      <w:r w:rsidRPr="003628F3">
        <w:rPr>
          <w:rFonts w:asciiTheme="minorHAnsi" w:hAnsiTheme="minorHAnsi" w:cstheme="minorHAnsi"/>
          <w:b/>
          <w:szCs w:val="24"/>
        </w:rPr>
        <w:t xml:space="preserve">This Proposal:  </w:t>
      </w:r>
      <w:r w:rsidRPr="003628F3">
        <w:rPr>
          <w:rFonts w:asciiTheme="minorHAnsi" w:hAnsiTheme="minorHAnsi" w:cstheme="minorHAnsi"/>
          <w:szCs w:val="24"/>
        </w:rPr>
        <w:t>The Proposed Project will establish a conveniently located ASC specializing in the Surgical Services, which will allow Atrius Health physicians to provide more timely and convenient access to the Surgical Services in a lower cost setting which will increase patient outcomes and satisfaction.</w:t>
      </w:r>
    </w:p>
    <w:p w14:paraId="3546006D" w14:textId="3B3AAC7E" w:rsidR="00797BE3" w:rsidRPr="003628F3" w:rsidRDefault="00797BE3" w:rsidP="003628F3">
      <w:pPr>
        <w:autoSpaceDE w:val="0"/>
        <w:autoSpaceDN w:val="0"/>
        <w:adjustRightInd w:val="0"/>
        <w:ind w:left="720"/>
        <w:jc w:val="both"/>
        <w:rPr>
          <w:rFonts w:asciiTheme="minorHAnsi" w:hAnsiTheme="minorHAnsi" w:cstheme="minorHAnsi"/>
          <w:szCs w:val="24"/>
        </w:rPr>
      </w:pPr>
      <w:r w:rsidRPr="003628F3">
        <w:rPr>
          <w:rFonts w:asciiTheme="minorHAnsi" w:hAnsiTheme="minorHAnsi" w:cstheme="minorHAnsi"/>
          <w:b/>
          <w:szCs w:val="24"/>
        </w:rPr>
        <w:t xml:space="preserve">Quality:   </w:t>
      </w:r>
      <w:r w:rsidRPr="003628F3">
        <w:rPr>
          <w:rFonts w:asciiTheme="minorHAnsi" w:hAnsiTheme="minorHAnsi" w:cstheme="minorHAnsi"/>
          <w:szCs w:val="24"/>
        </w:rPr>
        <w:t xml:space="preserve">  The Proposed Project is the superior option because of the positive impact it will have on patient health outcomes and quality of life as well as the </w:t>
      </w:r>
      <w:r w:rsidR="006C1D55" w:rsidRPr="003628F3">
        <w:rPr>
          <w:rFonts w:asciiTheme="minorHAnsi" w:hAnsiTheme="minorHAnsi" w:cstheme="minorHAnsi"/>
          <w:szCs w:val="24"/>
        </w:rPr>
        <w:t>long-term</w:t>
      </w:r>
      <w:r w:rsidRPr="003628F3">
        <w:rPr>
          <w:rFonts w:asciiTheme="minorHAnsi" w:hAnsiTheme="minorHAnsi" w:cstheme="minorHAnsi"/>
          <w:szCs w:val="24"/>
        </w:rPr>
        <w:t xml:space="preserve"> cost savings attributed to shifting the Surgical Services from a hospital to an ASC.   The Center, which will be integrated into Atrius Health, will improve care coordination as discussed in the Application.  The Center will also provide high quality Surgical Services with clinical outcomes that are equal to or better than HOPD for the same procedure.</w:t>
      </w:r>
    </w:p>
    <w:p w14:paraId="4C73C42D" w14:textId="4EEAF131" w:rsidR="00797BE3" w:rsidRPr="003628F3" w:rsidRDefault="00797BE3" w:rsidP="003628F3">
      <w:pPr>
        <w:autoSpaceDE w:val="0"/>
        <w:autoSpaceDN w:val="0"/>
        <w:adjustRightInd w:val="0"/>
        <w:ind w:left="720"/>
        <w:jc w:val="both"/>
        <w:rPr>
          <w:rFonts w:asciiTheme="minorHAnsi" w:hAnsiTheme="minorHAnsi" w:cstheme="minorHAnsi"/>
          <w:szCs w:val="24"/>
        </w:rPr>
      </w:pPr>
      <w:r w:rsidRPr="003628F3">
        <w:rPr>
          <w:rFonts w:asciiTheme="minorHAnsi" w:hAnsiTheme="minorHAnsi" w:cstheme="minorHAnsi"/>
          <w:b/>
          <w:szCs w:val="24"/>
        </w:rPr>
        <w:t xml:space="preserve">Efficiency:   </w:t>
      </w:r>
      <w:r w:rsidRPr="003628F3">
        <w:rPr>
          <w:rFonts w:asciiTheme="minorHAnsi" w:hAnsiTheme="minorHAnsi" w:cstheme="minorHAnsi"/>
          <w:szCs w:val="24"/>
        </w:rPr>
        <w:t xml:space="preserve">The Proposed Project will operate in a </w:t>
      </w:r>
      <w:r w:rsidR="00972B46" w:rsidRPr="003628F3">
        <w:rPr>
          <w:rFonts w:asciiTheme="minorHAnsi" w:hAnsiTheme="minorHAnsi" w:cstheme="minorHAnsi"/>
          <w:szCs w:val="24"/>
        </w:rPr>
        <w:t>brand-new</w:t>
      </w:r>
      <w:r w:rsidRPr="003628F3">
        <w:rPr>
          <w:rFonts w:asciiTheme="minorHAnsi" w:hAnsiTheme="minorHAnsi" w:cstheme="minorHAnsi"/>
          <w:szCs w:val="24"/>
        </w:rPr>
        <w:t xml:space="preserve"> state-of-the art facility, which will improve the efficiency of obtaining high-quality Surgical Services for the Patient Panel.  Surgical needs will be timely communicated between providers who all</w:t>
      </w:r>
      <w:r w:rsidR="00972B46" w:rsidRPr="003628F3">
        <w:rPr>
          <w:rFonts w:asciiTheme="minorHAnsi" w:hAnsiTheme="minorHAnsi" w:cstheme="minorHAnsi"/>
          <w:szCs w:val="24"/>
        </w:rPr>
        <w:t xml:space="preserve"> will</w:t>
      </w:r>
      <w:r w:rsidRPr="003628F3">
        <w:rPr>
          <w:rFonts w:asciiTheme="minorHAnsi" w:hAnsiTheme="minorHAnsi" w:cstheme="minorHAnsi"/>
          <w:szCs w:val="24"/>
        </w:rPr>
        <w:t xml:space="preserve"> have access to an integrated EMR for the patient.</w:t>
      </w:r>
      <w:r w:rsidR="006C1D55" w:rsidRPr="003628F3">
        <w:rPr>
          <w:rFonts w:asciiTheme="minorHAnsi" w:hAnsiTheme="minorHAnsi" w:cstheme="minorHAnsi"/>
          <w:szCs w:val="24"/>
        </w:rPr>
        <w:t xml:space="preserve"> </w:t>
      </w:r>
      <w:r w:rsidRPr="003628F3">
        <w:rPr>
          <w:rFonts w:asciiTheme="minorHAnsi" w:hAnsiTheme="minorHAnsi" w:cstheme="minorHAnsi"/>
          <w:szCs w:val="24"/>
        </w:rPr>
        <w:t xml:space="preserve"> The surgical information </w:t>
      </w:r>
      <w:r w:rsidR="00972B46" w:rsidRPr="003628F3">
        <w:rPr>
          <w:rFonts w:asciiTheme="minorHAnsi" w:hAnsiTheme="minorHAnsi" w:cstheme="minorHAnsi"/>
          <w:szCs w:val="24"/>
        </w:rPr>
        <w:t>will be</w:t>
      </w:r>
      <w:r w:rsidRPr="003628F3">
        <w:rPr>
          <w:rFonts w:asciiTheme="minorHAnsi" w:hAnsiTheme="minorHAnsi" w:cstheme="minorHAnsi"/>
          <w:szCs w:val="24"/>
        </w:rPr>
        <w:t xml:space="preserve"> integrated directly in the patient’s medical record. </w:t>
      </w:r>
      <w:r w:rsidR="006C1D55" w:rsidRPr="003628F3">
        <w:rPr>
          <w:rFonts w:asciiTheme="minorHAnsi" w:hAnsiTheme="minorHAnsi" w:cstheme="minorHAnsi"/>
          <w:szCs w:val="24"/>
        </w:rPr>
        <w:t xml:space="preserve"> </w:t>
      </w:r>
      <w:r w:rsidRPr="003628F3">
        <w:rPr>
          <w:rFonts w:asciiTheme="minorHAnsi" w:hAnsiTheme="minorHAnsi" w:cstheme="minorHAnsi"/>
          <w:szCs w:val="24"/>
        </w:rPr>
        <w:t xml:space="preserve">Additionally, patients will no longer need to travel to a hospital or other ASC for the Surgical Services and suffer the inconvenience and stress of navigating unfamiliar facilities and providers. </w:t>
      </w:r>
      <w:r w:rsidR="006C1D55" w:rsidRPr="003628F3">
        <w:rPr>
          <w:rFonts w:asciiTheme="minorHAnsi" w:hAnsiTheme="minorHAnsi" w:cstheme="minorHAnsi"/>
          <w:szCs w:val="24"/>
        </w:rPr>
        <w:t xml:space="preserve"> </w:t>
      </w:r>
      <w:r w:rsidRPr="003628F3">
        <w:rPr>
          <w:rFonts w:asciiTheme="minorHAnsi" w:hAnsiTheme="minorHAnsi" w:cstheme="minorHAnsi"/>
          <w:szCs w:val="24"/>
        </w:rPr>
        <w:t xml:space="preserve">This would be a particularly important improvement for the elderly population. </w:t>
      </w:r>
    </w:p>
    <w:p w14:paraId="166EE730" w14:textId="2633D113" w:rsidR="00797BE3" w:rsidRPr="003628F3" w:rsidRDefault="00797BE3" w:rsidP="003628F3">
      <w:pPr>
        <w:ind w:left="720"/>
        <w:jc w:val="both"/>
        <w:rPr>
          <w:rFonts w:asciiTheme="minorHAnsi" w:hAnsiTheme="minorHAnsi" w:cstheme="minorHAnsi"/>
        </w:rPr>
      </w:pPr>
      <w:r w:rsidRPr="003628F3">
        <w:rPr>
          <w:rFonts w:asciiTheme="minorHAnsi" w:hAnsiTheme="minorHAnsi" w:cstheme="minorHAnsi"/>
          <w:b/>
          <w:szCs w:val="24"/>
        </w:rPr>
        <w:t xml:space="preserve">Capital Expense: </w:t>
      </w:r>
      <w:r w:rsidRPr="003628F3">
        <w:rPr>
          <w:rFonts w:asciiTheme="minorHAnsi" w:hAnsiTheme="minorHAnsi" w:cstheme="minorHAnsi"/>
          <w:szCs w:val="24"/>
        </w:rPr>
        <w:t xml:space="preserve">Establishment of the Proposed Project will result in a one-time capital expense to finance construction costs and purchase and install equipment. </w:t>
      </w:r>
    </w:p>
    <w:p w14:paraId="37A7D456" w14:textId="68FFEC97" w:rsidR="00797BE3" w:rsidRPr="003628F3" w:rsidRDefault="00797BE3" w:rsidP="003628F3">
      <w:pPr>
        <w:autoSpaceDE w:val="0"/>
        <w:autoSpaceDN w:val="0"/>
        <w:adjustRightInd w:val="0"/>
        <w:ind w:left="720"/>
        <w:jc w:val="both"/>
        <w:rPr>
          <w:rFonts w:asciiTheme="minorHAnsi" w:hAnsiTheme="minorHAnsi" w:cstheme="minorHAnsi"/>
          <w:szCs w:val="24"/>
        </w:rPr>
      </w:pPr>
      <w:r w:rsidRPr="003628F3">
        <w:rPr>
          <w:rFonts w:asciiTheme="minorHAnsi" w:hAnsiTheme="minorHAnsi" w:cstheme="minorHAnsi"/>
          <w:b/>
          <w:szCs w:val="24"/>
        </w:rPr>
        <w:t xml:space="preserve">Operating Costs:   </w:t>
      </w:r>
      <w:r w:rsidRPr="003628F3">
        <w:rPr>
          <w:rFonts w:asciiTheme="minorHAnsi" w:hAnsiTheme="minorHAnsi" w:cstheme="minorHAnsi"/>
          <w:szCs w:val="24"/>
        </w:rPr>
        <w:t>There will be an additional operating cost attributed to operating the Proposed Project which includes the overhead to operate the Center such as additional staff and medical supplies.  The Applicant anticipates, however, that this cost will be significantly offset by savings obtained from TME reductions under the Applicant’s risk-based contracts that result from providing the Surgical Services in a lower cost setting. The Applicant will also be able to take advantage of operational efficiencies by operating the Surgical Services in one location.</w:t>
      </w:r>
    </w:p>
    <w:p w14:paraId="1F579723" w14:textId="2CE88B70" w:rsidR="00797BE3" w:rsidRPr="003628F3" w:rsidRDefault="00797BE3" w:rsidP="003628F3">
      <w:pPr>
        <w:autoSpaceDE w:val="0"/>
        <w:autoSpaceDN w:val="0"/>
        <w:adjustRightInd w:val="0"/>
        <w:jc w:val="both"/>
        <w:rPr>
          <w:rFonts w:asciiTheme="minorHAnsi" w:hAnsiTheme="minorHAnsi" w:cstheme="minorHAnsi"/>
          <w:szCs w:val="24"/>
        </w:rPr>
      </w:pPr>
      <w:r w:rsidRPr="003628F3">
        <w:rPr>
          <w:rFonts w:asciiTheme="minorHAnsi" w:hAnsiTheme="minorHAnsi" w:cstheme="minorHAnsi"/>
          <w:b/>
          <w:szCs w:val="24"/>
        </w:rPr>
        <w:t xml:space="preserve">Alternative Proposal 1:  </w:t>
      </w:r>
      <w:r w:rsidRPr="003628F3">
        <w:rPr>
          <w:rFonts w:asciiTheme="minorHAnsi" w:hAnsiTheme="minorHAnsi" w:cstheme="minorHAnsi"/>
          <w:szCs w:val="24"/>
        </w:rPr>
        <w:t>Maintain the status quo and continue providing the Surgical Services at local hospitals and/or other ASCs.</w:t>
      </w:r>
      <w:r w:rsidRPr="003628F3">
        <w:rPr>
          <w:rFonts w:asciiTheme="minorHAnsi" w:hAnsiTheme="minorHAnsi" w:cstheme="minorHAnsi"/>
        </w:rPr>
        <w:t xml:space="preserve">  </w:t>
      </w:r>
    </w:p>
    <w:p w14:paraId="7E4DD581" w14:textId="69B3AE1E" w:rsidR="00797BE3" w:rsidRPr="003628F3" w:rsidRDefault="00797BE3" w:rsidP="003628F3">
      <w:pPr>
        <w:ind w:left="720"/>
        <w:jc w:val="both"/>
        <w:rPr>
          <w:rFonts w:asciiTheme="minorHAnsi" w:hAnsiTheme="minorHAnsi" w:cstheme="minorHAnsi"/>
        </w:rPr>
      </w:pPr>
      <w:r w:rsidRPr="003628F3">
        <w:rPr>
          <w:rFonts w:asciiTheme="minorHAnsi" w:hAnsiTheme="minorHAnsi" w:cstheme="minorHAnsi"/>
          <w:b/>
          <w:szCs w:val="24"/>
        </w:rPr>
        <w:t xml:space="preserve">Quality:   </w:t>
      </w:r>
      <w:r w:rsidRPr="003628F3">
        <w:rPr>
          <w:rFonts w:asciiTheme="minorHAnsi" w:hAnsiTheme="minorHAnsi" w:cstheme="minorHAnsi"/>
          <w:szCs w:val="24"/>
        </w:rPr>
        <w:t xml:space="preserve">  Under this alternative, the quality achieved would be the same as is currently being delivered.</w:t>
      </w:r>
      <w:r w:rsidR="006C1D55" w:rsidRPr="003628F3">
        <w:rPr>
          <w:rFonts w:asciiTheme="minorHAnsi" w:hAnsiTheme="minorHAnsi" w:cstheme="minorHAnsi"/>
          <w:szCs w:val="24"/>
        </w:rPr>
        <w:t xml:space="preserve"> </w:t>
      </w:r>
      <w:r w:rsidRPr="003628F3">
        <w:rPr>
          <w:rFonts w:asciiTheme="minorHAnsi" w:hAnsiTheme="minorHAnsi" w:cstheme="minorHAnsi"/>
          <w:szCs w:val="24"/>
        </w:rPr>
        <w:t xml:space="preserve"> However, as noted in the Application and documented by the HPC</w:t>
      </w:r>
      <w:r w:rsidR="009442E0" w:rsidRPr="003628F3">
        <w:rPr>
          <w:rFonts w:asciiTheme="minorHAnsi" w:hAnsiTheme="minorHAnsi" w:cstheme="minorHAnsi"/>
          <w:szCs w:val="24"/>
        </w:rPr>
        <w:t>,</w:t>
      </w:r>
      <w:r w:rsidRPr="003628F3">
        <w:rPr>
          <w:rFonts w:asciiTheme="minorHAnsi" w:hAnsiTheme="minorHAnsi" w:cstheme="minorHAnsi"/>
          <w:szCs w:val="24"/>
        </w:rPr>
        <w:t xml:space="preserve"> there is insufficient current capacity to meet the current needs of patients who need outpatient surgical </w:t>
      </w:r>
      <w:proofErr w:type="gramStart"/>
      <w:r w:rsidRPr="003628F3">
        <w:rPr>
          <w:rFonts w:asciiTheme="minorHAnsi" w:hAnsiTheme="minorHAnsi" w:cstheme="minorHAnsi"/>
          <w:szCs w:val="24"/>
        </w:rPr>
        <w:t>procedures</w:t>
      </w:r>
      <w:proofErr w:type="gramEnd"/>
      <w:r w:rsidRPr="003628F3">
        <w:rPr>
          <w:rFonts w:asciiTheme="minorHAnsi" w:hAnsiTheme="minorHAnsi" w:cstheme="minorHAnsi"/>
          <w:szCs w:val="24"/>
        </w:rPr>
        <w:t xml:space="preserve"> and this need is only projected to continue to grow. </w:t>
      </w:r>
      <w:r w:rsidR="006C1D55" w:rsidRPr="003628F3">
        <w:rPr>
          <w:rFonts w:asciiTheme="minorHAnsi" w:hAnsiTheme="minorHAnsi" w:cstheme="minorHAnsi"/>
          <w:szCs w:val="24"/>
        </w:rPr>
        <w:t xml:space="preserve"> </w:t>
      </w:r>
      <w:r w:rsidRPr="003628F3">
        <w:rPr>
          <w:rFonts w:asciiTheme="minorHAnsi" w:hAnsiTheme="minorHAnsi" w:cstheme="minorHAnsi"/>
          <w:szCs w:val="24"/>
        </w:rPr>
        <w:t>This alternative is not sufficient to meet the Patient Panel’s need for outpatient surgical services.</w:t>
      </w:r>
      <w:r w:rsidRPr="003628F3">
        <w:rPr>
          <w:rFonts w:asciiTheme="minorHAnsi" w:hAnsiTheme="minorHAnsi" w:cstheme="minorHAnsi"/>
        </w:rPr>
        <w:t xml:space="preserve"> </w:t>
      </w:r>
    </w:p>
    <w:p w14:paraId="0B04B41F" w14:textId="77777777" w:rsidR="00797BE3" w:rsidRPr="003628F3" w:rsidRDefault="00797BE3" w:rsidP="003628F3">
      <w:pPr>
        <w:ind w:left="720"/>
        <w:jc w:val="both"/>
        <w:rPr>
          <w:rFonts w:asciiTheme="minorHAnsi" w:hAnsiTheme="minorHAnsi" w:cstheme="minorHAnsi"/>
        </w:rPr>
      </w:pPr>
      <w:r w:rsidRPr="003628F3">
        <w:rPr>
          <w:rFonts w:asciiTheme="minorHAnsi" w:hAnsiTheme="minorHAnsi" w:cstheme="minorHAnsi"/>
          <w:b/>
          <w:szCs w:val="24"/>
        </w:rPr>
        <w:t xml:space="preserve">Efficiency:   </w:t>
      </w:r>
      <w:r w:rsidRPr="003628F3">
        <w:rPr>
          <w:rFonts w:asciiTheme="minorHAnsi" w:hAnsiTheme="minorHAnsi" w:cstheme="minorHAnsi"/>
          <w:szCs w:val="24"/>
        </w:rPr>
        <w:t>Continued clinical and operational inefficiencies would persist by not establishing the Proposed Project. This option is unfavorable from the standpoint of both cost, convenience, and care coordination</w:t>
      </w:r>
      <w:r w:rsidRPr="003628F3">
        <w:rPr>
          <w:rFonts w:asciiTheme="minorHAnsi" w:hAnsiTheme="minorHAnsi" w:cstheme="minorHAnsi"/>
        </w:rPr>
        <w:t xml:space="preserve">.  </w:t>
      </w:r>
    </w:p>
    <w:p w14:paraId="6F7D2BEF" w14:textId="703A10BD" w:rsidR="00797BE3" w:rsidRPr="003628F3" w:rsidRDefault="00797BE3" w:rsidP="003628F3">
      <w:pPr>
        <w:autoSpaceDE w:val="0"/>
        <w:autoSpaceDN w:val="0"/>
        <w:adjustRightInd w:val="0"/>
        <w:ind w:left="720"/>
        <w:jc w:val="both"/>
        <w:rPr>
          <w:rFonts w:asciiTheme="minorHAnsi" w:hAnsiTheme="minorHAnsi" w:cstheme="minorHAnsi"/>
        </w:rPr>
      </w:pPr>
      <w:r w:rsidRPr="003628F3">
        <w:rPr>
          <w:rFonts w:asciiTheme="minorHAnsi" w:hAnsiTheme="minorHAnsi" w:cstheme="minorHAnsi"/>
          <w:b/>
          <w:szCs w:val="24"/>
        </w:rPr>
        <w:t xml:space="preserve">Capital Expense:    </w:t>
      </w:r>
      <w:r w:rsidRPr="003628F3">
        <w:rPr>
          <w:rFonts w:asciiTheme="minorHAnsi" w:hAnsiTheme="minorHAnsi" w:cstheme="minorHAnsi"/>
          <w:szCs w:val="24"/>
        </w:rPr>
        <w:t>There are no capital expenses under this alternative; however, this Application supports that the existing surgical capacity is not sufficient to meet current or future demand, and capital will need to be invested to address capacity.</w:t>
      </w:r>
      <w:r w:rsidRPr="003628F3">
        <w:rPr>
          <w:rFonts w:asciiTheme="minorHAnsi" w:hAnsiTheme="minorHAnsi" w:cstheme="minorHAnsi"/>
        </w:rPr>
        <w:t xml:space="preserve"> </w:t>
      </w:r>
    </w:p>
    <w:p w14:paraId="300B568D" w14:textId="77777777" w:rsidR="00797BE3" w:rsidRPr="003628F3" w:rsidRDefault="00797BE3" w:rsidP="003628F3">
      <w:pPr>
        <w:autoSpaceDE w:val="0"/>
        <w:autoSpaceDN w:val="0"/>
        <w:adjustRightInd w:val="0"/>
        <w:ind w:left="720"/>
        <w:jc w:val="both"/>
        <w:rPr>
          <w:rFonts w:asciiTheme="minorHAnsi" w:hAnsiTheme="minorHAnsi" w:cstheme="minorHAnsi"/>
          <w:bCs/>
          <w:szCs w:val="24"/>
        </w:rPr>
      </w:pPr>
      <w:r w:rsidRPr="003628F3">
        <w:rPr>
          <w:rFonts w:asciiTheme="minorHAnsi" w:hAnsiTheme="minorHAnsi" w:cstheme="minorHAnsi"/>
          <w:b/>
          <w:szCs w:val="24"/>
        </w:rPr>
        <w:t xml:space="preserve">Operating Costs: </w:t>
      </w:r>
      <w:r w:rsidRPr="003628F3">
        <w:rPr>
          <w:rFonts w:asciiTheme="minorHAnsi" w:hAnsiTheme="minorHAnsi" w:cstheme="minorHAnsi"/>
          <w:bCs/>
          <w:szCs w:val="24"/>
        </w:rPr>
        <w:t xml:space="preserve">  There are no new operating costs under this option; however, under this alternative the Applicant will continue to struggle with having its Patient Panel obtain the Surgical Services in a lower-cost outpatient setting.   </w:t>
      </w:r>
    </w:p>
    <w:p w14:paraId="6BA5085B" w14:textId="77777777" w:rsidR="00972B46" w:rsidRPr="003628F3" w:rsidRDefault="00972B46" w:rsidP="003628F3">
      <w:pPr>
        <w:autoSpaceDE w:val="0"/>
        <w:autoSpaceDN w:val="0"/>
        <w:adjustRightInd w:val="0"/>
        <w:ind w:left="720"/>
        <w:jc w:val="both"/>
        <w:rPr>
          <w:rFonts w:asciiTheme="minorHAnsi" w:hAnsiTheme="minorHAnsi" w:cstheme="minorHAnsi"/>
          <w:bCs/>
          <w:szCs w:val="24"/>
        </w:rPr>
      </w:pPr>
    </w:p>
    <w:p w14:paraId="4973D91C" w14:textId="7EA126AE" w:rsidR="00972B46" w:rsidRPr="003628F3" w:rsidRDefault="00972B46" w:rsidP="003628F3">
      <w:pPr>
        <w:autoSpaceDE w:val="0"/>
        <w:autoSpaceDN w:val="0"/>
        <w:jc w:val="both"/>
        <w:rPr>
          <w:rFonts w:asciiTheme="minorHAnsi" w:eastAsia="Calibri" w:hAnsiTheme="minorHAnsi" w:cstheme="minorHAnsi"/>
          <w:sz w:val="28"/>
          <w:szCs w:val="28"/>
        </w:rPr>
      </w:pPr>
      <w:r w:rsidRPr="003628F3">
        <w:rPr>
          <w:rFonts w:asciiTheme="minorHAnsi" w:eastAsia="Calibri" w:hAnsiTheme="minorHAnsi" w:cstheme="minorHAnsi"/>
          <w:b/>
          <w:bCs/>
          <w:szCs w:val="24"/>
          <w14:ligatures w14:val="standardContextual"/>
        </w:rPr>
        <w:t xml:space="preserve">Alternative Proposal 2:  </w:t>
      </w:r>
      <w:r w:rsidRPr="003628F3">
        <w:rPr>
          <w:rFonts w:asciiTheme="minorHAnsi" w:eastAsia="Calibri" w:hAnsiTheme="minorHAnsi" w:cstheme="minorHAnsi"/>
          <w:szCs w:val="24"/>
          <w14:ligatures w14:val="standardContextual"/>
        </w:rPr>
        <w:t xml:space="preserve">Operate the Proposed Project at another location.   As part of its due diligence for the Proposed Project, the Applicant </w:t>
      </w:r>
      <w:r w:rsidR="00D4689A" w:rsidRPr="003628F3">
        <w:rPr>
          <w:rFonts w:asciiTheme="minorHAnsi" w:eastAsia="Calibri" w:hAnsiTheme="minorHAnsi" w:cstheme="minorHAnsi"/>
          <w:szCs w:val="24"/>
          <w14:ligatures w14:val="standardContextual"/>
        </w:rPr>
        <w:t>identified and</w:t>
      </w:r>
      <w:r w:rsidRPr="003628F3">
        <w:rPr>
          <w:rFonts w:asciiTheme="minorHAnsi" w:eastAsia="Calibri" w:hAnsiTheme="minorHAnsi" w:cstheme="minorHAnsi"/>
          <w:szCs w:val="24"/>
          <w14:ligatures w14:val="standardContextual"/>
        </w:rPr>
        <w:t xml:space="preserve"> evaluate</w:t>
      </w:r>
      <w:r w:rsidR="00D4689A" w:rsidRPr="003628F3">
        <w:rPr>
          <w:rFonts w:asciiTheme="minorHAnsi" w:eastAsia="Calibri" w:hAnsiTheme="minorHAnsi" w:cstheme="minorHAnsi"/>
          <w:szCs w:val="24"/>
          <w14:ligatures w14:val="standardContextual"/>
        </w:rPr>
        <w:t>d</w:t>
      </w:r>
      <w:r w:rsidRPr="003628F3">
        <w:rPr>
          <w:rFonts w:asciiTheme="minorHAnsi" w:eastAsia="Calibri" w:hAnsiTheme="minorHAnsi" w:cstheme="minorHAnsi"/>
          <w:szCs w:val="24"/>
          <w14:ligatures w14:val="standardContextual"/>
        </w:rPr>
        <w:t xml:space="preserve"> </w:t>
      </w:r>
      <w:proofErr w:type="gramStart"/>
      <w:r w:rsidRPr="003628F3">
        <w:rPr>
          <w:rFonts w:asciiTheme="minorHAnsi" w:eastAsia="Calibri" w:hAnsiTheme="minorHAnsi" w:cstheme="minorHAnsi"/>
          <w:szCs w:val="24"/>
          <w14:ligatures w14:val="standardContextual"/>
        </w:rPr>
        <w:t>a number of</w:t>
      </w:r>
      <w:proofErr w:type="gramEnd"/>
      <w:r w:rsidRPr="003628F3">
        <w:rPr>
          <w:rFonts w:asciiTheme="minorHAnsi" w:eastAsia="Calibri" w:hAnsiTheme="minorHAnsi" w:cstheme="minorHAnsi"/>
          <w:szCs w:val="24"/>
          <w14:ligatures w14:val="standardContextual"/>
        </w:rPr>
        <w:t xml:space="preserve"> properties for the Center in its service area, primarily focusing on Waltham.  Ultimately, the properties not selected for the Proposed Project were not ideally located for the Patient Population or were not sized appropriately for an ASC with 6 operating rooms.    </w:t>
      </w:r>
    </w:p>
    <w:p w14:paraId="450E6759" w14:textId="0755E384" w:rsidR="00972B46" w:rsidRPr="003628F3" w:rsidRDefault="00972B46" w:rsidP="003628F3">
      <w:pPr>
        <w:ind w:left="720"/>
        <w:jc w:val="both"/>
        <w:rPr>
          <w:rFonts w:asciiTheme="minorHAnsi" w:eastAsia="Calibri" w:hAnsiTheme="minorHAnsi" w:cstheme="minorHAnsi"/>
          <w:szCs w:val="24"/>
          <w14:ligatures w14:val="standardContextual"/>
        </w:rPr>
      </w:pPr>
      <w:r w:rsidRPr="003628F3">
        <w:rPr>
          <w:rFonts w:asciiTheme="minorHAnsi" w:eastAsia="Calibri" w:hAnsiTheme="minorHAnsi" w:cstheme="minorHAnsi"/>
          <w:b/>
          <w:bCs/>
          <w:szCs w:val="24"/>
          <w14:ligatures w14:val="standardContextual"/>
        </w:rPr>
        <w:t xml:space="preserve">Quality:   </w:t>
      </w:r>
      <w:r w:rsidRPr="003628F3">
        <w:rPr>
          <w:rFonts w:asciiTheme="minorHAnsi" w:eastAsia="Calibri" w:hAnsiTheme="minorHAnsi" w:cstheme="minorHAnsi"/>
          <w:szCs w:val="24"/>
          <w14:ligatures w14:val="standardContextual"/>
        </w:rPr>
        <w:t xml:space="preserve">  Under this alternative, assuming that an appropriate location and sized property could have been selected and leased, the Proposed Project would have had a positive impact it will have on patient health outcomes and quality of life as well as the long-term cost savings attributed to shifting the Surgical Services from a hospital to an ASC.   </w:t>
      </w:r>
    </w:p>
    <w:p w14:paraId="22777F84" w14:textId="0505EDA3" w:rsidR="00972B46" w:rsidRPr="003628F3" w:rsidRDefault="00972B46" w:rsidP="003628F3">
      <w:pPr>
        <w:ind w:left="720"/>
        <w:jc w:val="both"/>
        <w:rPr>
          <w:rFonts w:asciiTheme="minorHAnsi" w:eastAsia="Calibri" w:hAnsiTheme="minorHAnsi" w:cstheme="minorHAnsi"/>
          <w:szCs w:val="24"/>
          <w14:ligatures w14:val="standardContextual"/>
        </w:rPr>
      </w:pPr>
      <w:r w:rsidRPr="003628F3">
        <w:rPr>
          <w:rFonts w:asciiTheme="minorHAnsi" w:eastAsia="Calibri" w:hAnsiTheme="minorHAnsi" w:cstheme="minorHAnsi"/>
          <w:b/>
          <w:bCs/>
          <w:szCs w:val="24"/>
          <w14:ligatures w14:val="standardContextual"/>
        </w:rPr>
        <w:t xml:space="preserve">Efficiency:    </w:t>
      </w:r>
      <w:r w:rsidRPr="003628F3">
        <w:rPr>
          <w:rFonts w:asciiTheme="minorHAnsi" w:eastAsia="Calibri" w:hAnsiTheme="minorHAnsi" w:cstheme="minorHAnsi"/>
          <w:szCs w:val="24"/>
          <w14:ligatures w14:val="standardContextual"/>
        </w:rPr>
        <w:t xml:space="preserve">Under this alternative, the Proposed Project would have had the same efficiencies that are discussed above.   </w:t>
      </w:r>
    </w:p>
    <w:p w14:paraId="51ECD1B1" w14:textId="4F7A3FE9" w:rsidR="00972B46" w:rsidRPr="003628F3" w:rsidRDefault="00972B46" w:rsidP="003628F3">
      <w:pPr>
        <w:autoSpaceDE w:val="0"/>
        <w:autoSpaceDN w:val="0"/>
        <w:ind w:left="720"/>
        <w:jc w:val="both"/>
        <w:rPr>
          <w:rFonts w:asciiTheme="minorHAnsi" w:eastAsia="Calibri" w:hAnsiTheme="minorHAnsi" w:cstheme="minorHAnsi"/>
          <w:szCs w:val="24"/>
          <w14:ligatures w14:val="standardContextual"/>
        </w:rPr>
      </w:pPr>
      <w:r w:rsidRPr="003628F3">
        <w:rPr>
          <w:rFonts w:asciiTheme="minorHAnsi" w:eastAsia="Calibri" w:hAnsiTheme="minorHAnsi" w:cstheme="minorHAnsi"/>
          <w:b/>
          <w:bCs/>
          <w:szCs w:val="24"/>
          <w14:ligatures w14:val="standardContextual"/>
        </w:rPr>
        <w:t xml:space="preserve">Capital Expense:    </w:t>
      </w:r>
      <w:r w:rsidRPr="003628F3">
        <w:rPr>
          <w:rFonts w:asciiTheme="minorHAnsi" w:eastAsia="Calibri" w:hAnsiTheme="minorHAnsi" w:cstheme="minorHAnsi"/>
          <w:szCs w:val="24"/>
          <w14:ligatures w14:val="standardContextual"/>
        </w:rPr>
        <w:t xml:space="preserve">The capital expense with this Alternative would have been greater than the Proposed Project.   Based on the various properties that the Applicant evaluated, the cost or the size were not appropriate for the Proposed Project which supports six operating rooms and will provide sufficient capacity to meet current and future demand.   </w:t>
      </w:r>
    </w:p>
    <w:p w14:paraId="05355B9B" w14:textId="77777777" w:rsidR="00972B46" w:rsidRPr="003628F3" w:rsidRDefault="00972B46" w:rsidP="003628F3">
      <w:pPr>
        <w:autoSpaceDE w:val="0"/>
        <w:autoSpaceDN w:val="0"/>
        <w:ind w:left="720"/>
        <w:jc w:val="both"/>
        <w:rPr>
          <w:rFonts w:asciiTheme="minorHAnsi" w:eastAsia="Calibri" w:hAnsiTheme="minorHAnsi" w:cstheme="minorHAnsi"/>
          <w:szCs w:val="24"/>
          <w14:ligatures w14:val="standardContextual"/>
        </w:rPr>
      </w:pPr>
      <w:r w:rsidRPr="003628F3">
        <w:rPr>
          <w:rFonts w:asciiTheme="minorHAnsi" w:eastAsia="Calibri" w:hAnsiTheme="minorHAnsi" w:cstheme="minorHAnsi"/>
          <w:b/>
          <w:bCs/>
          <w:szCs w:val="24"/>
          <w14:ligatures w14:val="standardContextual"/>
        </w:rPr>
        <w:t xml:space="preserve">Operating Costs: </w:t>
      </w:r>
      <w:r w:rsidRPr="003628F3">
        <w:rPr>
          <w:rFonts w:asciiTheme="minorHAnsi" w:eastAsia="Calibri" w:hAnsiTheme="minorHAnsi" w:cstheme="minorHAnsi"/>
          <w:szCs w:val="24"/>
          <w14:ligatures w14:val="standardContextual"/>
        </w:rPr>
        <w:t xml:space="preserve">  The operating costs for this alternative would likely have been higher than those of the Proposed Project.   </w:t>
      </w:r>
    </w:p>
    <w:p w14:paraId="3E043A43" w14:textId="77777777" w:rsidR="00797BE3" w:rsidRDefault="00797BE3" w:rsidP="00797BE3">
      <w:pPr>
        <w:autoSpaceDE w:val="0"/>
        <w:autoSpaceDN w:val="0"/>
        <w:adjustRightInd w:val="0"/>
        <w:spacing w:after="0" w:line="240" w:lineRule="auto"/>
        <w:ind w:left="720"/>
        <w:jc w:val="both"/>
        <w:rPr>
          <w:rFonts w:asciiTheme="minorHAnsi" w:hAnsiTheme="minorHAnsi" w:cstheme="minorHAnsi"/>
          <w:szCs w:val="24"/>
        </w:rPr>
      </w:pPr>
    </w:p>
    <w:p w14:paraId="433BEA6A" w14:textId="77777777" w:rsidR="00797BE3" w:rsidRPr="0022070C" w:rsidRDefault="00797BE3" w:rsidP="003628F3">
      <w:pPr>
        <w:jc w:val="both"/>
        <w:rPr>
          <w:rFonts w:asciiTheme="minorHAnsi" w:hAnsiTheme="minorHAnsi" w:cstheme="minorHAnsi"/>
          <w:b/>
          <w:szCs w:val="24"/>
        </w:rPr>
      </w:pPr>
      <w:r w:rsidRPr="0022070C">
        <w:rPr>
          <w:rFonts w:asciiTheme="minorHAnsi" w:hAnsiTheme="minorHAnsi" w:cstheme="minorHAnsi"/>
          <w:b/>
          <w:szCs w:val="24"/>
        </w:rPr>
        <w:t xml:space="preserve">F5aii - Describe the process of analysis and the conclusion that the Proposed Project, on balance, is superior to alternative and substitute methods for meeting the existing Patient Panel needs as those have been identified by the Applicant pursuant to 105 CMR 100.21O(A)(l). When conducting this evaluation and articulating the relative merit determination, Applicant shall </w:t>
      </w:r>
      <w:proofErr w:type="gramStart"/>
      <w:r w:rsidRPr="0022070C">
        <w:rPr>
          <w:rFonts w:asciiTheme="minorHAnsi" w:hAnsiTheme="minorHAnsi" w:cstheme="minorHAnsi"/>
          <w:b/>
          <w:szCs w:val="24"/>
        </w:rPr>
        <w:t>take into account</w:t>
      </w:r>
      <w:proofErr w:type="gramEnd"/>
      <w:r w:rsidRPr="0022070C">
        <w:rPr>
          <w:rFonts w:asciiTheme="minorHAnsi" w:hAnsiTheme="minorHAnsi" w:cstheme="minorHAnsi"/>
          <w:b/>
          <w:szCs w:val="24"/>
        </w:rPr>
        <w:t>, at a minimum, the quality, efficiency, and capital and operating costs of the Proposed Project relative to potential alternatives or substitutes, including alternative evidence-based strategies and public health interventions.</w:t>
      </w:r>
    </w:p>
    <w:p w14:paraId="6C9CC8AF" w14:textId="7B3540EE" w:rsidR="00797BE3" w:rsidRDefault="00797BE3" w:rsidP="003628F3">
      <w:pPr>
        <w:jc w:val="both"/>
        <w:rPr>
          <w:rFonts w:asciiTheme="minorHAnsi" w:hAnsiTheme="minorHAnsi" w:cstheme="minorHAnsi"/>
          <w:szCs w:val="24"/>
        </w:rPr>
      </w:pPr>
      <w:r w:rsidRPr="005318F0">
        <w:rPr>
          <w:rFonts w:asciiTheme="minorHAnsi" w:hAnsiTheme="minorHAnsi" w:cstheme="minorHAnsi"/>
          <w:szCs w:val="24"/>
        </w:rPr>
        <w:t>The Proposed Project was chosen as the best alternative to meet the current and future needs of the Patient Panel.</w:t>
      </w:r>
      <w:r w:rsidR="006C1D55">
        <w:rPr>
          <w:rFonts w:asciiTheme="minorHAnsi" w:hAnsiTheme="minorHAnsi" w:cstheme="minorHAnsi"/>
          <w:szCs w:val="24"/>
        </w:rPr>
        <w:t xml:space="preserve"> </w:t>
      </w:r>
      <w:r w:rsidRPr="005318F0">
        <w:rPr>
          <w:rFonts w:asciiTheme="minorHAnsi" w:hAnsiTheme="minorHAnsi" w:cstheme="minorHAnsi"/>
          <w:szCs w:val="24"/>
        </w:rPr>
        <w:t xml:space="preserve"> Not only will quality and efficiency of </w:t>
      </w:r>
      <w:r>
        <w:rPr>
          <w:rFonts w:asciiTheme="minorHAnsi" w:hAnsiTheme="minorHAnsi" w:cstheme="minorHAnsi"/>
          <w:szCs w:val="24"/>
        </w:rPr>
        <w:t>the Surgical Services</w:t>
      </w:r>
      <w:r w:rsidRPr="005318F0">
        <w:rPr>
          <w:rFonts w:asciiTheme="minorHAnsi" w:hAnsiTheme="minorHAnsi" w:cstheme="minorHAnsi"/>
          <w:szCs w:val="24"/>
        </w:rPr>
        <w:t xml:space="preserve"> will be improved, but capital expense and operating costs will be kept to a minimum under the implementation of the Proposed Project.</w:t>
      </w:r>
      <w:r>
        <w:rPr>
          <w:rFonts w:asciiTheme="minorHAnsi" w:hAnsiTheme="minorHAnsi" w:cstheme="minorHAnsi"/>
          <w:szCs w:val="24"/>
        </w:rPr>
        <w:t xml:space="preserve">  </w:t>
      </w:r>
      <w:r w:rsidRPr="005318F0">
        <w:rPr>
          <w:rFonts w:asciiTheme="minorHAnsi" w:hAnsiTheme="minorHAnsi" w:cstheme="minorHAnsi"/>
          <w:szCs w:val="24"/>
        </w:rPr>
        <w:t xml:space="preserve">The Proposed Project will improve local access to </w:t>
      </w:r>
      <w:r>
        <w:rPr>
          <w:rFonts w:asciiTheme="minorHAnsi" w:hAnsiTheme="minorHAnsi" w:cstheme="minorHAnsi"/>
          <w:szCs w:val="24"/>
        </w:rPr>
        <w:t>the Surgical Services</w:t>
      </w:r>
      <w:r w:rsidRPr="005318F0">
        <w:rPr>
          <w:rFonts w:asciiTheme="minorHAnsi" w:hAnsiTheme="minorHAnsi" w:cstheme="minorHAnsi"/>
          <w:szCs w:val="24"/>
        </w:rPr>
        <w:t xml:space="preserve">, provide better care coordination for patients and providers, and reduce costs associated with use of hospital-based </w:t>
      </w:r>
      <w:r>
        <w:rPr>
          <w:rFonts w:asciiTheme="minorHAnsi" w:hAnsiTheme="minorHAnsi" w:cstheme="minorHAnsi"/>
          <w:szCs w:val="24"/>
        </w:rPr>
        <w:t>Surgical S</w:t>
      </w:r>
      <w:r w:rsidRPr="005318F0">
        <w:rPr>
          <w:rFonts w:asciiTheme="minorHAnsi" w:hAnsiTheme="minorHAnsi" w:cstheme="minorHAnsi"/>
          <w:szCs w:val="24"/>
        </w:rPr>
        <w:t>ervice</w:t>
      </w:r>
      <w:r>
        <w:rPr>
          <w:rFonts w:asciiTheme="minorHAnsi" w:hAnsiTheme="minorHAnsi" w:cstheme="minorHAnsi"/>
          <w:szCs w:val="24"/>
        </w:rPr>
        <w:t>s</w:t>
      </w:r>
      <w:r w:rsidRPr="005318F0">
        <w:rPr>
          <w:rFonts w:asciiTheme="minorHAnsi" w:hAnsiTheme="minorHAnsi" w:cstheme="minorHAnsi"/>
          <w:szCs w:val="24"/>
        </w:rPr>
        <w:t>.</w:t>
      </w:r>
    </w:p>
    <w:p w14:paraId="0F4AA835" w14:textId="77777777" w:rsidR="00F20199" w:rsidRDefault="00F20199" w:rsidP="00797BE3">
      <w:pPr>
        <w:jc w:val="both"/>
        <w:rPr>
          <w:rFonts w:asciiTheme="minorHAnsi" w:hAnsiTheme="minorHAnsi" w:cstheme="minorHAnsi"/>
          <w:szCs w:val="24"/>
        </w:rPr>
      </w:pPr>
    </w:p>
    <w:p w14:paraId="7C91B1FA" w14:textId="77777777" w:rsidR="00F20199" w:rsidRDefault="00F20199" w:rsidP="00797BE3">
      <w:pPr>
        <w:jc w:val="both"/>
        <w:rPr>
          <w:rFonts w:asciiTheme="minorHAnsi" w:hAnsiTheme="minorHAnsi" w:cstheme="minorHAnsi"/>
          <w:szCs w:val="24"/>
        </w:rPr>
      </w:pPr>
    </w:p>
    <w:p w14:paraId="44DEAA7D" w14:textId="77777777" w:rsidR="00F20199" w:rsidRDefault="00F20199" w:rsidP="00797BE3">
      <w:pPr>
        <w:jc w:val="both"/>
        <w:rPr>
          <w:rFonts w:asciiTheme="minorHAnsi" w:hAnsiTheme="minorHAnsi" w:cstheme="minorHAnsi"/>
          <w:szCs w:val="24"/>
        </w:rPr>
      </w:pPr>
    </w:p>
    <w:p w14:paraId="3FE118E4" w14:textId="77777777" w:rsidR="003628F3" w:rsidRDefault="003628F3" w:rsidP="00797BE3">
      <w:pPr>
        <w:jc w:val="both"/>
        <w:rPr>
          <w:rFonts w:asciiTheme="minorHAnsi" w:hAnsiTheme="minorHAnsi" w:cstheme="minorHAnsi"/>
          <w:szCs w:val="24"/>
        </w:rPr>
      </w:pPr>
    </w:p>
    <w:p w14:paraId="31CB7A60" w14:textId="77777777" w:rsidR="003628F3" w:rsidRDefault="003628F3" w:rsidP="00797BE3">
      <w:pPr>
        <w:jc w:val="both"/>
        <w:rPr>
          <w:rFonts w:asciiTheme="minorHAnsi" w:hAnsiTheme="minorHAnsi" w:cstheme="minorHAnsi"/>
          <w:szCs w:val="24"/>
        </w:rPr>
      </w:pPr>
    </w:p>
    <w:p w14:paraId="553A4621" w14:textId="77777777" w:rsidR="003628F3" w:rsidRDefault="003628F3" w:rsidP="00797BE3">
      <w:pPr>
        <w:jc w:val="both"/>
        <w:rPr>
          <w:rFonts w:asciiTheme="minorHAnsi" w:hAnsiTheme="minorHAnsi" w:cstheme="minorHAnsi"/>
          <w:szCs w:val="24"/>
        </w:rPr>
      </w:pPr>
    </w:p>
    <w:p w14:paraId="09ECF0A6" w14:textId="77777777" w:rsidR="00F20199" w:rsidRPr="00834B76" w:rsidRDefault="00F20199" w:rsidP="00F20199">
      <w:pPr>
        <w:pStyle w:val="ListParagraph"/>
        <w:jc w:val="center"/>
        <w:rPr>
          <w:rFonts w:cstheme="minorHAnsi"/>
          <w:b/>
          <w:sz w:val="24"/>
          <w:szCs w:val="24"/>
        </w:rPr>
      </w:pPr>
      <w:r w:rsidRPr="00834B76">
        <w:rPr>
          <w:rFonts w:cstheme="minorHAnsi"/>
          <w:b/>
          <w:sz w:val="24"/>
          <w:szCs w:val="24"/>
        </w:rPr>
        <w:t>Table 1. Atrius Health Patient Panel</w:t>
      </w:r>
    </w:p>
    <w:p w14:paraId="5371461D" w14:textId="77777777" w:rsidR="00F20199" w:rsidRPr="0015770B" w:rsidRDefault="00F20199" w:rsidP="00F20199">
      <w:pPr>
        <w:autoSpaceDE w:val="0"/>
        <w:autoSpaceDN w:val="0"/>
        <w:adjustRightInd w:val="0"/>
        <w:spacing w:after="0" w:line="240" w:lineRule="auto"/>
        <w:rPr>
          <w:rFonts w:cstheme="minorHAnsi"/>
        </w:rPr>
      </w:pPr>
    </w:p>
    <w:tbl>
      <w:tblPr>
        <w:tblW w:w="9925" w:type="dxa"/>
        <w:tblLook w:val="04A0" w:firstRow="1" w:lastRow="0" w:firstColumn="1" w:lastColumn="0" w:noHBand="0" w:noVBand="1"/>
      </w:tblPr>
      <w:tblGrid>
        <w:gridCol w:w="1717"/>
        <w:gridCol w:w="1264"/>
        <w:gridCol w:w="967"/>
        <w:gridCol w:w="1087"/>
        <w:gridCol w:w="850"/>
        <w:gridCol w:w="1073"/>
        <w:gridCol w:w="864"/>
        <w:gridCol w:w="1051"/>
        <w:gridCol w:w="22"/>
        <w:gridCol w:w="1030"/>
      </w:tblGrid>
      <w:tr w:rsidR="00D30831" w:rsidRPr="0040648C" w14:paraId="57DEF6A8" w14:textId="77777777" w:rsidTr="00D30831">
        <w:trPr>
          <w:cantSplit/>
          <w:trHeight w:val="295"/>
          <w:tblHeader/>
        </w:trPr>
        <w:tc>
          <w:tcPr>
            <w:tcW w:w="171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3B9B9EF3" w14:textId="77777777" w:rsidR="00D30831" w:rsidRPr="00E42B8C" w:rsidRDefault="00D30831" w:rsidP="00DD634E">
            <w:pPr>
              <w:spacing w:after="0" w:line="240" w:lineRule="auto"/>
              <w:rPr>
                <w:rFonts w:asciiTheme="minorHAnsi" w:eastAsia="Times New Roman" w:hAnsiTheme="minorHAnsi" w:cstheme="minorHAnsi"/>
                <w:color w:val="000000"/>
                <w:sz w:val="20"/>
                <w:szCs w:val="20"/>
              </w:rPr>
            </w:pPr>
            <w:r w:rsidRPr="00E42B8C">
              <w:rPr>
                <w:rFonts w:asciiTheme="minorHAnsi" w:eastAsia="Times New Roman" w:hAnsiTheme="minorHAnsi" w:cstheme="minorHAnsi"/>
                <w:color w:val="000000"/>
                <w:sz w:val="20"/>
                <w:szCs w:val="20"/>
              </w:rPr>
              <w:t> </w:t>
            </w:r>
          </w:p>
        </w:tc>
        <w:tc>
          <w:tcPr>
            <w:tcW w:w="1264" w:type="dxa"/>
            <w:tcBorders>
              <w:top w:val="single" w:sz="4" w:space="0" w:color="auto"/>
              <w:left w:val="nil"/>
              <w:bottom w:val="single" w:sz="4" w:space="0" w:color="auto"/>
            </w:tcBorders>
            <w:shd w:val="clear" w:color="auto" w:fill="BDD6EE" w:themeFill="accent1" w:themeFillTint="66"/>
            <w:noWrap/>
            <w:vAlign w:val="bottom"/>
            <w:hideMark/>
          </w:tcPr>
          <w:p w14:paraId="611379BF" w14:textId="77777777" w:rsidR="00D30831" w:rsidRPr="00E42B8C" w:rsidRDefault="00D30831" w:rsidP="00DD634E">
            <w:pPr>
              <w:spacing w:after="0" w:line="240" w:lineRule="auto"/>
              <w:jc w:val="center"/>
              <w:rPr>
                <w:rFonts w:asciiTheme="minorHAnsi" w:eastAsia="Times New Roman" w:hAnsiTheme="minorHAnsi" w:cstheme="minorHAnsi"/>
                <w:b/>
                <w:bCs/>
                <w:color w:val="000000"/>
                <w:sz w:val="20"/>
                <w:szCs w:val="20"/>
              </w:rPr>
            </w:pPr>
            <w:r w:rsidRPr="00E42B8C">
              <w:rPr>
                <w:rFonts w:asciiTheme="minorHAnsi" w:eastAsia="Times New Roman" w:hAnsiTheme="minorHAnsi" w:cstheme="minorHAnsi"/>
                <w:b/>
                <w:bCs/>
                <w:color w:val="000000"/>
                <w:sz w:val="20"/>
                <w:szCs w:val="20"/>
              </w:rPr>
              <w:t>CY2020</w:t>
            </w:r>
          </w:p>
        </w:tc>
        <w:tc>
          <w:tcPr>
            <w:tcW w:w="967" w:type="dxa"/>
            <w:tcBorders>
              <w:top w:val="single" w:sz="4" w:space="0" w:color="auto"/>
              <w:left w:val="nil"/>
              <w:bottom w:val="single" w:sz="4" w:space="0" w:color="auto"/>
              <w:right w:val="single" w:sz="4" w:space="0" w:color="000000"/>
            </w:tcBorders>
            <w:shd w:val="clear" w:color="auto" w:fill="BDD6EE" w:themeFill="accent1" w:themeFillTint="66"/>
            <w:vAlign w:val="bottom"/>
          </w:tcPr>
          <w:p w14:paraId="5C2DB701" w14:textId="3713BBC5" w:rsidR="00D30831" w:rsidRPr="00E42B8C" w:rsidRDefault="00D30831" w:rsidP="00DD634E">
            <w:pPr>
              <w:spacing w:after="0" w:line="240" w:lineRule="auto"/>
              <w:jc w:val="center"/>
              <w:rPr>
                <w:rFonts w:asciiTheme="minorHAnsi" w:eastAsia="Times New Roman" w:hAnsiTheme="minorHAnsi" w:cstheme="minorHAnsi"/>
                <w:b/>
                <w:bCs/>
                <w:color w:val="000000"/>
                <w:sz w:val="20"/>
                <w:szCs w:val="20"/>
              </w:rPr>
            </w:pPr>
            <w:r w:rsidRPr="00E42B8C">
              <w:rPr>
                <w:rFonts w:asciiTheme="minorHAnsi" w:eastAsia="Times New Roman" w:hAnsiTheme="minorHAnsi" w:cstheme="minorHAnsi"/>
                <w:b/>
                <w:bCs/>
                <w:color w:val="000000"/>
                <w:sz w:val="20"/>
                <w:szCs w:val="20"/>
              </w:rPr>
              <w:t>CY2020</w:t>
            </w:r>
          </w:p>
        </w:tc>
        <w:tc>
          <w:tcPr>
            <w:tcW w:w="1087" w:type="dxa"/>
            <w:tcBorders>
              <w:top w:val="single" w:sz="4" w:space="0" w:color="auto"/>
              <w:left w:val="nil"/>
              <w:bottom w:val="single" w:sz="4" w:space="0" w:color="auto"/>
            </w:tcBorders>
            <w:shd w:val="clear" w:color="auto" w:fill="BDD6EE" w:themeFill="accent1" w:themeFillTint="66"/>
            <w:noWrap/>
            <w:vAlign w:val="bottom"/>
            <w:hideMark/>
          </w:tcPr>
          <w:p w14:paraId="6807CF9C" w14:textId="77777777" w:rsidR="00D30831" w:rsidRPr="00E42B8C" w:rsidRDefault="00D30831" w:rsidP="00DD634E">
            <w:pPr>
              <w:spacing w:after="0" w:line="240" w:lineRule="auto"/>
              <w:jc w:val="center"/>
              <w:rPr>
                <w:rFonts w:asciiTheme="minorHAnsi" w:eastAsia="Times New Roman" w:hAnsiTheme="minorHAnsi" w:cstheme="minorHAnsi"/>
                <w:b/>
                <w:bCs/>
                <w:color w:val="000000"/>
                <w:sz w:val="20"/>
                <w:szCs w:val="20"/>
              </w:rPr>
            </w:pPr>
            <w:r w:rsidRPr="00E42B8C">
              <w:rPr>
                <w:rFonts w:asciiTheme="minorHAnsi" w:eastAsia="Times New Roman" w:hAnsiTheme="minorHAnsi" w:cstheme="minorHAnsi"/>
                <w:b/>
                <w:bCs/>
                <w:color w:val="000000"/>
                <w:sz w:val="20"/>
                <w:szCs w:val="20"/>
              </w:rPr>
              <w:t>CY2021</w:t>
            </w:r>
          </w:p>
        </w:tc>
        <w:tc>
          <w:tcPr>
            <w:tcW w:w="850" w:type="dxa"/>
            <w:tcBorders>
              <w:top w:val="single" w:sz="4" w:space="0" w:color="auto"/>
              <w:left w:val="nil"/>
              <w:bottom w:val="single" w:sz="4" w:space="0" w:color="auto"/>
              <w:right w:val="single" w:sz="4" w:space="0" w:color="000000"/>
            </w:tcBorders>
            <w:shd w:val="clear" w:color="auto" w:fill="BDD6EE" w:themeFill="accent1" w:themeFillTint="66"/>
            <w:vAlign w:val="bottom"/>
          </w:tcPr>
          <w:p w14:paraId="60D27C53" w14:textId="576E9693" w:rsidR="00D30831" w:rsidRPr="00E42B8C" w:rsidRDefault="00D30831" w:rsidP="00DD634E">
            <w:pPr>
              <w:spacing w:after="0" w:line="240" w:lineRule="auto"/>
              <w:jc w:val="center"/>
              <w:rPr>
                <w:rFonts w:asciiTheme="minorHAnsi" w:eastAsia="Times New Roman" w:hAnsiTheme="minorHAnsi" w:cstheme="minorHAnsi"/>
                <w:b/>
                <w:bCs/>
                <w:color w:val="000000"/>
                <w:sz w:val="20"/>
                <w:szCs w:val="20"/>
              </w:rPr>
            </w:pPr>
            <w:r w:rsidRPr="00E42B8C">
              <w:rPr>
                <w:rFonts w:asciiTheme="minorHAnsi" w:eastAsia="Times New Roman" w:hAnsiTheme="minorHAnsi" w:cstheme="minorHAnsi"/>
                <w:b/>
                <w:bCs/>
                <w:color w:val="000000"/>
                <w:sz w:val="20"/>
                <w:szCs w:val="20"/>
              </w:rPr>
              <w:t>CY2021</w:t>
            </w:r>
          </w:p>
        </w:tc>
        <w:tc>
          <w:tcPr>
            <w:tcW w:w="1073" w:type="dxa"/>
            <w:tcBorders>
              <w:top w:val="single" w:sz="4" w:space="0" w:color="auto"/>
              <w:left w:val="nil"/>
              <w:bottom w:val="single" w:sz="4" w:space="0" w:color="auto"/>
            </w:tcBorders>
            <w:shd w:val="clear" w:color="auto" w:fill="BDD6EE" w:themeFill="accent1" w:themeFillTint="66"/>
            <w:noWrap/>
            <w:vAlign w:val="bottom"/>
            <w:hideMark/>
          </w:tcPr>
          <w:p w14:paraId="681A2E61" w14:textId="77777777" w:rsidR="00D30831" w:rsidRPr="00E42B8C" w:rsidRDefault="00D30831" w:rsidP="00DD634E">
            <w:pPr>
              <w:spacing w:after="0" w:line="240" w:lineRule="auto"/>
              <w:jc w:val="center"/>
              <w:rPr>
                <w:rFonts w:asciiTheme="minorHAnsi" w:eastAsia="Times New Roman" w:hAnsiTheme="minorHAnsi" w:cstheme="minorHAnsi"/>
                <w:b/>
                <w:bCs/>
                <w:color w:val="000000"/>
                <w:sz w:val="20"/>
                <w:szCs w:val="20"/>
              </w:rPr>
            </w:pPr>
            <w:r w:rsidRPr="00E42B8C">
              <w:rPr>
                <w:rFonts w:asciiTheme="minorHAnsi" w:eastAsia="Times New Roman" w:hAnsiTheme="minorHAnsi" w:cstheme="minorHAnsi"/>
                <w:b/>
                <w:bCs/>
                <w:color w:val="000000"/>
                <w:sz w:val="20"/>
                <w:szCs w:val="20"/>
              </w:rPr>
              <w:t>CY2022</w:t>
            </w:r>
          </w:p>
        </w:tc>
        <w:tc>
          <w:tcPr>
            <w:tcW w:w="864" w:type="dxa"/>
            <w:tcBorders>
              <w:top w:val="single" w:sz="4" w:space="0" w:color="auto"/>
              <w:left w:val="nil"/>
              <w:bottom w:val="single" w:sz="4" w:space="0" w:color="auto"/>
              <w:right w:val="single" w:sz="4" w:space="0" w:color="000000"/>
            </w:tcBorders>
            <w:shd w:val="clear" w:color="auto" w:fill="BDD6EE" w:themeFill="accent1" w:themeFillTint="66"/>
            <w:vAlign w:val="bottom"/>
          </w:tcPr>
          <w:p w14:paraId="05F869A0" w14:textId="7B6C3FBF" w:rsidR="00D30831" w:rsidRPr="00E42B8C" w:rsidRDefault="00D30831" w:rsidP="00DD634E">
            <w:pPr>
              <w:spacing w:after="0" w:line="240" w:lineRule="auto"/>
              <w:jc w:val="center"/>
              <w:rPr>
                <w:rFonts w:asciiTheme="minorHAnsi" w:eastAsia="Times New Roman" w:hAnsiTheme="minorHAnsi" w:cstheme="minorHAnsi"/>
                <w:b/>
                <w:bCs/>
                <w:color w:val="000000"/>
                <w:sz w:val="20"/>
                <w:szCs w:val="20"/>
              </w:rPr>
            </w:pPr>
            <w:r w:rsidRPr="00E42B8C">
              <w:rPr>
                <w:rFonts w:asciiTheme="minorHAnsi" w:eastAsia="Times New Roman" w:hAnsiTheme="minorHAnsi" w:cstheme="minorHAnsi"/>
                <w:b/>
                <w:bCs/>
                <w:color w:val="000000"/>
                <w:sz w:val="20"/>
                <w:szCs w:val="20"/>
              </w:rPr>
              <w:t>CY2022</w:t>
            </w:r>
          </w:p>
        </w:tc>
        <w:tc>
          <w:tcPr>
            <w:tcW w:w="1051" w:type="dxa"/>
            <w:tcBorders>
              <w:top w:val="single" w:sz="4" w:space="0" w:color="auto"/>
              <w:left w:val="nil"/>
              <w:bottom w:val="single" w:sz="4" w:space="0" w:color="auto"/>
            </w:tcBorders>
            <w:shd w:val="clear" w:color="auto" w:fill="BDD6EE" w:themeFill="accent1" w:themeFillTint="66"/>
            <w:noWrap/>
            <w:vAlign w:val="bottom"/>
            <w:hideMark/>
          </w:tcPr>
          <w:p w14:paraId="240925A5" w14:textId="77777777" w:rsidR="00D30831" w:rsidRPr="00E42B8C" w:rsidRDefault="00D30831" w:rsidP="00DD634E">
            <w:pPr>
              <w:spacing w:after="0" w:line="240" w:lineRule="auto"/>
              <w:jc w:val="center"/>
              <w:rPr>
                <w:rFonts w:asciiTheme="minorHAnsi" w:eastAsia="Times New Roman" w:hAnsiTheme="minorHAnsi" w:cstheme="minorHAnsi"/>
                <w:b/>
                <w:bCs/>
                <w:color w:val="000000"/>
                <w:sz w:val="20"/>
                <w:szCs w:val="20"/>
              </w:rPr>
            </w:pPr>
            <w:r w:rsidRPr="00E42B8C">
              <w:rPr>
                <w:rFonts w:asciiTheme="minorHAnsi" w:eastAsia="Times New Roman" w:hAnsiTheme="minorHAnsi" w:cstheme="minorHAnsi"/>
                <w:b/>
                <w:bCs/>
                <w:color w:val="000000"/>
                <w:sz w:val="20"/>
                <w:szCs w:val="20"/>
              </w:rPr>
              <w:t>CY2023</w:t>
            </w:r>
          </w:p>
        </w:tc>
        <w:tc>
          <w:tcPr>
            <w:tcW w:w="1052" w:type="dxa"/>
            <w:gridSpan w:val="2"/>
            <w:tcBorders>
              <w:top w:val="single" w:sz="4" w:space="0" w:color="auto"/>
              <w:left w:val="nil"/>
              <w:bottom w:val="single" w:sz="4" w:space="0" w:color="auto"/>
              <w:right w:val="single" w:sz="4" w:space="0" w:color="000000"/>
            </w:tcBorders>
            <w:shd w:val="clear" w:color="auto" w:fill="BDD6EE" w:themeFill="accent1" w:themeFillTint="66"/>
            <w:vAlign w:val="bottom"/>
          </w:tcPr>
          <w:p w14:paraId="25F8E110" w14:textId="66959D50" w:rsidR="00D30831" w:rsidRPr="00E42B8C" w:rsidRDefault="00D30831" w:rsidP="00DD634E">
            <w:pPr>
              <w:spacing w:after="0" w:line="240" w:lineRule="auto"/>
              <w:jc w:val="center"/>
              <w:rPr>
                <w:rFonts w:asciiTheme="minorHAnsi" w:eastAsia="Times New Roman" w:hAnsiTheme="minorHAnsi" w:cstheme="minorHAnsi"/>
                <w:b/>
                <w:bCs/>
                <w:color w:val="000000"/>
                <w:sz w:val="20"/>
                <w:szCs w:val="20"/>
              </w:rPr>
            </w:pPr>
            <w:r w:rsidRPr="00E42B8C">
              <w:rPr>
                <w:rFonts w:asciiTheme="minorHAnsi" w:eastAsia="Times New Roman" w:hAnsiTheme="minorHAnsi" w:cstheme="minorHAnsi"/>
                <w:b/>
                <w:bCs/>
                <w:color w:val="000000"/>
                <w:sz w:val="20"/>
                <w:szCs w:val="20"/>
              </w:rPr>
              <w:t>CY2023</w:t>
            </w:r>
          </w:p>
        </w:tc>
      </w:tr>
      <w:tr w:rsidR="00F20199" w:rsidRPr="0040648C" w14:paraId="3853F00B" w14:textId="77777777" w:rsidTr="00D30831">
        <w:trPr>
          <w:cantSplit/>
          <w:trHeight w:val="295"/>
        </w:trPr>
        <w:tc>
          <w:tcPr>
            <w:tcW w:w="1717" w:type="dxa"/>
            <w:tcBorders>
              <w:top w:val="nil"/>
              <w:left w:val="single" w:sz="4" w:space="0" w:color="auto"/>
              <w:bottom w:val="single" w:sz="4" w:space="0" w:color="auto"/>
              <w:right w:val="single" w:sz="4" w:space="0" w:color="auto"/>
            </w:tcBorders>
            <w:shd w:val="clear" w:color="auto" w:fill="auto"/>
            <w:noWrap/>
            <w:vAlign w:val="bottom"/>
            <w:hideMark/>
          </w:tcPr>
          <w:p w14:paraId="1FA96EB0" w14:textId="77777777" w:rsidR="00F20199" w:rsidRPr="00E42B8C" w:rsidRDefault="00F20199" w:rsidP="00DD634E">
            <w:pPr>
              <w:spacing w:after="0" w:line="240" w:lineRule="auto"/>
              <w:rPr>
                <w:rFonts w:asciiTheme="minorHAnsi" w:eastAsia="Times New Roman" w:hAnsiTheme="minorHAnsi" w:cstheme="minorHAnsi"/>
                <w:b/>
                <w:bCs/>
                <w:color w:val="000000"/>
                <w:sz w:val="20"/>
                <w:szCs w:val="20"/>
              </w:rPr>
            </w:pPr>
            <w:r w:rsidRPr="00E42B8C">
              <w:rPr>
                <w:rFonts w:asciiTheme="minorHAnsi" w:eastAsia="Times New Roman" w:hAnsiTheme="minorHAnsi" w:cstheme="minorHAnsi"/>
                <w:b/>
                <w:bCs/>
                <w:color w:val="000000"/>
                <w:sz w:val="20"/>
                <w:szCs w:val="20"/>
              </w:rPr>
              <w:t>PATIENTS</w:t>
            </w:r>
          </w:p>
        </w:tc>
        <w:tc>
          <w:tcPr>
            <w:tcW w:w="1264" w:type="dxa"/>
            <w:tcBorders>
              <w:top w:val="nil"/>
              <w:left w:val="nil"/>
              <w:bottom w:val="single" w:sz="4" w:space="0" w:color="auto"/>
              <w:right w:val="nil"/>
            </w:tcBorders>
            <w:shd w:val="clear" w:color="auto" w:fill="auto"/>
            <w:noWrap/>
            <w:vAlign w:val="center"/>
            <w:hideMark/>
          </w:tcPr>
          <w:p w14:paraId="42081FBE" w14:textId="77777777" w:rsidR="00F20199" w:rsidRPr="00E42B8C" w:rsidRDefault="00F20199" w:rsidP="00DD634E">
            <w:pPr>
              <w:spacing w:after="0" w:line="240" w:lineRule="auto"/>
              <w:jc w:val="center"/>
              <w:rPr>
                <w:rFonts w:asciiTheme="minorHAnsi" w:eastAsia="Times New Roman" w:hAnsiTheme="minorHAnsi" w:cstheme="minorHAnsi"/>
                <w:b/>
                <w:bCs/>
                <w:color w:val="000000"/>
                <w:sz w:val="20"/>
                <w:szCs w:val="20"/>
              </w:rPr>
            </w:pPr>
            <w:r w:rsidRPr="00E42B8C">
              <w:rPr>
                <w:rFonts w:asciiTheme="minorHAnsi" w:hAnsiTheme="minorHAnsi" w:cstheme="minorHAnsi"/>
                <w:b/>
                <w:bCs/>
                <w:color w:val="000000"/>
                <w:sz w:val="20"/>
                <w:szCs w:val="20"/>
              </w:rPr>
              <w:t>560,698</w:t>
            </w:r>
          </w:p>
        </w:tc>
        <w:tc>
          <w:tcPr>
            <w:tcW w:w="967" w:type="dxa"/>
            <w:tcBorders>
              <w:top w:val="nil"/>
              <w:left w:val="nil"/>
              <w:bottom w:val="single" w:sz="4" w:space="0" w:color="auto"/>
              <w:right w:val="single" w:sz="4" w:space="0" w:color="auto"/>
            </w:tcBorders>
            <w:shd w:val="clear" w:color="auto" w:fill="auto"/>
            <w:noWrap/>
            <w:vAlign w:val="center"/>
            <w:hideMark/>
          </w:tcPr>
          <w:p w14:paraId="4CB692A4" w14:textId="77777777" w:rsidR="00F20199" w:rsidRPr="00E42B8C" w:rsidRDefault="00F20199" w:rsidP="00DD634E">
            <w:pPr>
              <w:spacing w:after="0" w:line="240" w:lineRule="auto"/>
              <w:jc w:val="center"/>
              <w:rPr>
                <w:rFonts w:asciiTheme="minorHAnsi" w:eastAsia="Times New Roman" w:hAnsiTheme="minorHAnsi" w:cstheme="minorHAnsi"/>
                <w:b/>
                <w:bCs/>
                <w:color w:val="000000"/>
                <w:sz w:val="20"/>
                <w:szCs w:val="20"/>
              </w:rPr>
            </w:pPr>
            <w:r w:rsidRPr="00E42B8C">
              <w:rPr>
                <w:rFonts w:asciiTheme="minorHAnsi" w:hAnsiTheme="minorHAnsi" w:cstheme="minorHAnsi"/>
                <w:b/>
                <w:bCs/>
                <w:color w:val="000000"/>
                <w:sz w:val="20"/>
                <w:szCs w:val="20"/>
              </w:rPr>
              <w:t>100%</w:t>
            </w:r>
          </w:p>
        </w:tc>
        <w:tc>
          <w:tcPr>
            <w:tcW w:w="1087" w:type="dxa"/>
            <w:tcBorders>
              <w:top w:val="nil"/>
              <w:left w:val="nil"/>
              <w:bottom w:val="single" w:sz="4" w:space="0" w:color="auto"/>
              <w:right w:val="nil"/>
            </w:tcBorders>
            <w:shd w:val="clear" w:color="auto" w:fill="auto"/>
            <w:noWrap/>
            <w:vAlign w:val="center"/>
            <w:hideMark/>
          </w:tcPr>
          <w:p w14:paraId="13247685" w14:textId="77777777" w:rsidR="00F20199" w:rsidRPr="00E42B8C" w:rsidRDefault="00F20199" w:rsidP="00DD634E">
            <w:pPr>
              <w:spacing w:after="0" w:line="240" w:lineRule="auto"/>
              <w:jc w:val="center"/>
              <w:rPr>
                <w:rFonts w:asciiTheme="minorHAnsi" w:eastAsia="Times New Roman" w:hAnsiTheme="minorHAnsi" w:cstheme="minorHAnsi"/>
                <w:b/>
                <w:bCs/>
                <w:color w:val="000000"/>
                <w:sz w:val="20"/>
                <w:szCs w:val="20"/>
              </w:rPr>
            </w:pPr>
            <w:r w:rsidRPr="00E42B8C">
              <w:rPr>
                <w:rFonts w:asciiTheme="minorHAnsi" w:hAnsiTheme="minorHAnsi" w:cstheme="minorHAnsi"/>
                <w:b/>
                <w:bCs/>
                <w:color w:val="000000"/>
                <w:sz w:val="20"/>
                <w:szCs w:val="20"/>
              </w:rPr>
              <w:t>554,154</w:t>
            </w:r>
          </w:p>
        </w:tc>
        <w:tc>
          <w:tcPr>
            <w:tcW w:w="850" w:type="dxa"/>
            <w:tcBorders>
              <w:top w:val="nil"/>
              <w:left w:val="nil"/>
              <w:bottom w:val="single" w:sz="4" w:space="0" w:color="auto"/>
              <w:right w:val="single" w:sz="4" w:space="0" w:color="auto"/>
            </w:tcBorders>
            <w:shd w:val="clear" w:color="auto" w:fill="auto"/>
            <w:noWrap/>
            <w:vAlign w:val="center"/>
            <w:hideMark/>
          </w:tcPr>
          <w:p w14:paraId="78E39717" w14:textId="77777777" w:rsidR="00F20199" w:rsidRPr="00E42B8C" w:rsidRDefault="00F20199" w:rsidP="00DD634E">
            <w:pPr>
              <w:spacing w:after="0" w:line="240" w:lineRule="auto"/>
              <w:jc w:val="center"/>
              <w:rPr>
                <w:rFonts w:asciiTheme="minorHAnsi" w:eastAsia="Times New Roman" w:hAnsiTheme="minorHAnsi" w:cstheme="minorHAnsi"/>
                <w:b/>
                <w:bCs/>
                <w:color w:val="000000"/>
                <w:sz w:val="20"/>
                <w:szCs w:val="20"/>
              </w:rPr>
            </w:pPr>
            <w:r w:rsidRPr="00E42B8C">
              <w:rPr>
                <w:rFonts w:asciiTheme="minorHAnsi" w:hAnsiTheme="minorHAnsi" w:cstheme="minorHAnsi"/>
                <w:b/>
                <w:bCs/>
                <w:color w:val="000000"/>
                <w:sz w:val="20"/>
                <w:szCs w:val="20"/>
              </w:rPr>
              <w:t>100%</w:t>
            </w:r>
          </w:p>
        </w:tc>
        <w:tc>
          <w:tcPr>
            <w:tcW w:w="1073" w:type="dxa"/>
            <w:tcBorders>
              <w:top w:val="nil"/>
              <w:left w:val="nil"/>
              <w:bottom w:val="single" w:sz="4" w:space="0" w:color="auto"/>
              <w:right w:val="nil"/>
            </w:tcBorders>
            <w:shd w:val="clear" w:color="auto" w:fill="auto"/>
            <w:noWrap/>
            <w:vAlign w:val="center"/>
            <w:hideMark/>
          </w:tcPr>
          <w:p w14:paraId="4E285832" w14:textId="77777777" w:rsidR="00F20199" w:rsidRPr="00E42B8C" w:rsidRDefault="00F20199" w:rsidP="00DD634E">
            <w:pPr>
              <w:spacing w:after="0" w:line="240" w:lineRule="auto"/>
              <w:jc w:val="center"/>
              <w:rPr>
                <w:rFonts w:asciiTheme="minorHAnsi" w:eastAsia="Times New Roman" w:hAnsiTheme="minorHAnsi" w:cstheme="minorHAnsi"/>
                <w:b/>
                <w:bCs/>
                <w:color w:val="000000"/>
                <w:sz w:val="20"/>
                <w:szCs w:val="20"/>
              </w:rPr>
            </w:pPr>
            <w:r w:rsidRPr="00E42B8C">
              <w:rPr>
                <w:rFonts w:asciiTheme="minorHAnsi" w:hAnsiTheme="minorHAnsi" w:cstheme="minorHAnsi"/>
                <w:b/>
                <w:bCs/>
                <w:color w:val="000000"/>
                <w:sz w:val="20"/>
                <w:szCs w:val="20"/>
              </w:rPr>
              <w:t>550,915</w:t>
            </w:r>
          </w:p>
        </w:tc>
        <w:tc>
          <w:tcPr>
            <w:tcW w:w="864" w:type="dxa"/>
            <w:tcBorders>
              <w:top w:val="nil"/>
              <w:left w:val="nil"/>
              <w:bottom w:val="single" w:sz="4" w:space="0" w:color="auto"/>
              <w:right w:val="single" w:sz="4" w:space="0" w:color="auto"/>
            </w:tcBorders>
            <w:shd w:val="clear" w:color="auto" w:fill="auto"/>
            <w:noWrap/>
            <w:vAlign w:val="center"/>
            <w:hideMark/>
          </w:tcPr>
          <w:p w14:paraId="7CCC6654" w14:textId="77777777" w:rsidR="00F20199" w:rsidRPr="00E42B8C" w:rsidRDefault="00F20199" w:rsidP="00DD634E">
            <w:pPr>
              <w:spacing w:after="0" w:line="240" w:lineRule="auto"/>
              <w:jc w:val="center"/>
              <w:rPr>
                <w:rFonts w:asciiTheme="minorHAnsi" w:eastAsia="Times New Roman" w:hAnsiTheme="minorHAnsi" w:cstheme="minorHAnsi"/>
                <w:b/>
                <w:bCs/>
                <w:color w:val="000000"/>
                <w:sz w:val="20"/>
                <w:szCs w:val="20"/>
              </w:rPr>
            </w:pPr>
            <w:r w:rsidRPr="00E42B8C">
              <w:rPr>
                <w:rFonts w:asciiTheme="minorHAnsi" w:hAnsiTheme="minorHAnsi" w:cstheme="minorHAnsi"/>
                <w:b/>
                <w:bCs/>
                <w:color w:val="000000"/>
                <w:sz w:val="20"/>
                <w:szCs w:val="20"/>
              </w:rPr>
              <w:t>100%</w:t>
            </w:r>
          </w:p>
        </w:tc>
        <w:tc>
          <w:tcPr>
            <w:tcW w:w="1073" w:type="dxa"/>
            <w:gridSpan w:val="2"/>
            <w:tcBorders>
              <w:top w:val="nil"/>
              <w:left w:val="nil"/>
              <w:bottom w:val="single" w:sz="4" w:space="0" w:color="auto"/>
              <w:right w:val="nil"/>
            </w:tcBorders>
            <w:shd w:val="clear" w:color="auto" w:fill="auto"/>
            <w:noWrap/>
            <w:vAlign w:val="center"/>
            <w:hideMark/>
          </w:tcPr>
          <w:p w14:paraId="487EA17F" w14:textId="77777777" w:rsidR="00F20199" w:rsidRPr="00E42B8C" w:rsidRDefault="00F20199" w:rsidP="00DD634E">
            <w:pPr>
              <w:spacing w:after="0" w:line="240" w:lineRule="auto"/>
              <w:jc w:val="center"/>
              <w:rPr>
                <w:rFonts w:asciiTheme="minorHAnsi" w:eastAsia="Times New Roman" w:hAnsiTheme="minorHAnsi" w:cstheme="minorHAnsi"/>
                <w:b/>
                <w:bCs/>
                <w:color w:val="000000"/>
                <w:sz w:val="20"/>
                <w:szCs w:val="20"/>
              </w:rPr>
            </w:pPr>
            <w:r w:rsidRPr="00E42B8C">
              <w:rPr>
                <w:rFonts w:asciiTheme="minorHAnsi" w:hAnsiTheme="minorHAnsi" w:cstheme="minorHAnsi"/>
                <w:b/>
                <w:bCs/>
                <w:color w:val="000000"/>
                <w:sz w:val="20"/>
                <w:szCs w:val="20"/>
              </w:rPr>
              <w:t>573,888</w:t>
            </w:r>
          </w:p>
        </w:tc>
        <w:tc>
          <w:tcPr>
            <w:tcW w:w="1030" w:type="dxa"/>
            <w:tcBorders>
              <w:top w:val="nil"/>
              <w:left w:val="nil"/>
              <w:bottom w:val="single" w:sz="4" w:space="0" w:color="auto"/>
              <w:right w:val="single" w:sz="4" w:space="0" w:color="auto"/>
            </w:tcBorders>
            <w:shd w:val="clear" w:color="auto" w:fill="auto"/>
            <w:noWrap/>
            <w:vAlign w:val="center"/>
            <w:hideMark/>
          </w:tcPr>
          <w:p w14:paraId="3D065E14" w14:textId="77777777" w:rsidR="00F20199" w:rsidRPr="00E42B8C" w:rsidRDefault="00F20199" w:rsidP="00DD634E">
            <w:pPr>
              <w:spacing w:after="0" w:line="240" w:lineRule="auto"/>
              <w:jc w:val="center"/>
              <w:rPr>
                <w:rFonts w:asciiTheme="minorHAnsi" w:eastAsia="Times New Roman" w:hAnsiTheme="minorHAnsi" w:cstheme="minorHAnsi"/>
                <w:b/>
                <w:bCs/>
                <w:color w:val="000000"/>
                <w:sz w:val="20"/>
                <w:szCs w:val="20"/>
              </w:rPr>
            </w:pPr>
            <w:r w:rsidRPr="00E42B8C">
              <w:rPr>
                <w:rFonts w:asciiTheme="minorHAnsi" w:hAnsiTheme="minorHAnsi" w:cstheme="minorHAnsi"/>
                <w:b/>
                <w:bCs/>
                <w:color w:val="000000"/>
                <w:sz w:val="20"/>
                <w:szCs w:val="20"/>
              </w:rPr>
              <w:t>100%</w:t>
            </w:r>
          </w:p>
        </w:tc>
      </w:tr>
      <w:tr w:rsidR="00F20199" w:rsidRPr="0040648C" w14:paraId="40C1317D" w14:textId="77777777" w:rsidTr="00D30831">
        <w:trPr>
          <w:cantSplit/>
          <w:trHeight w:val="295"/>
        </w:trPr>
        <w:tc>
          <w:tcPr>
            <w:tcW w:w="1717" w:type="dxa"/>
            <w:tcBorders>
              <w:top w:val="nil"/>
              <w:left w:val="single" w:sz="4" w:space="0" w:color="auto"/>
              <w:bottom w:val="nil"/>
              <w:right w:val="single" w:sz="4" w:space="0" w:color="auto"/>
            </w:tcBorders>
            <w:shd w:val="clear" w:color="000000" w:fill="C5D9F1"/>
            <w:noWrap/>
            <w:vAlign w:val="bottom"/>
            <w:hideMark/>
          </w:tcPr>
          <w:p w14:paraId="072CBA7B" w14:textId="77777777" w:rsidR="00F20199" w:rsidRPr="00E42B8C" w:rsidRDefault="00F20199" w:rsidP="00DD634E">
            <w:pPr>
              <w:spacing w:after="0" w:line="240" w:lineRule="auto"/>
              <w:rPr>
                <w:rFonts w:asciiTheme="minorHAnsi" w:eastAsia="Times New Roman" w:hAnsiTheme="minorHAnsi" w:cstheme="minorHAnsi"/>
                <w:b/>
                <w:bCs/>
                <w:color w:val="000000"/>
                <w:sz w:val="20"/>
                <w:szCs w:val="20"/>
              </w:rPr>
            </w:pPr>
            <w:r w:rsidRPr="00E42B8C">
              <w:rPr>
                <w:rFonts w:asciiTheme="minorHAnsi" w:eastAsia="Times New Roman" w:hAnsiTheme="minorHAnsi" w:cstheme="minorHAnsi"/>
                <w:b/>
                <w:bCs/>
                <w:color w:val="000000"/>
                <w:sz w:val="20"/>
                <w:szCs w:val="20"/>
              </w:rPr>
              <w:t>Age</w:t>
            </w:r>
          </w:p>
        </w:tc>
        <w:tc>
          <w:tcPr>
            <w:tcW w:w="1264" w:type="dxa"/>
            <w:tcBorders>
              <w:top w:val="nil"/>
              <w:left w:val="nil"/>
              <w:bottom w:val="nil"/>
              <w:right w:val="nil"/>
            </w:tcBorders>
            <w:shd w:val="clear" w:color="000000" w:fill="C5D9F1"/>
            <w:noWrap/>
            <w:vAlign w:val="center"/>
            <w:hideMark/>
          </w:tcPr>
          <w:p w14:paraId="59FAA40C" w14:textId="77777777" w:rsidR="00F20199" w:rsidRPr="00E42B8C" w:rsidRDefault="00F20199" w:rsidP="00DD634E">
            <w:pPr>
              <w:spacing w:after="0" w:line="240" w:lineRule="auto"/>
              <w:rPr>
                <w:rFonts w:asciiTheme="minorHAnsi" w:eastAsia="Times New Roman" w:hAnsiTheme="minorHAnsi" w:cstheme="minorHAnsi"/>
                <w:b/>
                <w:bCs/>
                <w:color w:val="000000"/>
                <w:sz w:val="20"/>
                <w:szCs w:val="20"/>
              </w:rPr>
            </w:pPr>
            <w:r w:rsidRPr="00E42B8C">
              <w:rPr>
                <w:rFonts w:asciiTheme="minorHAnsi" w:hAnsiTheme="minorHAnsi" w:cstheme="minorHAnsi"/>
                <w:b/>
                <w:bCs/>
                <w:color w:val="000000"/>
                <w:sz w:val="20"/>
                <w:szCs w:val="20"/>
              </w:rPr>
              <w:t> </w:t>
            </w:r>
          </w:p>
        </w:tc>
        <w:tc>
          <w:tcPr>
            <w:tcW w:w="967" w:type="dxa"/>
            <w:tcBorders>
              <w:top w:val="nil"/>
              <w:left w:val="nil"/>
              <w:bottom w:val="nil"/>
              <w:right w:val="single" w:sz="4" w:space="0" w:color="auto"/>
            </w:tcBorders>
            <w:shd w:val="clear" w:color="000000" w:fill="C5D9F1"/>
            <w:noWrap/>
            <w:vAlign w:val="center"/>
            <w:hideMark/>
          </w:tcPr>
          <w:p w14:paraId="7F74565E" w14:textId="77777777" w:rsidR="00F20199" w:rsidRPr="00E42B8C" w:rsidRDefault="00F20199" w:rsidP="00DD634E">
            <w:pPr>
              <w:spacing w:after="0" w:line="240" w:lineRule="auto"/>
              <w:rPr>
                <w:rFonts w:asciiTheme="minorHAnsi" w:eastAsia="Times New Roman" w:hAnsiTheme="minorHAnsi" w:cstheme="minorHAnsi"/>
                <w:b/>
                <w:bCs/>
                <w:color w:val="000000"/>
                <w:sz w:val="20"/>
                <w:szCs w:val="20"/>
              </w:rPr>
            </w:pPr>
            <w:r w:rsidRPr="00E42B8C">
              <w:rPr>
                <w:rFonts w:asciiTheme="minorHAnsi" w:hAnsiTheme="minorHAnsi" w:cstheme="minorHAnsi"/>
                <w:b/>
                <w:bCs/>
                <w:color w:val="000000"/>
                <w:sz w:val="20"/>
                <w:szCs w:val="20"/>
              </w:rPr>
              <w:t> </w:t>
            </w:r>
          </w:p>
        </w:tc>
        <w:tc>
          <w:tcPr>
            <w:tcW w:w="1087" w:type="dxa"/>
            <w:tcBorders>
              <w:top w:val="nil"/>
              <w:left w:val="nil"/>
              <w:bottom w:val="nil"/>
              <w:right w:val="nil"/>
            </w:tcBorders>
            <w:shd w:val="clear" w:color="000000" w:fill="C5D9F1"/>
            <w:noWrap/>
            <w:vAlign w:val="center"/>
            <w:hideMark/>
          </w:tcPr>
          <w:p w14:paraId="2D225793" w14:textId="77777777" w:rsidR="00F20199" w:rsidRPr="00E42B8C" w:rsidRDefault="00F20199" w:rsidP="00DD634E">
            <w:pPr>
              <w:spacing w:after="0" w:line="240" w:lineRule="auto"/>
              <w:rPr>
                <w:rFonts w:asciiTheme="minorHAnsi" w:eastAsia="Times New Roman" w:hAnsiTheme="minorHAnsi" w:cstheme="minorHAnsi"/>
                <w:b/>
                <w:bCs/>
                <w:color w:val="000000"/>
                <w:sz w:val="20"/>
                <w:szCs w:val="20"/>
              </w:rPr>
            </w:pPr>
            <w:r w:rsidRPr="00E42B8C">
              <w:rPr>
                <w:rFonts w:asciiTheme="minorHAnsi" w:hAnsiTheme="minorHAnsi" w:cstheme="minorHAnsi"/>
                <w:b/>
                <w:bCs/>
                <w:color w:val="000000"/>
                <w:sz w:val="20"/>
                <w:szCs w:val="20"/>
              </w:rPr>
              <w:t> </w:t>
            </w:r>
          </w:p>
        </w:tc>
        <w:tc>
          <w:tcPr>
            <w:tcW w:w="850" w:type="dxa"/>
            <w:tcBorders>
              <w:top w:val="nil"/>
              <w:left w:val="nil"/>
              <w:bottom w:val="nil"/>
              <w:right w:val="single" w:sz="4" w:space="0" w:color="auto"/>
            </w:tcBorders>
            <w:shd w:val="clear" w:color="000000" w:fill="C5D9F1"/>
            <w:noWrap/>
            <w:vAlign w:val="center"/>
            <w:hideMark/>
          </w:tcPr>
          <w:p w14:paraId="19866CF5" w14:textId="77777777" w:rsidR="00F20199" w:rsidRPr="00E42B8C" w:rsidRDefault="00F20199" w:rsidP="00DD634E">
            <w:pPr>
              <w:spacing w:after="0" w:line="240" w:lineRule="auto"/>
              <w:rPr>
                <w:rFonts w:asciiTheme="minorHAnsi" w:eastAsia="Times New Roman" w:hAnsiTheme="minorHAnsi" w:cstheme="minorHAnsi"/>
                <w:b/>
                <w:bCs/>
                <w:color w:val="000000"/>
                <w:sz w:val="20"/>
                <w:szCs w:val="20"/>
              </w:rPr>
            </w:pPr>
            <w:r w:rsidRPr="00E42B8C">
              <w:rPr>
                <w:rFonts w:asciiTheme="minorHAnsi" w:hAnsiTheme="minorHAnsi" w:cstheme="minorHAnsi"/>
                <w:b/>
                <w:bCs/>
                <w:color w:val="000000"/>
                <w:sz w:val="20"/>
                <w:szCs w:val="20"/>
              </w:rPr>
              <w:t> </w:t>
            </w:r>
          </w:p>
        </w:tc>
        <w:tc>
          <w:tcPr>
            <w:tcW w:w="1073" w:type="dxa"/>
            <w:tcBorders>
              <w:top w:val="nil"/>
              <w:left w:val="nil"/>
              <w:bottom w:val="nil"/>
              <w:right w:val="nil"/>
            </w:tcBorders>
            <w:shd w:val="clear" w:color="000000" w:fill="C5D9F1"/>
            <w:noWrap/>
            <w:vAlign w:val="center"/>
            <w:hideMark/>
          </w:tcPr>
          <w:p w14:paraId="550EC294" w14:textId="77777777" w:rsidR="00F20199" w:rsidRPr="00E42B8C" w:rsidRDefault="00F20199" w:rsidP="00DD634E">
            <w:pPr>
              <w:spacing w:after="0" w:line="240" w:lineRule="auto"/>
              <w:rPr>
                <w:rFonts w:asciiTheme="minorHAnsi" w:eastAsia="Times New Roman" w:hAnsiTheme="minorHAnsi" w:cstheme="minorHAnsi"/>
                <w:b/>
                <w:bCs/>
                <w:color w:val="000000"/>
                <w:sz w:val="20"/>
                <w:szCs w:val="20"/>
              </w:rPr>
            </w:pPr>
            <w:r w:rsidRPr="00E42B8C">
              <w:rPr>
                <w:rFonts w:asciiTheme="minorHAnsi" w:hAnsiTheme="minorHAnsi" w:cstheme="minorHAnsi"/>
                <w:b/>
                <w:bCs/>
                <w:color w:val="000000"/>
                <w:sz w:val="20"/>
                <w:szCs w:val="20"/>
              </w:rPr>
              <w:t> </w:t>
            </w:r>
          </w:p>
        </w:tc>
        <w:tc>
          <w:tcPr>
            <w:tcW w:w="864" w:type="dxa"/>
            <w:tcBorders>
              <w:top w:val="nil"/>
              <w:left w:val="nil"/>
              <w:bottom w:val="nil"/>
              <w:right w:val="single" w:sz="4" w:space="0" w:color="auto"/>
            </w:tcBorders>
            <w:shd w:val="clear" w:color="000000" w:fill="C5D9F1"/>
            <w:noWrap/>
            <w:vAlign w:val="center"/>
            <w:hideMark/>
          </w:tcPr>
          <w:p w14:paraId="324B7DDC" w14:textId="77777777" w:rsidR="00F20199" w:rsidRPr="00E42B8C" w:rsidRDefault="00F20199" w:rsidP="00DD634E">
            <w:pPr>
              <w:spacing w:after="0" w:line="240" w:lineRule="auto"/>
              <w:rPr>
                <w:rFonts w:asciiTheme="minorHAnsi" w:eastAsia="Times New Roman" w:hAnsiTheme="minorHAnsi" w:cstheme="minorHAnsi"/>
                <w:b/>
                <w:bCs/>
                <w:color w:val="000000"/>
                <w:sz w:val="20"/>
                <w:szCs w:val="20"/>
              </w:rPr>
            </w:pPr>
            <w:r w:rsidRPr="00E42B8C">
              <w:rPr>
                <w:rFonts w:asciiTheme="minorHAnsi" w:hAnsiTheme="minorHAnsi" w:cstheme="minorHAnsi"/>
                <w:b/>
                <w:bCs/>
                <w:color w:val="000000"/>
                <w:sz w:val="20"/>
                <w:szCs w:val="20"/>
              </w:rPr>
              <w:t> </w:t>
            </w:r>
          </w:p>
        </w:tc>
        <w:tc>
          <w:tcPr>
            <w:tcW w:w="1073" w:type="dxa"/>
            <w:gridSpan w:val="2"/>
            <w:tcBorders>
              <w:top w:val="nil"/>
              <w:left w:val="nil"/>
              <w:bottom w:val="nil"/>
              <w:right w:val="nil"/>
            </w:tcBorders>
            <w:shd w:val="clear" w:color="000000" w:fill="C5D9F1"/>
            <w:noWrap/>
            <w:vAlign w:val="center"/>
            <w:hideMark/>
          </w:tcPr>
          <w:p w14:paraId="15282F73" w14:textId="77777777" w:rsidR="00F20199" w:rsidRPr="00E42B8C" w:rsidRDefault="00F20199" w:rsidP="00DD634E">
            <w:pPr>
              <w:spacing w:after="0" w:line="240" w:lineRule="auto"/>
              <w:rPr>
                <w:rFonts w:asciiTheme="minorHAnsi" w:eastAsia="Times New Roman" w:hAnsiTheme="minorHAnsi" w:cstheme="minorHAnsi"/>
                <w:b/>
                <w:bCs/>
                <w:color w:val="000000"/>
                <w:sz w:val="20"/>
                <w:szCs w:val="20"/>
              </w:rPr>
            </w:pPr>
            <w:r w:rsidRPr="00E42B8C">
              <w:rPr>
                <w:rFonts w:asciiTheme="minorHAnsi" w:hAnsiTheme="minorHAnsi" w:cstheme="minorHAnsi"/>
                <w:b/>
                <w:bCs/>
                <w:color w:val="000000"/>
                <w:sz w:val="20"/>
                <w:szCs w:val="20"/>
              </w:rPr>
              <w:t> </w:t>
            </w:r>
          </w:p>
        </w:tc>
        <w:tc>
          <w:tcPr>
            <w:tcW w:w="1030" w:type="dxa"/>
            <w:tcBorders>
              <w:top w:val="nil"/>
              <w:left w:val="nil"/>
              <w:bottom w:val="nil"/>
              <w:right w:val="single" w:sz="4" w:space="0" w:color="auto"/>
            </w:tcBorders>
            <w:shd w:val="clear" w:color="000000" w:fill="C5D9F1"/>
            <w:noWrap/>
            <w:vAlign w:val="center"/>
            <w:hideMark/>
          </w:tcPr>
          <w:p w14:paraId="41B1100A" w14:textId="77777777" w:rsidR="00F20199" w:rsidRPr="00E42B8C" w:rsidRDefault="00F20199" w:rsidP="00DD634E">
            <w:pPr>
              <w:spacing w:after="0" w:line="240" w:lineRule="auto"/>
              <w:rPr>
                <w:rFonts w:asciiTheme="minorHAnsi" w:eastAsia="Times New Roman" w:hAnsiTheme="minorHAnsi" w:cstheme="minorHAnsi"/>
                <w:b/>
                <w:bCs/>
                <w:color w:val="000000"/>
                <w:sz w:val="20"/>
                <w:szCs w:val="20"/>
              </w:rPr>
            </w:pPr>
            <w:r w:rsidRPr="00E42B8C">
              <w:rPr>
                <w:rFonts w:asciiTheme="minorHAnsi" w:hAnsiTheme="minorHAnsi" w:cstheme="minorHAnsi"/>
                <w:b/>
                <w:bCs/>
                <w:color w:val="000000"/>
                <w:sz w:val="20"/>
                <w:szCs w:val="20"/>
              </w:rPr>
              <w:t> </w:t>
            </w:r>
          </w:p>
        </w:tc>
      </w:tr>
      <w:tr w:rsidR="00F20199" w:rsidRPr="0040648C" w14:paraId="47895C1F" w14:textId="77777777" w:rsidTr="00D30831">
        <w:trPr>
          <w:cantSplit/>
          <w:trHeight w:val="295"/>
        </w:trPr>
        <w:tc>
          <w:tcPr>
            <w:tcW w:w="1717" w:type="dxa"/>
            <w:tcBorders>
              <w:top w:val="nil"/>
              <w:left w:val="single" w:sz="4" w:space="0" w:color="auto"/>
              <w:bottom w:val="nil"/>
              <w:right w:val="single" w:sz="4" w:space="0" w:color="auto"/>
            </w:tcBorders>
            <w:shd w:val="clear" w:color="auto" w:fill="auto"/>
            <w:noWrap/>
            <w:vAlign w:val="bottom"/>
            <w:hideMark/>
          </w:tcPr>
          <w:p w14:paraId="4E946ACA" w14:textId="77777777" w:rsidR="00F20199" w:rsidRPr="00E42B8C" w:rsidRDefault="00F20199" w:rsidP="00DD634E">
            <w:pPr>
              <w:spacing w:after="0" w:line="240" w:lineRule="auto"/>
              <w:rPr>
                <w:rFonts w:asciiTheme="minorHAnsi" w:eastAsia="Times New Roman" w:hAnsiTheme="minorHAnsi" w:cstheme="minorHAnsi"/>
                <w:color w:val="000000"/>
                <w:sz w:val="20"/>
                <w:szCs w:val="20"/>
              </w:rPr>
            </w:pPr>
            <w:r w:rsidRPr="00E42B8C">
              <w:rPr>
                <w:rFonts w:asciiTheme="minorHAnsi" w:eastAsia="Times New Roman" w:hAnsiTheme="minorHAnsi" w:cstheme="minorHAnsi"/>
                <w:color w:val="000000"/>
                <w:sz w:val="20"/>
                <w:szCs w:val="20"/>
              </w:rPr>
              <w:t>Children (0-18)</w:t>
            </w:r>
          </w:p>
        </w:tc>
        <w:tc>
          <w:tcPr>
            <w:tcW w:w="1264" w:type="dxa"/>
            <w:tcBorders>
              <w:top w:val="nil"/>
              <w:left w:val="nil"/>
              <w:bottom w:val="nil"/>
              <w:right w:val="nil"/>
            </w:tcBorders>
            <w:shd w:val="clear" w:color="auto" w:fill="auto"/>
            <w:noWrap/>
            <w:vAlign w:val="center"/>
            <w:hideMark/>
          </w:tcPr>
          <w:p w14:paraId="2ED1B42E"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116,534</w:t>
            </w:r>
          </w:p>
        </w:tc>
        <w:tc>
          <w:tcPr>
            <w:tcW w:w="967" w:type="dxa"/>
            <w:tcBorders>
              <w:top w:val="nil"/>
              <w:left w:val="nil"/>
              <w:bottom w:val="nil"/>
              <w:right w:val="single" w:sz="4" w:space="0" w:color="auto"/>
            </w:tcBorders>
            <w:shd w:val="clear" w:color="auto" w:fill="auto"/>
            <w:noWrap/>
            <w:vAlign w:val="center"/>
            <w:hideMark/>
          </w:tcPr>
          <w:p w14:paraId="3DFA18A9"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20.8%</w:t>
            </w:r>
          </w:p>
        </w:tc>
        <w:tc>
          <w:tcPr>
            <w:tcW w:w="1087" w:type="dxa"/>
            <w:tcBorders>
              <w:top w:val="nil"/>
              <w:left w:val="nil"/>
              <w:bottom w:val="nil"/>
              <w:right w:val="nil"/>
            </w:tcBorders>
            <w:shd w:val="clear" w:color="auto" w:fill="auto"/>
            <w:noWrap/>
            <w:vAlign w:val="center"/>
            <w:hideMark/>
          </w:tcPr>
          <w:p w14:paraId="3E90DDF7"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114,212</w:t>
            </w:r>
          </w:p>
        </w:tc>
        <w:tc>
          <w:tcPr>
            <w:tcW w:w="850" w:type="dxa"/>
            <w:tcBorders>
              <w:top w:val="nil"/>
              <w:left w:val="nil"/>
              <w:bottom w:val="nil"/>
              <w:right w:val="single" w:sz="4" w:space="0" w:color="auto"/>
            </w:tcBorders>
            <w:shd w:val="clear" w:color="auto" w:fill="auto"/>
            <w:noWrap/>
            <w:vAlign w:val="center"/>
            <w:hideMark/>
          </w:tcPr>
          <w:p w14:paraId="56A02D03"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20.6%</w:t>
            </w:r>
          </w:p>
        </w:tc>
        <w:tc>
          <w:tcPr>
            <w:tcW w:w="1073" w:type="dxa"/>
            <w:tcBorders>
              <w:top w:val="nil"/>
              <w:left w:val="nil"/>
              <w:bottom w:val="nil"/>
              <w:right w:val="nil"/>
            </w:tcBorders>
            <w:shd w:val="clear" w:color="auto" w:fill="auto"/>
            <w:noWrap/>
            <w:vAlign w:val="center"/>
            <w:hideMark/>
          </w:tcPr>
          <w:p w14:paraId="59EBB596"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113,675</w:t>
            </w:r>
          </w:p>
        </w:tc>
        <w:tc>
          <w:tcPr>
            <w:tcW w:w="864" w:type="dxa"/>
            <w:tcBorders>
              <w:top w:val="nil"/>
              <w:left w:val="nil"/>
              <w:bottom w:val="nil"/>
              <w:right w:val="single" w:sz="4" w:space="0" w:color="auto"/>
            </w:tcBorders>
            <w:shd w:val="clear" w:color="auto" w:fill="auto"/>
            <w:noWrap/>
            <w:vAlign w:val="center"/>
            <w:hideMark/>
          </w:tcPr>
          <w:p w14:paraId="42A2321B"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20.6%</w:t>
            </w:r>
          </w:p>
        </w:tc>
        <w:tc>
          <w:tcPr>
            <w:tcW w:w="1073" w:type="dxa"/>
            <w:gridSpan w:val="2"/>
            <w:tcBorders>
              <w:top w:val="nil"/>
              <w:left w:val="nil"/>
              <w:bottom w:val="nil"/>
              <w:right w:val="nil"/>
            </w:tcBorders>
            <w:shd w:val="clear" w:color="auto" w:fill="auto"/>
            <w:noWrap/>
            <w:vAlign w:val="center"/>
            <w:hideMark/>
          </w:tcPr>
          <w:p w14:paraId="6368FDE3"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112,833</w:t>
            </w:r>
          </w:p>
        </w:tc>
        <w:tc>
          <w:tcPr>
            <w:tcW w:w="1030" w:type="dxa"/>
            <w:tcBorders>
              <w:top w:val="nil"/>
              <w:left w:val="nil"/>
              <w:bottom w:val="nil"/>
              <w:right w:val="single" w:sz="4" w:space="0" w:color="auto"/>
            </w:tcBorders>
            <w:shd w:val="clear" w:color="auto" w:fill="auto"/>
            <w:noWrap/>
            <w:vAlign w:val="center"/>
            <w:hideMark/>
          </w:tcPr>
          <w:p w14:paraId="4DE0E3A0"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19.7%</w:t>
            </w:r>
          </w:p>
        </w:tc>
      </w:tr>
      <w:tr w:rsidR="00F20199" w:rsidRPr="0040648C" w14:paraId="40D17766" w14:textId="77777777" w:rsidTr="00D30831">
        <w:trPr>
          <w:cantSplit/>
          <w:trHeight w:val="295"/>
        </w:trPr>
        <w:tc>
          <w:tcPr>
            <w:tcW w:w="1717" w:type="dxa"/>
            <w:tcBorders>
              <w:top w:val="nil"/>
              <w:left w:val="single" w:sz="4" w:space="0" w:color="auto"/>
              <w:bottom w:val="nil"/>
              <w:right w:val="single" w:sz="4" w:space="0" w:color="auto"/>
            </w:tcBorders>
            <w:shd w:val="clear" w:color="auto" w:fill="auto"/>
            <w:noWrap/>
            <w:vAlign w:val="bottom"/>
            <w:hideMark/>
          </w:tcPr>
          <w:p w14:paraId="7B9FF9C9" w14:textId="77777777" w:rsidR="00F20199" w:rsidRPr="00E42B8C" w:rsidRDefault="00F20199" w:rsidP="00DD634E">
            <w:pPr>
              <w:spacing w:after="0" w:line="240" w:lineRule="auto"/>
              <w:rPr>
                <w:rFonts w:asciiTheme="minorHAnsi" w:eastAsia="Times New Roman" w:hAnsiTheme="minorHAnsi" w:cstheme="minorHAnsi"/>
                <w:color w:val="000000"/>
                <w:sz w:val="20"/>
                <w:szCs w:val="20"/>
              </w:rPr>
            </w:pPr>
            <w:r w:rsidRPr="00E42B8C">
              <w:rPr>
                <w:rFonts w:asciiTheme="minorHAnsi" w:eastAsia="Times New Roman" w:hAnsiTheme="minorHAnsi" w:cstheme="minorHAnsi"/>
                <w:color w:val="000000"/>
                <w:sz w:val="20"/>
                <w:szCs w:val="20"/>
              </w:rPr>
              <w:t>19 - 64</w:t>
            </w:r>
          </w:p>
        </w:tc>
        <w:tc>
          <w:tcPr>
            <w:tcW w:w="1264" w:type="dxa"/>
            <w:tcBorders>
              <w:top w:val="nil"/>
              <w:left w:val="nil"/>
              <w:bottom w:val="nil"/>
              <w:right w:val="nil"/>
            </w:tcBorders>
            <w:shd w:val="clear" w:color="auto" w:fill="auto"/>
            <w:noWrap/>
            <w:vAlign w:val="center"/>
            <w:hideMark/>
          </w:tcPr>
          <w:p w14:paraId="433E7CC5"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339,111</w:t>
            </w:r>
          </w:p>
        </w:tc>
        <w:tc>
          <w:tcPr>
            <w:tcW w:w="967" w:type="dxa"/>
            <w:tcBorders>
              <w:top w:val="nil"/>
              <w:left w:val="nil"/>
              <w:bottom w:val="nil"/>
              <w:right w:val="single" w:sz="4" w:space="0" w:color="auto"/>
            </w:tcBorders>
            <w:shd w:val="clear" w:color="auto" w:fill="auto"/>
            <w:noWrap/>
            <w:vAlign w:val="center"/>
            <w:hideMark/>
          </w:tcPr>
          <w:p w14:paraId="4F456902"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60.5%</w:t>
            </w:r>
          </w:p>
        </w:tc>
        <w:tc>
          <w:tcPr>
            <w:tcW w:w="1087" w:type="dxa"/>
            <w:tcBorders>
              <w:top w:val="nil"/>
              <w:left w:val="nil"/>
              <w:bottom w:val="nil"/>
              <w:right w:val="nil"/>
            </w:tcBorders>
            <w:shd w:val="clear" w:color="auto" w:fill="auto"/>
            <w:noWrap/>
            <w:vAlign w:val="center"/>
            <w:hideMark/>
          </w:tcPr>
          <w:p w14:paraId="34DA4A98"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332,491</w:t>
            </w:r>
          </w:p>
        </w:tc>
        <w:tc>
          <w:tcPr>
            <w:tcW w:w="850" w:type="dxa"/>
            <w:tcBorders>
              <w:top w:val="nil"/>
              <w:left w:val="nil"/>
              <w:bottom w:val="nil"/>
              <w:right w:val="single" w:sz="4" w:space="0" w:color="auto"/>
            </w:tcBorders>
            <w:shd w:val="clear" w:color="auto" w:fill="auto"/>
            <w:noWrap/>
            <w:vAlign w:val="center"/>
            <w:hideMark/>
          </w:tcPr>
          <w:p w14:paraId="356C6D08"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60.0%</w:t>
            </w:r>
          </w:p>
        </w:tc>
        <w:tc>
          <w:tcPr>
            <w:tcW w:w="1073" w:type="dxa"/>
            <w:tcBorders>
              <w:top w:val="nil"/>
              <w:left w:val="nil"/>
              <w:bottom w:val="nil"/>
              <w:right w:val="nil"/>
            </w:tcBorders>
            <w:shd w:val="clear" w:color="auto" w:fill="auto"/>
            <w:noWrap/>
            <w:vAlign w:val="center"/>
            <w:hideMark/>
          </w:tcPr>
          <w:p w14:paraId="1B9F8E25"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329,637</w:t>
            </w:r>
          </w:p>
        </w:tc>
        <w:tc>
          <w:tcPr>
            <w:tcW w:w="864" w:type="dxa"/>
            <w:tcBorders>
              <w:top w:val="nil"/>
              <w:left w:val="nil"/>
              <w:bottom w:val="nil"/>
              <w:right w:val="single" w:sz="4" w:space="0" w:color="auto"/>
            </w:tcBorders>
            <w:shd w:val="clear" w:color="auto" w:fill="auto"/>
            <w:noWrap/>
            <w:vAlign w:val="center"/>
            <w:hideMark/>
          </w:tcPr>
          <w:p w14:paraId="531CEACC"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59.8%</w:t>
            </w:r>
          </w:p>
        </w:tc>
        <w:tc>
          <w:tcPr>
            <w:tcW w:w="1073" w:type="dxa"/>
            <w:gridSpan w:val="2"/>
            <w:tcBorders>
              <w:top w:val="nil"/>
              <w:left w:val="nil"/>
              <w:bottom w:val="nil"/>
              <w:right w:val="nil"/>
            </w:tcBorders>
            <w:shd w:val="clear" w:color="auto" w:fill="auto"/>
            <w:noWrap/>
            <w:vAlign w:val="center"/>
            <w:hideMark/>
          </w:tcPr>
          <w:p w14:paraId="17686748"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343,991</w:t>
            </w:r>
          </w:p>
        </w:tc>
        <w:tc>
          <w:tcPr>
            <w:tcW w:w="1030" w:type="dxa"/>
            <w:tcBorders>
              <w:top w:val="nil"/>
              <w:left w:val="nil"/>
              <w:bottom w:val="nil"/>
              <w:right w:val="single" w:sz="4" w:space="0" w:color="auto"/>
            </w:tcBorders>
            <w:shd w:val="clear" w:color="auto" w:fill="auto"/>
            <w:noWrap/>
            <w:vAlign w:val="center"/>
            <w:hideMark/>
          </w:tcPr>
          <w:p w14:paraId="1B4F0076"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59.9%</w:t>
            </w:r>
          </w:p>
        </w:tc>
      </w:tr>
      <w:tr w:rsidR="00F20199" w:rsidRPr="0040648C" w14:paraId="49F5DECB" w14:textId="77777777" w:rsidTr="00D30831">
        <w:trPr>
          <w:cantSplit/>
          <w:trHeight w:val="295"/>
        </w:trPr>
        <w:tc>
          <w:tcPr>
            <w:tcW w:w="1717" w:type="dxa"/>
            <w:tcBorders>
              <w:top w:val="nil"/>
              <w:left w:val="single" w:sz="4" w:space="0" w:color="auto"/>
              <w:bottom w:val="nil"/>
              <w:right w:val="single" w:sz="4" w:space="0" w:color="auto"/>
            </w:tcBorders>
            <w:shd w:val="clear" w:color="auto" w:fill="auto"/>
            <w:noWrap/>
            <w:vAlign w:val="bottom"/>
            <w:hideMark/>
          </w:tcPr>
          <w:p w14:paraId="3EDE574D" w14:textId="77777777" w:rsidR="00F20199" w:rsidRPr="00E42B8C" w:rsidRDefault="00F20199" w:rsidP="00DD634E">
            <w:pPr>
              <w:spacing w:after="0" w:line="240" w:lineRule="auto"/>
              <w:rPr>
                <w:rFonts w:asciiTheme="minorHAnsi" w:eastAsia="Times New Roman" w:hAnsiTheme="minorHAnsi" w:cstheme="minorHAnsi"/>
                <w:color w:val="000000"/>
                <w:sz w:val="20"/>
                <w:szCs w:val="20"/>
              </w:rPr>
            </w:pPr>
            <w:r w:rsidRPr="00E42B8C">
              <w:rPr>
                <w:rFonts w:asciiTheme="minorHAnsi" w:eastAsia="Times New Roman" w:hAnsiTheme="minorHAnsi" w:cstheme="minorHAnsi"/>
                <w:color w:val="000000"/>
                <w:sz w:val="20"/>
                <w:szCs w:val="20"/>
              </w:rPr>
              <w:t xml:space="preserve">65 and </w:t>
            </w:r>
            <w:proofErr w:type="gramStart"/>
            <w:r w:rsidRPr="00E42B8C">
              <w:rPr>
                <w:rFonts w:asciiTheme="minorHAnsi" w:eastAsia="Times New Roman" w:hAnsiTheme="minorHAnsi" w:cstheme="minorHAnsi"/>
                <w:color w:val="000000"/>
                <w:sz w:val="20"/>
                <w:szCs w:val="20"/>
              </w:rPr>
              <w:t>Over</w:t>
            </w:r>
            <w:proofErr w:type="gramEnd"/>
          </w:p>
        </w:tc>
        <w:tc>
          <w:tcPr>
            <w:tcW w:w="1264" w:type="dxa"/>
            <w:tcBorders>
              <w:top w:val="nil"/>
              <w:left w:val="nil"/>
              <w:bottom w:val="nil"/>
              <w:right w:val="nil"/>
            </w:tcBorders>
            <w:shd w:val="clear" w:color="auto" w:fill="auto"/>
            <w:noWrap/>
            <w:vAlign w:val="center"/>
            <w:hideMark/>
          </w:tcPr>
          <w:p w14:paraId="72C7F73E"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105,053</w:t>
            </w:r>
          </w:p>
        </w:tc>
        <w:tc>
          <w:tcPr>
            <w:tcW w:w="967" w:type="dxa"/>
            <w:tcBorders>
              <w:top w:val="nil"/>
              <w:left w:val="nil"/>
              <w:bottom w:val="nil"/>
              <w:right w:val="single" w:sz="4" w:space="0" w:color="auto"/>
            </w:tcBorders>
            <w:shd w:val="clear" w:color="auto" w:fill="auto"/>
            <w:noWrap/>
            <w:vAlign w:val="center"/>
            <w:hideMark/>
          </w:tcPr>
          <w:p w14:paraId="7C64F04B"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18.7%</w:t>
            </w:r>
          </w:p>
        </w:tc>
        <w:tc>
          <w:tcPr>
            <w:tcW w:w="1087" w:type="dxa"/>
            <w:tcBorders>
              <w:top w:val="nil"/>
              <w:left w:val="nil"/>
              <w:bottom w:val="nil"/>
              <w:right w:val="nil"/>
            </w:tcBorders>
            <w:shd w:val="clear" w:color="auto" w:fill="auto"/>
            <w:noWrap/>
            <w:vAlign w:val="center"/>
            <w:hideMark/>
          </w:tcPr>
          <w:p w14:paraId="4763674E"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107,451</w:t>
            </w:r>
          </w:p>
        </w:tc>
        <w:tc>
          <w:tcPr>
            <w:tcW w:w="850" w:type="dxa"/>
            <w:tcBorders>
              <w:top w:val="nil"/>
              <w:left w:val="nil"/>
              <w:bottom w:val="nil"/>
              <w:right w:val="single" w:sz="4" w:space="0" w:color="auto"/>
            </w:tcBorders>
            <w:shd w:val="clear" w:color="auto" w:fill="auto"/>
            <w:noWrap/>
            <w:vAlign w:val="center"/>
            <w:hideMark/>
          </w:tcPr>
          <w:p w14:paraId="4B7EF121"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19.4%</w:t>
            </w:r>
          </w:p>
        </w:tc>
        <w:tc>
          <w:tcPr>
            <w:tcW w:w="1073" w:type="dxa"/>
            <w:tcBorders>
              <w:top w:val="nil"/>
              <w:left w:val="nil"/>
              <w:bottom w:val="nil"/>
              <w:right w:val="nil"/>
            </w:tcBorders>
            <w:shd w:val="clear" w:color="auto" w:fill="auto"/>
            <w:noWrap/>
            <w:vAlign w:val="center"/>
            <w:hideMark/>
          </w:tcPr>
          <w:p w14:paraId="5FF55800"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107,603</w:t>
            </w:r>
          </w:p>
        </w:tc>
        <w:tc>
          <w:tcPr>
            <w:tcW w:w="864" w:type="dxa"/>
            <w:tcBorders>
              <w:top w:val="nil"/>
              <w:left w:val="nil"/>
              <w:bottom w:val="nil"/>
              <w:right w:val="single" w:sz="4" w:space="0" w:color="auto"/>
            </w:tcBorders>
            <w:shd w:val="clear" w:color="auto" w:fill="auto"/>
            <w:noWrap/>
            <w:vAlign w:val="center"/>
            <w:hideMark/>
          </w:tcPr>
          <w:p w14:paraId="623DF01C"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19.5%</w:t>
            </w:r>
          </w:p>
        </w:tc>
        <w:tc>
          <w:tcPr>
            <w:tcW w:w="1073" w:type="dxa"/>
            <w:gridSpan w:val="2"/>
            <w:tcBorders>
              <w:top w:val="nil"/>
              <w:left w:val="nil"/>
              <w:bottom w:val="nil"/>
              <w:right w:val="nil"/>
            </w:tcBorders>
            <w:shd w:val="clear" w:color="auto" w:fill="auto"/>
            <w:noWrap/>
            <w:vAlign w:val="center"/>
            <w:hideMark/>
          </w:tcPr>
          <w:p w14:paraId="7D314287"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117,064</w:t>
            </w:r>
          </w:p>
        </w:tc>
        <w:tc>
          <w:tcPr>
            <w:tcW w:w="1030" w:type="dxa"/>
            <w:tcBorders>
              <w:top w:val="nil"/>
              <w:left w:val="nil"/>
              <w:bottom w:val="nil"/>
              <w:right w:val="single" w:sz="4" w:space="0" w:color="auto"/>
            </w:tcBorders>
            <w:shd w:val="clear" w:color="auto" w:fill="auto"/>
            <w:noWrap/>
            <w:vAlign w:val="center"/>
            <w:hideMark/>
          </w:tcPr>
          <w:p w14:paraId="65D22582"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20.4%</w:t>
            </w:r>
          </w:p>
        </w:tc>
      </w:tr>
      <w:tr w:rsidR="00F20199" w:rsidRPr="0040648C" w14:paraId="11CC13D6" w14:textId="77777777" w:rsidTr="00D30831">
        <w:trPr>
          <w:cantSplit/>
          <w:trHeight w:val="295"/>
        </w:trPr>
        <w:tc>
          <w:tcPr>
            <w:tcW w:w="1717" w:type="dxa"/>
            <w:tcBorders>
              <w:top w:val="nil"/>
              <w:left w:val="single" w:sz="4" w:space="0" w:color="auto"/>
              <w:bottom w:val="nil"/>
              <w:right w:val="single" w:sz="4" w:space="0" w:color="auto"/>
            </w:tcBorders>
            <w:shd w:val="clear" w:color="000000" w:fill="C5D9F1"/>
            <w:noWrap/>
            <w:vAlign w:val="bottom"/>
            <w:hideMark/>
          </w:tcPr>
          <w:p w14:paraId="7870E12B" w14:textId="77777777" w:rsidR="00F20199" w:rsidRPr="00E42B8C" w:rsidRDefault="00F20199" w:rsidP="00DD634E">
            <w:pPr>
              <w:spacing w:after="0" w:line="240" w:lineRule="auto"/>
              <w:rPr>
                <w:rFonts w:asciiTheme="minorHAnsi" w:eastAsia="Times New Roman" w:hAnsiTheme="minorHAnsi" w:cstheme="minorHAnsi"/>
                <w:b/>
                <w:bCs/>
                <w:color w:val="000000"/>
                <w:sz w:val="20"/>
                <w:szCs w:val="20"/>
              </w:rPr>
            </w:pPr>
            <w:r w:rsidRPr="00E42B8C">
              <w:rPr>
                <w:rFonts w:asciiTheme="minorHAnsi" w:eastAsia="Times New Roman" w:hAnsiTheme="minorHAnsi" w:cstheme="minorHAnsi"/>
                <w:b/>
                <w:bCs/>
                <w:color w:val="000000"/>
                <w:sz w:val="20"/>
                <w:szCs w:val="20"/>
              </w:rPr>
              <w:t>Race</w:t>
            </w:r>
          </w:p>
        </w:tc>
        <w:tc>
          <w:tcPr>
            <w:tcW w:w="1264" w:type="dxa"/>
            <w:tcBorders>
              <w:top w:val="nil"/>
              <w:left w:val="nil"/>
              <w:bottom w:val="nil"/>
              <w:right w:val="nil"/>
            </w:tcBorders>
            <w:shd w:val="clear" w:color="000000" w:fill="C5D9F1"/>
            <w:noWrap/>
            <w:vAlign w:val="center"/>
            <w:hideMark/>
          </w:tcPr>
          <w:p w14:paraId="1D7B1D25" w14:textId="77777777" w:rsidR="00F20199" w:rsidRPr="00E42B8C" w:rsidRDefault="00F20199" w:rsidP="00DD634E">
            <w:pPr>
              <w:spacing w:after="0" w:line="240" w:lineRule="auto"/>
              <w:jc w:val="center"/>
              <w:rPr>
                <w:rFonts w:asciiTheme="minorHAnsi" w:eastAsia="Times New Roman" w:hAnsiTheme="minorHAnsi" w:cstheme="minorHAnsi"/>
                <w:b/>
                <w:bCs/>
                <w:color w:val="000000"/>
                <w:sz w:val="20"/>
                <w:szCs w:val="20"/>
              </w:rPr>
            </w:pPr>
            <w:r w:rsidRPr="00E42B8C">
              <w:rPr>
                <w:rFonts w:asciiTheme="minorHAnsi" w:hAnsiTheme="minorHAnsi" w:cstheme="minorHAnsi"/>
                <w:b/>
                <w:bCs/>
                <w:color w:val="000000"/>
                <w:sz w:val="20"/>
                <w:szCs w:val="20"/>
              </w:rPr>
              <w:t> </w:t>
            </w:r>
          </w:p>
        </w:tc>
        <w:tc>
          <w:tcPr>
            <w:tcW w:w="967" w:type="dxa"/>
            <w:tcBorders>
              <w:top w:val="nil"/>
              <w:left w:val="nil"/>
              <w:bottom w:val="nil"/>
              <w:right w:val="single" w:sz="4" w:space="0" w:color="auto"/>
            </w:tcBorders>
            <w:shd w:val="clear" w:color="000000" w:fill="C5D9F1"/>
            <w:noWrap/>
            <w:vAlign w:val="center"/>
            <w:hideMark/>
          </w:tcPr>
          <w:p w14:paraId="1719C4EC" w14:textId="77777777" w:rsidR="00F20199" w:rsidRPr="00E42B8C" w:rsidRDefault="00F20199" w:rsidP="00DD634E">
            <w:pPr>
              <w:spacing w:after="0" w:line="240" w:lineRule="auto"/>
              <w:jc w:val="center"/>
              <w:rPr>
                <w:rFonts w:asciiTheme="minorHAnsi" w:eastAsia="Times New Roman" w:hAnsiTheme="minorHAnsi" w:cstheme="minorHAnsi"/>
                <w:b/>
                <w:bCs/>
                <w:color w:val="000000"/>
                <w:sz w:val="20"/>
                <w:szCs w:val="20"/>
              </w:rPr>
            </w:pPr>
            <w:r w:rsidRPr="00E42B8C">
              <w:rPr>
                <w:rFonts w:asciiTheme="minorHAnsi" w:hAnsiTheme="minorHAnsi" w:cstheme="minorHAnsi"/>
                <w:b/>
                <w:bCs/>
                <w:color w:val="000000"/>
                <w:sz w:val="20"/>
                <w:szCs w:val="20"/>
              </w:rPr>
              <w:t> </w:t>
            </w:r>
          </w:p>
        </w:tc>
        <w:tc>
          <w:tcPr>
            <w:tcW w:w="1087" w:type="dxa"/>
            <w:tcBorders>
              <w:top w:val="nil"/>
              <w:left w:val="nil"/>
              <w:bottom w:val="nil"/>
              <w:right w:val="nil"/>
            </w:tcBorders>
            <w:shd w:val="clear" w:color="000000" w:fill="C5D9F1"/>
            <w:noWrap/>
            <w:vAlign w:val="center"/>
            <w:hideMark/>
          </w:tcPr>
          <w:p w14:paraId="52A45937" w14:textId="77777777" w:rsidR="00F20199" w:rsidRPr="00E42B8C" w:rsidRDefault="00F20199" w:rsidP="00DD634E">
            <w:pPr>
              <w:spacing w:after="0" w:line="240" w:lineRule="auto"/>
              <w:jc w:val="center"/>
              <w:rPr>
                <w:rFonts w:asciiTheme="minorHAnsi" w:eastAsia="Times New Roman" w:hAnsiTheme="minorHAnsi" w:cstheme="minorHAnsi"/>
                <w:b/>
                <w:bCs/>
                <w:color w:val="000000"/>
                <w:sz w:val="20"/>
                <w:szCs w:val="20"/>
              </w:rPr>
            </w:pPr>
            <w:r w:rsidRPr="00E42B8C">
              <w:rPr>
                <w:rFonts w:asciiTheme="minorHAnsi" w:hAnsiTheme="minorHAnsi" w:cstheme="minorHAnsi"/>
                <w:b/>
                <w:bCs/>
                <w:color w:val="000000"/>
                <w:sz w:val="20"/>
                <w:szCs w:val="20"/>
              </w:rPr>
              <w:t> </w:t>
            </w:r>
          </w:p>
        </w:tc>
        <w:tc>
          <w:tcPr>
            <w:tcW w:w="850" w:type="dxa"/>
            <w:tcBorders>
              <w:top w:val="nil"/>
              <w:left w:val="nil"/>
              <w:bottom w:val="nil"/>
              <w:right w:val="single" w:sz="4" w:space="0" w:color="auto"/>
            </w:tcBorders>
            <w:shd w:val="clear" w:color="000000" w:fill="C5D9F1"/>
            <w:noWrap/>
            <w:vAlign w:val="center"/>
            <w:hideMark/>
          </w:tcPr>
          <w:p w14:paraId="05FF77C3" w14:textId="77777777" w:rsidR="00F20199" w:rsidRPr="00E42B8C" w:rsidRDefault="00F20199" w:rsidP="00DD634E">
            <w:pPr>
              <w:spacing w:after="0" w:line="240" w:lineRule="auto"/>
              <w:jc w:val="center"/>
              <w:rPr>
                <w:rFonts w:asciiTheme="minorHAnsi" w:eastAsia="Times New Roman" w:hAnsiTheme="minorHAnsi" w:cstheme="minorHAnsi"/>
                <w:b/>
                <w:bCs/>
                <w:color w:val="000000"/>
                <w:sz w:val="20"/>
                <w:szCs w:val="20"/>
              </w:rPr>
            </w:pPr>
            <w:r w:rsidRPr="00E42B8C">
              <w:rPr>
                <w:rFonts w:asciiTheme="minorHAnsi" w:hAnsiTheme="minorHAnsi" w:cstheme="minorHAnsi"/>
                <w:b/>
                <w:bCs/>
                <w:color w:val="000000"/>
                <w:sz w:val="20"/>
                <w:szCs w:val="20"/>
              </w:rPr>
              <w:t> </w:t>
            </w:r>
          </w:p>
        </w:tc>
        <w:tc>
          <w:tcPr>
            <w:tcW w:w="1073" w:type="dxa"/>
            <w:tcBorders>
              <w:top w:val="nil"/>
              <w:left w:val="nil"/>
              <w:bottom w:val="nil"/>
              <w:right w:val="nil"/>
            </w:tcBorders>
            <w:shd w:val="clear" w:color="000000" w:fill="C5D9F1"/>
            <w:noWrap/>
            <w:vAlign w:val="center"/>
            <w:hideMark/>
          </w:tcPr>
          <w:p w14:paraId="34A23315" w14:textId="77777777" w:rsidR="00F20199" w:rsidRPr="00E42B8C" w:rsidRDefault="00F20199" w:rsidP="00DD634E">
            <w:pPr>
              <w:spacing w:after="0" w:line="240" w:lineRule="auto"/>
              <w:jc w:val="center"/>
              <w:rPr>
                <w:rFonts w:asciiTheme="minorHAnsi" w:eastAsia="Times New Roman" w:hAnsiTheme="minorHAnsi" w:cstheme="minorHAnsi"/>
                <w:b/>
                <w:bCs/>
                <w:color w:val="000000"/>
                <w:sz w:val="20"/>
                <w:szCs w:val="20"/>
              </w:rPr>
            </w:pPr>
            <w:r w:rsidRPr="00E42B8C">
              <w:rPr>
                <w:rFonts w:asciiTheme="minorHAnsi" w:hAnsiTheme="minorHAnsi" w:cstheme="minorHAnsi"/>
                <w:b/>
                <w:bCs/>
                <w:color w:val="000000"/>
                <w:sz w:val="20"/>
                <w:szCs w:val="20"/>
              </w:rPr>
              <w:t> </w:t>
            </w:r>
          </w:p>
        </w:tc>
        <w:tc>
          <w:tcPr>
            <w:tcW w:w="864" w:type="dxa"/>
            <w:tcBorders>
              <w:top w:val="nil"/>
              <w:left w:val="nil"/>
              <w:bottom w:val="nil"/>
              <w:right w:val="single" w:sz="4" w:space="0" w:color="auto"/>
            </w:tcBorders>
            <w:shd w:val="clear" w:color="000000" w:fill="C5D9F1"/>
            <w:noWrap/>
            <w:vAlign w:val="center"/>
            <w:hideMark/>
          </w:tcPr>
          <w:p w14:paraId="4D8E6BCB" w14:textId="77777777" w:rsidR="00F20199" w:rsidRPr="00E42B8C" w:rsidRDefault="00F20199" w:rsidP="00DD634E">
            <w:pPr>
              <w:spacing w:after="0" w:line="240" w:lineRule="auto"/>
              <w:jc w:val="center"/>
              <w:rPr>
                <w:rFonts w:asciiTheme="minorHAnsi" w:eastAsia="Times New Roman" w:hAnsiTheme="minorHAnsi" w:cstheme="minorHAnsi"/>
                <w:b/>
                <w:bCs/>
                <w:color w:val="000000"/>
                <w:sz w:val="20"/>
                <w:szCs w:val="20"/>
              </w:rPr>
            </w:pPr>
            <w:r w:rsidRPr="00E42B8C">
              <w:rPr>
                <w:rFonts w:asciiTheme="minorHAnsi" w:hAnsiTheme="minorHAnsi" w:cstheme="minorHAnsi"/>
                <w:b/>
                <w:bCs/>
                <w:color w:val="000000"/>
                <w:sz w:val="20"/>
                <w:szCs w:val="20"/>
              </w:rPr>
              <w:t> </w:t>
            </w:r>
          </w:p>
        </w:tc>
        <w:tc>
          <w:tcPr>
            <w:tcW w:w="1073" w:type="dxa"/>
            <w:gridSpan w:val="2"/>
            <w:tcBorders>
              <w:top w:val="nil"/>
              <w:left w:val="nil"/>
              <w:bottom w:val="nil"/>
              <w:right w:val="nil"/>
            </w:tcBorders>
            <w:shd w:val="clear" w:color="000000" w:fill="C5D9F1"/>
            <w:noWrap/>
            <w:vAlign w:val="center"/>
            <w:hideMark/>
          </w:tcPr>
          <w:p w14:paraId="6BCA294E" w14:textId="77777777" w:rsidR="00F20199" w:rsidRPr="00E42B8C" w:rsidRDefault="00F20199" w:rsidP="00DD634E">
            <w:pPr>
              <w:spacing w:after="0" w:line="240" w:lineRule="auto"/>
              <w:jc w:val="center"/>
              <w:rPr>
                <w:rFonts w:asciiTheme="minorHAnsi" w:eastAsia="Times New Roman" w:hAnsiTheme="minorHAnsi" w:cstheme="minorHAnsi"/>
                <w:b/>
                <w:bCs/>
                <w:color w:val="000000"/>
                <w:sz w:val="20"/>
                <w:szCs w:val="20"/>
              </w:rPr>
            </w:pPr>
            <w:r w:rsidRPr="00E42B8C">
              <w:rPr>
                <w:rFonts w:asciiTheme="minorHAnsi" w:hAnsiTheme="minorHAnsi" w:cstheme="minorHAnsi"/>
                <w:b/>
                <w:bCs/>
                <w:color w:val="000000"/>
                <w:sz w:val="20"/>
                <w:szCs w:val="20"/>
              </w:rPr>
              <w:t> </w:t>
            </w:r>
          </w:p>
        </w:tc>
        <w:tc>
          <w:tcPr>
            <w:tcW w:w="1030" w:type="dxa"/>
            <w:tcBorders>
              <w:top w:val="nil"/>
              <w:left w:val="nil"/>
              <w:bottom w:val="nil"/>
              <w:right w:val="single" w:sz="4" w:space="0" w:color="auto"/>
            </w:tcBorders>
            <w:shd w:val="clear" w:color="000000" w:fill="C5D9F1"/>
            <w:noWrap/>
            <w:vAlign w:val="center"/>
            <w:hideMark/>
          </w:tcPr>
          <w:p w14:paraId="459F7804" w14:textId="77777777" w:rsidR="00F20199" w:rsidRPr="00E42B8C" w:rsidRDefault="00F20199" w:rsidP="00DD634E">
            <w:pPr>
              <w:spacing w:after="0" w:line="240" w:lineRule="auto"/>
              <w:jc w:val="center"/>
              <w:rPr>
                <w:rFonts w:asciiTheme="minorHAnsi" w:eastAsia="Times New Roman" w:hAnsiTheme="minorHAnsi" w:cstheme="minorHAnsi"/>
                <w:b/>
                <w:bCs/>
                <w:color w:val="000000"/>
                <w:sz w:val="20"/>
                <w:szCs w:val="20"/>
              </w:rPr>
            </w:pPr>
            <w:r w:rsidRPr="00E42B8C">
              <w:rPr>
                <w:rFonts w:asciiTheme="minorHAnsi" w:hAnsiTheme="minorHAnsi" w:cstheme="minorHAnsi"/>
                <w:b/>
                <w:bCs/>
                <w:color w:val="000000"/>
                <w:sz w:val="20"/>
                <w:szCs w:val="20"/>
              </w:rPr>
              <w:t> </w:t>
            </w:r>
          </w:p>
        </w:tc>
      </w:tr>
      <w:tr w:rsidR="00F20199" w:rsidRPr="0040648C" w14:paraId="149B409C" w14:textId="77777777" w:rsidTr="00D30831">
        <w:trPr>
          <w:cantSplit/>
          <w:trHeight w:val="295"/>
        </w:trPr>
        <w:tc>
          <w:tcPr>
            <w:tcW w:w="1717" w:type="dxa"/>
            <w:tcBorders>
              <w:top w:val="nil"/>
              <w:left w:val="single" w:sz="4" w:space="0" w:color="auto"/>
              <w:bottom w:val="nil"/>
              <w:right w:val="single" w:sz="4" w:space="0" w:color="auto"/>
            </w:tcBorders>
            <w:shd w:val="clear" w:color="auto" w:fill="auto"/>
            <w:noWrap/>
            <w:vAlign w:val="bottom"/>
            <w:hideMark/>
          </w:tcPr>
          <w:p w14:paraId="5D21BF2C" w14:textId="77777777" w:rsidR="00F20199" w:rsidRPr="00E42B8C" w:rsidRDefault="00F20199" w:rsidP="00DD634E">
            <w:pPr>
              <w:spacing w:after="0" w:line="240" w:lineRule="auto"/>
              <w:rPr>
                <w:rFonts w:asciiTheme="minorHAnsi" w:eastAsia="Times New Roman" w:hAnsiTheme="minorHAnsi" w:cstheme="minorHAnsi"/>
                <w:color w:val="000000"/>
                <w:sz w:val="20"/>
                <w:szCs w:val="20"/>
              </w:rPr>
            </w:pPr>
            <w:r w:rsidRPr="00E42B8C">
              <w:rPr>
                <w:rFonts w:asciiTheme="minorHAnsi" w:eastAsia="Times New Roman" w:hAnsiTheme="minorHAnsi" w:cstheme="minorHAnsi"/>
                <w:color w:val="000000"/>
                <w:sz w:val="20"/>
                <w:szCs w:val="20"/>
              </w:rPr>
              <w:t>Asian</w:t>
            </w:r>
          </w:p>
        </w:tc>
        <w:tc>
          <w:tcPr>
            <w:tcW w:w="1264" w:type="dxa"/>
            <w:tcBorders>
              <w:top w:val="nil"/>
              <w:left w:val="nil"/>
              <w:bottom w:val="nil"/>
              <w:right w:val="nil"/>
            </w:tcBorders>
            <w:shd w:val="clear" w:color="auto" w:fill="auto"/>
            <w:noWrap/>
            <w:vAlign w:val="center"/>
            <w:hideMark/>
          </w:tcPr>
          <w:p w14:paraId="72AFF14B"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47,950</w:t>
            </w:r>
          </w:p>
        </w:tc>
        <w:tc>
          <w:tcPr>
            <w:tcW w:w="967" w:type="dxa"/>
            <w:tcBorders>
              <w:top w:val="nil"/>
              <w:left w:val="nil"/>
              <w:bottom w:val="nil"/>
              <w:right w:val="single" w:sz="4" w:space="0" w:color="auto"/>
            </w:tcBorders>
            <w:shd w:val="clear" w:color="auto" w:fill="auto"/>
            <w:noWrap/>
            <w:vAlign w:val="center"/>
            <w:hideMark/>
          </w:tcPr>
          <w:p w14:paraId="62C8C32E"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8.6%</w:t>
            </w:r>
          </w:p>
        </w:tc>
        <w:tc>
          <w:tcPr>
            <w:tcW w:w="1087" w:type="dxa"/>
            <w:tcBorders>
              <w:top w:val="nil"/>
              <w:left w:val="nil"/>
              <w:bottom w:val="nil"/>
              <w:right w:val="nil"/>
            </w:tcBorders>
            <w:shd w:val="clear" w:color="auto" w:fill="auto"/>
            <w:noWrap/>
            <w:vAlign w:val="center"/>
            <w:hideMark/>
          </w:tcPr>
          <w:p w14:paraId="4AF49C25"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48,140</w:t>
            </w:r>
          </w:p>
        </w:tc>
        <w:tc>
          <w:tcPr>
            <w:tcW w:w="850" w:type="dxa"/>
            <w:tcBorders>
              <w:top w:val="nil"/>
              <w:left w:val="nil"/>
              <w:bottom w:val="nil"/>
              <w:right w:val="single" w:sz="4" w:space="0" w:color="auto"/>
            </w:tcBorders>
            <w:shd w:val="clear" w:color="auto" w:fill="auto"/>
            <w:noWrap/>
            <w:vAlign w:val="center"/>
            <w:hideMark/>
          </w:tcPr>
          <w:p w14:paraId="25170884"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8.7%</w:t>
            </w:r>
          </w:p>
        </w:tc>
        <w:tc>
          <w:tcPr>
            <w:tcW w:w="1073" w:type="dxa"/>
            <w:tcBorders>
              <w:top w:val="nil"/>
              <w:left w:val="nil"/>
              <w:bottom w:val="nil"/>
              <w:right w:val="nil"/>
            </w:tcBorders>
            <w:shd w:val="clear" w:color="auto" w:fill="auto"/>
            <w:noWrap/>
            <w:vAlign w:val="center"/>
            <w:hideMark/>
          </w:tcPr>
          <w:p w14:paraId="7FAE77F5"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52,292</w:t>
            </w:r>
          </w:p>
        </w:tc>
        <w:tc>
          <w:tcPr>
            <w:tcW w:w="864" w:type="dxa"/>
            <w:tcBorders>
              <w:top w:val="nil"/>
              <w:left w:val="nil"/>
              <w:bottom w:val="nil"/>
              <w:right w:val="single" w:sz="4" w:space="0" w:color="auto"/>
            </w:tcBorders>
            <w:shd w:val="clear" w:color="auto" w:fill="auto"/>
            <w:noWrap/>
            <w:vAlign w:val="center"/>
            <w:hideMark/>
          </w:tcPr>
          <w:p w14:paraId="633CE132"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9.5%</w:t>
            </w:r>
          </w:p>
        </w:tc>
        <w:tc>
          <w:tcPr>
            <w:tcW w:w="1073" w:type="dxa"/>
            <w:gridSpan w:val="2"/>
            <w:tcBorders>
              <w:top w:val="nil"/>
              <w:left w:val="nil"/>
              <w:bottom w:val="nil"/>
              <w:right w:val="nil"/>
            </w:tcBorders>
            <w:shd w:val="clear" w:color="auto" w:fill="auto"/>
            <w:noWrap/>
            <w:vAlign w:val="center"/>
            <w:hideMark/>
          </w:tcPr>
          <w:p w14:paraId="31982A49"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52,511</w:t>
            </w:r>
          </w:p>
        </w:tc>
        <w:tc>
          <w:tcPr>
            <w:tcW w:w="1030" w:type="dxa"/>
            <w:tcBorders>
              <w:top w:val="nil"/>
              <w:left w:val="nil"/>
              <w:bottom w:val="nil"/>
              <w:right w:val="single" w:sz="4" w:space="0" w:color="auto"/>
            </w:tcBorders>
            <w:shd w:val="clear" w:color="auto" w:fill="auto"/>
            <w:noWrap/>
            <w:vAlign w:val="center"/>
            <w:hideMark/>
          </w:tcPr>
          <w:p w14:paraId="359AF44F"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9.2%</w:t>
            </w:r>
          </w:p>
        </w:tc>
      </w:tr>
      <w:tr w:rsidR="00F20199" w:rsidRPr="0040648C" w14:paraId="5E2D79CE" w14:textId="77777777" w:rsidTr="00D30831">
        <w:trPr>
          <w:cantSplit/>
          <w:trHeight w:val="295"/>
        </w:trPr>
        <w:tc>
          <w:tcPr>
            <w:tcW w:w="1717" w:type="dxa"/>
            <w:tcBorders>
              <w:top w:val="nil"/>
              <w:left w:val="single" w:sz="4" w:space="0" w:color="auto"/>
              <w:bottom w:val="nil"/>
              <w:right w:val="single" w:sz="4" w:space="0" w:color="auto"/>
            </w:tcBorders>
            <w:shd w:val="clear" w:color="auto" w:fill="auto"/>
            <w:noWrap/>
            <w:vAlign w:val="bottom"/>
            <w:hideMark/>
          </w:tcPr>
          <w:p w14:paraId="230A6635" w14:textId="77777777" w:rsidR="00F20199" w:rsidRPr="00E42B8C" w:rsidRDefault="00F20199" w:rsidP="00DD634E">
            <w:pPr>
              <w:spacing w:after="0" w:line="240" w:lineRule="auto"/>
              <w:rPr>
                <w:rFonts w:asciiTheme="minorHAnsi" w:eastAsia="Times New Roman" w:hAnsiTheme="minorHAnsi" w:cstheme="minorHAnsi"/>
                <w:color w:val="000000"/>
                <w:sz w:val="20"/>
                <w:szCs w:val="20"/>
              </w:rPr>
            </w:pPr>
            <w:r w:rsidRPr="00E42B8C">
              <w:rPr>
                <w:rFonts w:asciiTheme="minorHAnsi" w:eastAsia="Times New Roman" w:hAnsiTheme="minorHAnsi" w:cstheme="minorHAnsi"/>
                <w:color w:val="000000"/>
                <w:sz w:val="20"/>
                <w:szCs w:val="20"/>
              </w:rPr>
              <w:t>Black</w:t>
            </w:r>
          </w:p>
        </w:tc>
        <w:tc>
          <w:tcPr>
            <w:tcW w:w="1264" w:type="dxa"/>
            <w:tcBorders>
              <w:top w:val="nil"/>
              <w:left w:val="nil"/>
              <w:bottom w:val="nil"/>
              <w:right w:val="nil"/>
            </w:tcBorders>
            <w:shd w:val="clear" w:color="auto" w:fill="auto"/>
            <w:noWrap/>
            <w:vAlign w:val="center"/>
            <w:hideMark/>
          </w:tcPr>
          <w:p w14:paraId="60FFC84F"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42,127</w:t>
            </w:r>
          </w:p>
        </w:tc>
        <w:tc>
          <w:tcPr>
            <w:tcW w:w="967" w:type="dxa"/>
            <w:tcBorders>
              <w:top w:val="nil"/>
              <w:left w:val="nil"/>
              <w:bottom w:val="nil"/>
              <w:right w:val="single" w:sz="4" w:space="0" w:color="auto"/>
            </w:tcBorders>
            <w:shd w:val="clear" w:color="auto" w:fill="auto"/>
            <w:noWrap/>
            <w:vAlign w:val="center"/>
            <w:hideMark/>
          </w:tcPr>
          <w:p w14:paraId="4FB45C5C"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7.5%</w:t>
            </w:r>
          </w:p>
        </w:tc>
        <w:tc>
          <w:tcPr>
            <w:tcW w:w="1087" w:type="dxa"/>
            <w:tcBorders>
              <w:top w:val="nil"/>
              <w:left w:val="nil"/>
              <w:bottom w:val="nil"/>
              <w:right w:val="nil"/>
            </w:tcBorders>
            <w:shd w:val="clear" w:color="auto" w:fill="auto"/>
            <w:noWrap/>
            <w:vAlign w:val="center"/>
            <w:hideMark/>
          </w:tcPr>
          <w:p w14:paraId="55481135"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42,264</w:t>
            </w:r>
          </w:p>
        </w:tc>
        <w:tc>
          <w:tcPr>
            <w:tcW w:w="850" w:type="dxa"/>
            <w:tcBorders>
              <w:top w:val="nil"/>
              <w:left w:val="nil"/>
              <w:bottom w:val="nil"/>
              <w:right w:val="single" w:sz="4" w:space="0" w:color="auto"/>
            </w:tcBorders>
            <w:shd w:val="clear" w:color="auto" w:fill="auto"/>
            <w:noWrap/>
            <w:vAlign w:val="center"/>
            <w:hideMark/>
          </w:tcPr>
          <w:p w14:paraId="48C90BA6"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7.6%</w:t>
            </w:r>
          </w:p>
        </w:tc>
        <w:tc>
          <w:tcPr>
            <w:tcW w:w="1073" w:type="dxa"/>
            <w:tcBorders>
              <w:top w:val="nil"/>
              <w:left w:val="nil"/>
              <w:bottom w:val="nil"/>
              <w:right w:val="nil"/>
            </w:tcBorders>
            <w:shd w:val="clear" w:color="auto" w:fill="auto"/>
            <w:noWrap/>
            <w:vAlign w:val="center"/>
            <w:hideMark/>
          </w:tcPr>
          <w:p w14:paraId="63D0C0A2"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43,455</w:t>
            </w:r>
          </w:p>
        </w:tc>
        <w:tc>
          <w:tcPr>
            <w:tcW w:w="864" w:type="dxa"/>
            <w:tcBorders>
              <w:top w:val="nil"/>
              <w:left w:val="nil"/>
              <w:bottom w:val="nil"/>
              <w:right w:val="single" w:sz="4" w:space="0" w:color="auto"/>
            </w:tcBorders>
            <w:shd w:val="clear" w:color="auto" w:fill="auto"/>
            <w:noWrap/>
            <w:vAlign w:val="center"/>
            <w:hideMark/>
          </w:tcPr>
          <w:p w14:paraId="5A7B052E"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7.9%</w:t>
            </w:r>
          </w:p>
        </w:tc>
        <w:tc>
          <w:tcPr>
            <w:tcW w:w="1073" w:type="dxa"/>
            <w:gridSpan w:val="2"/>
            <w:tcBorders>
              <w:top w:val="nil"/>
              <w:left w:val="nil"/>
              <w:bottom w:val="nil"/>
              <w:right w:val="nil"/>
            </w:tcBorders>
            <w:shd w:val="clear" w:color="auto" w:fill="auto"/>
            <w:noWrap/>
            <w:vAlign w:val="center"/>
            <w:hideMark/>
          </w:tcPr>
          <w:p w14:paraId="3C8298FE"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43,415</w:t>
            </w:r>
          </w:p>
        </w:tc>
        <w:tc>
          <w:tcPr>
            <w:tcW w:w="1030" w:type="dxa"/>
            <w:tcBorders>
              <w:top w:val="nil"/>
              <w:left w:val="nil"/>
              <w:bottom w:val="nil"/>
              <w:right w:val="single" w:sz="4" w:space="0" w:color="auto"/>
            </w:tcBorders>
            <w:shd w:val="clear" w:color="auto" w:fill="auto"/>
            <w:noWrap/>
            <w:vAlign w:val="center"/>
            <w:hideMark/>
          </w:tcPr>
          <w:p w14:paraId="79341599"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7.6%</w:t>
            </w:r>
          </w:p>
        </w:tc>
      </w:tr>
      <w:tr w:rsidR="00F20199" w:rsidRPr="0040648C" w14:paraId="7C7EB970" w14:textId="77777777" w:rsidTr="00D30831">
        <w:trPr>
          <w:cantSplit/>
          <w:trHeight w:val="295"/>
        </w:trPr>
        <w:tc>
          <w:tcPr>
            <w:tcW w:w="1717" w:type="dxa"/>
            <w:tcBorders>
              <w:top w:val="nil"/>
              <w:left w:val="single" w:sz="4" w:space="0" w:color="auto"/>
              <w:bottom w:val="nil"/>
              <w:right w:val="single" w:sz="4" w:space="0" w:color="auto"/>
            </w:tcBorders>
            <w:shd w:val="clear" w:color="auto" w:fill="auto"/>
            <w:noWrap/>
            <w:vAlign w:val="bottom"/>
            <w:hideMark/>
          </w:tcPr>
          <w:p w14:paraId="11A6AAFB" w14:textId="77777777" w:rsidR="00F20199" w:rsidRPr="00E42B8C" w:rsidRDefault="00F20199" w:rsidP="00DD634E">
            <w:pPr>
              <w:spacing w:after="0" w:line="240" w:lineRule="auto"/>
              <w:rPr>
                <w:rFonts w:asciiTheme="minorHAnsi" w:eastAsia="Times New Roman" w:hAnsiTheme="minorHAnsi" w:cstheme="minorHAnsi"/>
                <w:color w:val="000000"/>
                <w:sz w:val="20"/>
                <w:szCs w:val="20"/>
              </w:rPr>
            </w:pPr>
            <w:r w:rsidRPr="00E42B8C">
              <w:rPr>
                <w:rFonts w:asciiTheme="minorHAnsi" w:eastAsia="Times New Roman" w:hAnsiTheme="minorHAnsi" w:cstheme="minorHAnsi"/>
                <w:color w:val="000000"/>
                <w:sz w:val="20"/>
                <w:szCs w:val="20"/>
              </w:rPr>
              <w:t>Caucasian</w:t>
            </w:r>
          </w:p>
        </w:tc>
        <w:tc>
          <w:tcPr>
            <w:tcW w:w="1264" w:type="dxa"/>
            <w:tcBorders>
              <w:top w:val="nil"/>
              <w:left w:val="nil"/>
              <w:bottom w:val="nil"/>
              <w:right w:val="nil"/>
            </w:tcBorders>
            <w:shd w:val="clear" w:color="auto" w:fill="auto"/>
            <w:noWrap/>
            <w:vAlign w:val="center"/>
            <w:hideMark/>
          </w:tcPr>
          <w:p w14:paraId="41FA1C2D"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371,283</w:t>
            </w:r>
          </w:p>
        </w:tc>
        <w:tc>
          <w:tcPr>
            <w:tcW w:w="967" w:type="dxa"/>
            <w:tcBorders>
              <w:top w:val="nil"/>
              <w:left w:val="nil"/>
              <w:bottom w:val="nil"/>
              <w:right w:val="single" w:sz="4" w:space="0" w:color="auto"/>
            </w:tcBorders>
            <w:shd w:val="clear" w:color="auto" w:fill="auto"/>
            <w:noWrap/>
            <w:vAlign w:val="center"/>
            <w:hideMark/>
          </w:tcPr>
          <w:p w14:paraId="3317BEA5"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66.2%</w:t>
            </w:r>
          </w:p>
        </w:tc>
        <w:tc>
          <w:tcPr>
            <w:tcW w:w="1087" w:type="dxa"/>
            <w:tcBorders>
              <w:top w:val="nil"/>
              <w:left w:val="nil"/>
              <w:bottom w:val="nil"/>
              <w:right w:val="nil"/>
            </w:tcBorders>
            <w:shd w:val="clear" w:color="auto" w:fill="auto"/>
            <w:noWrap/>
            <w:vAlign w:val="center"/>
            <w:hideMark/>
          </w:tcPr>
          <w:p w14:paraId="30F980AE"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360,852</w:t>
            </w:r>
          </w:p>
        </w:tc>
        <w:tc>
          <w:tcPr>
            <w:tcW w:w="850" w:type="dxa"/>
            <w:tcBorders>
              <w:top w:val="nil"/>
              <w:left w:val="nil"/>
              <w:bottom w:val="nil"/>
              <w:right w:val="single" w:sz="4" w:space="0" w:color="auto"/>
            </w:tcBorders>
            <w:shd w:val="clear" w:color="auto" w:fill="auto"/>
            <w:noWrap/>
            <w:vAlign w:val="center"/>
            <w:hideMark/>
          </w:tcPr>
          <w:p w14:paraId="6ECA6AA6"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65.1%</w:t>
            </w:r>
          </w:p>
        </w:tc>
        <w:tc>
          <w:tcPr>
            <w:tcW w:w="1073" w:type="dxa"/>
            <w:tcBorders>
              <w:top w:val="nil"/>
              <w:left w:val="nil"/>
              <w:bottom w:val="nil"/>
              <w:right w:val="nil"/>
            </w:tcBorders>
            <w:shd w:val="clear" w:color="auto" w:fill="auto"/>
            <w:noWrap/>
            <w:vAlign w:val="center"/>
            <w:hideMark/>
          </w:tcPr>
          <w:p w14:paraId="666A6188"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358,579</w:t>
            </w:r>
          </w:p>
        </w:tc>
        <w:tc>
          <w:tcPr>
            <w:tcW w:w="864" w:type="dxa"/>
            <w:tcBorders>
              <w:top w:val="nil"/>
              <w:left w:val="nil"/>
              <w:bottom w:val="nil"/>
              <w:right w:val="single" w:sz="4" w:space="0" w:color="auto"/>
            </w:tcBorders>
            <w:shd w:val="clear" w:color="auto" w:fill="auto"/>
            <w:noWrap/>
            <w:vAlign w:val="center"/>
            <w:hideMark/>
          </w:tcPr>
          <w:p w14:paraId="1A2C88BB"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65.1%</w:t>
            </w:r>
          </w:p>
        </w:tc>
        <w:tc>
          <w:tcPr>
            <w:tcW w:w="1073" w:type="dxa"/>
            <w:gridSpan w:val="2"/>
            <w:tcBorders>
              <w:top w:val="nil"/>
              <w:left w:val="nil"/>
              <w:bottom w:val="nil"/>
              <w:right w:val="nil"/>
            </w:tcBorders>
            <w:shd w:val="clear" w:color="auto" w:fill="auto"/>
            <w:noWrap/>
            <w:vAlign w:val="center"/>
            <w:hideMark/>
          </w:tcPr>
          <w:p w14:paraId="39863E1C"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375,366</w:t>
            </w:r>
          </w:p>
        </w:tc>
        <w:tc>
          <w:tcPr>
            <w:tcW w:w="1030" w:type="dxa"/>
            <w:tcBorders>
              <w:top w:val="nil"/>
              <w:left w:val="nil"/>
              <w:bottom w:val="nil"/>
              <w:right w:val="single" w:sz="4" w:space="0" w:color="auto"/>
            </w:tcBorders>
            <w:shd w:val="clear" w:color="auto" w:fill="auto"/>
            <w:noWrap/>
            <w:vAlign w:val="center"/>
            <w:hideMark/>
          </w:tcPr>
          <w:p w14:paraId="6E097948"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65.4%</w:t>
            </w:r>
          </w:p>
        </w:tc>
      </w:tr>
      <w:tr w:rsidR="00F20199" w:rsidRPr="0040648C" w14:paraId="1E6889E3" w14:textId="77777777" w:rsidTr="00D30831">
        <w:trPr>
          <w:cantSplit/>
          <w:trHeight w:val="295"/>
        </w:trPr>
        <w:tc>
          <w:tcPr>
            <w:tcW w:w="1717" w:type="dxa"/>
            <w:tcBorders>
              <w:top w:val="nil"/>
              <w:left w:val="single" w:sz="4" w:space="0" w:color="auto"/>
              <w:bottom w:val="nil"/>
              <w:right w:val="single" w:sz="4" w:space="0" w:color="auto"/>
            </w:tcBorders>
            <w:shd w:val="clear" w:color="auto" w:fill="auto"/>
            <w:noWrap/>
            <w:vAlign w:val="bottom"/>
            <w:hideMark/>
          </w:tcPr>
          <w:p w14:paraId="249CE850" w14:textId="77777777" w:rsidR="00F20199" w:rsidRPr="00E42B8C" w:rsidRDefault="00F20199" w:rsidP="00DD634E">
            <w:pPr>
              <w:spacing w:after="0" w:line="240" w:lineRule="auto"/>
              <w:rPr>
                <w:rFonts w:asciiTheme="minorHAnsi" w:eastAsia="Times New Roman" w:hAnsiTheme="minorHAnsi" w:cstheme="minorHAnsi"/>
                <w:color w:val="000000"/>
                <w:sz w:val="20"/>
                <w:szCs w:val="20"/>
              </w:rPr>
            </w:pPr>
            <w:r w:rsidRPr="00E42B8C">
              <w:rPr>
                <w:rFonts w:asciiTheme="minorHAnsi" w:eastAsia="Times New Roman" w:hAnsiTheme="minorHAnsi" w:cstheme="minorHAnsi"/>
                <w:color w:val="000000"/>
                <w:sz w:val="20"/>
                <w:szCs w:val="20"/>
              </w:rPr>
              <w:t>Hispanic</w:t>
            </w:r>
          </w:p>
        </w:tc>
        <w:tc>
          <w:tcPr>
            <w:tcW w:w="1264" w:type="dxa"/>
            <w:tcBorders>
              <w:top w:val="nil"/>
              <w:left w:val="nil"/>
              <w:bottom w:val="nil"/>
              <w:right w:val="nil"/>
            </w:tcBorders>
            <w:shd w:val="clear" w:color="auto" w:fill="auto"/>
            <w:noWrap/>
            <w:vAlign w:val="center"/>
            <w:hideMark/>
          </w:tcPr>
          <w:p w14:paraId="32890AD2"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28,510</w:t>
            </w:r>
          </w:p>
        </w:tc>
        <w:tc>
          <w:tcPr>
            <w:tcW w:w="967" w:type="dxa"/>
            <w:tcBorders>
              <w:top w:val="nil"/>
              <w:left w:val="nil"/>
              <w:bottom w:val="nil"/>
              <w:right w:val="single" w:sz="4" w:space="0" w:color="auto"/>
            </w:tcBorders>
            <w:shd w:val="clear" w:color="auto" w:fill="auto"/>
            <w:noWrap/>
            <w:vAlign w:val="center"/>
            <w:hideMark/>
          </w:tcPr>
          <w:p w14:paraId="4E70F840"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5.1%</w:t>
            </w:r>
          </w:p>
        </w:tc>
        <w:tc>
          <w:tcPr>
            <w:tcW w:w="1087" w:type="dxa"/>
            <w:tcBorders>
              <w:top w:val="nil"/>
              <w:left w:val="nil"/>
              <w:bottom w:val="nil"/>
              <w:right w:val="nil"/>
            </w:tcBorders>
            <w:shd w:val="clear" w:color="auto" w:fill="auto"/>
            <w:noWrap/>
            <w:vAlign w:val="center"/>
            <w:hideMark/>
          </w:tcPr>
          <w:p w14:paraId="5EF0808C"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29,109</w:t>
            </w:r>
          </w:p>
        </w:tc>
        <w:tc>
          <w:tcPr>
            <w:tcW w:w="850" w:type="dxa"/>
            <w:tcBorders>
              <w:top w:val="nil"/>
              <w:left w:val="nil"/>
              <w:bottom w:val="nil"/>
              <w:right w:val="single" w:sz="4" w:space="0" w:color="auto"/>
            </w:tcBorders>
            <w:shd w:val="clear" w:color="auto" w:fill="auto"/>
            <w:noWrap/>
            <w:vAlign w:val="center"/>
            <w:hideMark/>
          </w:tcPr>
          <w:p w14:paraId="4B8057C5"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5.3%</w:t>
            </w:r>
          </w:p>
        </w:tc>
        <w:tc>
          <w:tcPr>
            <w:tcW w:w="1073" w:type="dxa"/>
            <w:tcBorders>
              <w:top w:val="nil"/>
              <w:left w:val="nil"/>
              <w:bottom w:val="nil"/>
              <w:right w:val="nil"/>
            </w:tcBorders>
            <w:shd w:val="clear" w:color="auto" w:fill="auto"/>
            <w:noWrap/>
            <w:vAlign w:val="center"/>
            <w:hideMark/>
          </w:tcPr>
          <w:p w14:paraId="15B40366"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31,264</w:t>
            </w:r>
          </w:p>
        </w:tc>
        <w:tc>
          <w:tcPr>
            <w:tcW w:w="864" w:type="dxa"/>
            <w:tcBorders>
              <w:top w:val="nil"/>
              <w:left w:val="nil"/>
              <w:bottom w:val="nil"/>
              <w:right w:val="single" w:sz="4" w:space="0" w:color="auto"/>
            </w:tcBorders>
            <w:shd w:val="clear" w:color="auto" w:fill="auto"/>
            <w:noWrap/>
            <w:vAlign w:val="center"/>
            <w:hideMark/>
          </w:tcPr>
          <w:p w14:paraId="35F329EF"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5.7%</w:t>
            </w:r>
          </w:p>
        </w:tc>
        <w:tc>
          <w:tcPr>
            <w:tcW w:w="1073" w:type="dxa"/>
            <w:gridSpan w:val="2"/>
            <w:tcBorders>
              <w:top w:val="nil"/>
              <w:left w:val="nil"/>
              <w:bottom w:val="nil"/>
              <w:right w:val="nil"/>
            </w:tcBorders>
            <w:shd w:val="clear" w:color="auto" w:fill="auto"/>
            <w:noWrap/>
            <w:vAlign w:val="center"/>
            <w:hideMark/>
          </w:tcPr>
          <w:p w14:paraId="4C9C9369"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33,688</w:t>
            </w:r>
          </w:p>
        </w:tc>
        <w:tc>
          <w:tcPr>
            <w:tcW w:w="1030" w:type="dxa"/>
            <w:tcBorders>
              <w:top w:val="nil"/>
              <w:left w:val="nil"/>
              <w:bottom w:val="nil"/>
              <w:right w:val="single" w:sz="4" w:space="0" w:color="auto"/>
            </w:tcBorders>
            <w:shd w:val="clear" w:color="auto" w:fill="auto"/>
            <w:noWrap/>
            <w:vAlign w:val="center"/>
            <w:hideMark/>
          </w:tcPr>
          <w:p w14:paraId="2DCFF7F7"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5.9%</w:t>
            </w:r>
          </w:p>
        </w:tc>
      </w:tr>
      <w:tr w:rsidR="00F20199" w:rsidRPr="0040648C" w14:paraId="01219B97" w14:textId="77777777" w:rsidTr="00D30831">
        <w:trPr>
          <w:cantSplit/>
          <w:trHeight w:val="295"/>
        </w:trPr>
        <w:tc>
          <w:tcPr>
            <w:tcW w:w="1717" w:type="dxa"/>
            <w:tcBorders>
              <w:top w:val="nil"/>
              <w:left w:val="single" w:sz="4" w:space="0" w:color="auto"/>
              <w:bottom w:val="nil"/>
              <w:right w:val="single" w:sz="4" w:space="0" w:color="auto"/>
            </w:tcBorders>
            <w:shd w:val="clear" w:color="auto" w:fill="auto"/>
            <w:noWrap/>
            <w:vAlign w:val="bottom"/>
            <w:hideMark/>
          </w:tcPr>
          <w:p w14:paraId="2B7E840F" w14:textId="77777777" w:rsidR="00F20199" w:rsidRPr="00E42B8C" w:rsidRDefault="00F20199" w:rsidP="00DD634E">
            <w:pPr>
              <w:spacing w:after="0" w:line="240" w:lineRule="auto"/>
              <w:rPr>
                <w:rFonts w:asciiTheme="minorHAnsi" w:eastAsia="Times New Roman" w:hAnsiTheme="minorHAnsi" w:cstheme="minorHAnsi"/>
                <w:color w:val="000000"/>
                <w:sz w:val="20"/>
                <w:szCs w:val="20"/>
              </w:rPr>
            </w:pPr>
            <w:r w:rsidRPr="00E42B8C">
              <w:rPr>
                <w:rFonts w:asciiTheme="minorHAnsi" w:eastAsia="Times New Roman" w:hAnsiTheme="minorHAnsi" w:cstheme="minorHAnsi"/>
                <w:color w:val="000000"/>
                <w:sz w:val="20"/>
                <w:szCs w:val="20"/>
              </w:rPr>
              <w:t>Native American</w:t>
            </w:r>
          </w:p>
        </w:tc>
        <w:tc>
          <w:tcPr>
            <w:tcW w:w="1264" w:type="dxa"/>
            <w:tcBorders>
              <w:top w:val="nil"/>
              <w:left w:val="nil"/>
              <w:bottom w:val="nil"/>
              <w:right w:val="nil"/>
            </w:tcBorders>
            <w:shd w:val="clear" w:color="auto" w:fill="auto"/>
            <w:noWrap/>
            <w:vAlign w:val="center"/>
            <w:hideMark/>
          </w:tcPr>
          <w:p w14:paraId="2F9D0EF0"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1,110</w:t>
            </w:r>
          </w:p>
        </w:tc>
        <w:tc>
          <w:tcPr>
            <w:tcW w:w="967" w:type="dxa"/>
            <w:tcBorders>
              <w:top w:val="nil"/>
              <w:left w:val="nil"/>
              <w:bottom w:val="nil"/>
              <w:right w:val="single" w:sz="4" w:space="0" w:color="auto"/>
            </w:tcBorders>
            <w:shd w:val="clear" w:color="auto" w:fill="auto"/>
            <w:noWrap/>
            <w:vAlign w:val="center"/>
            <w:hideMark/>
          </w:tcPr>
          <w:p w14:paraId="3752DEB6"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0.2%</w:t>
            </w:r>
          </w:p>
        </w:tc>
        <w:tc>
          <w:tcPr>
            <w:tcW w:w="1087" w:type="dxa"/>
            <w:tcBorders>
              <w:top w:val="nil"/>
              <w:left w:val="nil"/>
              <w:bottom w:val="nil"/>
              <w:right w:val="nil"/>
            </w:tcBorders>
            <w:shd w:val="clear" w:color="auto" w:fill="auto"/>
            <w:noWrap/>
            <w:vAlign w:val="center"/>
            <w:hideMark/>
          </w:tcPr>
          <w:p w14:paraId="0136B793"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1,101</w:t>
            </w:r>
          </w:p>
        </w:tc>
        <w:tc>
          <w:tcPr>
            <w:tcW w:w="850" w:type="dxa"/>
            <w:tcBorders>
              <w:top w:val="nil"/>
              <w:left w:val="nil"/>
              <w:bottom w:val="nil"/>
              <w:right w:val="single" w:sz="4" w:space="0" w:color="auto"/>
            </w:tcBorders>
            <w:shd w:val="clear" w:color="auto" w:fill="auto"/>
            <w:noWrap/>
            <w:vAlign w:val="center"/>
            <w:hideMark/>
          </w:tcPr>
          <w:p w14:paraId="2B2D3282"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0.2%</w:t>
            </w:r>
          </w:p>
        </w:tc>
        <w:tc>
          <w:tcPr>
            <w:tcW w:w="1073" w:type="dxa"/>
            <w:tcBorders>
              <w:top w:val="nil"/>
              <w:left w:val="nil"/>
              <w:bottom w:val="nil"/>
              <w:right w:val="nil"/>
            </w:tcBorders>
            <w:shd w:val="clear" w:color="auto" w:fill="auto"/>
            <w:noWrap/>
            <w:vAlign w:val="center"/>
            <w:hideMark/>
          </w:tcPr>
          <w:p w14:paraId="7FF7703A"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1,151</w:t>
            </w:r>
          </w:p>
        </w:tc>
        <w:tc>
          <w:tcPr>
            <w:tcW w:w="864" w:type="dxa"/>
            <w:tcBorders>
              <w:top w:val="nil"/>
              <w:left w:val="nil"/>
              <w:bottom w:val="nil"/>
              <w:right w:val="single" w:sz="4" w:space="0" w:color="auto"/>
            </w:tcBorders>
            <w:shd w:val="clear" w:color="auto" w:fill="auto"/>
            <w:noWrap/>
            <w:vAlign w:val="center"/>
            <w:hideMark/>
          </w:tcPr>
          <w:p w14:paraId="529965F4"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0.2%</w:t>
            </w:r>
          </w:p>
        </w:tc>
        <w:tc>
          <w:tcPr>
            <w:tcW w:w="1073" w:type="dxa"/>
            <w:gridSpan w:val="2"/>
            <w:tcBorders>
              <w:top w:val="nil"/>
              <w:left w:val="nil"/>
              <w:bottom w:val="nil"/>
              <w:right w:val="nil"/>
            </w:tcBorders>
            <w:shd w:val="clear" w:color="auto" w:fill="auto"/>
            <w:noWrap/>
            <w:vAlign w:val="center"/>
            <w:hideMark/>
          </w:tcPr>
          <w:p w14:paraId="61E9340E"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1,208</w:t>
            </w:r>
          </w:p>
        </w:tc>
        <w:tc>
          <w:tcPr>
            <w:tcW w:w="1030" w:type="dxa"/>
            <w:tcBorders>
              <w:top w:val="nil"/>
              <w:left w:val="nil"/>
              <w:bottom w:val="nil"/>
              <w:right w:val="single" w:sz="4" w:space="0" w:color="auto"/>
            </w:tcBorders>
            <w:shd w:val="clear" w:color="auto" w:fill="auto"/>
            <w:noWrap/>
            <w:vAlign w:val="center"/>
            <w:hideMark/>
          </w:tcPr>
          <w:p w14:paraId="4A7EE4F0"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0.2%</w:t>
            </w:r>
          </w:p>
        </w:tc>
      </w:tr>
      <w:tr w:rsidR="00F20199" w:rsidRPr="0040648C" w14:paraId="435160DE" w14:textId="77777777" w:rsidTr="00D30831">
        <w:trPr>
          <w:cantSplit/>
          <w:trHeight w:val="295"/>
        </w:trPr>
        <w:tc>
          <w:tcPr>
            <w:tcW w:w="1717" w:type="dxa"/>
            <w:tcBorders>
              <w:top w:val="nil"/>
              <w:left w:val="single" w:sz="4" w:space="0" w:color="auto"/>
              <w:bottom w:val="nil"/>
              <w:right w:val="single" w:sz="4" w:space="0" w:color="auto"/>
            </w:tcBorders>
            <w:shd w:val="clear" w:color="auto" w:fill="auto"/>
            <w:noWrap/>
            <w:vAlign w:val="bottom"/>
            <w:hideMark/>
          </w:tcPr>
          <w:p w14:paraId="015A9F84" w14:textId="77777777" w:rsidR="00F20199" w:rsidRPr="00E42B8C" w:rsidRDefault="00F20199" w:rsidP="00DD634E">
            <w:pPr>
              <w:spacing w:after="0" w:line="240" w:lineRule="auto"/>
              <w:rPr>
                <w:rFonts w:asciiTheme="minorHAnsi" w:eastAsia="Times New Roman" w:hAnsiTheme="minorHAnsi" w:cstheme="minorHAnsi"/>
                <w:color w:val="000000"/>
                <w:sz w:val="20"/>
                <w:szCs w:val="20"/>
              </w:rPr>
            </w:pPr>
            <w:r w:rsidRPr="00E42B8C">
              <w:rPr>
                <w:rFonts w:asciiTheme="minorHAnsi" w:eastAsia="Times New Roman" w:hAnsiTheme="minorHAnsi" w:cstheme="minorHAnsi"/>
                <w:color w:val="000000"/>
                <w:sz w:val="20"/>
                <w:szCs w:val="20"/>
              </w:rPr>
              <w:t>Other</w:t>
            </w:r>
          </w:p>
        </w:tc>
        <w:tc>
          <w:tcPr>
            <w:tcW w:w="1264" w:type="dxa"/>
            <w:tcBorders>
              <w:top w:val="nil"/>
              <w:left w:val="nil"/>
              <w:bottom w:val="nil"/>
              <w:right w:val="nil"/>
            </w:tcBorders>
            <w:shd w:val="clear" w:color="auto" w:fill="auto"/>
            <w:noWrap/>
            <w:vAlign w:val="center"/>
            <w:hideMark/>
          </w:tcPr>
          <w:p w14:paraId="0CA62C27"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22,286</w:t>
            </w:r>
          </w:p>
        </w:tc>
        <w:tc>
          <w:tcPr>
            <w:tcW w:w="967" w:type="dxa"/>
            <w:tcBorders>
              <w:top w:val="nil"/>
              <w:left w:val="nil"/>
              <w:bottom w:val="nil"/>
              <w:right w:val="single" w:sz="4" w:space="0" w:color="auto"/>
            </w:tcBorders>
            <w:shd w:val="clear" w:color="auto" w:fill="auto"/>
            <w:noWrap/>
            <w:vAlign w:val="center"/>
            <w:hideMark/>
          </w:tcPr>
          <w:p w14:paraId="5DF87EB0"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4.0%</w:t>
            </w:r>
          </w:p>
        </w:tc>
        <w:tc>
          <w:tcPr>
            <w:tcW w:w="1087" w:type="dxa"/>
            <w:tcBorders>
              <w:top w:val="nil"/>
              <w:left w:val="nil"/>
              <w:bottom w:val="nil"/>
              <w:right w:val="nil"/>
            </w:tcBorders>
            <w:shd w:val="clear" w:color="auto" w:fill="auto"/>
            <w:noWrap/>
            <w:vAlign w:val="center"/>
            <w:hideMark/>
          </w:tcPr>
          <w:p w14:paraId="2120FF14"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29,291</w:t>
            </w:r>
          </w:p>
        </w:tc>
        <w:tc>
          <w:tcPr>
            <w:tcW w:w="850" w:type="dxa"/>
            <w:tcBorders>
              <w:top w:val="nil"/>
              <w:left w:val="nil"/>
              <w:bottom w:val="nil"/>
              <w:right w:val="single" w:sz="4" w:space="0" w:color="auto"/>
            </w:tcBorders>
            <w:shd w:val="clear" w:color="auto" w:fill="auto"/>
            <w:noWrap/>
            <w:vAlign w:val="center"/>
            <w:hideMark/>
          </w:tcPr>
          <w:p w14:paraId="09E6542C"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5.3%</w:t>
            </w:r>
          </w:p>
        </w:tc>
        <w:tc>
          <w:tcPr>
            <w:tcW w:w="1073" w:type="dxa"/>
            <w:tcBorders>
              <w:top w:val="nil"/>
              <w:left w:val="nil"/>
              <w:bottom w:val="nil"/>
              <w:right w:val="nil"/>
            </w:tcBorders>
            <w:shd w:val="clear" w:color="auto" w:fill="auto"/>
            <w:noWrap/>
            <w:vAlign w:val="center"/>
            <w:hideMark/>
          </w:tcPr>
          <w:p w14:paraId="6437CE69"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21,374</w:t>
            </w:r>
          </w:p>
        </w:tc>
        <w:tc>
          <w:tcPr>
            <w:tcW w:w="864" w:type="dxa"/>
            <w:tcBorders>
              <w:top w:val="nil"/>
              <w:left w:val="nil"/>
              <w:bottom w:val="nil"/>
              <w:right w:val="single" w:sz="4" w:space="0" w:color="auto"/>
            </w:tcBorders>
            <w:shd w:val="clear" w:color="auto" w:fill="auto"/>
            <w:noWrap/>
            <w:vAlign w:val="center"/>
            <w:hideMark/>
          </w:tcPr>
          <w:p w14:paraId="4BF67559"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3.9%</w:t>
            </w:r>
          </w:p>
        </w:tc>
        <w:tc>
          <w:tcPr>
            <w:tcW w:w="1073" w:type="dxa"/>
            <w:gridSpan w:val="2"/>
            <w:tcBorders>
              <w:top w:val="nil"/>
              <w:left w:val="nil"/>
              <w:bottom w:val="nil"/>
              <w:right w:val="nil"/>
            </w:tcBorders>
            <w:shd w:val="clear" w:color="auto" w:fill="auto"/>
            <w:noWrap/>
            <w:vAlign w:val="center"/>
            <w:hideMark/>
          </w:tcPr>
          <w:p w14:paraId="4900C40E"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26,849</w:t>
            </w:r>
          </w:p>
        </w:tc>
        <w:tc>
          <w:tcPr>
            <w:tcW w:w="1030" w:type="dxa"/>
            <w:tcBorders>
              <w:top w:val="nil"/>
              <w:left w:val="nil"/>
              <w:bottom w:val="nil"/>
              <w:right w:val="single" w:sz="4" w:space="0" w:color="auto"/>
            </w:tcBorders>
            <w:shd w:val="clear" w:color="auto" w:fill="auto"/>
            <w:noWrap/>
            <w:vAlign w:val="center"/>
            <w:hideMark/>
          </w:tcPr>
          <w:p w14:paraId="3D6E1611"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4.7%</w:t>
            </w:r>
          </w:p>
        </w:tc>
      </w:tr>
      <w:tr w:rsidR="00F20199" w:rsidRPr="0040648C" w14:paraId="0AE88239" w14:textId="77777777" w:rsidTr="00D30831">
        <w:trPr>
          <w:cantSplit/>
          <w:trHeight w:val="295"/>
        </w:trPr>
        <w:tc>
          <w:tcPr>
            <w:tcW w:w="1717" w:type="dxa"/>
            <w:tcBorders>
              <w:top w:val="nil"/>
              <w:left w:val="single" w:sz="4" w:space="0" w:color="auto"/>
              <w:bottom w:val="nil"/>
              <w:right w:val="single" w:sz="4" w:space="0" w:color="auto"/>
            </w:tcBorders>
            <w:shd w:val="clear" w:color="auto" w:fill="auto"/>
            <w:noWrap/>
            <w:vAlign w:val="bottom"/>
            <w:hideMark/>
          </w:tcPr>
          <w:p w14:paraId="23FE048F" w14:textId="77777777" w:rsidR="00F20199" w:rsidRPr="00E42B8C" w:rsidRDefault="00F20199" w:rsidP="00DD634E">
            <w:pPr>
              <w:spacing w:after="0" w:line="240" w:lineRule="auto"/>
              <w:rPr>
                <w:rFonts w:asciiTheme="minorHAnsi" w:eastAsia="Times New Roman" w:hAnsiTheme="minorHAnsi" w:cstheme="minorHAnsi"/>
                <w:color w:val="000000"/>
                <w:sz w:val="20"/>
                <w:szCs w:val="20"/>
              </w:rPr>
            </w:pPr>
            <w:r w:rsidRPr="00E42B8C">
              <w:rPr>
                <w:rFonts w:asciiTheme="minorHAnsi" w:eastAsia="Times New Roman" w:hAnsiTheme="minorHAnsi" w:cstheme="minorHAnsi"/>
                <w:color w:val="000000"/>
                <w:sz w:val="20"/>
                <w:szCs w:val="20"/>
              </w:rPr>
              <w:t>Declined</w:t>
            </w:r>
          </w:p>
        </w:tc>
        <w:tc>
          <w:tcPr>
            <w:tcW w:w="1264" w:type="dxa"/>
            <w:tcBorders>
              <w:top w:val="nil"/>
              <w:left w:val="nil"/>
              <w:bottom w:val="nil"/>
              <w:right w:val="nil"/>
            </w:tcBorders>
            <w:shd w:val="clear" w:color="auto" w:fill="auto"/>
            <w:noWrap/>
            <w:vAlign w:val="center"/>
            <w:hideMark/>
          </w:tcPr>
          <w:p w14:paraId="6301A89B"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47,432</w:t>
            </w:r>
          </w:p>
        </w:tc>
        <w:tc>
          <w:tcPr>
            <w:tcW w:w="967" w:type="dxa"/>
            <w:tcBorders>
              <w:top w:val="nil"/>
              <w:left w:val="nil"/>
              <w:bottom w:val="nil"/>
              <w:right w:val="single" w:sz="4" w:space="0" w:color="auto"/>
            </w:tcBorders>
            <w:shd w:val="clear" w:color="auto" w:fill="auto"/>
            <w:noWrap/>
            <w:vAlign w:val="center"/>
            <w:hideMark/>
          </w:tcPr>
          <w:p w14:paraId="51AE2729"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8.5%</w:t>
            </w:r>
          </w:p>
        </w:tc>
        <w:tc>
          <w:tcPr>
            <w:tcW w:w="1087" w:type="dxa"/>
            <w:tcBorders>
              <w:top w:val="nil"/>
              <w:left w:val="nil"/>
              <w:bottom w:val="nil"/>
              <w:right w:val="nil"/>
            </w:tcBorders>
            <w:shd w:val="clear" w:color="auto" w:fill="auto"/>
            <w:noWrap/>
            <w:vAlign w:val="center"/>
            <w:hideMark/>
          </w:tcPr>
          <w:p w14:paraId="21213C78"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43,397</w:t>
            </w:r>
          </w:p>
        </w:tc>
        <w:tc>
          <w:tcPr>
            <w:tcW w:w="850" w:type="dxa"/>
            <w:tcBorders>
              <w:top w:val="nil"/>
              <w:left w:val="nil"/>
              <w:bottom w:val="nil"/>
              <w:right w:val="single" w:sz="4" w:space="0" w:color="auto"/>
            </w:tcBorders>
            <w:shd w:val="clear" w:color="auto" w:fill="auto"/>
            <w:noWrap/>
            <w:vAlign w:val="center"/>
            <w:hideMark/>
          </w:tcPr>
          <w:p w14:paraId="131982A4"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7.8%</w:t>
            </w:r>
          </w:p>
        </w:tc>
        <w:tc>
          <w:tcPr>
            <w:tcW w:w="1073" w:type="dxa"/>
            <w:tcBorders>
              <w:top w:val="nil"/>
              <w:left w:val="nil"/>
              <w:bottom w:val="nil"/>
              <w:right w:val="nil"/>
            </w:tcBorders>
            <w:shd w:val="clear" w:color="auto" w:fill="auto"/>
            <w:noWrap/>
            <w:vAlign w:val="center"/>
            <w:hideMark/>
          </w:tcPr>
          <w:p w14:paraId="54B58626"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42,800</w:t>
            </w:r>
          </w:p>
        </w:tc>
        <w:tc>
          <w:tcPr>
            <w:tcW w:w="864" w:type="dxa"/>
            <w:tcBorders>
              <w:top w:val="nil"/>
              <w:left w:val="nil"/>
              <w:bottom w:val="nil"/>
              <w:right w:val="single" w:sz="4" w:space="0" w:color="auto"/>
            </w:tcBorders>
            <w:shd w:val="clear" w:color="auto" w:fill="auto"/>
            <w:noWrap/>
            <w:vAlign w:val="center"/>
            <w:hideMark/>
          </w:tcPr>
          <w:p w14:paraId="52E83EF6"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7.8%</w:t>
            </w:r>
          </w:p>
        </w:tc>
        <w:tc>
          <w:tcPr>
            <w:tcW w:w="1073" w:type="dxa"/>
            <w:gridSpan w:val="2"/>
            <w:tcBorders>
              <w:top w:val="nil"/>
              <w:left w:val="nil"/>
              <w:bottom w:val="nil"/>
              <w:right w:val="nil"/>
            </w:tcBorders>
            <w:shd w:val="clear" w:color="auto" w:fill="auto"/>
            <w:noWrap/>
            <w:vAlign w:val="center"/>
            <w:hideMark/>
          </w:tcPr>
          <w:p w14:paraId="32C4576F"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40,851</w:t>
            </w:r>
          </w:p>
        </w:tc>
        <w:tc>
          <w:tcPr>
            <w:tcW w:w="1030" w:type="dxa"/>
            <w:tcBorders>
              <w:top w:val="nil"/>
              <w:left w:val="nil"/>
              <w:bottom w:val="nil"/>
              <w:right w:val="single" w:sz="4" w:space="0" w:color="auto"/>
            </w:tcBorders>
            <w:shd w:val="clear" w:color="auto" w:fill="auto"/>
            <w:noWrap/>
            <w:vAlign w:val="center"/>
            <w:hideMark/>
          </w:tcPr>
          <w:p w14:paraId="315AFEAA"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7.1%</w:t>
            </w:r>
          </w:p>
        </w:tc>
      </w:tr>
      <w:tr w:rsidR="00F20199" w:rsidRPr="0040648C" w14:paraId="6B1A0BAC" w14:textId="77777777" w:rsidTr="00D30831">
        <w:trPr>
          <w:cantSplit/>
          <w:trHeight w:val="295"/>
        </w:trPr>
        <w:tc>
          <w:tcPr>
            <w:tcW w:w="1717" w:type="dxa"/>
            <w:tcBorders>
              <w:top w:val="nil"/>
              <w:left w:val="single" w:sz="4" w:space="0" w:color="auto"/>
              <w:bottom w:val="nil"/>
              <w:right w:val="single" w:sz="4" w:space="0" w:color="auto"/>
            </w:tcBorders>
            <w:shd w:val="clear" w:color="000000" w:fill="C5D9F1"/>
            <w:noWrap/>
            <w:vAlign w:val="bottom"/>
            <w:hideMark/>
          </w:tcPr>
          <w:p w14:paraId="14D87C9B" w14:textId="77777777" w:rsidR="00F20199" w:rsidRPr="00E42B8C" w:rsidRDefault="00F20199" w:rsidP="00DD634E">
            <w:pPr>
              <w:spacing w:after="0" w:line="240" w:lineRule="auto"/>
              <w:rPr>
                <w:rFonts w:asciiTheme="minorHAnsi" w:eastAsia="Times New Roman" w:hAnsiTheme="minorHAnsi" w:cstheme="minorHAnsi"/>
                <w:b/>
                <w:bCs/>
                <w:color w:val="000000"/>
                <w:sz w:val="20"/>
                <w:szCs w:val="20"/>
              </w:rPr>
            </w:pPr>
            <w:r w:rsidRPr="00E42B8C">
              <w:rPr>
                <w:rFonts w:asciiTheme="minorHAnsi" w:eastAsia="Times New Roman" w:hAnsiTheme="minorHAnsi" w:cstheme="minorHAnsi"/>
                <w:b/>
                <w:bCs/>
                <w:color w:val="000000"/>
                <w:sz w:val="20"/>
                <w:szCs w:val="20"/>
              </w:rPr>
              <w:t>Payer Type</w:t>
            </w:r>
          </w:p>
        </w:tc>
        <w:tc>
          <w:tcPr>
            <w:tcW w:w="1264" w:type="dxa"/>
            <w:tcBorders>
              <w:top w:val="nil"/>
              <w:left w:val="nil"/>
              <w:bottom w:val="nil"/>
              <w:right w:val="nil"/>
            </w:tcBorders>
            <w:shd w:val="clear" w:color="000000" w:fill="C5D9F1"/>
            <w:noWrap/>
            <w:vAlign w:val="center"/>
            <w:hideMark/>
          </w:tcPr>
          <w:p w14:paraId="50310D1D" w14:textId="77777777" w:rsidR="00F20199" w:rsidRPr="00E42B8C" w:rsidRDefault="00F20199" w:rsidP="00DD634E">
            <w:pPr>
              <w:spacing w:after="0" w:line="240" w:lineRule="auto"/>
              <w:jc w:val="center"/>
              <w:rPr>
                <w:rFonts w:asciiTheme="minorHAnsi" w:eastAsia="Times New Roman" w:hAnsiTheme="minorHAnsi" w:cstheme="minorHAnsi"/>
                <w:b/>
                <w:bCs/>
                <w:color w:val="000000"/>
                <w:sz w:val="20"/>
                <w:szCs w:val="20"/>
              </w:rPr>
            </w:pPr>
            <w:r w:rsidRPr="00E42B8C">
              <w:rPr>
                <w:rFonts w:asciiTheme="minorHAnsi" w:hAnsiTheme="minorHAnsi" w:cstheme="minorHAnsi"/>
                <w:b/>
                <w:bCs/>
                <w:color w:val="000000"/>
                <w:sz w:val="20"/>
                <w:szCs w:val="20"/>
              </w:rPr>
              <w:t> </w:t>
            </w:r>
          </w:p>
        </w:tc>
        <w:tc>
          <w:tcPr>
            <w:tcW w:w="967" w:type="dxa"/>
            <w:tcBorders>
              <w:top w:val="nil"/>
              <w:left w:val="nil"/>
              <w:bottom w:val="nil"/>
              <w:right w:val="single" w:sz="4" w:space="0" w:color="auto"/>
            </w:tcBorders>
            <w:shd w:val="clear" w:color="000000" w:fill="C5D9F1"/>
            <w:noWrap/>
            <w:vAlign w:val="center"/>
            <w:hideMark/>
          </w:tcPr>
          <w:p w14:paraId="04D10454" w14:textId="77777777" w:rsidR="00F20199" w:rsidRPr="00E42B8C" w:rsidRDefault="00F20199" w:rsidP="00DD634E">
            <w:pPr>
              <w:spacing w:after="0" w:line="240" w:lineRule="auto"/>
              <w:jc w:val="center"/>
              <w:rPr>
                <w:rFonts w:asciiTheme="minorHAnsi" w:eastAsia="Times New Roman" w:hAnsiTheme="minorHAnsi" w:cstheme="minorHAnsi"/>
                <w:b/>
                <w:bCs/>
                <w:color w:val="000000"/>
                <w:sz w:val="20"/>
                <w:szCs w:val="20"/>
              </w:rPr>
            </w:pPr>
            <w:r w:rsidRPr="00E42B8C">
              <w:rPr>
                <w:rFonts w:asciiTheme="minorHAnsi" w:hAnsiTheme="minorHAnsi" w:cstheme="minorHAnsi"/>
                <w:b/>
                <w:bCs/>
                <w:color w:val="000000"/>
                <w:sz w:val="20"/>
                <w:szCs w:val="20"/>
              </w:rPr>
              <w:t> </w:t>
            </w:r>
          </w:p>
        </w:tc>
        <w:tc>
          <w:tcPr>
            <w:tcW w:w="1087" w:type="dxa"/>
            <w:tcBorders>
              <w:top w:val="nil"/>
              <w:left w:val="nil"/>
              <w:bottom w:val="nil"/>
              <w:right w:val="nil"/>
            </w:tcBorders>
            <w:shd w:val="clear" w:color="000000" w:fill="C5D9F1"/>
            <w:noWrap/>
            <w:vAlign w:val="center"/>
            <w:hideMark/>
          </w:tcPr>
          <w:p w14:paraId="619FC87B" w14:textId="77777777" w:rsidR="00F20199" w:rsidRPr="00E42B8C" w:rsidRDefault="00F20199" w:rsidP="00DD634E">
            <w:pPr>
              <w:spacing w:after="0" w:line="240" w:lineRule="auto"/>
              <w:jc w:val="center"/>
              <w:rPr>
                <w:rFonts w:asciiTheme="minorHAnsi" w:eastAsia="Times New Roman" w:hAnsiTheme="minorHAnsi" w:cstheme="minorHAnsi"/>
                <w:b/>
                <w:bCs/>
                <w:color w:val="000000"/>
                <w:sz w:val="20"/>
                <w:szCs w:val="20"/>
              </w:rPr>
            </w:pPr>
            <w:r w:rsidRPr="00E42B8C">
              <w:rPr>
                <w:rFonts w:asciiTheme="minorHAnsi" w:hAnsiTheme="minorHAnsi" w:cstheme="minorHAnsi"/>
                <w:b/>
                <w:bCs/>
                <w:color w:val="000000"/>
                <w:sz w:val="20"/>
                <w:szCs w:val="20"/>
              </w:rPr>
              <w:t> </w:t>
            </w:r>
          </w:p>
        </w:tc>
        <w:tc>
          <w:tcPr>
            <w:tcW w:w="850" w:type="dxa"/>
            <w:tcBorders>
              <w:top w:val="nil"/>
              <w:left w:val="nil"/>
              <w:bottom w:val="nil"/>
              <w:right w:val="single" w:sz="4" w:space="0" w:color="auto"/>
            </w:tcBorders>
            <w:shd w:val="clear" w:color="000000" w:fill="C5D9F1"/>
            <w:noWrap/>
            <w:vAlign w:val="center"/>
            <w:hideMark/>
          </w:tcPr>
          <w:p w14:paraId="49DAF8D7" w14:textId="77777777" w:rsidR="00F20199" w:rsidRPr="00E42B8C" w:rsidRDefault="00F20199" w:rsidP="00DD634E">
            <w:pPr>
              <w:spacing w:after="0" w:line="240" w:lineRule="auto"/>
              <w:jc w:val="center"/>
              <w:rPr>
                <w:rFonts w:asciiTheme="minorHAnsi" w:eastAsia="Times New Roman" w:hAnsiTheme="minorHAnsi" w:cstheme="minorHAnsi"/>
                <w:b/>
                <w:bCs/>
                <w:color w:val="000000"/>
                <w:sz w:val="20"/>
                <w:szCs w:val="20"/>
              </w:rPr>
            </w:pPr>
            <w:r w:rsidRPr="00E42B8C">
              <w:rPr>
                <w:rFonts w:asciiTheme="minorHAnsi" w:hAnsiTheme="minorHAnsi" w:cstheme="minorHAnsi"/>
                <w:b/>
                <w:bCs/>
                <w:color w:val="000000"/>
                <w:sz w:val="20"/>
                <w:szCs w:val="20"/>
              </w:rPr>
              <w:t> </w:t>
            </w:r>
          </w:p>
        </w:tc>
        <w:tc>
          <w:tcPr>
            <w:tcW w:w="1073" w:type="dxa"/>
            <w:tcBorders>
              <w:top w:val="nil"/>
              <w:left w:val="nil"/>
              <w:bottom w:val="nil"/>
              <w:right w:val="nil"/>
            </w:tcBorders>
            <w:shd w:val="clear" w:color="000000" w:fill="C5D9F1"/>
            <w:noWrap/>
            <w:vAlign w:val="center"/>
            <w:hideMark/>
          </w:tcPr>
          <w:p w14:paraId="708927FE" w14:textId="77777777" w:rsidR="00F20199" w:rsidRPr="00E42B8C" w:rsidRDefault="00F20199" w:rsidP="00DD634E">
            <w:pPr>
              <w:spacing w:after="0" w:line="240" w:lineRule="auto"/>
              <w:jc w:val="center"/>
              <w:rPr>
                <w:rFonts w:asciiTheme="minorHAnsi" w:eastAsia="Times New Roman" w:hAnsiTheme="minorHAnsi" w:cstheme="minorHAnsi"/>
                <w:b/>
                <w:bCs/>
                <w:color w:val="000000"/>
                <w:sz w:val="20"/>
                <w:szCs w:val="20"/>
              </w:rPr>
            </w:pPr>
            <w:r w:rsidRPr="00E42B8C">
              <w:rPr>
                <w:rFonts w:asciiTheme="minorHAnsi" w:hAnsiTheme="minorHAnsi" w:cstheme="minorHAnsi"/>
                <w:b/>
                <w:bCs/>
                <w:color w:val="000000"/>
                <w:sz w:val="20"/>
                <w:szCs w:val="20"/>
              </w:rPr>
              <w:t> </w:t>
            </w:r>
          </w:p>
        </w:tc>
        <w:tc>
          <w:tcPr>
            <w:tcW w:w="864" w:type="dxa"/>
            <w:tcBorders>
              <w:top w:val="nil"/>
              <w:left w:val="nil"/>
              <w:bottom w:val="nil"/>
              <w:right w:val="single" w:sz="4" w:space="0" w:color="auto"/>
            </w:tcBorders>
            <w:shd w:val="clear" w:color="000000" w:fill="C5D9F1"/>
            <w:noWrap/>
            <w:vAlign w:val="center"/>
            <w:hideMark/>
          </w:tcPr>
          <w:p w14:paraId="58D03DF2" w14:textId="77777777" w:rsidR="00F20199" w:rsidRPr="00E42B8C" w:rsidRDefault="00F20199" w:rsidP="00DD634E">
            <w:pPr>
              <w:spacing w:after="0" w:line="240" w:lineRule="auto"/>
              <w:jc w:val="center"/>
              <w:rPr>
                <w:rFonts w:asciiTheme="minorHAnsi" w:eastAsia="Times New Roman" w:hAnsiTheme="minorHAnsi" w:cstheme="minorHAnsi"/>
                <w:b/>
                <w:bCs/>
                <w:color w:val="000000"/>
                <w:sz w:val="20"/>
                <w:szCs w:val="20"/>
              </w:rPr>
            </w:pPr>
            <w:r w:rsidRPr="00E42B8C">
              <w:rPr>
                <w:rFonts w:asciiTheme="minorHAnsi" w:hAnsiTheme="minorHAnsi" w:cstheme="minorHAnsi"/>
                <w:b/>
                <w:bCs/>
                <w:color w:val="000000"/>
                <w:sz w:val="20"/>
                <w:szCs w:val="20"/>
              </w:rPr>
              <w:t> </w:t>
            </w:r>
          </w:p>
        </w:tc>
        <w:tc>
          <w:tcPr>
            <w:tcW w:w="1073" w:type="dxa"/>
            <w:gridSpan w:val="2"/>
            <w:tcBorders>
              <w:top w:val="nil"/>
              <w:left w:val="nil"/>
              <w:bottom w:val="nil"/>
              <w:right w:val="nil"/>
            </w:tcBorders>
            <w:shd w:val="clear" w:color="000000" w:fill="C5D9F1"/>
            <w:noWrap/>
            <w:vAlign w:val="center"/>
            <w:hideMark/>
          </w:tcPr>
          <w:p w14:paraId="47E564B9" w14:textId="77777777" w:rsidR="00F20199" w:rsidRPr="00E42B8C" w:rsidRDefault="00F20199" w:rsidP="00DD634E">
            <w:pPr>
              <w:spacing w:after="0" w:line="240" w:lineRule="auto"/>
              <w:jc w:val="center"/>
              <w:rPr>
                <w:rFonts w:asciiTheme="minorHAnsi" w:eastAsia="Times New Roman" w:hAnsiTheme="minorHAnsi" w:cstheme="minorHAnsi"/>
                <w:b/>
                <w:bCs/>
                <w:color w:val="000000"/>
                <w:sz w:val="20"/>
                <w:szCs w:val="20"/>
              </w:rPr>
            </w:pPr>
            <w:r w:rsidRPr="00E42B8C">
              <w:rPr>
                <w:rFonts w:asciiTheme="minorHAnsi" w:hAnsiTheme="minorHAnsi" w:cstheme="minorHAnsi"/>
                <w:b/>
                <w:bCs/>
                <w:color w:val="000000"/>
                <w:sz w:val="20"/>
                <w:szCs w:val="20"/>
              </w:rPr>
              <w:t> </w:t>
            </w:r>
          </w:p>
        </w:tc>
        <w:tc>
          <w:tcPr>
            <w:tcW w:w="1030" w:type="dxa"/>
            <w:tcBorders>
              <w:top w:val="nil"/>
              <w:left w:val="nil"/>
              <w:bottom w:val="nil"/>
              <w:right w:val="single" w:sz="4" w:space="0" w:color="auto"/>
            </w:tcBorders>
            <w:shd w:val="clear" w:color="000000" w:fill="C5D9F1"/>
            <w:noWrap/>
            <w:vAlign w:val="center"/>
            <w:hideMark/>
          </w:tcPr>
          <w:p w14:paraId="4655F80E" w14:textId="77777777" w:rsidR="00F20199" w:rsidRPr="00E42B8C" w:rsidRDefault="00F20199" w:rsidP="00DD634E">
            <w:pPr>
              <w:spacing w:after="0" w:line="240" w:lineRule="auto"/>
              <w:jc w:val="center"/>
              <w:rPr>
                <w:rFonts w:asciiTheme="minorHAnsi" w:eastAsia="Times New Roman" w:hAnsiTheme="minorHAnsi" w:cstheme="minorHAnsi"/>
                <w:b/>
                <w:bCs/>
                <w:color w:val="000000"/>
                <w:sz w:val="20"/>
                <w:szCs w:val="20"/>
              </w:rPr>
            </w:pPr>
            <w:r w:rsidRPr="00E42B8C">
              <w:rPr>
                <w:rFonts w:asciiTheme="minorHAnsi" w:hAnsiTheme="minorHAnsi" w:cstheme="minorHAnsi"/>
                <w:b/>
                <w:bCs/>
                <w:color w:val="000000"/>
                <w:sz w:val="20"/>
                <w:szCs w:val="20"/>
              </w:rPr>
              <w:t> </w:t>
            </w:r>
          </w:p>
        </w:tc>
      </w:tr>
      <w:tr w:rsidR="00F20199" w:rsidRPr="0040648C" w14:paraId="726A371A" w14:textId="77777777" w:rsidTr="00D30831">
        <w:trPr>
          <w:cantSplit/>
          <w:trHeight w:val="295"/>
        </w:trPr>
        <w:tc>
          <w:tcPr>
            <w:tcW w:w="1717" w:type="dxa"/>
            <w:tcBorders>
              <w:top w:val="nil"/>
              <w:left w:val="single" w:sz="4" w:space="0" w:color="auto"/>
              <w:bottom w:val="nil"/>
              <w:right w:val="single" w:sz="4" w:space="0" w:color="auto"/>
            </w:tcBorders>
            <w:shd w:val="clear" w:color="auto" w:fill="auto"/>
            <w:noWrap/>
            <w:vAlign w:val="bottom"/>
            <w:hideMark/>
          </w:tcPr>
          <w:p w14:paraId="613EB679" w14:textId="77777777" w:rsidR="00F20199" w:rsidRPr="00E42B8C" w:rsidRDefault="00F20199" w:rsidP="00DD634E">
            <w:pPr>
              <w:spacing w:after="0" w:line="240" w:lineRule="auto"/>
              <w:rPr>
                <w:rFonts w:asciiTheme="minorHAnsi" w:eastAsia="Times New Roman" w:hAnsiTheme="minorHAnsi" w:cstheme="minorHAnsi"/>
                <w:color w:val="000000"/>
                <w:sz w:val="20"/>
                <w:szCs w:val="20"/>
              </w:rPr>
            </w:pPr>
            <w:r w:rsidRPr="00E42B8C">
              <w:rPr>
                <w:rFonts w:asciiTheme="minorHAnsi" w:eastAsia="Times New Roman" w:hAnsiTheme="minorHAnsi" w:cstheme="minorHAnsi"/>
                <w:color w:val="000000"/>
                <w:sz w:val="20"/>
                <w:szCs w:val="20"/>
              </w:rPr>
              <w:t>Medicare Risk</w:t>
            </w:r>
          </w:p>
        </w:tc>
        <w:tc>
          <w:tcPr>
            <w:tcW w:w="1264" w:type="dxa"/>
            <w:tcBorders>
              <w:top w:val="nil"/>
              <w:left w:val="nil"/>
              <w:bottom w:val="nil"/>
              <w:right w:val="nil"/>
            </w:tcBorders>
            <w:shd w:val="clear" w:color="auto" w:fill="auto"/>
            <w:noWrap/>
            <w:vAlign w:val="center"/>
            <w:hideMark/>
          </w:tcPr>
          <w:p w14:paraId="3DEB3CDD"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60,199</w:t>
            </w:r>
          </w:p>
        </w:tc>
        <w:tc>
          <w:tcPr>
            <w:tcW w:w="967" w:type="dxa"/>
            <w:tcBorders>
              <w:top w:val="nil"/>
              <w:left w:val="nil"/>
              <w:bottom w:val="nil"/>
              <w:right w:val="single" w:sz="4" w:space="0" w:color="auto"/>
            </w:tcBorders>
            <w:shd w:val="clear" w:color="auto" w:fill="auto"/>
            <w:noWrap/>
            <w:vAlign w:val="center"/>
            <w:hideMark/>
          </w:tcPr>
          <w:p w14:paraId="048ABC43"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10.7%</w:t>
            </w:r>
          </w:p>
        </w:tc>
        <w:tc>
          <w:tcPr>
            <w:tcW w:w="1087" w:type="dxa"/>
            <w:tcBorders>
              <w:top w:val="nil"/>
              <w:left w:val="nil"/>
              <w:bottom w:val="nil"/>
              <w:right w:val="nil"/>
            </w:tcBorders>
            <w:shd w:val="clear" w:color="auto" w:fill="auto"/>
            <w:noWrap/>
            <w:vAlign w:val="center"/>
            <w:hideMark/>
          </w:tcPr>
          <w:p w14:paraId="5964FEE0"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52,675</w:t>
            </w:r>
          </w:p>
        </w:tc>
        <w:tc>
          <w:tcPr>
            <w:tcW w:w="850" w:type="dxa"/>
            <w:tcBorders>
              <w:top w:val="nil"/>
              <w:left w:val="nil"/>
              <w:bottom w:val="nil"/>
              <w:right w:val="single" w:sz="4" w:space="0" w:color="auto"/>
            </w:tcBorders>
            <w:shd w:val="clear" w:color="auto" w:fill="auto"/>
            <w:noWrap/>
            <w:vAlign w:val="center"/>
            <w:hideMark/>
          </w:tcPr>
          <w:p w14:paraId="1292BB7B"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9.5%</w:t>
            </w:r>
          </w:p>
        </w:tc>
        <w:tc>
          <w:tcPr>
            <w:tcW w:w="1073" w:type="dxa"/>
            <w:tcBorders>
              <w:top w:val="nil"/>
              <w:left w:val="nil"/>
              <w:bottom w:val="nil"/>
              <w:right w:val="nil"/>
            </w:tcBorders>
            <w:shd w:val="clear" w:color="auto" w:fill="auto"/>
            <w:noWrap/>
            <w:vAlign w:val="center"/>
            <w:hideMark/>
          </w:tcPr>
          <w:p w14:paraId="222F2AF0"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57,720</w:t>
            </w:r>
          </w:p>
        </w:tc>
        <w:tc>
          <w:tcPr>
            <w:tcW w:w="864" w:type="dxa"/>
            <w:tcBorders>
              <w:top w:val="nil"/>
              <w:left w:val="nil"/>
              <w:bottom w:val="nil"/>
              <w:right w:val="single" w:sz="4" w:space="0" w:color="auto"/>
            </w:tcBorders>
            <w:shd w:val="clear" w:color="auto" w:fill="auto"/>
            <w:noWrap/>
            <w:vAlign w:val="center"/>
            <w:hideMark/>
          </w:tcPr>
          <w:p w14:paraId="068EF715"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10.5%</w:t>
            </w:r>
          </w:p>
        </w:tc>
        <w:tc>
          <w:tcPr>
            <w:tcW w:w="1073" w:type="dxa"/>
            <w:gridSpan w:val="2"/>
            <w:tcBorders>
              <w:top w:val="nil"/>
              <w:left w:val="nil"/>
              <w:bottom w:val="nil"/>
              <w:right w:val="nil"/>
            </w:tcBorders>
            <w:shd w:val="clear" w:color="auto" w:fill="auto"/>
            <w:noWrap/>
            <w:vAlign w:val="center"/>
            <w:hideMark/>
          </w:tcPr>
          <w:p w14:paraId="35A99574"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highlight w:val="yellow"/>
              </w:rPr>
            </w:pPr>
            <w:r w:rsidRPr="00E42B8C">
              <w:rPr>
                <w:rFonts w:asciiTheme="minorHAnsi" w:hAnsiTheme="minorHAnsi" w:cstheme="minorHAnsi"/>
                <w:color w:val="000000"/>
                <w:sz w:val="20"/>
                <w:szCs w:val="20"/>
              </w:rPr>
              <w:t>58,850</w:t>
            </w:r>
          </w:p>
        </w:tc>
        <w:tc>
          <w:tcPr>
            <w:tcW w:w="1030" w:type="dxa"/>
            <w:tcBorders>
              <w:top w:val="nil"/>
              <w:left w:val="nil"/>
              <w:bottom w:val="nil"/>
              <w:right w:val="single" w:sz="4" w:space="0" w:color="auto"/>
            </w:tcBorders>
            <w:shd w:val="clear" w:color="auto" w:fill="auto"/>
            <w:noWrap/>
            <w:vAlign w:val="center"/>
            <w:hideMark/>
          </w:tcPr>
          <w:p w14:paraId="45D75F27"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highlight w:val="yellow"/>
              </w:rPr>
            </w:pPr>
            <w:r w:rsidRPr="00E42B8C">
              <w:rPr>
                <w:rFonts w:asciiTheme="minorHAnsi" w:hAnsiTheme="minorHAnsi" w:cstheme="minorHAnsi"/>
                <w:color w:val="000000"/>
                <w:sz w:val="20"/>
                <w:szCs w:val="20"/>
              </w:rPr>
              <w:t>10.3%</w:t>
            </w:r>
          </w:p>
        </w:tc>
      </w:tr>
      <w:tr w:rsidR="00F20199" w:rsidRPr="0040648C" w14:paraId="471B2359" w14:textId="77777777" w:rsidTr="00D30831">
        <w:trPr>
          <w:cantSplit/>
          <w:trHeight w:val="295"/>
        </w:trPr>
        <w:tc>
          <w:tcPr>
            <w:tcW w:w="1717" w:type="dxa"/>
            <w:tcBorders>
              <w:top w:val="nil"/>
              <w:left w:val="single" w:sz="4" w:space="0" w:color="auto"/>
              <w:bottom w:val="nil"/>
              <w:right w:val="single" w:sz="4" w:space="0" w:color="auto"/>
            </w:tcBorders>
            <w:shd w:val="clear" w:color="auto" w:fill="auto"/>
            <w:noWrap/>
            <w:vAlign w:val="bottom"/>
            <w:hideMark/>
          </w:tcPr>
          <w:p w14:paraId="6FD0DBC6" w14:textId="77777777" w:rsidR="00F20199" w:rsidRPr="00E42B8C" w:rsidRDefault="00F20199" w:rsidP="00DD634E">
            <w:pPr>
              <w:spacing w:after="0" w:line="240" w:lineRule="auto"/>
              <w:rPr>
                <w:rFonts w:asciiTheme="minorHAnsi" w:eastAsia="Times New Roman" w:hAnsiTheme="minorHAnsi" w:cstheme="minorHAnsi"/>
                <w:color w:val="000000"/>
                <w:sz w:val="20"/>
                <w:szCs w:val="20"/>
              </w:rPr>
            </w:pPr>
            <w:r w:rsidRPr="00E42B8C">
              <w:rPr>
                <w:rFonts w:asciiTheme="minorHAnsi" w:eastAsia="Times New Roman" w:hAnsiTheme="minorHAnsi" w:cstheme="minorHAnsi"/>
                <w:color w:val="000000"/>
                <w:sz w:val="20"/>
                <w:szCs w:val="20"/>
              </w:rPr>
              <w:t>Medicare FFS</w:t>
            </w:r>
          </w:p>
        </w:tc>
        <w:tc>
          <w:tcPr>
            <w:tcW w:w="1264" w:type="dxa"/>
            <w:tcBorders>
              <w:top w:val="nil"/>
              <w:left w:val="nil"/>
              <w:bottom w:val="nil"/>
              <w:right w:val="nil"/>
            </w:tcBorders>
            <w:shd w:val="clear" w:color="auto" w:fill="auto"/>
            <w:noWrap/>
            <w:vAlign w:val="center"/>
            <w:hideMark/>
          </w:tcPr>
          <w:p w14:paraId="3A8C3A89"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27,911</w:t>
            </w:r>
          </w:p>
        </w:tc>
        <w:tc>
          <w:tcPr>
            <w:tcW w:w="967" w:type="dxa"/>
            <w:tcBorders>
              <w:top w:val="nil"/>
              <w:left w:val="nil"/>
              <w:bottom w:val="nil"/>
              <w:right w:val="single" w:sz="4" w:space="0" w:color="auto"/>
            </w:tcBorders>
            <w:shd w:val="clear" w:color="auto" w:fill="auto"/>
            <w:noWrap/>
            <w:vAlign w:val="center"/>
            <w:hideMark/>
          </w:tcPr>
          <w:p w14:paraId="30AE5A22"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5.0%</w:t>
            </w:r>
          </w:p>
        </w:tc>
        <w:tc>
          <w:tcPr>
            <w:tcW w:w="1087" w:type="dxa"/>
            <w:tcBorders>
              <w:top w:val="nil"/>
              <w:left w:val="nil"/>
              <w:bottom w:val="nil"/>
              <w:right w:val="nil"/>
            </w:tcBorders>
            <w:shd w:val="clear" w:color="auto" w:fill="auto"/>
            <w:noWrap/>
            <w:vAlign w:val="center"/>
            <w:hideMark/>
          </w:tcPr>
          <w:p w14:paraId="2BC4A551"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35,574</w:t>
            </w:r>
          </w:p>
        </w:tc>
        <w:tc>
          <w:tcPr>
            <w:tcW w:w="850" w:type="dxa"/>
            <w:tcBorders>
              <w:top w:val="nil"/>
              <w:left w:val="nil"/>
              <w:bottom w:val="nil"/>
              <w:right w:val="single" w:sz="4" w:space="0" w:color="auto"/>
            </w:tcBorders>
            <w:shd w:val="clear" w:color="auto" w:fill="auto"/>
            <w:noWrap/>
            <w:vAlign w:val="center"/>
            <w:hideMark/>
          </w:tcPr>
          <w:p w14:paraId="3206DB89"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6.4%</w:t>
            </w:r>
          </w:p>
        </w:tc>
        <w:tc>
          <w:tcPr>
            <w:tcW w:w="1073" w:type="dxa"/>
            <w:tcBorders>
              <w:top w:val="nil"/>
              <w:left w:val="nil"/>
              <w:bottom w:val="nil"/>
              <w:right w:val="nil"/>
            </w:tcBorders>
            <w:shd w:val="clear" w:color="auto" w:fill="auto"/>
            <w:noWrap/>
            <w:vAlign w:val="center"/>
            <w:hideMark/>
          </w:tcPr>
          <w:p w14:paraId="4C20D8B5"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31,596</w:t>
            </w:r>
          </w:p>
        </w:tc>
        <w:tc>
          <w:tcPr>
            <w:tcW w:w="864" w:type="dxa"/>
            <w:tcBorders>
              <w:top w:val="nil"/>
              <w:left w:val="nil"/>
              <w:bottom w:val="nil"/>
              <w:right w:val="single" w:sz="4" w:space="0" w:color="auto"/>
            </w:tcBorders>
            <w:shd w:val="clear" w:color="auto" w:fill="auto"/>
            <w:noWrap/>
            <w:vAlign w:val="center"/>
            <w:hideMark/>
          </w:tcPr>
          <w:p w14:paraId="23266B9A"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5.7%</w:t>
            </w:r>
          </w:p>
        </w:tc>
        <w:tc>
          <w:tcPr>
            <w:tcW w:w="1073" w:type="dxa"/>
            <w:gridSpan w:val="2"/>
            <w:tcBorders>
              <w:top w:val="nil"/>
              <w:left w:val="nil"/>
              <w:bottom w:val="nil"/>
              <w:right w:val="nil"/>
            </w:tcBorders>
            <w:shd w:val="clear" w:color="auto" w:fill="auto"/>
            <w:noWrap/>
            <w:vAlign w:val="center"/>
            <w:hideMark/>
          </w:tcPr>
          <w:p w14:paraId="13FAB03D"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highlight w:val="yellow"/>
              </w:rPr>
            </w:pPr>
            <w:r w:rsidRPr="00E42B8C">
              <w:rPr>
                <w:rFonts w:asciiTheme="minorHAnsi" w:hAnsiTheme="minorHAnsi" w:cstheme="minorHAnsi"/>
                <w:color w:val="000000"/>
                <w:sz w:val="20"/>
                <w:szCs w:val="20"/>
              </w:rPr>
              <w:t>37,750</w:t>
            </w:r>
          </w:p>
        </w:tc>
        <w:tc>
          <w:tcPr>
            <w:tcW w:w="1030" w:type="dxa"/>
            <w:tcBorders>
              <w:top w:val="nil"/>
              <w:left w:val="nil"/>
              <w:bottom w:val="nil"/>
              <w:right w:val="single" w:sz="4" w:space="0" w:color="auto"/>
            </w:tcBorders>
            <w:shd w:val="clear" w:color="auto" w:fill="auto"/>
            <w:noWrap/>
            <w:vAlign w:val="center"/>
            <w:hideMark/>
          </w:tcPr>
          <w:p w14:paraId="1347DDF8"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highlight w:val="yellow"/>
              </w:rPr>
            </w:pPr>
            <w:r w:rsidRPr="00E42B8C">
              <w:rPr>
                <w:rFonts w:asciiTheme="minorHAnsi" w:hAnsiTheme="minorHAnsi" w:cstheme="minorHAnsi"/>
                <w:color w:val="000000"/>
                <w:sz w:val="20"/>
                <w:szCs w:val="20"/>
              </w:rPr>
              <w:t>6.6%</w:t>
            </w:r>
          </w:p>
        </w:tc>
      </w:tr>
      <w:tr w:rsidR="00F20199" w:rsidRPr="0040648C" w14:paraId="1192194E" w14:textId="77777777" w:rsidTr="00D30831">
        <w:trPr>
          <w:cantSplit/>
          <w:trHeight w:val="295"/>
        </w:trPr>
        <w:tc>
          <w:tcPr>
            <w:tcW w:w="1717" w:type="dxa"/>
            <w:tcBorders>
              <w:top w:val="nil"/>
              <w:left w:val="single" w:sz="4" w:space="0" w:color="auto"/>
              <w:bottom w:val="nil"/>
              <w:right w:val="single" w:sz="4" w:space="0" w:color="auto"/>
            </w:tcBorders>
            <w:shd w:val="clear" w:color="auto" w:fill="auto"/>
            <w:noWrap/>
            <w:vAlign w:val="bottom"/>
            <w:hideMark/>
          </w:tcPr>
          <w:p w14:paraId="7727E645" w14:textId="77777777" w:rsidR="00F20199" w:rsidRPr="00E42B8C" w:rsidRDefault="00F20199" w:rsidP="00DD634E">
            <w:pPr>
              <w:spacing w:after="0" w:line="240" w:lineRule="auto"/>
              <w:rPr>
                <w:rFonts w:asciiTheme="minorHAnsi" w:eastAsia="Times New Roman" w:hAnsiTheme="minorHAnsi" w:cstheme="minorHAnsi"/>
                <w:color w:val="000000"/>
                <w:sz w:val="20"/>
                <w:szCs w:val="20"/>
              </w:rPr>
            </w:pPr>
            <w:r w:rsidRPr="00E42B8C">
              <w:rPr>
                <w:rFonts w:asciiTheme="minorHAnsi" w:eastAsia="Times New Roman" w:hAnsiTheme="minorHAnsi" w:cstheme="minorHAnsi"/>
                <w:color w:val="000000"/>
                <w:sz w:val="20"/>
                <w:szCs w:val="20"/>
              </w:rPr>
              <w:t>Medicaid Risk</w:t>
            </w:r>
          </w:p>
        </w:tc>
        <w:tc>
          <w:tcPr>
            <w:tcW w:w="1264" w:type="dxa"/>
            <w:tcBorders>
              <w:top w:val="nil"/>
              <w:left w:val="nil"/>
              <w:bottom w:val="nil"/>
              <w:right w:val="nil"/>
            </w:tcBorders>
            <w:shd w:val="clear" w:color="auto" w:fill="auto"/>
            <w:noWrap/>
            <w:vAlign w:val="center"/>
            <w:hideMark/>
          </w:tcPr>
          <w:p w14:paraId="50B9D635"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39,992</w:t>
            </w:r>
          </w:p>
        </w:tc>
        <w:tc>
          <w:tcPr>
            <w:tcW w:w="967" w:type="dxa"/>
            <w:tcBorders>
              <w:top w:val="nil"/>
              <w:left w:val="nil"/>
              <w:bottom w:val="nil"/>
              <w:right w:val="single" w:sz="4" w:space="0" w:color="auto"/>
            </w:tcBorders>
            <w:shd w:val="clear" w:color="auto" w:fill="auto"/>
            <w:noWrap/>
            <w:vAlign w:val="center"/>
            <w:hideMark/>
          </w:tcPr>
          <w:p w14:paraId="045B93E3"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7.1%</w:t>
            </w:r>
          </w:p>
        </w:tc>
        <w:tc>
          <w:tcPr>
            <w:tcW w:w="1087" w:type="dxa"/>
            <w:tcBorders>
              <w:top w:val="nil"/>
              <w:left w:val="nil"/>
              <w:bottom w:val="nil"/>
              <w:right w:val="nil"/>
            </w:tcBorders>
            <w:shd w:val="clear" w:color="auto" w:fill="auto"/>
            <w:noWrap/>
            <w:vAlign w:val="center"/>
            <w:hideMark/>
          </w:tcPr>
          <w:p w14:paraId="48451CC4"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43,110</w:t>
            </w:r>
          </w:p>
        </w:tc>
        <w:tc>
          <w:tcPr>
            <w:tcW w:w="850" w:type="dxa"/>
            <w:tcBorders>
              <w:top w:val="nil"/>
              <w:left w:val="nil"/>
              <w:bottom w:val="nil"/>
              <w:right w:val="single" w:sz="4" w:space="0" w:color="auto"/>
            </w:tcBorders>
            <w:shd w:val="clear" w:color="auto" w:fill="auto"/>
            <w:noWrap/>
            <w:vAlign w:val="center"/>
            <w:hideMark/>
          </w:tcPr>
          <w:p w14:paraId="1E6D78FA"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7.8%</w:t>
            </w:r>
          </w:p>
        </w:tc>
        <w:tc>
          <w:tcPr>
            <w:tcW w:w="1073" w:type="dxa"/>
            <w:tcBorders>
              <w:top w:val="nil"/>
              <w:left w:val="nil"/>
              <w:bottom w:val="nil"/>
              <w:right w:val="nil"/>
            </w:tcBorders>
            <w:shd w:val="clear" w:color="auto" w:fill="auto"/>
            <w:noWrap/>
            <w:vAlign w:val="center"/>
            <w:hideMark/>
          </w:tcPr>
          <w:p w14:paraId="68C6C644"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46,233</w:t>
            </w:r>
          </w:p>
        </w:tc>
        <w:tc>
          <w:tcPr>
            <w:tcW w:w="864" w:type="dxa"/>
            <w:tcBorders>
              <w:top w:val="nil"/>
              <w:left w:val="nil"/>
              <w:bottom w:val="nil"/>
              <w:right w:val="single" w:sz="4" w:space="0" w:color="auto"/>
            </w:tcBorders>
            <w:shd w:val="clear" w:color="auto" w:fill="auto"/>
            <w:noWrap/>
            <w:vAlign w:val="center"/>
            <w:hideMark/>
          </w:tcPr>
          <w:p w14:paraId="2CB1086E"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8.4%</w:t>
            </w:r>
          </w:p>
        </w:tc>
        <w:tc>
          <w:tcPr>
            <w:tcW w:w="1073" w:type="dxa"/>
            <w:gridSpan w:val="2"/>
            <w:tcBorders>
              <w:top w:val="nil"/>
              <w:left w:val="nil"/>
              <w:bottom w:val="nil"/>
              <w:right w:val="nil"/>
            </w:tcBorders>
            <w:shd w:val="clear" w:color="auto" w:fill="auto"/>
            <w:noWrap/>
            <w:vAlign w:val="center"/>
            <w:hideMark/>
          </w:tcPr>
          <w:p w14:paraId="1E9D22C1"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highlight w:val="yellow"/>
              </w:rPr>
            </w:pPr>
            <w:r w:rsidRPr="00E42B8C">
              <w:rPr>
                <w:rFonts w:asciiTheme="minorHAnsi" w:hAnsiTheme="minorHAnsi" w:cstheme="minorHAnsi"/>
                <w:color w:val="000000"/>
                <w:sz w:val="20"/>
                <w:szCs w:val="20"/>
              </w:rPr>
              <w:t>45,036</w:t>
            </w:r>
          </w:p>
        </w:tc>
        <w:tc>
          <w:tcPr>
            <w:tcW w:w="1030" w:type="dxa"/>
            <w:tcBorders>
              <w:top w:val="nil"/>
              <w:left w:val="nil"/>
              <w:bottom w:val="nil"/>
              <w:right w:val="single" w:sz="4" w:space="0" w:color="auto"/>
            </w:tcBorders>
            <w:shd w:val="clear" w:color="auto" w:fill="auto"/>
            <w:noWrap/>
            <w:vAlign w:val="center"/>
            <w:hideMark/>
          </w:tcPr>
          <w:p w14:paraId="0D4B01D6"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highlight w:val="yellow"/>
              </w:rPr>
            </w:pPr>
            <w:r w:rsidRPr="00E42B8C">
              <w:rPr>
                <w:rFonts w:asciiTheme="minorHAnsi" w:hAnsiTheme="minorHAnsi" w:cstheme="minorHAnsi"/>
                <w:color w:val="000000"/>
                <w:sz w:val="20"/>
                <w:szCs w:val="20"/>
              </w:rPr>
              <w:t>7.8%</w:t>
            </w:r>
          </w:p>
        </w:tc>
      </w:tr>
      <w:tr w:rsidR="00F20199" w:rsidRPr="0040648C" w14:paraId="68701C13" w14:textId="77777777" w:rsidTr="00D30831">
        <w:trPr>
          <w:cantSplit/>
          <w:trHeight w:val="295"/>
        </w:trPr>
        <w:tc>
          <w:tcPr>
            <w:tcW w:w="1717" w:type="dxa"/>
            <w:tcBorders>
              <w:top w:val="nil"/>
              <w:left w:val="single" w:sz="4" w:space="0" w:color="auto"/>
              <w:bottom w:val="nil"/>
              <w:right w:val="single" w:sz="4" w:space="0" w:color="auto"/>
            </w:tcBorders>
            <w:shd w:val="clear" w:color="auto" w:fill="auto"/>
            <w:noWrap/>
            <w:vAlign w:val="bottom"/>
            <w:hideMark/>
          </w:tcPr>
          <w:p w14:paraId="2CE17F68" w14:textId="77777777" w:rsidR="00F20199" w:rsidRPr="00E42B8C" w:rsidRDefault="00F20199" w:rsidP="00DD634E">
            <w:pPr>
              <w:spacing w:after="0" w:line="240" w:lineRule="auto"/>
              <w:rPr>
                <w:rFonts w:asciiTheme="minorHAnsi" w:eastAsia="Times New Roman" w:hAnsiTheme="minorHAnsi" w:cstheme="minorHAnsi"/>
                <w:color w:val="000000"/>
                <w:sz w:val="20"/>
                <w:szCs w:val="20"/>
              </w:rPr>
            </w:pPr>
            <w:r w:rsidRPr="00E42B8C">
              <w:rPr>
                <w:rFonts w:asciiTheme="minorHAnsi" w:eastAsia="Times New Roman" w:hAnsiTheme="minorHAnsi" w:cstheme="minorHAnsi"/>
                <w:color w:val="000000"/>
                <w:sz w:val="20"/>
                <w:szCs w:val="20"/>
              </w:rPr>
              <w:t>Medicaid FFS</w:t>
            </w:r>
          </w:p>
        </w:tc>
        <w:tc>
          <w:tcPr>
            <w:tcW w:w="1264" w:type="dxa"/>
            <w:tcBorders>
              <w:top w:val="nil"/>
              <w:left w:val="nil"/>
              <w:bottom w:val="nil"/>
              <w:right w:val="nil"/>
            </w:tcBorders>
            <w:shd w:val="clear" w:color="auto" w:fill="auto"/>
            <w:noWrap/>
            <w:vAlign w:val="center"/>
            <w:hideMark/>
          </w:tcPr>
          <w:p w14:paraId="61E189DA"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3,007</w:t>
            </w:r>
          </w:p>
        </w:tc>
        <w:tc>
          <w:tcPr>
            <w:tcW w:w="967" w:type="dxa"/>
            <w:tcBorders>
              <w:top w:val="nil"/>
              <w:left w:val="nil"/>
              <w:bottom w:val="nil"/>
              <w:right w:val="single" w:sz="4" w:space="0" w:color="auto"/>
            </w:tcBorders>
            <w:shd w:val="clear" w:color="auto" w:fill="auto"/>
            <w:noWrap/>
            <w:vAlign w:val="center"/>
            <w:hideMark/>
          </w:tcPr>
          <w:p w14:paraId="24725E91"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0.5%</w:t>
            </w:r>
          </w:p>
        </w:tc>
        <w:tc>
          <w:tcPr>
            <w:tcW w:w="1087" w:type="dxa"/>
            <w:tcBorders>
              <w:top w:val="nil"/>
              <w:left w:val="nil"/>
              <w:bottom w:val="nil"/>
              <w:right w:val="nil"/>
            </w:tcBorders>
            <w:shd w:val="clear" w:color="auto" w:fill="auto"/>
            <w:noWrap/>
            <w:vAlign w:val="center"/>
            <w:hideMark/>
          </w:tcPr>
          <w:p w14:paraId="52A2A981"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2,861</w:t>
            </w:r>
          </w:p>
        </w:tc>
        <w:tc>
          <w:tcPr>
            <w:tcW w:w="850" w:type="dxa"/>
            <w:tcBorders>
              <w:top w:val="nil"/>
              <w:left w:val="nil"/>
              <w:bottom w:val="nil"/>
              <w:right w:val="single" w:sz="4" w:space="0" w:color="auto"/>
            </w:tcBorders>
            <w:shd w:val="clear" w:color="auto" w:fill="auto"/>
            <w:noWrap/>
            <w:vAlign w:val="center"/>
            <w:hideMark/>
          </w:tcPr>
          <w:p w14:paraId="454DA8FB"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0.5%</w:t>
            </w:r>
          </w:p>
        </w:tc>
        <w:tc>
          <w:tcPr>
            <w:tcW w:w="1073" w:type="dxa"/>
            <w:tcBorders>
              <w:top w:val="nil"/>
              <w:left w:val="nil"/>
              <w:bottom w:val="nil"/>
              <w:right w:val="nil"/>
            </w:tcBorders>
            <w:shd w:val="clear" w:color="auto" w:fill="auto"/>
            <w:noWrap/>
            <w:vAlign w:val="center"/>
            <w:hideMark/>
          </w:tcPr>
          <w:p w14:paraId="4F588D55"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2,592</w:t>
            </w:r>
          </w:p>
        </w:tc>
        <w:tc>
          <w:tcPr>
            <w:tcW w:w="864" w:type="dxa"/>
            <w:tcBorders>
              <w:top w:val="nil"/>
              <w:left w:val="nil"/>
              <w:bottom w:val="nil"/>
              <w:right w:val="single" w:sz="4" w:space="0" w:color="auto"/>
            </w:tcBorders>
            <w:shd w:val="clear" w:color="auto" w:fill="auto"/>
            <w:noWrap/>
            <w:vAlign w:val="center"/>
            <w:hideMark/>
          </w:tcPr>
          <w:p w14:paraId="1332E227"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0.5%</w:t>
            </w:r>
          </w:p>
        </w:tc>
        <w:tc>
          <w:tcPr>
            <w:tcW w:w="1073" w:type="dxa"/>
            <w:gridSpan w:val="2"/>
            <w:tcBorders>
              <w:top w:val="nil"/>
              <w:left w:val="nil"/>
              <w:bottom w:val="nil"/>
              <w:right w:val="nil"/>
            </w:tcBorders>
            <w:shd w:val="clear" w:color="auto" w:fill="auto"/>
            <w:noWrap/>
            <w:vAlign w:val="center"/>
            <w:hideMark/>
          </w:tcPr>
          <w:p w14:paraId="221AB7B4"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highlight w:val="yellow"/>
              </w:rPr>
            </w:pPr>
            <w:r w:rsidRPr="00E42B8C">
              <w:rPr>
                <w:rFonts w:asciiTheme="minorHAnsi" w:hAnsiTheme="minorHAnsi" w:cstheme="minorHAnsi"/>
                <w:color w:val="000000"/>
                <w:sz w:val="20"/>
                <w:szCs w:val="20"/>
              </w:rPr>
              <w:t>2,196</w:t>
            </w:r>
          </w:p>
        </w:tc>
        <w:tc>
          <w:tcPr>
            <w:tcW w:w="1030" w:type="dxa"/>
            <w:tcBorders>
              <w:top w:val="nil"/>
              <w:left w:val="nil"/>
              <w:bottom w:val="nil"/>
              <w:right w:val="single" w:sz="4" w:space="0" w:color="auto"/>
            </w:tcBorders>
            <w:shd w:val="clear" w:color="auto" w:fill="auto"/>
            <w:noWrap/>
            <w:vAlign w:val="center"/>
            <w:hideMark/>
          </w:tcPr>
          <w:p w14:paraId="76063D71"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highlight w:val="yellow"/>
              </w:rPr>
            </w:pPr>
            <w:r w:rsidRPr="00E42B8C">
              <w:rPr>
                <w:rFonts w:asciiTheme="minorHAnsi" w:hAnsiTheme="minorHAnsi" w:cstheme="minorHAnsi"/>
                <w:color w:val="000000"/>
                <w:sz w:val="20"/>
                <w:szCs w:val="20"/>
              </w:rPr>
              <w:t>0.4%</w:t>
            </w:r>
          </w:p>
        </w:tc>
      </w:tr>
      <w:tr w:rsidR="00F20199" w:rsidRPr="0040648C" w14:paraId="445C3007" w14:textId="77777777" w:rsidTr="00D30831">
        <w:trPr>
          <w:cantSplit/>
          <w:trHeight w:val="295"/>
        </w:trPr>
        <w:tc>
          <w:tcPr>
            <w:tcW w:w="1717" w:type="dxa"/>
            <w:tcBorders>
              <w:top w:val="nil"/>
              <w:left w:val="single" w:sz="4" w:space="0" w:color="auto"/>
              <w:bottom w:val="nil"/>
              <w:right w:val="single" w:sz="4" w:space="0" w:color="auto"/>
            </w:tcBorders>
            <w:shd w:val="clear" w:color="auto" w:fill="auto"/>
            <w:noWrap/>
            <w:vAlign w:val="bottom"/>
            <w:hideMark/>
          </w:tcPr>
          <w:p w14:paraId="2FF1E0D7" w14:textId="77777777" w:rsidR="00F20199" w:rsidRPr="00E42B8C" w:rsidRDefault="00F20199" w:rsidP="00DD634E">
            <w:pPr>
              <w:spacing w:after="0" w:line="240" w:lineRule="auto"/>
              <w:rPr>
                <w:rFonts w:asciiTheme="minorHAnsi" w:eastAsia="Times New Roman" w:hAnsiTheme="minorHAnsi" w:cstheme="minorHAnsi"/>
                <w:color w:val="000000"/>
                <w:sz w:val="20"/>
                <w:szCs w:val="20"/>
              </w:rPr>
            </w:pPr>
            <w:r w:rsidRPr="00E42B8C">
              <w:rPr>
                <w:rFonts w:asciiTheme="minorHAnsi" w:eastAsia="Times New Roman" w:hAnsiTheme="minorHAnsi" w:cstheme="minorHAnsi"/>
                <w:color w:val="000000"/>
                <w:sz w:val="20"/>
                <w:szCs w:val="20"/>
              </w:rPr>
              <w:t>Commercial Risk</w:t>
            </w:r>
          </w:p>
        </w:tc>
        <w:tc>
          <w:tcPr>
            <w:tcW w:w="1264" w:type="dxa"/>
            <w:tcBorders>
              <w:top w:val="nil"/>
              <w:left w:val="nil"/>
              <w:bottom w:val="nil"/>
              <w:right w:val="nil"/>
            </w:tcBorders>
            <w:shd w:val="clear" w:color="auto" w:fill="auto"/>
            <w:noWrap/>
            <w:vAlign w:val="center"/>
            <w:hideMark/>
          </w:tcPr>
          <w:p w14:paraId="6D4B6D12"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278,573</w:t>
            </w:r>
          </w:p>
        </w:tc>
        <w:tc>
          <w:tcPr>
            <w:tcW w:w="967" w:type="dxa"/>
            <w:tcBorders>
              <w:top w:val="nil"/>
              <w:left w:val="nil"/>
              <w:bottom w:val="nil"/>
              <w:right w:val="single" w:sz="4" w:space="0" w:color="auto"/>
            </w:tcBorders>
            <w:shd w:val="clear" w:color="auto" w:fill="auto"/>
            <w:noWrap/>
            <w:vAlign w:val="center"/>
            <w:hideMark/>
          </w:tcPr>
          <w:p w14:paraId="01A44AFF"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49.7%</w:t>
            </w:r>
          </w:p>
        </w:tc>
        <w:tc>
          <w:tcPr>
            <w:tcW w:w="1087" w:type="dxa"/>
            <w:tcBorders>
              <w:top w:val="nil"/>
              <w:left w:val="nil"/>
              <w:bottom w:val="nil"/>
              <w:right w:val="nil"/>
            </w:tcBorders>
            <w:shd w:val="clear" w:color="auto" w:fill="auto"/>
            <w:noWrap/>
            <w:vAlign w:val="center"/>
            <w:hideMark/>
          </w:tcPr>
          <w:p w14:paraId="16DDCB11"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266,043</w:t>
            </w:r>
          </w:p>
        </w:tc>
        <w:tc>
          <w:tcPr>
            <w:tcW w:w="850" w:type="dxa"/>
            <w:tcBorders>
              <w:top w:val="nil"/>
              <w:left w:val="nil"/>
              <w:bottom w:val="nil"/>
              <w:right w:val="single" w:sz="4" w:space="0" w:color="auto"/>
            </w:tcBorders>
            <w:shd w:val="clear" w:color="auto" w:fill="auto"/>
            <w:noWrap/>
            <w:vAlign w:val="center"/>
            <w:hideMark/>
          </w:tcPr>
          <w:p w14:paraId="55C40805"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48.0%</w:t>
            </w:r>
          </w:p>
        </w:tc>
        <w:tc>
          <w:tcPr>
            <w:tcW w:w="1073" w:type="dxa"/>
            <w:tcBorders>
              <w:top w:val="nil"/>
              <w:left w:val="nil"/>
              <w:bottom w:val="nil"/>
              <w:right w:val="nil"/>
            </w:tcBorders>
            <w:shd w:val="clear" w:color="auto" w:fill="auto"/>
            <w:noWrap/>
            <w:vAlign w:val="center"/>
            <w:hideMark/>
          </w:tcPr>
          <w:p w14:paraId="5C7479AD"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265,068</w:t>
            </w:r>
          </w:p>
        </w:tc>
        <w:tc>
          <w:tcPr>
            <w:tcW w:w="864" w:type="dxa"/>
            <w:tcBorders>
              <w:top w:val="nil"/>
              <w:left w:val="nil"/>
              <w:bottom w:val="nil"/>
              <w:right w:val="single" w:sz="4" w:space="0" w:color="auto"/>
            </w:tcBorders>
            <w:shd w:val="clear" w:color="auto" w:fill="auto"/>
            <w:noWrap/>
            <w:vAlign w:val="center"/>
            <w:hideMark/>
          </w:tcPr>
          <w:p w14:paraId="7B6CB983"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48.1%</w:t>
            </w:r>
          </w:p>
        </w:tc>
        <w:tc>
          <w:tcPr>
            <w:tcW w:w="1073" w:type="dxa"/>
            <w:gridSpan w:val="2"/>
            <w:tcBorders>
              <w:top w:val="nil"/>
              <w:left w:val="nil"/>
              <w:bottom w:val="nil"/>
              <w:right w:val="nil"/>
            </w:tcBorders>
            <w:shd w:val="clear" w:color="auto" w:fill="auto"/>
            <w:noWrap/>
            <w:vAlign w:val="center"/>
            <w:hideMark/>
          </w:tcPr>
          <w:p w14:paraId="1515C45D"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highlight w:val="yellow"/>
              </w:rPr>
            </w:pPr>
            <w:r w:rsidRPr="00E42B8C">
              <w:rPr>
                <w:rFonts w:asciiTheme="minorHAnsi" w:hAnsiTheme="minorHAnsi" w:cstheme="minorHAnsi"/>
                <w:color w:val="000000"/>
                <w:sz w:val="20"/>
                <w:szCs w:val="20"/>
              </w:rPr>
              <w:t>274,371</w:t>
            </w:r>
          </w:p>
        </w:tc>
        <w:tc>
          <w:tcPr>
            <w:tcW w:w="1030" w:type="dxa"/>
            <w:tcBorders>
              <w:top w:val="nil"/>
              <w:left w:val="nil"/>
              <w:bottom w:val="nil"/>
              <w:right w:val="single" w:sz="4" w:space="0" w:color="auto"/>
            </w:tcBorders>
            <w:shd w:val="clear" w:color="auto" w:fill="auto"/>
            <w:noWrap/>
            <w:vAlign w:val="center"/>
            <w:hideMark/>
          </w:tcPr>
          <w:p w14:paraId="7F1ADB4E"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highlight w:val="yellow"/>
              </w:rPr>
            </w:pPr>
            <w:r w:rsidRPr="00E42B8C">
              <w:rPr>
                <w:rFonts w:asciiTheme="minorHAnsi" w:hAnsiTheme="minorHAnsi" w:cstheme="minorHAnsi"/>
                <w:color w:val="000000"/>
                <w:sz w:val="20"/>
                <w:szCs w:val="20"/>
              </w:rPr>
              <w:t>47.8%</w:t>
            </w:r>
          </w:p>
        </w:tc>
      </w:tr>
      <w:tr w:rsidR="00F20199" w:rsidRPr="0040648C" w14:paraId="2434602B" w14:textId="77777777" w:rsidTr="00D30831">
        <w:trPr>
          <w:cantSplit/>
          <w:trHeight w:val="295"/>
        </w:trPr>
        <w:tc>
          <w:tcPr>
            <w:tcW w:w="1717" w:type="dxa"/>
            <w:tcBorders>
              <w:top w:val="nil"/>
              <w:left w:val="single" w:sz="4" w:space="0" w:color="auto"/>
              <w:bottom w:val="single" w:sz="4" w:space="0" w:color="auto"/>
              <w:right w:val="single" w:sz="4" w:space="0" w:color="auto"/>
            </w:tcBorders>
            <w:shd w:val="clear" w:color="auto" w:fill="auto"/>
            <w:noWrap/>
            <w:vAlign w:val="bottom"/>
            <w:hideMark/>
          </w:tcPr>
          <w:p w14:paraId="1FAB5D94" w14:textId="77777777" w:rsidR="00F20199" w:rsidRPr="00E42B8C" w:rsidRDefault="00F20199" w:rsidP="00DD634E">
            <w:pPr>
              <w:spacing w:after="0" w:line="240" w:lineRule="auto"/>
              <w:rPr>
                <w:rFonts w:asciiTheme="minorHAnsi" w:eastAsia="Times New Roman" w:hAnsiTheme="minorHAnsi" w:cstheme="minorHAnsi"/>
                <w:color w:val="000000"/>
                <w:sz w:val="20"/>
                <w:szCs w:val="20"/>
              </w:rPr>
            </w:pPr>
            <w:r w:rsidRPr="00E42B8C">
              <w:rPr>
                <w:rFonts w:asciiTheme="minorHAnsi" w:eastAsia="Times New Roman" w:hAnsiTheme="minorHAnsi" w:cstheme="minorHAnsi"/>
                <w:color w:val="000000"/>
                <w:sz w:val="20"/>
                <w:szCs w:val="20"/>
              </w:rPr>
              <w:t>Commercial FFS</w:t>
            </w:r>
          </w:p>
        </w:tc>
        <w:tc>
          <w:tcPr>
            <w:tcW w:w="1264" w:type="dxa"/>
            <w:tcBorders>
              <w:top w:val="nil"/>
              <w:left w:val="nil"/>
              <w:bottom w:val="single" w:sz="4" w:space="0" w:color="auto"/>
              <w:right w:val="nil"/>
            </w:tcBorders>
            <w:shd w:val="clear" w:color="auto" w:fill="auto"/>
            <w:noWrap/>
            <w:vAlign w:val="center"/>
            <w:hideMark/>
          </w:tcPr>
          <w:p w14:paraId="0C31B2DD"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151,016</w:t>
            </w:r>
          </w:p>
        </w:tc>
        <w:tc>
          <w:tcPr>
            <w:tcW w:w="967" w:type="dxa"/>
            <w:tcBorders>
              <w:top w:val="nil"/>
              <w:left w:val="nil"/>
              <w:bottom w:val="single" w:sz="4" w:space="0" w:color="auto"/>
              <w:right w:val="single" w:sz="4" w:space="0" w:color="auto"/>
            </w:tcBorders>
            <w:shd w:val="clear" w:color="auto" w:fill="auto"/>
            <w:noWrap/>
            <w:vAlign w:val="center"/>
            <w:hideMark/>
          </w:tcPr>
          <w:p w14:paraId="69A76F52"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26.9%</w:t>
            </w:r>
          </w:p>
        </w:tc>
        <w:tc>
          <w:tcPr>
            <w:tcW w:w="1087" w:type="dxa"/>
            <w:tcBorders>
              <w:top w:val="nil"/>
              <w:left w:val="nil"/>
              <w:bottom w:val="single" w:sz="4" w:space="0" w:color="auto"/>
              <w:right w:val="nil"/>
            </w:tcBorders>
            <w:shd w:val="clear" w:color="auto" w:fill="auto"/>
            <w:noWrap/>
            <w:vAlign w:val="center"/>
            <w:hideMark/>
          </w:tcPr>
          <w:p w14:paraId="57668EFB"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153,891</w:t>
            </w:r>
          </w:p>
        </w:tc>
        <w:tc>
          <w:tcPr>
            <w:tcW w:w="850" w:type="dxa"/>
            <w:tcBorders>
              <w:top w:val="nil"/>
              <w:left w:val="nil"/>
              <w:bottom w:val="single" w:sz="4" w:space="0" w:color="auto"/>
              <w:right w:val="single" w:sz="4" w:space="0" w:color="auto"/>
            </w:tcBorders>
            <w:shd w:val="clear" w:color="auto" w:fill="auto"/>
            <w:noWrap/>
            <w:vAlign w:val="center"/>
            <w:hideMark/>
          </w:tcPr>
          <w:p w14:paraId="14880622"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27.8%</w:t>
            </w:r>
          </w:p>
        </w:tc>
        <w:tc>
          <w:tcPr>
            <w:tcW w:w="1073" w:type="dxa"/>
            <w:tcBorders>
              <w:top w:val="nil"/>
              <w:left w:val="nil"/>
              <w:bottom w:val="single" w:sz="4" w:space="0" w:color="auto"/>
              <w:right w:val="nil"/>
            </w:tcBorders>
            <w:shd w:val="clear" w:color="auto" w:fill="auto"/>
            <w:noWrap/>
            <w:vAlign w:val="center"/>
            <w:hideMark/>
          </w:tcPr>
          <w:p w14:paraId="415FFCC0"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147,706</w:t>
            </w:r>
          </w:p>
        </w:tc>
        <w:tc>
          <w:tcPr>
            <w:tcW w:w="864" w:type="dxa"/>
            <w:tcBorders>
              <w:top w:val="nil"/>
              <w:left w:val="nil"/>
              <w:bottom w:val="single" w:sz="4" w:space="0" w:color="auto"/>
              <w:right w:val="single" w:sz="4" w:space="0" w:color="auto"/>
            </w:tcBorders>
            <w:shd w:val="clear" w:color="auto" w:fill="auto"/>
            <w:noWrap/>
            <w:vAlign w:val="center"/>
            <w:hideMark/>
          </w:tcPr>
          <w:p w14:paraId="1A7026A5"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26.8%</w:t>
            </w:r>
          </w:p>
        </w:tc>
        <w:tc>
          <w:tcPr>
            <w:tcW w:w="1073" w:type="dxa"/>
            <w:gridSpan w:val="2"/>
            <w:tcBorders>
              <w:top w:val="nil"/>
              <w:left w:val="nil"/>
              <w:bottom w:val="single" w:sz="4" w:space="0" w:color="auto"/>
              <w:right w:val="nil"/>
            </w:tcBorders>
            <w:shd w:val="clear" w:color="auto" w:fill="auto"/>
            <w:noWrap/>
            <w:vAlign w:val="center"/>
            <w:hideMark/>
          </w:tcPr>
          <w:p w14:paraId="5B875A10"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highlight w:val="yellow"/>
              </w:rPr>
            </w:pPr>
            <w:r w:rsidRPr="00E42B8C">
              <w:rPr>
                <w:rFonts w:asciiTheme="minorHAnsi" w:hAnsiTheme="minorHAnsi" w:cstheme="minorHAnsi"/>
                <w:color w:val="000000"/>
                <w:sz w:val="20"/>
                <w:szCs w:val="20"/>
              </w:rPr>
              <w:t>155,685</w:t>
            </w:r>
          </w:p>
        </w:tc>
        <w:tc>
          <w:tcPr>
            <w:tcW w:w="1030" w:type="dxa"/>
            <w:tcBorders>
              <w:top w:val="nil"/>
              <w:left w:val="nil"/>
              <w:bottom w:val="single" w:sz="4" w:space="0" w:color="auto"/>
              <w:right w:val="single" w:sz="4" w:space="0" w:color="auto"/>
            </w:tcBorders>
            <w:shd w:val="clear" w:color="auto" w:fill="auto"/>
            <w:noWrap/>
            <w:vAlign w:val="center"/>
            <w:hideMark/>
          </w:tcPr>
          <w:p w14:paraId="7296F4A5"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highlight w:val="yellow"/>
              </w:rPr>
            </w:pPr>
            <w:r w:rsidRPr="00E42B8C">
              <w:rPr>
                <w:rFonts w:asciiTheme="minorHAnsi" w:hAnsiTheme="minorHAnsi" w:cstheme="minorHAnsi"/>
                <w:color w:val="000000"/>
                <w:sz w:val="20"/>
                <w:szCs w:val="20"/>
              </w:rPr>
              <w:t>27.1%</w:t>
            </w:r>
          </w:p>
        </w:tc>
      </w:tr>
    </w:tbl>
    <w:p w14:paraId="085A1FC6" w14:textId="77777777" w:rsidR="00F20199" w:rsidRDefault="00F20199" w:rsidP="00F20199">
      <w:pPr>
        <w:pStyle w:val="ListParagraph"/>
        <w:rPr>
          <w:rFonts w:cstheme="minorHAnsi"/>
          <w:sz w:val="24"/>
          <w:szCs w:val="24"/>
        </w:rPr>
      </w:pPr>
    </w:p>
    <w:p w14:paraId="37E0C79D" w14:textId="77777777" w:rsidR="00E42B8C" w:rsidRDefault="00E42B8C" w:rsidP="00F20199">
      <w:pPr>
        <w:pStyle w:val="ListParagraph"/>
        <w:rPr>
          <w:rFonts w:cstheme="minorHAnsi"/>
          <w:sz w:val="24"/>
          <w:szCs w:val="24"/>
        </w:rPr>
      </w:pPr>
    </w:p>
    <w:p w14:paraId="0481B3B8" w14:textId="77777777" w:rsidR="00F20199" w:rsidRPr="00834B76" w:rsidRDefault="00F20199" w:rsidP="00F20199">
      <w:pPr>
        <w:pStyle w:val="ListParagraph"/>
        <w:jc w:val="center"/>
        <w:rPr>
          <w:rFonts w:cstheme="minorHAnsi"/>
          <w:b/>
          <w:sz w:val="24"/>
          <w:szCs w:val="24"/>
        </w:rPr>
      </w:pPr>
      <w:r w:rsidRPr="00834B76">
        <w:rPr>
          <w:rFonts w:cstheme="minorHAnsi"/>
          <w:b/>
          <w:sz w:val="24"/>
          <w:szCs w:val="24"/>
        </w:rPr>
        <w:t xml:space="preserve">Table </w:t>
      </w:r>
      <w:r>
        <w:rPr>
          <w:rFonts w:cstheme="minorHAnsi"/>
          <w:b/>
          <w:sz w:val="24"/>
          <w:szCs w:val="24"/>
        </w:rPr>
        <w:t>2</w:t>
      </w:r>
      <w:r w:rsidRPr="00834B76">
        <w:rPr>
          <w:rFonts w:cstheme="minorHAnsi"/>
          <w:b/>
          <w:sz w:val="24"/>
          <w:szCs w:val="24"/>
        </w:rPr>
        <w:t>. Atrius Health Patient Panel</w:t>
      </w:r>
      <w:r>
        <w:rPr>
          <w:rFonts w:cstheme="minorHAnsi"/>
          <w:b/>
          <w:sz w:val="24"/>
          <w:szCs w:val="24"/>
        </w:rPr>
        <w:t xml:space="preserve"> - County</w:t>
      </w:r>
    </w:p>
    <w:tbl>
      <w:tblPr>
        <w:tblpPr w:leftFromText="180" w:rightFromText="180" w:vertAnchor="text" w:horzAnchor="margin" w:tblpXSpec="center" w:tblpY="119"/>
        <w:tblW w:w="10945" w:type="dxa"/>
        <w:tblLook w:val="04A0" w:firstRow="1" w:lastRow="0" w:firstColumn="1" w:lastColumn="0" w:noHBand="0" w:noVBand="1"/>
      </w:tblPr>
      <w:tblGrid>
        <w:gridCol w:w="1781"/>
        <w:gridCol w:w="1094"/>
        <w:gridCol w:w="1350"/>
        <w:gridCol w:w="965"/>
        <w:gridCol w:w="1315"/>
        <w:gridCol w:w="965"/>
        <w:gridCol w:w="1235"/>
        <w:gridCol w:w="965"/>
        <w:gridCol w:w="1275"/>
      </w:tblGrid>
      <w:tr w:rsidR="006F1FDD" w:rsidRPr="00225A7D" w14:paraId="30912B99" w14:textId="77777777" w:rsidTr="009740E0">
        <w:trPr>
          <w:cantSplit/>
          <w:trHeight w:val="240"/>
          <w:tblHeader/>
        </w:trPr>
        <w:tc>
          <w:tcPr>
            <w:tcW w:w="178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0DA9EE7B" w14:textId="77777777" w:rsidR="006F1FDD" w:rsidRPr="00E42B8C" w:rsidRDefault="006F1FDD" w:rsidP="00E42B8C">
            <w:pPr>
              <w:spacing w:after="0" w:line="240" w:lineRule="auto"/>
              <w:rPr>
                <w:rFonts w:asciiTheme="minorHAnsi" w:eastAsia="Times New Roman" w:hAnsiTheme="minorHAnsi" w:cstheme="minorHAnsi"/>
                <w:b/>
                <w:bCs/>
                <w:color w:val="000000"/>
                <w:sz w:val="20"/>
                <w:szCs w:val="20"/>
              </w:rPr>
            </w:pPr>
          </w:p>
        </w:tc>
        <w:tc>
          <w:tcPr>
            <w:tcW w:w="1094" w:type="dxa"/>
            <w:tcBorders>
              <w:top w:val="single" w:sz="4" w:space="0" w:color="auto"/>
              <w:left w:val="nil"/>
              <w:bottom w:val="single" w:sz="4" w:space="0" w:color="auto"/>
            </w:tcBorders>
            <w:shd w:val="clear" w:color="auto" w:fill="BDD6EE" w:themeFill="accent1" w:themeFillTint="66"/>
            <w:noWrap/>
            <w:vAlign w:val="bottom"/>
            <w:hideMark/>
          </w:tcPr>
          <w:p w14:paraId="69B8AC98" w14:textId="77777777" w:rsidR="006F1FDD" w:rsidRPr="00E42B8C" w:rsidRDefault="006F1FDD" w:rsidP="00E42B8C">
            <w:pPr>
              <w:spacing w:after="0" w:line="240" w:lineRule="auto"/>
              <w:jc w:val="center"/>
              <w:rPr>
                <w:rFonts w:asciiTheme="minorHAnsi" w:eastAsia="Times New Roman" w:hAnsiTheme="minorHAnsi" w:cstheme="minorHAnsi"/>
                <w:b/>
                <w:bCs/>
                <w:color w:val="000000"/>
                <w:sz w:val="20"/>
                <w:szCs w:val="20"/>
              </w:rPr>
            </w:pPr>
            <w:r w:rsidRPr="00E42B8C">
              <w:rPr>
                <w:rFonts w:asciiTheme="minorHAnsi" w:eastAsia="Times New Roman" w:hAnsiTheme="minorHAnsi" w:cstheme="minorHAnsi"/>
                <w:b/>
                <w:bCs/>
                <w:color w:val="000000"/>
                <w:sz w:val="20"/>
                <w:szCs w:val="20"/>
              </w:rPr>
              <w:t>CY2020</w:t>
            </w:r>
          </w:p>
        </w:tc>
        <w:tc>
          <w:tcPr>
            <w:tcW w:w="1350" w:type="dxa"/>
            <w:tcBorders>
              <w:top w:val="single" w:sz="4" w:space="0" w:color="auto"/>
              <w:left w:val="nil"/>
              <w:bottom w:val="single" w:sz="4" w:space="0" w:color="auto"/>
              <w:right w:val="single" w:sz="4" w:space="0" w:color="auto"/>
            </w:tcBorders>
            <w:shd w:val="clear" w:color="auto" w:fill="BDD6EE" w:themeFill="accent1" w:themeFillTint="66"/>
            <w:vAlign w:val="bottom"/>
          </w:tcPr>
          <w:p w14:paraId="4B2EAB1E" w14:textId="70A2AB45" w:rsidR="006F1FDD" w:rsidRPr="00E42B8C" w:rsidRDefault="008C2F16" w:rsidP="00E42B8C">
            <w:pPr>
              <w:spacing w:after="0" w:line="240" w:lineRule="auto"/>
              <w:jc w:val="center"/>
              <w:rPr>
                <w:rFonts w:asciiTheme="minorHAnsi" w:eastAsia="Times New Roman" w:hAnsiTheme="minorHAnsi" w:cstheme="minorHAnsi"/>
                <w:b/>
                <w:bCs/>
                <w:color w:val="000000"/>
                <w:sz w:val="20"/>
                <w:szCs w:val="20"/>
              </w:rPr>
            </w:pPr>
            <w:r w:rsidRPr="00E42B8C">
              <w:rPr>
                <w:rFonts w:asciiTheme="minorHAnsi" w:eastAsia="Times New Roman" w:hAnsiTheme="minorHAnsi" w:cstheme="minorHAnsi"/>
                <w:b/>
                <w:bCs/>
                <w:color w:val="000000"/>
                <w:sz w:val="20"/>
                <w:szCs w:val="20"/>
              </w:rPr>
              <w:t>CY2020</w:t>
            </w:r>
          </w:p>
        </w:tc>
        <w:tc>
          <w:tcPr>
            <w:tcW w:w="965" w:type="dxa"/>
            <w:tcBorders>
              <w:top w:val="single" w:sz="4" w:space="0" w:color="auto"/>
              <w:left w:val="nil"/>
              <w:bottom w:val="single" w:sz="4" w:space="0" w:color="auto"/>
            </w:tcBorders>
            <w:shd w:val="clear" w:color="auto" w:fill="BDD6EE" w:themeFill="accent1" w:themeFillTint="66"/>
            <w:noWrap/>
            <w:vAlign w:val="bottom"/>
            <w:hideMark/>
          </w:tcPr>
          <w:p w14:paraId="455B7151" w14:textId="77777777" w:rsidR="006F1FDD" w:rsidRPr="00E42B8C" w:rsidRDefault="006F1FDD" w:rsidP="00E42B8C">
            <w:pPr>
              <w:spacing w:after="0" w:line="240" w:lineRule="auto"/>
              <w:jc w:val="center"/>
              <w:rPr>
                <w:rFonts w:asciiTheme="minorHAnsi" w:eastAsia="Times New Roman" w:hAnsiTheme="minorHAnsi" w:cstheme="minorHAnsi"/>
                <w:b/>
                <w:bCs/>
                <w:color w:val="000000"/>
                <w:sz w:val="20"/>
                <w:szCs w:val="20"/>
              </w:rPr>
            </w:pPr>
            <w:r w:rsidRPr="00E42B8C">
              <w:rPr>
                <w:rFonts w:asciiTheme="minorHAnsi" w:eastAsia="Times New Roman" w:hAnsiTheme="minorHAnsi" w:cstheme="minorHAnsi"/>
                <w:b/>
                <w:bCs/>
                <w:color w:val="000000"/>
                <w:sz w:val="20"/>
                <w:szCs w:val="20"/>
              </w:rPr>
              <w:t>CY2021</w:t>
            </w:r>
          </w:p>
        </w:tc>
        <w:tc>
          <w:tcPr>
            <w:tcW w:w="1315" w:type="dxa"/>
            <w:tcBorders>
              <w:top w:val="single" w:sz="4" w:space="0" w:color="auto"/>
              <w:left w:val="nil"/>
              <w:bottom w:val="single" w:sz="4" w:space="0" w:color="auto"/>
              <w:right w:val="single" w:sz="4" w:space="0" w:color="auto"/>
            </w:tcBorders>
            <w:shd w:val="clear" w:color="auto" w:fill="BDD6EE" w:themeFill="accent1" w:themeFillTint="66"/>
            <w:vAlign w:val="bottom"/>
          </w:tcPr>
          <w:p w14:paraId="58677959" w14:textId="76A21968" w:rsidR="006F1FDD" w:rsidRPr="00E42B8C" w:rsidRDefault="008C2F16" w:rsidP="00E42B8C">
            <w:pPr>
              <w:spacing w:after="0" w:line="240" w:lineRule="auto"/>
              <w:jc w:val="center"/>
              <w:rPr>
                <w:rFonts w:asciiTheme="minorHAnsi" w:eastAsia="Times New Roman" w:hAnsiTheme="minorHAnsi" w:cstheme="minorHAnsi"/>
                <w:b/>
                <w:bCs/>
                <w:color w:val="000000"/>
                <w:sz w:val="20"/>
                <w:szCs w:val="20"/>
              </w:rPr>
            </w:pPr>
            <w:r w:rsidRPr="00E42B8C">
              <w:rPr>
                <w:rFonts w:asciiTheme="minorHAnsi" w:eastAsia="Times New Roman" w:hAnsiTheme="minorHAnsi" w:cstheme="minorHAnsi"/>
                <w:b/>
                <w:bCs/>
                <w:color w:val="000000"/>
                <w:sz w:val="20"/>
                <w:szCs w:val="20"/>
              </w:rPr>
              <w:t>CY2021</w:t>
            </w:r>
          </w:p>
        </w:tc>
        <w:tc>
          <w:tcPr>
            <w:tcW w:w="965" w:type="dxa"/>
            <w:tcBorders>
              <w:top w:val="single" w:sz="4" w:space="0" w:color="auto"/>
              <w:left w:val="nil"/>
              <w:bottom w:val="single" w:sz="4" w:space="0" w:color="auto"/>
            </w:tcBorders>
            <w:shd w:val="clear" w:color="auto" w:fill="BDD6EE" w:themeFill="accent1" w:themeFillTint="66"/>
            <w:noWrap/>
            <w:vAlign w:val="bottom"/>
            <w:hideMark/>
          </w:tcPr>
          <w:p w14:paraId="744172FB" w14:textId="77777777" w:rsidR="006F1FDD" w:rsidRPr="00E42B8C" w:rsidRDefault="006F1FDD" w:rsidP="00E42B8C">
            <w:pPr>
              <w:spacing w:after="0" w:line="240" w:lineRule="auto"/>
              <w:jc w:val="center"/>
              <w:rPr>
                <w:rFonts w:asciiTheme="minorHAnsi" w:eastAsia="Times New Roman" w:hAnsiTheme="minorHAnsi" w:cstheme="minorHAnsi"/>
                <w:b/>
                <w:bCs/>
                <w:color w:val="000000"/>
                <w:sz w:val="20"/>
                <w:szCs w:val="20"/>
              </w:rPr>
            </w:pPr>
            <w:r w:rsidRPr="00E42B8C">
              <w:rPr>
                <w:rFonts w:asciiTheme="minorHAnsi" w:eastAsia="Times New Roman" w:hAnsiTheme="minorHAnsi" w:cstheme="minorHAnsi"/>
                <w:b/>
                <w:bCs/>
                <w:color w:val="000000"/>
                <w:sz w:val="20"/>
                <w:szCs w:val="20"/>
              </w:rPr>
              <w:t>CY2022</w:t>
            </w:r>
          </w:p>
        </w:tc>
        <w:tc>
          <w:tcPr>
            <w:tcW w:w="1235" w:type="dxa"/>
            <w:tcBorders>
              <w:top w:val="single" w:sz="4" w:space="0" w:color="auto"/>
              <w:left w:val="nil"/>
              <w:bottom w:val="single" w:sz="4" w:space="0" w:color="auto"/>
              <w:right w:val="single" w:sz="4" w:space="0" w:color="auto"/>
            </w:tcBorders>
            <w:shd w:val="clear" w:color="auto" w:fill="BDD6EE" w:themeFill="accent1" w:themeFillTint="66"/>
            <w:vAlign w:val="bottom"/>
          </w:tcPr>
          <w:p w14:paraId="14A72C98" w14:textId="04CF2980" w:rsidR="006F1FDD" w:rsidRPr="00E42B8C" w:rsidRDefault="008C2F16" w:rsidP="00E42B8C">
            <w:pPr>
              <w:spacing w:after="0" w:line="240" w:lineRule="auto"/>
              <w:jc w:val="center"/>
              <w:rPr>
                <w:rFonts w:asciiTheme="minorHAnsi" w:eastAsia="Times New Roman" w:hAnsiTheme="minorHAnsi" w:cstheme="minorHAnsi"/>
                <w:b/>
                <w:bCs/>
                <w:color w:val="000000"/>
                <w:sz w:val="20"/>
                <w:szCs w:val="20"/>
              </w:rPr>
            </w:pPr>
            <w:r w:rsidRPr="00E42B8C">
              <w:rPr>
                <w:rFonts w:asciiTheme="minorHAnsi" w:eastAsia="Times New Roman" w:hAnsiTheme="minorHAnsi" w:cstheme="minorHAnsi"/>
                <w:b/>
                <w:bCs/>
                <w:color w:val="000000"/>
                <w:sz w:val="20"/>
                <w:szCs w:val="20"/>
              </w:rPr>
              <w:t>CY2022</w:t>
            </w:r>
          </w:p>
        </w:tc>
        <w:tc>
          <w:tcPr>
            <w:tcW w:w="965" w:type="dxa"/>
            <w:tcBorders>
              <w:top w:val="single" w:sz="4" w:space="0" w:color="auto"/>
              <w:left w:val="nil"/>
              <w:bottom w:val="single" w:sz="4" w:space="0" w:color="auto"/>
            </w:tcBorders>
            <w:shd w:val="clear" w:color="auto" w:fill="BDD6EE" w:themeFill="accent1" w:themeFillTint="66"/>
            <w:noWrap/>
            <w:vAlign w:val="bottom"/>
            <w:hideMark/>
          </w:tcPr>
          <w:p w14:paraId="62B81ED7" w14:textId="77777777" w:rsidR="006F1FDD" w:rsidRPr="00E42B8C" w:rsidRDefault="006F1FDD" w:rsidP="00E42B8C">
            <w:pPr>
              <w:spacing w:after="0" w:line="240" w:lineRule="auto"/>
              <w:jc w:val="center"/>
              <w:rPr>
                <w:rFonts w:asciiTheme="minorHAnsi" w:eastAsia="Times New Roman" w:hAnsiTheme="minorHAnsi" w:cstheme="minorHAnsi"/>
                <w:b/>
                <w:bCs/>
                <w:color w:val="000000"/>
                <w:sz w:val="20"/>
                <w:szCs w:val="20"/>
              </w:rPr>
            </w:pPr>
            <w:r w:rsidRPr="00E42B8C">
              <w:rPr>
                <w:rFonts w:asciiTheme="minorHAnsi" w:eastAsia="Times New Roman" w:hAnsiTheme="minorHAnsi" w:cstheme="minorHAnsi"/>
                <w:b/>
                <w:bCs/>
                <w:color w:val="000000"/>
                <w:sz w:val="20"/>
                <w:szCs w:val="20"/>
              </w:rPr>
              <w:t>CY2023</w:t>
            </w:r>
          </w:p>
        </w:tc>
        <w:tc>
          <w:tcPr>
            <w:tcW w:w="1275" w:type="dxa"/>
            <w:tcBorders>
              <w:top w:val="single" w:sz="4" w:space="0" w:color="auto"/>
              <w:left w:val="nil"/>
              <w:bottom w:val="single" w:sz="4" w:space="0" w:color="auto"/>
              <w:right w:val="single" w:sz="4" w:space="0" w:color="auto"/>
            </w:tcBorders>
            <w:shd w:val="clear" w:color="auto" w:fill="BDD6EE" w:themeFill="accent1" w:themeFillTint="66"/>
            <w:vAlign w:val="bottom"/>
          </w:tcPr>
          <w:p w14:paraId="6C666DDA" w14:textId="5EBCCB3F" w:rsidR="006F1FDD" w:rsidRPr="00E42B8C" w:rsidRDefault="008C2F16" w:rsidP="00E42B8C">
            <w:pPr>
              <w:spacing w:after="0" w:line="240" w:lineRule="auto"/>
              <w:jc w:val="center"/>
              <w:rPr>
                <w:rFonts w:asciiTheme="minorHAnsi" w:eastAsia="Times New Roman" w:hAnsiTheme="minorHAnsi" w:cstheme="minorHAnsi"/>
                <w:b/>
                <w:bCs/>
                <w:color w:val="000000"/>
                <w:sz w:val="20"/>
                <w:szCs w:val="20"/>
              </w:rPr>
            </w:pPr>
            <w:r w:rsidRPr="00E42B8C">
              <w:rPr>
                <w:rFonts w:asciiTheme="minorHAnsi" w:eastAsia="Times New Roman" w:hAnsiTheme="minorHAnsi" w:cstheme="minorHAnsi"/>
                <w:b/>
                <w:bCs/>
                <w:color w:val="000000"/>
                <w:sz w:val="20"/>
                <w:szCs w:val="20"/>
              </w:rPr>
              <w:t>CY2023</w:t>
            </w:r>
          </w:p>
        </w:tc>
      </w:tr>
      <w:tr w:rsidR="00E42B8C" w:rsidRPr="00225A7D" w14:paraId="09F1ED03" w14:textId="77777777" w:rsidTr="009740E0">
        <w:trPr>
          <w:cantSplit/>
          <w:trHeight w:val="240"/>
          <w:tblHeader/>
        </w:trPr>
        <w:tc>
          <w:tcPr>
            <w:tcW w:w="1781"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4C425988" w14:textId="77777777" w:rsidR="00E42B8C" w:rsidRPr="00E42B8C" w:rsidRDefault="00E42B8C" w:rsidP="00E42B8C">
            <w:pPr>
              <w:spacing w:after="0" w:line="240" w:lineRule="auto"/>
              <w:rPr>
                <w:rFonts w:asciiTheme="minorHAnsi" w:eastAsia="Times New Roman" w:hAnsiTheme="minorHAnsi" w:cstheme="minorHAnsi"/>
                <w:b/>
                <w:bCs/>
                <w:color w:val="000000"/>
                <w:sz w:val="20"/>
                <w:szCs w:val="20"/>
              </w:rPr>
            </w:pPr>
            <w:r w:rsidRPr="00E42B8C">
              <w:rPr>
                <w:rFonts w:asciiTheme="minorHAnsi" w:eastAsia="Times New Roman" w:hAnsiTheme="minorHAnsi" w:cstheme="minorHAnsi"/>
                <w:b/>
                <w:bCs/>
                <w:color w:val="000000"/>
                <w:sz w:val="20"/>
                <w:szCs w:val="20"/>
              </w:rPr>
              <w:t> County</w:t>
            </w:r>
          </w:p>
        </w:tc>
        <w:tc>
          <w:tcPr>
            <w:tcW w:w="1094" w:type="dxa"/>
            <w:tcBorders>
              <w:top w:val="nil"/>
              <w:left w:val="nil"/>
              <w:bottom w:val="single" w:sz="4" w:space="0" w:color="auto"/>
              <w:right w:val="single" w:sz="4" w:space="0" w:color="auto"/>
            </w:tcBorders>
            <w:shd w:val="clear" w:color="auto" w:fill="BDD6EE" w:themeFill="accent1" w:themeFillTint="66"/>
            <w:noWrap/>
            <w:vAlign w:val="bottom"/>
            <w:hideMark/>
          </w:tcPr>
          <w:p w14:paraId="2871A527" w14:textId="77777777" w:rsidR="00E42B8C" w:rsidRPr="00E42B8C" w:rsidRDefault="00E42B8C" w:rsidP="00E42B8C">
            <w:pPr>
              <w:spacing w:after="0" w:line="240" w:lineRule="auto"/>
              <w:jc w:val="center"/>
              <w:rPr>
                <w:rFonts w:asciiTheme="minorHAnsi" w:eastAsia="Times New Roman" w:hAnsiTheme="minorHAnsi" w:cstheme="minorHAnsi"/>
                <w:b/>
                <w:bCs/>
                <w:color w:val="000000"/>
                <w:sz w:val="20"/>
                <w:szCs w:val="20"/>
              </w:rPr>
            </w:pPr>
            <w:r w:rsidRPr="00E42B8C">
              <w:rPr>
                <w:rFonts w:asciiTheme="minorHAnsi" w:eastAsia="Times New Roman" w:hAnsiTheme="minorHAnsi" w:cstheme="minorHAnsi"/>
                <w:b/>
                <w:bCs/>
                <w:color w:val="000000"/>
                <w:sz w:val="20"/>
                <w:szCs w:val="20"/>
              </w:rPr>
              <w:t>Patients</w:t>
            </w:r>
          </w:p>
        </w:tc>
        <w:tc>
          <w:tcPr>
            <w:tcW w:w="1350" w:type="dxa"/>
            <w:tcBorders>
              <w:top w:val="nil"/>
              <w:left w:val="nil"/>
              <w:bottom w:val="single" w:sz="4" w:space="0" w:color="auto"/>
              <w:right w:val="single" w:sz="4" w:space="0" w:color="auto"/>
            </w:tcBorders>
            <w:shd w:val="clear" w:color="auto" w:fill="BDD6EE" w:themeFill="accent1" w:themeFillTint="66"/>
            <w:noWrap/>
            <w:vAlign w:val="bottom"/>
            <w:hideMark/>
          </w:tcPr>
          <w:p w14:paraId="2AD98E7A" w14:textId="77777777" w:rsidR="00E42B8C" w:rsidRPr="00E42B8C" w:rsidRDefault="00E42B8C" w:rsidP="00E42B8C">
            <w:pPr>
              <w:spacing w:after="0" w:line="240" w:lineRule="auto"/>
              <w:jc w:val="center"/>
              <w:rPr>
                <w:rFonts w:asciiTheme="minorHAnsi" w:eastAsia="Times New Roman" w:hAnsiTheme="minorHAnsi" w:cstheme="minorHAnsi"/>
                <w:b/>
                <w:bCs/>
                <w:color w:val="000000"/>
                <w:sz w:val="20"/>
                <w:szCs w:val="20"/>
              </w:rPr>
            </w:pPr>
            <w:r w:rsidRPr="00E42B8C">
              <w:rPr>
                <w:rFonts w:asciiTheme="minorHAnsi" w:eastAsia="Times New Roman" w:hAnsiTheme="minorHAnsi" w:cstheme="minorHAnsi"/>
                <w:b/>
                <w:bCs/>
                <w:color w:val="000000"/>
                <w:sz w:val="20"/>
                <w:szCs w:val="20"/>
              </w:rPr>
              <w:t>% Patients</w:t>
            </w:r>
          </w:p>
        </w:tc>
        <w:tc>
          <w:tcPr>
            <w:tcW w:w="965" w:type="dxa"/>
            <w:tcBorders>
              <w:top w:val="nil"/>
              <w:left w:val="nil"/>
              <w:bottom w:val="single" w:sz="4" w:space="0" w:color="auto"/>
              <w:right w:val="single" w:sz="4" w:space="0" w:color="auto"/>
            </w:tcBorders>
            <w:shd w:val="clear" w:color="auto" w:fill="BDD6EE" w:themeFill="accent1" w:themeFillTint="66"/>
            <w:noWrap/>
            <w:vAlign w:val="bottom"/>
            <w:hideMark/>
          </w:tcPr>
          <w:p w14:paraId="773BB8D5" w14:textId="77777777" w:rsidR="00E42B8C" w:rsidRPr="00E42B8C" w:rsidRDefault="00E42B8C" w:rsidP="00E42B8C">
            <w:pPr>
              <w:spacing w:after="0" w:line="240" w:lineRule="auto"/>
              <w:jc w:val="center"/>
              <w:rPr>
                <w:rFonts w:asciiTheme="minorHAnsi" w:eastAsia="Times New Roman" w:hAnsiTheme="minorHAnsi" w:cstheme="minorHAnsi"/>
                <w:b/>
                <w:bCs/>
                <w:color w:val="000000"/>
                <w:sz w:val="20"/>
                <w:szCs w:val="20"/>
              </w:rPr>
            </w:pPr>
            <w:r w:rsidRPr="00E42B8C">
              <w:rPr>
                <w:rFonts w:asciiTheme="minorHAnsi" w:eastAsia="Times New Roman" w:hAnsiTheme="minorHAnsi" w:cstheme="minorHAnsi"/>
                <w:b/>
                <w:bCs/>
                <w:color w:val="000000"/>
                <w:sz w:val="20"/>
                <w:szCs w:val="20"/>
              </w:rPr>
              <w:t>Patients</w:t>
            </w:r>
          </w:p>
        </w:tc>
        <w:tc>
          <w:tcPr>
            <w:tcW w:w="1315" w:type="dxa"/>
            <w:tcBorders>
              <w:top w:val="nil"/>
              <w:left w:val="nil"/>
              <w:bottom w:val="single" w:sz="4" w:space="0" w:color="auto"/>
              <w:right w:val="single" w:sz="4" w:space="0" w:color="auto"/>
            </w:tcBorders>
            <w:shd w:val="clear" w:color="auto" w:fill="BDD6EE" w:themeFill="accent1" w:themeFillTint="66"/>
            <w:noWrap/>
            <w:vAlign w:val="bottom"/>
            <w:hideMark/>
          </w:tcPr>
          <w:p w14:paraId="492EAD67" w14:textId="77777777" w:rsidR="00E42B8C" w:rsidRPr="00E42B8C" w:rsidRDefault="00E42B8C" w:rsidP="00E42B8C">
            <w:pPr>
              <w:spacing w:after="0" w:line="240" w:lineRule="auto"/>
              <w:jc w:val="center"/>
              <w:rPr>
                <w:rFonts w:asciiTheme="minorHAnsi" w:eastAsia="Times New Roman" w:hAnsiTheme="minorHAnsi" w:cstheme="minorHAnsi"/>
                <w:b/>
                <w:bCs/>
                <w:color w:val="000000"/>
                <w:sz w:val="20"/>
                <w:szCs w:val="20"/>
              </w:rPr>
            </w:pPr>
            <w:r w:rsidRPr="00E42B8C">
              <w:rPr>
                <w:rFonts w:asciiTheme="minorHAnsi" w:eastAsia="Times New Roman" w:hAnsiTheme="minorHAnsi" w:cstheme="minorHAnsi"/>
                <w:b/>
                <w:bCs/>
                <w:color w:val="000000"/>
                <w:sz w:val="20"/>
                <w:szCs w:val="20"/>
              </w:rPr>
              <w:t>% Patients</w:t>
            </w:r>
          </w:p>
        </w:tc>
        <w:tc>
          <w:tcPr>
            <w:tcW w:w="965" w:type="dxa"/>
            <w:tcBorders>
              <w:top w:val="nil"/>
              <w:left w:val="nil"/>
              <w:bottom w:val="single" w:sz="4" w:space="0" w:color="auto"/>
              <w:right w:val="single" w:sz="4" w:space="0" w:color="auto"/>
            </w:tcBorders>
            <w:shd w:val="clear" w:color="auto" w:fill="BDD6EE" w:themeFill="accent1" w:themeFillTint="66"/>
            <w:noWrap/>
            <w:vAlign w:val="bottom"/>
            <w:hideMark/>
          </w:tcPr>
          <w:p w14:paraId="1EBF2329" w14:textId="77777777" w:rsidR="00E42B8C" w:rsidRPr="00E42B8C" w:rsidRDefault="00E42B8C" w:rsidP="00E42B8C">
            <w:pPr>
              <w:spacing w:after="0" w:line="240" w:lineRule="auto"/>
              <w:jc w:val="center"/>
              <w:rPr>
                <w:rFonts w:asciiTheme="minorHAnsi" w:eastAsia="Times New Roman" w:hAnsiTheme="minorHAnsi" w:cstheme="minorHAnsi"/>
                <w:b/>
                <w:bCs/>
                <w:color w:val="000000"/>
                <w:sz w:val="20"/>
                <w:szCs w:val="20"/>
              </w:rPr>
            </w:pPr>
            <w:r w:rsidRPr="00E42B8C">
              <w:rPr>
                <w:rFonts w:asciiTheme="minorHAnsi" w:eastAsia="Times New Roman" w:hAnsiTheme="minorHAnsi" w:cstheme="minorHAnsi"/>
                <w:b/>
                <w:bCs/>
                <w:color w:val="000000"/>
                <w:sz w:val="20"/>
                <w:szCs w:val="20"/>
              </w:rPr>
              <w:t>Patients</w:t>
            </w:r>
          </w:p>
        </w:tc>
        <w:tc>
          <w:tcPr>
            <w:tcW w:w="1235" w:type="dxa"/>
            <w:tcBorders>
              <w:top w:val="nil"/>
              <w:left w:val="nil"/>
              <w:bottom w:val="single" w:sz="4" w:space="0" w:color="auto"/>
              <w:right w:val="single" w:sz="4" w:space="0" w:color="auto"/>
            </w:tcBorders>
            <w:shd w:val="clear" w:color="auto" w:fill="BDD6EE" w:themeFill="accent1" w:themeFillTint="66"/>
            <w:noWrap/>
            <w:vAlign w:val="bottom"/>
            <w:hideMark/>
          </w:tcPr>
          <w:p w14:paraId="25B48E19" w14:textId="77777777" w:rsidR="00E42B8C" w:rsidRPr="00E42B8C" w:rsidRDefault="00E42B8C" w:rsidP="00E42B8C">
            <w:pPr>
              <w:spacing w:after="0" w:line="240" w:lineRule="auto"/>
              <w:jc w:val="center"/>
              <w:rPr>
                <w:rFonts w:asciiTheme="minorHAnsi" w:eastAsia="Times New Roman" w:hAnsiTheme="minorHAnsi" w:cstheme="minorHAnsi"/>
                <w:b/>
                <w:bCs/>
                <w:color w:val="000000"/>
                <w:sz w:val="20"/>
                <w:szCs w:val="20"/>
              </w:rPr>
            </w:pPr>
            <w:r w:rsidRPr="00E42B8C">
              <w:rPr>
                <w:rFonts w:asciiTheme="minorHAnsi" w:eastAsia="Times New Roman" w:hAnsiTheme="minorHAnsi" w:cstheme="minorHAnsi"/>
                <w:b/>
                <w:bCs/>
                <w:color w:val="000000"/>
                <w:sz w:val="20"/>
                <w:szCs w:val="20"/>
              </w:rPr>
              <w:t>% Patients</w:t>
            </w:r>
          </w:p>
        </w:tc>
        <w:tc>
          <w:tcPr>
            <w:tcW w:w="965" w:type="dxa"/>
            <w:tcBorders>
              <w:top w:val="nil"/>
              <w:left w:val="nil"/>
              <w:bottom w:val="single" w:sz="4" w:space="0" w:color="auto"/>
              <w:right w:val="single" w:sz="4" w:space="0" w:color="auto"/>
            </w:tcBorders>
            <w:shd w:val="clear" w:color="auto" w:fill="BDD6EE" w:themeFill="accent1" w:themeFillTint="66"/>
            <w:noWrap/>
            <w:vAlign w:val="bottom"/>
            <w:hideMark/>
          </w:tcPr>
          <w:p w14:paraId="1ABC2362" w14:textId="77777777" w:rsidR="00E42B8C" w:rsidRPr="00E42B8C" w:rsidRDefault="00E42B8C" w:rsidP="00E42B8C">
            <w:pPr>
              <w:spacing w:after="0" w:line="240" w:lineRule="auto"/>
              <w:jc w:val="center"/>
              <w:rPr>
                <w:rFonts w:asciiTheme="minorHAnsi" w:eastAsia="Times New Roman" w:hAnsiTheme="minorHAnsi" w:cstheme="minorHAnsi"/>
                <w:b/>
                <w:bCs/>
                <w:color w:val="000000"/>
                <w:sz w:val="20"/>
                <w:szCs w:val="20"/>
              </w:rPr>
            </w:pPr>
            <w:r w:rsidRPr="00E42B8C">
              <w:rPr>
                <w:rFonts w:asciiTheme="minorHAnsi" w:eastAsia="Times New Roman" w:hAnsiTheme="minorHAnsi" w:cstheme="minorHAnsi"/>
                <w:b/>
                <w:bCs/>
                <w:color w:val="000000"/>
                <w:sz w:val="20"/>
                <w:szCs w:val="20"/>
              </w:rPr>
              <w:t>Patients</w:t>
            </w:r>
          </w:p>
        </w:tc>
        <w:tc>
          <w:tcPr>
            <w:tcW w:w="1275" w:type="dxa"/>
            <w:tcBorders>
              <w:top w:val="nil"/>
              <w:left w:val="nil"/>
              <w:bottom w:val="single" w:sz="4" w:space="0" w:color="auto"/>
              <w:right w:val="single" w:sz="4" w:space="0" w:color="auto"/>
            </w:tcBorders>
            <w:shd w:val="clear" w:color="auto" w:fill="BDD6EE" w:themeFill="accent1" w:themeFillTint="66"/>
            <w:noWrap/>
            <w:vAlign w:val="bottom"/>
            <w:hideMark/>
          </w:tcPr>
          <w:p w14:paraId="3EA63953" w14:textId="77777777" w:rsidR="00E42B8C" w:rsidRPr="00E42B8C" w:rsidRDefault="00E42B8C" w:rsidP="00E42B8C">
            <w:pPr>
              <w:spacing w:after="0" w:line="240" w:lineRule="auto"/>
              <w:jc w:val="center"/>
              <w:rPr>
                <w:rFonts w:asciiTheme="minorHAnsi" w:eastAsia="Times New Roman" w:hAnsiTheme="minorHAnsi" w:cstheme="minorHAnsi"/>
                <w:b/>
                <w:bCs/>
                <w:color w:val="000000"/>
                <w:sz w:val="20"/>
                <w:szCs w:val="20"/>
              </w:rPr>
            </w:pPr>
            <w:r w:rsidRPr="00E42B8C">
              <w:rPr>
                <w:rFonts w:asciiTheme="minorHAnsi" w:eastAsia="Times New Roman" w:hAnsiTheme="minorHAnsi" w:cstheme="minorHAnsi"/>
                <w:b/>
                <w:bCs/>
                <w:color w:val="000000"/>
                <w:sz w:val="20"/>
                <w:szCs w:val="20"/>
              </w:rPr>
              <w:t>% Patients</w:t>
            </w:r>
          </w:p>
        </w:tc>
      </w:tr>
      <w:tr w:rsidR="00E42B8C" w:rsidRPr="00225A7D" w14:paraId="5E9C89B1" w14:textId="77777777" w:rsidTr="009740E0">
        <w:trPr>
          <w:cantSplit/>
          <w:trHeight w:val="240"/>
        </w:trPr>
        <w:tc>
          <w:tcPr>
            <w:tcW w:w="1781" w:type="dxa"/>
            <w:tcBorders>
              <w:top w:val="nil"/>
              <w:left w:val="single" w:sz="4" w:space="0" w:color="auto"/>
              <w:bottom w:val="single" w:sz="4" w:space="0" w:color="auto"/>
              <w:right w:val="single" w:sz="4" w:space="0" w:color="auto"/>
            </w:tcBorders>
            <w:shd w:val="clear" w:color="auto" w:fill="auto"/>
            <w:noWrap/>
            <w:vAlign w:val="bottom"/>
            <w:hideMark/>
          </w:tcPr>
          <w:p w14:paraId="211E46FC" w14:textId="77777777" w:rsidR="00E42B8C" w:rsidRPr="00E42B8C" w:rsidRDefault="00E42B8C" w:rsidP="00E42B8C">
            <w:pPr>
              <w:spacing w:after="0" w:line="240" w:lineRule="auto"/>
              <w:rPr>
                <w:rFonts w:asciiTheme="minorHAnsi" w:eastAsia="Times New Roman" w:hAnsiTheme="minorHAnsi" w:cstheme="minorHAnsi"/>
                <w:color w:val="000000"/>
                <w:sz w:val="20"/>
                <w:szCs w:val="20"/>
              </w:rPr>
            </w:pPr>
            <w:r w:rsidRPr="00E42B8C">
              <w:rPr>
                <w:rFonts w:asciiTheme="minorHAnsi" w:eastAsia="Times New Roman" w:hAnsiTheme="minorHAnsi" w:cstheme="minorHAnsi"/>
                <w:color w:val="000000"/>
                <w:sz w:val="20"/>
                <w:szCs w:val="20"/>
              </w:rPr>
              <w:t>MIDDLESEX</w:t>
            </w:r>
          </w:p>
        </w:tc>
        <w:tc>
          <w:tcPr>
            <w:tcW w:w="1094" w:type="dxa"/>
            <w:tcBorders>
              <w:top w:val="nil"/>
              <w:left w:val="nil"/>
              <w:bottom w:val="single" w:sz="4" w:space="0" w:color="auto"/>
              <w:right w:val="single" w:sz="4" w:space="0" w:color="auto"/>
            </w:tcBorders>
            <w:shd w:val="clear" w:color="auto" w:fill="auto"/>
            <w:noWrap/>
            <w:vAlign w:val="center"/>
            <w:hideMark/>
          </w:tcPr>
          <w:p w14:paraId="2196028C"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201,186</w:t>
            </w:r>
          </w:p>
        </w:tc>
        <w:tc>
          <w:tcPr>
            <w:tcW w:w="1350" w:type="dxa"/>
            <w:tcBorders>
              <w:top w:val="nil"/>
              <w:left w:val="nil"/>
              <w:bottom w:val="single" w:sz="4" w:space="0" w:color="auto"/>
              <w:right w:val="single" w:sz="4" w:space="0" w:color="auto"/>
            </w:tcBorders>
            <w:shd w:val="clear" w:color="auto" w:fill="auto"/>
            <w:noWrap/>
            <w:vAlign w:val="center"/>
            <w:hideMark/>
          </w:tcPr>
          <w:p w14:paraId="12EC75E6"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35.9%</w:t>
            </w:r>
          </w:p>
        </w:tc>
        <w:tc>
          <w:tcPr>
            <w:tcW w:w="965" w:type="dxa"/>
            <w:tcBorders>
              <w:top w:val="nil"/>
              <w:left w:val="nil"/>
              <w:bottom w:val="single" w:sz="4" w:space="0" w:color="auto"/>
              <w:right w:val="single" w:sz="4" w:space="0" w:color="auto"/>
            </w:tcBorders>
            <w:shd w:val="clear" w:color="auto" w:fill="auto"/>
            <w:noWrap/>
            <w:vAlign w:val="center"/>
            <w:hideMark/>
          </w:tcPr>
          <w:p w14:paraId="1473C582"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200,931</w:t>
            </w:r>
          </w:p>
        </w:tc>
        <w:tc>
          <w:tcPr>
            <w:tcW w:w="1315" w:type="dxa"/>
            <w:tcBorders>
              <w:top w:val="nil"/>
              <w:left w:val="nil"/>
              <w:bottom w:val="single" w:sz="4" w:space="0" w:color="auto"/>
              <w:right w:val="single" w:sz="4" w:space="0" w:color="auto"/>
            </w:tcBorders>
            <w:shd w:val="clear" w:color="auto" w:fill="auto"/>
            <w:noWrap/>
            <w:vAlign w:val="center"/>
            <w:hideMark/>
          </w:tcPr>
          <w:p w14:paraId="386CD49C"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36.3%</w:t>
            </w:r>
          </w:p>
        </w:tc>
        <w:tc>
          <w:tcPr>
            <w:tcW w:w="965" w:type="dxa"/>
            <w:tcBorders>
              <w:top w:val="nil"/>
              <w:left w:val="nil"/>
              <w:bottom w:val="single" w:sz="4" w:space="0" w:color="auto"/>
              <w:right w:val="single" w:sz="4" w:space="0" w:color="auto"/>
            </w:tcBorders>
            <w:shd w:val="clear" w:color="auto" w:fill="auto"/>
            <w:noWrap/>
            <w:vAlign w:val="center"/>
            <w:hideMark/>
          </w:tcPr>
          <w:p w14:paraId="422529FB"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202,155</w:t>
            </w:r>
          </w:p>
        </w:tc>
        <w:tc>
          <w:tcPr>
            <w:tcW w:w="1235" w:type="dxa"/>
            <w:tcBorders>
              <w:top w:val="nil"/>
              <w:left w:val="nil"/>
              <w:bottom w:val="single" w:sz="4" w:space="0" w:color="auto"/>
              <w:right w:val="single" w:sz="4" w:space="0" w:color="auto"/>
            </w:tcBorders>
            <w:shd w:val="clear" w:color="auto" w:fill="auto"/>
            <w:noWrap/>
            <w:vAlign w:val="center"/>
            <w:hideMark/>
          </w:tcPr>
          <w:p w14:paraId="26C85CB3"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36.7%</w:t>
            </w:r>
          </w:p>
        </w:tc>
        <w:tc>
          <w:tcPr>
            <w:tcW w:w="965" w:type="dxa"/>
            <w:tcBorders>
              <w:top w:val="nil"/>
              <w:left w:val="nil"/>
              <w:bottom w:val="single" w:sz="4" w:space="0" w:color="auto"/>
              <w:right w:val="single" w:sz="4" w:space="0" w:color="auto"/>
            </w:tcBorders>
            <w:shd w:val="clear" w:color="auto" w:fill="auto"/>
            <w:noWrap/>
            <w:vAlign w:val="bottom"/>
            <w:hideMark/>
          </w:tcPr>
          <w:p w14:paraId="6F9902AF"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201,430</w:t>
            </w:r>
          </w:p>
        </w:tc>
        <w:tc>
          <w:tcPr>
            <w:tcW w:w="1275" w:type="dxa"/>
            <w:tcBorders>
              <w:top w:val="nil"/>
              <w:left w:val="nil"/>
              <w:bottom w:val="single" w:sz="4" w:space="0" w:color="auto"/>
              <w:right w:val="single" w:sz="4" w:space="0" w:color="auto"/>
            </w:tcBorders>
            <w:shd w:val="clear" w:color="auto" w:fill="auto"/>
            <w:noWrap/>
            <w:vAlign w:val="center"/>
            <w:hideMark/>
          </w:tcPr>
          <w:p w14:paraId="5C08F499"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35.1%</w:t>
            </w:r>
          </w:p>
        </w:tc>
      </w:tr>
      <w:tr w:rsidR="00E42B8C" w:rsidRPr="00225A7D" w14:paraId="7DEB549C" w14:textId="77777777" w:rsidTr="009740E0">
        <w:trPr>
          <w:cantSplit/>
          <w:trHeight w:val="240"/>
        </w:trPr>
        <w:tc>
          <w:tcPr>
            <w:tcW w:w="1781" w:type="dxa"/>
            <w:tcBorders>
              <w:top w:val="nil"/>
              <w:left w:val="single" w:sz="4" w:space="0" w:color="auto"/>
              <w:bottom w:val="single" w:sz="4" w:space="0" w:color="auto"/>
              <w:right w:val="single" w:sz="4" w:space="0" w:color="auto"/>
            </w:tcBorders>
            <w:shd w:val="clear" w:color="auto" w:fill="auto"/>
            <w:noWrap/>
            <w:vAlign w:val="bottom"/>
            <w:hideMark/>
          </w:tcPr>
          <w:p w14:paraId="365B2BA9" w14:textId="77777777" w:rsidR="00E42B8C" w:rsidRPr="00E42B8C" w:rsidRDefault="00E42B8C" w:rsidP="00E42B8C">
            <w:pPr>
              <w:spacing w:after="0" w:line="240" w:lineRule="auto"/>
              <w:rPr>
                <w:rFonts w:asciiTheme="minorHAnsi" w:eastAsia="Times New Roman" w:hAnsiTheme="minorHAnsi" w:cstheme="minorHAnsi"/>
                <w:color w:val="000000"/>
                <w:sz w:val="20"/>
                <w:szCs w:val="20"/>
              </w:rPr>
            </w:pPr>
            <w:r w:rsidRPr="00E42B8C">
              <w:rPr>
                <w:rFonts w:asciiTheme="minorHAnsi" w:eastAsia="Times New Roman" w:hAnsiTheme="minorHAnsi" w:cstheme="minorHAnsi"/>
                <w:color w:val="000000"/>
                <w:sz w:val="20"/>
                <w:szCs w:val="20"/>
              </w:rPr>
              <w:t>NORFOLK</w:t>
            </w:r>
          </w:p>
        </w:tc>
        <w:tc>
          <w:tcPr>
            <w:tcW w:w="1094" w:type="dxa"/>
            <w:tcBorders>
              <w:top w:val="nil"/>
              <w:left w:val="nil"/>
              <w:bottom w:val="single" w:sz="4" w:space="0" w:color="auto"/>
              <w:right w:val="single" w:sz="4" w:space="0" w:color="auto"/>
            </w:tcBorders>
            <w:shd w:val="clear" w:color="auto" w:fill="auto"/>
            <w:noWrap/>
            <w:vAlign w:val="center"/>
            <w:hideMark/>
          </w:tcPr>
          <w:p w14:paraId="62A6BC7F"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139,901</w:t>
            </w:r>
          </w:p>
        </w:tc>
        <w:tc>
          <w:tcPr>
            <w:tcW w:w="1350" w:type="dxa"/>
            <w:tcBorders>
              <w:top w:val="nil"/>
              <w:left w:val="nil"/>
              <w:bottom w:val="single" w:sz="4" w:space="0" w:color="auto"/>
              <w:right w:val="single" w:sz="4" w:space="0" w:color="auto"/>
            </w:tcBorders>
            <w:shd w:val="clear" w:color="auto" w:fill="auto"/>
            <w:noWrap/>
            <w:vAlign w:val="center"/>
            <w:hideMark/>
          </w:tcPr>
          <w:p w14:paraId="319A46A1"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25.0%</w:t>
            </w:r>
          </w:p>
        </w:tc>
        <w:tc>
          <w:tcPr>
            <w:tcW w:w="965" w:type="dxa"/>
            <w:tcBorders>
              <w:top w:val="nil"/>
              <w:left w:val="nil"/>
              <w:bottom w:val="single" w:sz="4" w:space="0" w:color="auto"/>
              <w:right w:val="single" w:sz="4" w:space="0" w:color="auto"/>
            </w:tcBorders>
            <w:shd w:val="clear" w:color="auto" w:fill="auto"/>
            <w:noWrap/>
            <w:vAlign w:val="center"/>
            <w:hideMark/>
          </w:tcPr>
          <w:p w14:paraId="069456F3"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136,415</w:t>
            </w:r>
          </w:p>
        </w:tc>
        <w:tc>
          <w:tcPr>
            <w:tcW w:w="1315" w:type="dxa"/>
            <w:tcBorders>
              <w:top w:val="nil"/>
              <w:left w:val="nil"/>
              <w:bottom w:val="single" w:sz="4" w:space="0" w:color="auto"/>
              <w:right w:val="single" w:sz="4" w:space="0" w:color="auto"/>
            </w:tcBorders>
            <w:shd w:val="clear" w:color="auto" w:fill="auto"/>
            <w:noWrap/>
            <w:vAlign w:val="center"/>
            <w:hideMark/>
          </w:tcPr>
          <w:p w14:paraId="03D84E32"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24.6%</w:t>
            </w:r>
          </w:p>
        </w:tc>
        <w:tc>
          <w:tcPr>
            <w:tcW w:w="965" w:type="dxa"/>
            <w:tcBorders>
              <w:top w:val="nil"/>
              <w:left w:val="nil"/>
              <w:bottom w:val="single" w:sz="4" w:space="0" w:color="auto"/>
              <w:right w:val="single" w:sz="4" w:space="0" w:color="auto"/>
            </w:tcBorders>
            <w:shd w:val="clear" w:color="auto" w:fill="auto"/>
            <w:noWrap/>
            <w:vAlign w:val="center"/>
            <w:hideMark/>
          </w:tcPr>
          <w:p w14:paraId="1C3C8432"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132,442</w:t>
            </w:r>
          </w:p>
        </w:tc>
        <w:tc>
          <w:tcPr>
            <w:tcW w:w="1235" w:type="dxa"/>
            <w:tcBorders>
              <w:top w:val="nil"/>
              <w:left w:val="nil"/>
              <w:bottom w:val="single" w:sz="4" w:space="0" w:color="auto"/>
              <w:right w:val="single" w:sz="4" w:space="0" w:color="auto"/>
            </w:tcBorders>
            <w:shd w:val="clear" w:color="auto" w:fill="auto"/>
            <w:noWrap/>
            <w:vAlign w:val="center"/>
            <w:hideMark/>
          </w:tcPr>
          <w:p w14:paraId="58A83633"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24.0%</w:t>
            </w:r>
          </w:p>
        </w:tc>
        <w:tc>
          <w:tcPr>
            <w:tcW w:w="965" w:type="dxa"/>
            <w:tcBorders>
              <w:top w:val="nil"/>
              <w:left w:val="nil"/>
              <w:bottom w:val="single" w:sz="4" w:space="0" w:color="auto"/>
              <w:right w:val="single" w:sz="4" w:space="0" w:color="auto"/>
            </w:tcBorders>
            <w:shd w:val="clear" w:color="auto" w:fill="auto"/>
            <w:noWrap/>
            <w:vAlign w:val="bottom"/>
            <w:hideMark/>
          </w:tcPr>
          <w:p w14:paraId="483419AB"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134,761</w:t>
            </w:r>
          </w:p>
        </w:tc>
        <w:tc>
          <w:tcPr>
            <w:tcW w:w="1275" w:type="dxa"/>
            <w:tcBorders>
              <w:top w:val="nil"/>
              <w:left w:val="nil"/>
              <w:bottom w:val="single" w:sz="4" w:space="0" w:color="auto"/>
              <w:right w:val="single" w:sz="4" w:space="0" w:color="auto"/>
            </w:tcBorders>
            <w:shd w:val="clear" w:color="auto" w:fill="auto"/>
            <w:noWrap/>
            <w:vAlign w:val="center"/>
            <w:hideMark/>
          </w:tcPr>
          <w:p w14:paraId="11C9987B"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23.5%</w:t>
            </w:r>
          </w:p>
        </w:tc>
      </w:tr>
      <w:tr w:rsidR="00E42B8C" w:rsidRPr="00225A7D" w14:paraId="33A6B92E" w14:textId="77777777" w:rsidTr="009740E0">
        <w:trPr>
          <w:cantSplit/>
          <w:trHeight w:val="240"/>
        </w:trPr>
        <w:tc>
          <w:tcPr>
            <w:tcW w:w="1781" w:type="dxa"/>
            <w:tcBorders>
              <w:top w:val="nil"/>
              <w:left w:val="single" w:sz="4" w:space="0" w:color="auto"/>
              <w:bottom w:val="single" w:sz="4" w:space="0" w:color="auto"/>
              <w:right w:val="single" w:sz="4" w:space="0" w:color="auto"/>
            </w:tcBorders>
            <w:shd w:val="clear" w:color="auto" w:fill="auto"/>
            <w:noWrap/>
            <w:vAlign w:val="bottom"/>
            <w:hideMark/>
          </w:tcPr>
          <w:p w14:paraId="4819F223" w14:textId="77777777" w:rsidR="00E42B8C" w:rsidRPr="00E42B8C" w:rsidRDefault="00E42B8C" w:rsidP="00E42B8C">
            <w:pPr>
              <w:spacing w:after="0" w:line="240" w:lineRule="auto"/>
              <w:rPr>
                <w:rFonts w:asciiTheme="minorHAnsi" w:eastAsia="Times New Roman" w:hAnsiTheme="minorHAnsi" w:cstheme="minorHAnsi"/>
                <w:color w:val="000000"/>
                <w:sz w:val="20"/>
                <w:szCs w:val="20"/>
              </w:rPr>
            </w:pPr>
            <w:r w:rsidRPr="00E42B8C">
              <w:rPr>
                <w:rFonts w:asciiTheme="minorHAnsi" w:eastAsia="Times New Roman" w:hAnsiTheme="minorHAnsi" w:cstheme="minorHAnsi"/>
                <w:color w:val="000000"/>
                <w:sz w:val="20"/>
                <w:szCs w:val="20"/>
              </w:rPr>
              <w:t>SUFFOLK</w:t>
            </w:r>
          </w:p>
        </w:tc>
        <w:tc>
          <w:tcPr>
            <w:tcW w:w="1094" w:type="dxa"/>
            <w:tcBorders>
              <w:top w:val="nil"/>
              <w:left w:val="nil"/>
              <w:bottom w:val="single" w:sz="4" w:space="0" w:color="auto"/>
              <w:right w:val="single" w:sz="4" w:space="0" w:color="auto"/>
            </w:tcBorders>
            <w:shd w:val="clear" w:color="auto" w:fill="auto"/>
            <w:noWrap/>
            <w:vAlign w:val="center"/>
            <w:hideMark/>
          </w:tcPr>
          <w:p w14:paraId="266B0028"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74,982</w:t>
            </w:r>
          </w:p>
        </w:tc>
        <w:tc>
          <w:tcPr>
            <w:tcW w:w="1350" w:type="dxa"/>
            <w:tcBorders>
              <w:top w:val="nil"/>
              <w:left w:val="nil"/>
              <w:bottom w:val="single" w:sz="4" w:space="0" w:color="auto"/>
              <w:right w:val="single" w:sz="4" w:space="0" w:color="auto"/>
            </w:tcBorders>
            <w:shd w:val="clear" w:color="auto" w:fill="auto"/>
            <w:noWrap/>
            <w:vAlign w:val="center"/>
            <w:hideMark/>
          </w:tcPr>
          <w:p w14:paraId="71F1D765"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13.4%</w:t>
            </w:r>
          </w:p>
        </w:tc>
        <w:tc>
          <w:tcPr>
            <w:tcW w:w="965" w:type="dxa"/>
            <w:tcBorders>
              <w:top w:val="nil"/>
              <w:left w:val="nil"/>
              <w:bottom w:val="single" w:sz="4" w:space="0" w:color="auto"/>
              <w:right w:val="single" w:sz="4" w:space="0" w:color="auto"/>
            </w:tcBorders>
            <w:shd w:val="clear" w:color="auto" w:fill="auto"/>
            <w:noWrap/>
            <w:vAlign w:val="center"/>
            <w:hideMark/>
          </w:tcPr>
          <w:p w14:paraId="65E127DD"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72,280</w:t>
            </w:r>
          </w:p>
        </w:tc>
        <w:tc>
          <w:tcPr>
            <w:tcW w:w="1315" w:type="dxa"/>
            <w:tcBorders>
              <w:top w:val="nil"/>
              <w:left w:val="nil"/>
              <w:bottom w:val="single" w:sz="4" w:space="0" w:color="auto"/>
              <w:right w:val="single" w:sz="4" w:space="0" w:color="auto"/>
            </w:tcBorders>
            <w:shd w:val="clear" w:color="auto" w:fill="auto"/>
            <w:noWrap/>
            <w:vAlign w:val="center"/>
            <w:hideMark/>
          </w:tcPr>
          <w:p w14:paraId="09C331F7"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13.0%</w:t>
            </w:r>
          </w:p>
        </w:tc>
        <w:tc>
          <w:tcPr>
            <w:tcW w:w="965" w:type="dxa"/>
            <w:tcBorders>
              <w:top w:val="nil"/>
              <w:left w:val="nil"/>
              <w:bottom w:val="single" w:sz="4" w:space="0" w:color="auto"/>
              <w:right w:val="single" w:sz="4" w:space="0" w:color="auto"/>
            </w:tcBorders>
            <w:shd w:val="clear" w:color="auto" w:fill="auto"/>
            <w:noWrap/>
            <w:vAlign w:val="center"/>
            <w:hideMark/>
          </w:tcPr>
          <w:p w14:paraId="20607AB1"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73,249</w:t>
            </w:r>
          </w:p>
        </w:tc>
        <w:tc>
          <w:tcPr>
            <w:tcW w:w="1235" w:type="dxa"/>
            <w:tcBorders>
              <w:top w:val="nil"/>
              <w:left w:val="nil"/>
              <w:bottom w:val="single" w:sz="4" w:space="0" w:color="auto"/>
              <w:right w:val="single" w:sz="4" w:space="0" w:color="auto"/>
            </w:tcBorders>
            <w:shd w:val="clear" w:color="auto" w:fill="auto"/>
            <w:noWrap/>
            <w:vAlign w:val="center"/>
            <w:hideMark/>
          </w:tcPr>
          <w:p w14:paraId="304FA75A"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13.3%</w:t>
            </w:r>
          </w:p>
        </w:tc>
        <w:tc>
          <w:tcPr>
            <w:tcW w:w="965" w:type="dxa"/>
            <w:tcBorders>
              <w:top w:val="nil"/>
              <w:left w:val="nil"/>
              <w:bottom w:val="single" w:sz="4" w:space="0" w:color="auto"/>
              <w:right w:val="single" w:sz="4" w:space="0" w:color="auto"/>
            </w:tcBorders>
            <w:shd w:val="clear" w:color="auto" w:fill="auto"/>
            <w:noWrap/>
            <w:vAlign w:val="bottom"/>
            <w:hideMark/>
          </w:tcPr>
          <w:p w14:paraId="7AD3F35F"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73,820</w:t>
            </w:r>
          </w:p>
        </w:tc>
        <w:tc>
          <w:tcPr>
            <w:tcW w:w="1275" w:type="dxa"/>
            <w:tcBorders>
              <w:top w:val="nil"/>
              <w:left w:val="nil"/>
              <w:bottom w:val="single" w:sz="4" w:space="0" w:color="auto"/>
              <w:right w:val="single" w:sz="4" w:space="0" w:color="auto"/>
            </w:tcBorders>
            <w:shd w:val="clear" w:color="auto" w:fill="auto"/>
            <w:noWrap/>
            <w:vAlign w:val="center"/>
            <w:hideMark/>
          </w:tcPr>
          <w:p w14:paraId="302C6EE3"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12.9%</w:t>
            </w:r>
          </w:p>
        </w:tc>
      </w:tr>
      <w:tr w:rsidR="00E42B8C" w:rsidRPr="00225A7D" w14:paraId="4C96DCE2" w14:textId="77777777" w:rsidTr="009740E0">
        <w:trPr>
          <w:cantSplit/>
          <w:trHeight w:val="240"/>
        </w:trPr>
        <w:tc>
          <w:tcPr>
            <w:tcW w:w="1781" w:type="dxa"/>
            <w:tcBorders>
              <w:top w:val="nil"/>
              <w:left w:val="single" w:sz="4" w:space="0" w:color="auto"/>
              <w:bottom w:val="single" w:sz="4" w:space="0" w:color="auto"/>
              <w:right w:val="single" w:sz="4" w:space="0" w:color="auto"/>
            </w:tcBorders>
            <w:shd w:val="clear" w:color="auto" w:fill="auto"/>
            <w:noWrap/>
            <w:vAlign w:val="bottom"/>
            <w:hideMark/>
          </w:tcPr>
          <w:p w14:paraId="1E1AF4D3" w14:textId="77777777" w:rsidR="00E42B8C" w:rsidRPr="00E42B8C" w:rsidRDefault="00E42B8C" w:rsidP="00E42B8C">
            <w:pPr>
              <w:spacing w:after="0" w:line="240" w:lineRule="auto"/>
              <w:rPr>
                <w:rFonts w:asciiTheme="minorHAnsi" w:eastAsia="Times New Roman" w:hAnsiTheme="minorHAnsi" w:cstheme="minorHAnsi"/>
                <w:color w:val="000000"/>
                <w:sz w:val="20"/>
                <w:szCs w:val="20"/>
              </w:rPr>
            </w:pPr>
            <w:r w:rsidRPr="00E42B8C">
              <w:rPr>
                <w:rFonts w:asciiTheme="minorHAnsi" w:eastAsia="Times New Roman" w:hAnsiTheme="minorHAnsi" w:cstheme="minorHAnsi"/>
                <w:color w:val="000000"/>
                <w:sz w:val="20"/>
                <w:szCs w:val="20"/>
              </w:rPr>
              <w:t>PLYMOUTH</w:t>
            </w:r>
          </w:p>
        </w:tc>
        <w:tc>
          <w:tcPr>
            <w:tcW w:w="1094" w:type="dxa"/>
            <w:tcBorders>
              <w:top w:val="nil"/>
              <w:left w:val="nil"/>
              <w:bottom w:val="single" w:sz="4" w:space="0" w:color="auto"/>
              <w:right w:val="single" w:sz="4" w:space="0" w:color="auto"/>
            </w:tcBorders>
            <w:shd w:val="clear" w:color="auto" w:fill="auto"/>
            <w:noWrap/>
            <w:vAlign w:val="center"/>
            <w:hideMark/>
          </w:tcPr>
          <w:p w14:paraId="0B2F17B3"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55,722</w:t>
            </w:r>
          </w:p>
        </w:tc>
        <w:tc>
          <w:tcPr>
            <w:tcW w:w="1350" w:type="dxa"/>
            <w:tcBorders>
              <w:top w:val="nil"/>
              <w:left w:val="nil"/>
              <w:bottom w:val="single" w:sz="4" w:space="0" w:color="auto"/>
              <w:right w:val="single" w:sz="4" w:space="0" w:color="auto"/>
            </w:tcBorders>
            <w:shd w:val="clear" w:color="auto" w:fill="auto"/>
            <w:noWrap/>
            <w:vAlign w:val="center"/>
            <w:hideMark/>
          </w:tcPr>
          <w:p w14:paraId="28ACE7B9"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9.9%</w:t>
            </w:r>
          </w:p>
        </w:tc>
        <w:tc>
          <w:tcPr>
            <w:tcW w:w="965" w:type="dxa"/>
            <w:tcBorders>
              <w:top w:val="nil"/>
              <w:left w:val="nil"/>
              <w:bottom w:val="single" w:sz="4" w:space="0" w:color="auto"/>
              <w:right w:val="single" w:sz="4" w:space="0" w:color="auto"/>
            </w:tcBorders>
            <w:shd w:val="clear" w:color="auto" w:fill="auto"/>
            <w:noWrap/>
            <w:vAlign w:val="center"/>
            <w:hideMark/>
          </w:tcPr>
          <w:p w14:paraId="0C4278CE"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54,621</w:t>
            </w:r>
          </w:p>
        </w:tc>
        <w:tc>
          <w:tcPr>
            <w:tcW w:w="1315" w:type="dxa"/>
            <w:tcBorders>
              <w:top w:val="nil"/>
              <w:left w:val="nil"/>
              <w:bottom w:val="single" w:sz="4" w:space="0" w:color="auto"/>
              <w:right w:val="single" w:sz="4" w:space="0" w:color="auto"/>
            </w:tcBorders>
            <w:shd w:val="clear" w:color="auto" w:fill="auto"/>
            <w:noWrap/>
            <w:vAlign w:val="center"/>
            <w:hideMark/>
          </w:tcPr>
          <w:p w14:paraId="6D212D15"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9.9%</w:t>
            </w:r>
          </w:p>
        </w:tc>
        <w:tc>
          <w:tcPr>
            <w:tcW w:w="965" w:type="dxa"/>
            <w:tcBorders>
              <w:top w:val="nil"/>
              <w:left w:val="nil"/>
              <w:bottom w:val="single" w:sz="4" w:space="0" w:color="auto"/>
              <w:right w:val="single" w:sz="4" w:space="0" w:color="auto"/>
            </w:tcBorders>
            <w:shd w:val="clear" w:color="auto" w:fill="auto"/>
            <w:noWrap/>
            <w:vAlign w:val="center"/>
            <w:hideMark/>
          </w:tcPr>
          <w:p w14:paraId="2CCB6BF3"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53,522</w:t>
            </w:r>
          </w:p>
        </w:tc>
        <w:tc>
          <w:tcPr>
            <w:tcW w:w="1235" w:type="dxa"/>
            <w:tcBorders>
              <w:top w:val="nil"/>
              <w:left w:val="nil"/>
              <w:bottom w:val="single" w:sz="4" w:space="0" w:color="auto"/>
              <w:right w:val="single" w:sz="4" w:space="0" w:color="auto"/>
            </w:tcBorders>
            <w:shd w:val="clear" w:color="auto" w:fill="auto"/>
            <w:noWrap/>
            <w:vAlign w:val="center"/>
            <w:hideMark/>
          </w:tcPr>
          <w:p w14:paraId="12F923B8"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9.7%</w:t>
            </w:r>
          </w:p>
        </w:tc>
        <w:tc>
          <w:tcPr>
            <w:tcW w:w="965" w:type="dxa"/>
            <w:tcBorders>
              <w:top w:val="nil"/>
              <w:left w:val="nil"/>
              <w:bottom w:val="single" w:sz="4" w:space="0" w:color="auto"/>
              <w:right w:val="single" w:sz="4" w:space="0" w:color="auto"/>
            </w:tcBorders>
            <w:shd w:val="clear" w:color="auto" w:fill="auto"/>
            <w:noWrap/>
            <w:vAlign w:val="bottom"/>
            <w:hideMark/>
          </w:tcPr>
          <w:p w14:paraId="7ADC0688"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61,980</w:t>
            </w:r>
          </w:p>
        </w:tc>
        <w:tc>
          <w:tcPr>
            <w:tcW w:w="1275" w:type="dxa"/>
            <w:tcBorders>
              <w:top w:val="nil"/>
              <w:left w:val="nil"/>
              <w:bottom w:val="single" w:sz="4" w:space="0" w:color="auto"/>
              <w:right w:val="single" w:sz="4" w:space="0" w:color="auto"/>
            </w:tcBorders>
            <w:shd w:val="clear" w:color="auto" w:fill="auto"/>
            <w:noWrap/>
            <w:vAlign w:val="center"/>
            <w:hideMark/>
          </w:tcPr>
          <w:p w14:paraId="65F3948D"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10.8%</w:t>
            </w:r>
          </w:p>
        </w:tc>
      </w:tr>
      <w:tr w:rsidR="00E42B8C" w:rsidRPr="00225A7D" w14:paraId="67D4E5A3" w14:textId="77777777" w:rsidTr="009740E0">
        <w:trPr>
          <w:cantSplit/>
          <w:trHeight w:val="240"/>
        </w:trPr>
        <w:tc>
          <w:tcPr>
            <w:tcW w:w="1781" w:type="dxa"/>
            <w:tcBorders>
              <w:top w:val="nil"/>
              <w:left w:val="single" w:sz="4" w:space="0" w:color="auto"/>
              <w:bottom w:val="single" w:sz="4" w:space="0" w:color="auto"/>
              <w:right w:val="single" w:sz="4" w:space="0" w:color="auto"/>
            </w:tcBorders>
            <w:shd w:val="clear" w:color="auto" w:fill="auto"/>
            <w:noWrap/>
            <w:vAlign w:val="bottom"/>
            <w:hideMark/>
          </w:tcPr>
          <w:p w14:paraId="52A4A703" w14:textId="77777777" w:rsidR="00E42B8C" w:rsidRPr="00E42B8C" w:rsidRDefault="00E42B8C" w:rsidP="00E42B8C">
            <w:pPr>
              <w:spacing w:after="0" w:line="240" w:lineRule="auto"/>
              <w:rPr>
                <w:rFonts w:asciiTheme="minorHAnsi" w:eastAsia="Times New Roman" w:hAnsiTheme="minorHAnsi" w:cstheme="minorHAnsi"/>
                <w:color w:val="000000"/>
                <w:sz w:val="20"/>
                <w:szCs w:val="20"/>
              </w:rPr>
            </w:pPr>
            <w:r w:rsidRPr="00E42B8C">
              <w:rPr>
                <w:rFonts w:asciiTheme="minorHAnsi" w:eastAsia="Times New Roman" w:hAnsiTheme="minorHAnsi" w:cstheme="minorHAnsi"/>
                <w:color w:val="000000"/>
                <w:sz w:val="20"/>
                <w:szCs w:val="20"/>
              </w:rPr>
              <w:t>ESSEX</w:t>
            </w:r>
          </w:p>
        </w:tc>
        <w:tc>
          <w:tcPr>
            <w:tcW w:w="1094" w:type="dxa"/>
            <w:tcBorders>
              <w:top w:val="nil"/>
              <w:left w:val="nil"/>
              <w:bottom w:val="single" w:sz="4" w:space="0" w:color="auto"/>
              <w:right w:val="single" w:sz="4" w:space="0" w:color="auto"/>
            </w:tcBorders>
            <w:shd w:val="clear" w:color="auto" w:fill="auto"/>
            <w:noWrap/>
            <w:vAlign w:val="center"/>
            <w:hideMark/>
          </w:tcPr>
          <w:p w14:paraId="11A800EC"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44,833</w:t>
            </w:r>
          </w:p>
        </w:tc>
        <w:tc>
          <w:tcPr>
            <w:tcW w:w="1350" w:type="dxa"/>
            <w:tcBorders>
              <w:top w:val="nil"/>
              <w:left w:val="nil"/>
              <w:bottom w:val="single" w:sz="4" w:space="0" w:color="auto"/>
              <w:right w:val="single" w:sz="4" w:space="0" w:color="auto"/>
            </w:tcBorders>
            <w:shd w:val="clear" w:color="auto" w:fill="auto"/>
            <w:noWrap/>
            <w:vAlign w:val="center"/>
            <w:hideMark/>
          </w:tcPr>
          <w:p w14:paraId="7538279C"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8.0%</w:t>
            </w:r>
          </w:p>
        </w:tc>
        <w:tc>
          <w:tcPr>
            <w:tcW w:w="965" w:type="dxa"/>
            <w:tcBorders>
              <w:top w:val="nil"/>
              <w:left w:val="nil"/>
              <w:bottom w:val="single" w:sz="4" w:space="0" w:color="auto"/>
              <w:right w:val="single" w:sz="4" w:space="0" w:color="auto"/>
            </w:tcBorders>
            <w:shd w:val="clear" w:color="auto" w:fill="auto"/>
            <w:noWrap/>
            <w:vAlign w:val="center"/>
            <w:hideMark/>
          </w:tcPr>
          <w:p w14:paraId="06548FA0"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43,371</w:t>
            </w:r>
          </w:p>
        </w:tc>
        <w:tc>
          <w:tcPr>
            <w:tcW w:w="1315" w:type="dxa"/>
            <w:tcBorders>
              <w:top w:val="nil"/>
              <w:left w:val="nil"/>
              <w:bottom w:val="single" w:sz="4" w:space="0" w:color="auto"/>
              <w:right w:val="single" w:sz="4" w:space="0" w:color="auto"/>
            </w:tcBorders>
            <w:shd w:val="clear" w:color="auto" w:fill="auto"/>
            <w:noWrap/>
            <w:vAlign w:val="center"/>
            <w:hideMark/>
          </w:tcPr>
          <w:p w14:paraId="75169BA7"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7.8%</w:t>
            </w:r>
          </w:p>
        </w:tc>
        <w:tc>
          <w:tcPr>
            <w:tcW w:w="965" w:type="dxa"/>
            <w:tcBorders>
              <w:top w:val="nil"/>
              <w:left w:val="nil"/>
              <w:bottom w:val="single" w:sz="4" w:space="0" w:color="auto"/>
              <w:right w:val="single" w:sz="4" w:space="0" w:color="auto"/>
            </w:tcBorders>
            <w:shd w:val="clear" w:color="auto" w:fill="auto"/>
            <w:noWrap/>
            <w:vAlign w:val="center"/>
            <w:hideMark/>
          </w:tcPr>
          <w:p w14:paraId="7F5E4E26"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41,333</w:t>
            </w:r>
          </w:p>
        </w:tc>
        <w:tc>
          <w:tcPr>
            <w:tcW w:w="1235" w:type="dxa"/>
            <w:tcBorders>
              <w:top w:val="nil"/>
              <w:left w:val="nil"/>
              <w:bottom w:val="single" w:sz="4" w:space="0" w:color="auto"/>
              <w:right w:val="single" w:sz="4" w:space="0" w:color="auto"/>
            </w:tcBorders>
            <w:shd w:val="clear" w:color="auto" w:fill="auto"/>
            <w:noWrap/>
            <w:vAlign w:val="center"/>
            <w:hideMark/>
          </w:tcPr>
          <w:p w14:paraId="5FE90B01"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7.5%</w:t>
            </w:r>
          </w:p>
        </w:tc>
        <w:tc>
          <w:tcPr>
            <w:tcW w:w="965" w:type="dxa"/>
            <w:tcBorders>
              <w:top w:val="nil"/>
              <w:left w:val="nil"/>
              <w:bottom w:val="single" w:sz="4" w:space="0" w:color="auto"/>
              <w:right w:val="single" w:sz="4" w:space="0" w:color="auto"/>
            </w:tcBorders>
            <w:shd w:val="clear" w:color="auto" w:fill="auto"/>
            <w:noWrap/>
            <w:vAlign w:val="bottom"/>
            <w:hideMark/>
          </w:tcPr>
          <w:p w14:paraId="0A58014E"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42,244</w:t>
            </w:r>
          </w:p>
        </w:tc>
        <w:tc>
          <w:tcPr>
            <w:tcW w:w="1275" w:type="dxa"/>
            <w:tcBorders>
              <w:top w:val="nil"/>
              <w:left w:val="nil"/>
              <w:bottom w:val="single" w:sz="4" w:space="0" w:color="auto"/>
              <w:right w:val="single" w:sz="4" w:space="0" w:color="auto"/>
            </w:tcBorders>
            <w:shd w:val="clear" w:color="auto" w:fill="auto"/>
            <w:noWrap/>
            <w:vAlign w:val="center"/>
            <w:hideMark/>
          </w:tcPr>
          <w:p w14:paraId="6D36BBF0"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7.4%</w:t>
            </w:r>
          </w:p>
        </w:tc>
      </w:tr>
      <w:tr w:rsidR="00E42B8C" w:rsidRPr="00225A7D" w14:paraId="6CE10844" w14:textId="77777777" w:rsidTr="009740E0">
        <w:trPr>
          <w:cantSplit/>
          <w:trHeight w:val="240"/>
        </w:trPr>
        <w:tc>
          <w:tcPr>
            <w:tcW w:w="1781" w:type="dxa"/>
            <w:tcBorders>
              <w:top w:val="nil"/>
              <w:left w:val="single" w:sz="4" w:space="0" w:color="auto"/>
              <w:bottom w:val="single" w:sz="4" w:space="0" w:color="auto"/>
              <w:right w:val="single" w:sz="4" w:space="0" w:color="auto"/>
            </w:tcBorders>
            <w:shd w:val="clear" w:color="auto" w:fill="auto"/>
            <w:noWrap/>
            <w:vAlign w:val="bottom"/>
            <w:hideMark/>
          </w:tcPr>
          <w:p w14:paraId="6D7A9D5E" w14:textId="77777777" w:rsidR="00E42B8C" w:rsidRPr="00E42B8C" w:rsidRDefault="00E42B8C" w:rsidP="00E42B8C">
            <w:pPr>
              <w:spacing w:after="0" w:line="240" w:lineRule="auto"/>
              <w:rPr>
                <w:rFonts w:asciiTheme="minorHAnsi" w:eastAsia="Times New Roman" w:hAnsiTheme="minorHAnsi" w:cstheme="minorHAnsi"/>
                <w:color w:val="000000"/>
                <w:sz w:val="20"/>
                <w:szCs w:val="20"/>
              </w:rPr>
            </w:pPr>
            <w:r w:rsidRPr="00E42B8C">
              <w:rPr>
                <w:rFonts w:asciiTheme="minorHAnsi" w:eastAsia="Times New Roman" w:hAnsiTheme="minorHAnsi" w:cstheme="minorHAnsi"/>
                <w:color w:val="000000"/>
                <w:sz w:val="20"/>
                <w:szCs w:val="20"/>
              </w:rPr>
              <w:t>BRISTOL</w:t>
            </w:r>
          </w:p>
        </w:tc>
        <w:tc>
          <w:tcPr>
            <w:tcW w:w="1094" w:type="dxa"/>
            <w:tcBorders>
              <w:top w:val="nil"/>
              <w:left w:val="nil"/>
              <w:bottom w:val="single" w:sz="4" w:space="0" w:color="auto"/>
              <w:right w:val="single" w:sz="4" w:space="0" w:color="auto"/>
            </w:tcBorders>
            <w:shd w:val="clear" w:color="auto" w:fill="auto"/>
            <w:noWrap/>
            <w:vAlign w:val="center"/>
            <w:hideMark/>
          </w:tcPr>
          <w:p w14:paraId="13F4025B"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11,205</w:t>
            </w:r>
          </w:p>
        </w:tc>
        <w:tc>
          <w:tcPr>
            <w:tcW w:w="1350" w:type="dxa"/>
            <w:tcBorders>
              <w:top w:val="nil"/>
              <w:left w:val="nil"/>
              <w:bottom w:val="single" w:sz="4" w:space="0" w:color="auto"/>
              <w:right w:val="single" w:sz="4" w:space="0" w:color="auto"/>
            </w:tcBorders>
            <w:shd w:val="clear" w:color="auto" w:fill="auto"/>
            <w:noWrap/>
            <w:vAlign w:val="center"/>
            <w:hideMark/>
          </w:tcPr>
          <w:p w14:paraId="130B236B"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2.0%</w:t>
            </w:r>
          </w:p>
        </w:tc>
        <w:tc>
          <w:tcPr>
            <w:tcW w:w="965" w:type="dxa"/>
            <w:tcBorders>
              <w:top w:val="nil"/>
              <w:left w:val="nil"/>
              <w:bottom w:val="single" w:sz="4" w:space="0" w:color="auto"/>
              <w:right w:val="single" w:sz="4" w:space="0" w:color="auto"/>
            </w:tcBorders>
            <w:shd w:val="clear" w:color="auto" w:fill="auto"/>
            <w:noWrap/>
            <w:vAlign w:val="center"/>
            <w:hideMark/>
          </w:tcPr>
          <w:p w14:paraId="2D5A88DA"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11,474</w:t>
            </w:r>
          </w:p>
        </w:tc>
        <w:tc>
          <w:tcPr>
            <w:tcW w:w="1315" w:type="dxa"/>
            <w:tcBorders>
              <w:top w:val="nil"/>
              <w:left w:val="nil"/>
              <w:bottom w:val="single" w:sz="4" w:space="0" w:color="auto"/>
              <w:right w:val="single" w:sz="4" w:space="0" w:color="auto"/>
            </w:tcBorders>
            <w:shd w:val="clear" w:color="auto" w:fill="auto"/>
            <w:noWrap/>
            <w:vAlign w:val="center"/>
            <w:hideMark/>
          </w:tcPr>
          <w:p w14:paraId="0540E9E4"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2.1%</w:t>
            </w:r>
          </w:p>
        </w:tc>
        <w:tc>
          <w:tcPr>
            <w:tcW w:w="965" w:type="dxa"/>
            <w:tcBorders>
              <w:top w:val="nil"/>
              <w:left w:val="nil"/>
              <w:bottom w:val="single" w:sz="4" w:space="0" w:color="auto"/>
              <w:right w:val="single" w:sz="4" w:space="0" w:color="auto"/>
            </w:tcBorders>
            <w:shd w:val="clear" w:color="auto" w:fill="auto"/>
            <w:noWrap/>
            <w:vAlign w:val="center"/>
            <w:hideMark/>
          </w:tcPr>
          <w:p w14:paraId="26598960"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11,414</w:t>
            </w:r>
          </w:p>
        </w:tc>
        <w:tc>
          <w:tcPr>
            <w:tcW w:w="1235" w:type="dxa"/>
            <w:tcBorders>
              <w:top w:val="nil"/>
              <w:left w:val="nil"/>
              <w:bottom w:val="single" w:sz="4" w:space="0" w:color="auto"/>
              <w:right w:val="single" w:sz="4" w:space="0" w:color="auto"/>
            </w:tcBorders>
            <w:shd w:val="clear" w:color="auto" w:fill="auto"/>
            <w:noWrap/>
            <w:vAlign w:val="center"/>
            <w:hideMark/>
          </w:tcPr>
          <w:p w14:paraId="53F7EE88"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2.1%</w:t>
            </w:r>
          </w:p>
        </w:tc>
        <w:tc>
          <w:tcPr>
            <w:tcW w:w="965" w:type="dxa"/>
            <w:tcBorders>
              <w:top w:val="nil"/>
              <w:left w:val="nil"/>
              <w:bottom w:val="single" w:sz="4" w:space="0" w:color="auto"/>
              <w:right w:val="single" w:sz="4" w:space="0" w:color="auto"/>
            </w:tcBorders>
            <w:shd w:val="clear" w:color="auto" w:fill="auto"/>
            <w:noWrap/>
            <w:vAlign w:val="bottom"/>
            <w:hideMark/>
          </w:tcPr>
          <w:p w14:paraId="6986BC42"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16,853</w:t>
            </w:r>
          </w:p>
        </w:tc>
        <w:tc>
          <w:tcPr>
            <w:tcW w:w="1275" w:type="dxa"/>
            <w:tcBorders>
              <w:top w:val="nil"/>
              <w:left w:val="nil"/>
              <w:bottom w:val="single" w:sz="4" w:space="0" w:color="auto"/>
              <w:right w:val="single" w:sz="4" w:space="0" w:color="auto"/>
            </w:tcBorders>
            <w:shd w:val="clear" w:color="auto" w:fill="auto"/>
            <w:noWrap/>
            <w:vAlign w:val="center"/>
            <w:hideMark/>
          </w:tcPr>
          <w:p w14:paraId="70F11C8C"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2.9%</w:t>
            </w:r>
          </w:p>
        </w:tc>
      </w:tr>
      <w:tr w:rsidR="00E42B8C" w:rsidRPr="00225A7D" w14:paraId="7DA700FA" w14:textId="77777777" w:rsidTr="009740E0">
        <w:trPr>
          <w:cantSplit/>
          <w:trHeight w:val="240"/>
        </w:trPr>
        <w:tc>
          <w:tcPr>
            <w:tcW w:w="1781" w:type="dxa"/>
            <w:tcBorders>
              <w:top w:val="nil"/>
              <w:left w:val="single" w:sz="4" w:space="0" w:color="auto"/>
              <w:bottom w:val="single" w:sz="4" w:space="0" w:color="auto"/>
              <w:right w:val="single" w:sz="4" w:space="0" w:color="auto"/>
            </w:tcBorders>
            <w:shd w:val="clear" w:color="auto" w:fill="auto"/>
            <w:noWrap/>
            <w:vAlign w:val="bottom"/>
            <w:hideMark/>
          </w:tcPr>
          <w:p w14:paraId="1006F7A4" w14:textId="77777777" w:rsidR="00E42B8C" w:rsidRPr="00E42B8C" w:rsidRDefault="00E42B8C" w:rsidP="00E42B8C">
            <w:pPr>
              <w:spacing w:after="0" w:line="240" w:lineRule="auto"/>
              <w:rPr>
                <w:rFonts w:asciiTheme="minorHAnsi" w:eastAsia="Times New Roman" w:hAnsiTheme="minorHAnsi" w:cstheme="minorHAnsi"/>
                <w:color w:val="000000"/>
                <w:sz w:val="20"/>
                <w:szCs w:val="20"/>
              </w:rPr>
            </w:pPr>
            <w:r w:rsidRPr="00E42B8C">
              <w:rPr>
                <w:rFonts w:asciiTheme="minorHAnsi" w:eastAsia="Times New Roman" w:hAnsiTheme="minorHAnsi" w:cstheme="minorHAnsi"/>
                <w:color w:val="000000"/>
                <w:sz w:val="20"/>
                <w:szCs w:val="20"/>
              </w:rPr>
              <w:t>WORCESTER</w:t>
            </w:r>
          </w:p>
        </w:tc>
        <w:tc>
          <w:tcPr>
            <w:tcW w:w="1094" w:type="dxa"/>
            <w:tcBorders>
              <w:top w:val="nil"/>
              <w:left w:val="nil"/>
              <w:bottom w:val="single" w:sz="4" w:space="0" w:color="auto"/>
              <w:right w:val="single" w:sz="4" w:space="0" w:color="auto"/>
            </w:tcBorders>
            <w:shd w:val="clear" w:color="auto" w:fill="auto"/>
            <w:noWrap/>
            <w:vAlign w:val="center"/>
            <w:hideMark/>
          </w:tcPr>
          <w:p w14:paraId="76570772"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8,782</w:t>
            </w:r>
          </w:p>
        </w:tc>
        <w:tc>
          <w:tcPr>
            <w:tcW w:w="1350" w:type="dxa"/>
            <w:tcBorders>
              <w:top w:val="nil"/>
              <w:left w:val="nil"/>
              <w:bottom w:val="single" w:sz="4" w:space="0" w:color="auto"/>
              <w:right w:val="single" w:sz="4" w:space="0" w:color="auto"/>
            </w:tcBorders>
            <w:shd w:val="clear" w:color="auto" w:fill="auto"/>
            <w:noWrap/>
            <w:vAlign w:val="center"/>
            <w:hideMark/>
          </w:tcPr>
          <w:p w14:paraId="03C59B73"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1.6%</w:t>
            </w:r>
          </w:p>
        </w:tc>
        <w:tc>
          <w:tcPr>
            <w:tcW w:w="965" w:type="dxa"/>
            <w:tcBorders>
              <w:top w:val="nil"/>
              <w:left w:val="nil"/>
              <w:bottom w:val="single" w:sz="4" w:space="0" w:color="auto"/>
              <w:right w:val="single" w:sz="4" w:space="0" w:color="auto"/>
            </w:tcBorders>
            <w:shd w:val="clear" w:color="auto" w:fill="auto"/>
            <w:noWrap/>
            <w:vAlign w:val="center"/>
            <w:hideMark/>
          </w:tcPr>
          <w:p w14:paraId="4EE94825"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9,671</w:t>
            </w:r>
          </w:p>
        </w:tc>
        <w:tc>
          <w:tcPr>
            <w:tcW w:w="1315" w:type="dxa"/>
            <w:tcBorders>
              <w:top w:val="nil"/>
              <w:left w:val="nil"/>
              <w:bottom w:val="single" w:sz="4" w:space="0" w:color="auto"/>
              <w:right w:val="single" w:sz="4" w:space="0" w:color="auto"/>
            </w:tcBorders>
            <w:shd w:val="clear" w:color="auto" w:fill="auto"/>
            <w:noWrap/>
            <w:vAlign w:val="center"/>
            <w:hideMark/>
          </w:tcPr>
          <w:p w14:paraId="66818436"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1.7%</w:t>
            </w:r>
          </w:p>
        </w:tc>
        <w:tc>
          <w:tcPr>
            <w:tcW w:w="965" w:type="dxa"/>
            <w:tcBorders>
              <w:top w:val="nil"/>
              <w:left w:val="nil"/>
              <w:bottom w:val="single" w:sz="4" w:space="0" w:color="auto"/>
              <w:right w:val="single" w:sz="4" w:space="0" w:color="auto"/>
            </w:tcBorders>
            <w:shd w:val="clear" w:color="auto" w:fill="auto"/>
            <w:noWrap/>
            <w:vAlign w:val="center"/>
            <w:hideMark/>
          </w:tcPr>
          <w:p w14:paraId="11BA047B"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9,820</w:t>
            </w:r>
          </w:p>
        </w:tc>
        <w:tc>
          <w:tcPr>
            <w:tcW w:w="1235" w:type="dxa"/>
            <w:tcBorders>
              <w:top w:val="nil"/>
              <w:left w:val="nil"/>
              <w:bottom w:val="single" w:sz="4" w:space="0" w:color="auto"/>
              <w:right w:val="single" w:sz="4" w:space="0" w:color="auto"/>
            </w:tcBorders>
            <w:shd w:val="clear" w:color="auto" w:fill="auto"/>
            <w:noWrap/>
            <w:vAlign w:val="center"/>
            <w:hideMark/>
          </w:tcPr>
          <w:p w14:paraId="284A95A3"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1.8%</w:t>
            </w:r>
          </w:p>
        </w:tc>
        <w:tc>
          <w:tcPr>
            <w:tcW w:w="965" w:type="dxa"/>
            <w:tcBorders>
              <w:top w:val="nil"/>
              <w:left w:val="nil"/>
              <w:bottom w:val="single" w:sz="4" w:space="0" w:color="auto"/>
              <w:right w:val="single" w:sz="4" w:space="0" w:color="auto"/>
            </w:tcBorders>
            <w:shd w:val="clear" w:color="auto" w:fill="auto"/>
            <w:noWrap/>
            <w:vAlign w:val="bottom"/>
            <w:hideMark/>
          </w:tcPr>
          <w:p w14:paraId="505B5579"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10,539</w:t>
            </w:r>
          </w:p>
        </w:tc>
        <w:tc>
          <w:tcPr>
            <w:tcW w:w="1275" w:type="dxa"/>
            <w:tcBorders>
              <w:top w:val="nil"/>
              <w:left w:val="nil"/>
              <w:bottom w:val="single" w:sz="4" w:space="0" w:color="auto"/>
              <w:right w:val="single" w:sz="4" w:space="0" w:color="auto"/>
            </w:tcBorders>
            <w:shd w:val="clear" w:color="auto" w:fill="auto"/>
            <w:noWrap/>
            <w:vAlign w:val="center"/>
            <w:hideMark/>
          </w:tcPr>
          <w:p w14:paraId="5AEAD2D4"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1.8%</w:t>
            </w:r>
          </w:p>
        </w:tc>
      </w:tr>
      <w:tr w:rsidR="00E42B8C" w:rsidRPr="00225A7D" w14:paraId="68E82218" w14:textId="77777777" w:rsidTr="009740E0">
        <w:trPr>
          <w:cantSplit/>
          <w:trHeight w:val="240"/>
        </w:trPr>
        <w:tc>
          <w:tcPr>
            <w:tcW w:w="1781" w:type="dxa"/>
            <w:tcBorders>
              <w:top w:val="nil"/>
              <w:left w:val="single" w:sz="4" w:space="0" w:color="auto"/>
              <w:bottom w:val="single" w:sz="4" w:space="0" w:color="auto"/>
              <w:right w:val="single" w:sz="4" w:space="0" w:color="auto"/>
            </w:tcBorders>
            <w:shd w:val="clear" w:color="auto" w:fill="auto"/>
            <w:noWrap/>
            <w:vAlign w:val="bottom"/>
            <w:hideMark/>
          </w:tcPr>
          <w:p w14:paraId="0ADD8197" w14:textId="77777777" w:rsidR="00E42B8C" w:rsidRPr="00E42B8C" w:rsidRDefault="00E42B8C" w:rsidP="00E42B8C">
            <w:pPr>
              <w:spacing w:after="0" w:line="240" w:lineRule="auto"/>
              <w:rPr>
                <w:rFonts w:asciiTheme="minorHAnsi" w:eastAsia="Times New Roman" w:hAnsiTheme="minorHAnsi" w:cstheme="minorHAnsi"/>
                <w:color w:val="000000"/>
                <w:sz w:val="20"/>
                <w:szCs w:val="20"/>
              </w:rPr>
            </w:pPr>
            <w:r w:rsidRPr="00E42B8C">
              <w:rPr>
                <w:rFonts w:asciiTheme="minorHAnsi" w:eastAsia="Times New Roman" w:hAnsiTheme="minorHAnsi" w:cstheme="minorHAnsi"/>
                <w:color w:val="000000"/>
                <w:sz w:val="20"/>
                <w:szCs w:val="20"/>
              </w:rPr>
              <w:t>BARNSTABLE</w:t>
            </w:r>
          </w:p>
        </w:tc>
        <w:tc>
          <w:tcPr>
            <w:tcW w:w="1094" w:type="dxa"/>
            <w:tcBorders>
              <w:top w:val="nil"/>
              <w:left w:val="nil"/>
              <w:bottom w:val="single" w:sz="4" w:space="0" w:color="auto"/>
              <w:right w:val="single" w:sz="4" w:space="0" w:color="auto"/>
            </w:tcBorders>
            <w:shd w:val="clear" w:color="auto" w:fill="auto"/>
            <w:noWrap/>
            <w:vAlign w:val="center"/>
            <w:hideMark/>
          </w:tcPr>
          <w:p w14:paraId="6EC1409D"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8,697</w:t>
            </w:r>
          </w:p>
        </w:tc>
        <w:tc>
          <w:tcPr>
            <w:tcW w:w="1350" w:type="dxa"/>
            <w:tcBorders>
              <w:top w:val="nil"/>
              <w:left w:val="nil"/>
              <w:bottom w:val="single" w:sz="4" w:space="0" w:color="auto"/>
              <w:right w:val="single" w:sz="4" w:space="0" w:color="auto"/>
            </w:tcBorders>
            <w:shd w:val="clear" w:color="auto" w:fill="auto"/>
            <w:noWrap/>
            <w:vAlign w:val="center"/>
            <w:hideMark/>
          </w:tcPr>
          <w:p w14:paraId="06D8C12C"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1.6%</w:t>
            </w:r>
          </w:p>
        </w:tc>
        <w:tc>
          <w:tcPr>
            <w:tcW w:w="965" w:type="dxa"/>
            <w:tcBorders>
              <w:top w:val="nil"/>
              <w:left w:val="nil"/>
              <w:bottom w:val="single" w:sz="4" w:space="0" w:color="auto"/>
              <w:right w:val="single" w:sz="4" w:space="0" w:color="auto"/>
            </w:tcBorders>
            <w:shd w:val="clear" w:color="auto" w:fill="auto"/>
            <w:noWrap/>
            <w:vAlign w:val="center"/>
            <w:hideMark/>
          </w:tcPr>
          <w:p w14:paraId="44776B75"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9,002</w:t>
            </w:r>
          </w:p>
        </w:tc>
        <w:tc>
          <w:tcPr>
            <w:tcW w:w="1315" w:type="dxa"/>
            <w:tcBorders>
              <w:top w:val="nil"/>
              <w:left w:val="nil"/>
              <w:bottom w:val="single" w:sz="4" w:space="0" w:color="auto"/>
              <w:right w:val="single" w:sz="4" w:space="0" w:color="auto"/>
            </w:tcBorders>
            <w:shd w:val="clear" w:color="auto" w:fill="auto"/>
            <w:noWrap/>
            <w:vAlign w:val="center"/>
            <w:hideMark/>
          </w:tcPr>
          <w:p w14:paraId="3462435E"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1.6%</w:t>
            </w:r>
          </w:p>
        </w:tc>
        <w:tc>
          <w:tcPr>
            <w:tcW w:w="965" w:type="dxa"/>
            <w:tcBorders>
              <w:top w:val="nil"/>
              <w:left w:val="nil"/>
              <w:bottom w:val="single" w:sz="4" w:space="0" w:color="auto"/>
              <w:right w:val="single" w:sz="4" w:space="0" w:color="auto"/>
            </w:tcBorders>
            <w:shd w:val="clear" w:color="auto" w:fill="auto"/>
            <w:noWrap/>
            <w:vAlign w:val="center"/>
            <w:hideMark/>
          </w:tcPr>
          <w:p w14:paraId="38BF3B26"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9,631</w:t>
            </w:r>
          </w:p>
        </w:tc>
        <w:tc>
          <w:tcPr>
            <w:tcW w:w="1235" w:type="dxa"/>
            <w:tcBorders>
              <w:top w:val="nil"/>
              <w:left w:val="nil"/>
              <w:bottom w:val="single" w:sz="4" w:space="0" w:color="auto"/>
              <w:right w:val="single" w:sz="4" w:space="0" w:color="auto"/>
            </w:tcBorders>
            <w:shd w:val="clear" w:color="auto" w:fill="auto"/>
            <w:noWrap/>
            <w:vAlign w:val="center"/>
            <w:hideMark/>
          </w:tcPr>
          <w:p w14:paraId="1B4CFE05"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1.7%</w:t>
            </w:r>
          </w:p>
        </w:tc>
        <w:tc>
          <w:tcPr>
            <w:tcW w:w="965" w:type="dxa"/>
            <w:tcBorders>
              <w:top w:val="nil"/>
              <w:left w:val="nil"/>
              <w:bottom w:val="single" w:sz="4" w:space="0" w:color="auto"/>
              <w:right w:val="single" w:sz="4" w:space="0" w:color="auto"/>
            </w:tcBorders>
            <w:shd w:val="clear" w:color="auto" w:fill="auto"/>
            <w:noWrap/>
            <w:vAlign w:val="bottom"/>
            <w:hideMark/>
          </w:tcPr>
          <w:p w14:paraId="73B9B7CA"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10,040</w:t>
            </w:r>
          </w:p>
        </w:tc>
        <w:tc>
          <w:tcPr>
            <w:tcW w:w="1275" w:type="dxa"/>
            <w:tcBorders>
              <w:top w:val="nil"/>
              <w:left w:val="nil"/>
              <w:bottom w:val="single" w:sz="4" w:space="0" w:color="auto"/>
              <w:right w:val="single" w:sz="4" w:space="0" w:color="auto"/>
            </w:tcBorders>
            <w:shd w:val="clear" w:color="auto" w:fill="auto"/>
            <w:noWrap/>
            <w:vAlign w:val="center"/>
            <w:hideMark/>
          </w:tcPr>
          <w:p w14:paraId="36CCC681"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1.7%</w:t>
            </w:r>
          </w:p>
        </w:tc>
      </w:tr>
      <w:tr w:rsidR="00E42B8C" w:rsidRPr="00225A7D" w14:paraId="7466F51B" w14:textId="77777777" w:rsidTr="009740E0">
        <w:trPr>
          <w:cantSplit/>
          <w:trHeight w:val="240"/>
        </w:trPr>
        <w:tc>
          <w:tcPr>
            <w:tcW w:w="1781" w:type="dxa"/>
            <w:tcBorders>
              <w:top w:val="nil"/>
              <w:left w:val="single" w:sz="4" w:space="0" w:color="auto"/>
              <w:bottom w:val="single" w:sz="4" w:space="0" w:color="auto"/>
              <w:right w:val="single" w:sz="4" w:space="0" w:color="auto"/>
            </w:tcBorders>
            <w:shd w:val="clear" w:color="auto" w:fill="auto"/>
            <w:noWrap/>
            <w:vAlign w:val="bottom"/>
            <w:hideMark/>
          </w:tcPr>
          <w:p w14:paraId="2C70EDC1" w14:textId="77777777" w:rsidR="00E42B8C" w:rsidRPr="00E42B8C" w:rsidRDefault="00E42B8C" w:rsidP="00E42B8C">
            <w:pPr>
              <w:spacing w:after="0" w:line="240" w:lineRule="auto"/>
              <w:rPr>
                <w:rFonts w:asciiTheme="minorHAnsi" w:eastAsia="Times New Roman" w:hAnsiTheme="minorHAnsi" w:cstheme="minorHAnsi"/>
                <w:color w:val="000000"/>
                <w:sz w:val="20"/>
                <w:szCs w:val="20"/>
              </w:rPr>
            </w:pPr>
            <w:r w:rsidRPr="00E42B8C">
              <w:rPr>
                <w:rFonts w:asciiTheme="minorHAnsi" w:eastAsia="Times New Roman" w:hAnsiTheme="minorHAnsi" w:cstheme="minorHAnsi"/>
                <w:color w:val="000000"/>
                <w:sz w:val="20"/>
                <w:szCs w:val="20"/>
              </w:rPr>
              <w:t>HAMPDEN</w:t>
            </w:r>
          </w:p>
        </w:tc>
        <w:tc>
          <w:tcPr>
            <w:tcW w:w="1094" w:type="dxa"/>
            <w:tcBorders>
              <w:top w:val="nil"/>
              <w:left w:val="nil"/>
              <w:bottom w:val="single" w:sz="4" w:space="0" w:color="auto"/>
              <w:right w:val="single" w:sz="4" w:space="0" w:color="auto"/>
            </w:tcBorders>
            <w:shd w:val="clear" w:color="auto" w:fill="auto"/>
            <w:noWrap/>
            <w:vAlign w:val="center"/>
            <w:hideMark/>
          </w:tcPr>
          <w:p w14:paraId="035DC255"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267</w:t>
            </w:r>
          </w:p>
        </w:tc>
        <w:tc>
          <w:tcPr>
            <w:tcW w:w="1350" w:type="dxa"/>
            <w:tcBorders>
              <w:top w:val="nil"/>
              <w:left w:val="nil"/>
              <w:bottom w:val="single" w:sz="4" w:space="0" w:color="auto"/>
              <w:right w:val="single" w:sz="4" w:space="0" w:color="auto"/>
            </w:tcBorders>
            <w:shd w:val="clear" w:color="auto" w:fill="auto"/>
            <w:noWrap/>
            <w:vAlign w:val="center"/>
            <w:hideMark/>
          </w:tcPr>
          <w:p w14:paraId="3EF4F9B7"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0.0%</w:t>
            </w:r>
          </w:p>
        </w:tc>
        <w:tc>
          <w:tcPr>
            <w:tcW w:w="965" w:type="dxa"/>
            <w:tcBorders>
              <w:top w:val="nil"/>
              <w:left w:val="nil"/>
              <w:bottom w:val="single" w:sz="4" w:space="0" w:color="auto"/>
              <w:right w:val="single" w:sz="4" w:space="0" w:color="auto"/>
            </w:tcBorders>
            <w:shd w:val="clear" w:color="auto" w:fill="auto"/>
            <w:noWrap/>
            <w:vAlign w:val="center"/>
            <w:hideMark/>
          </w:tcPr>
          <w:p w14:paraId="571CBC38"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321</w:t>
            </w:r>
          </w:p>
        </w:tc>
        <w:tc>
          <w:tcPr>
            <w:tcW w:w="1315" w:type="dxa"/>
            <w:tcBorders>
              <w:top w:val="nil"/>
              <w:left w:val="nil"/>
              <w:bottom w:val="single" w:sz="4" w:space="0" w:color="auto"/>
              <w:right w:val="single" w:sz="4" w:space="0" w:color="auto"/>
            </w:tcBorders>
            <w:shd w:val="clear" w:color="auto" w:fill="auto"/>
            <w:noWrap/>
            <w:vAlign w:val="center"/>
            <w:hideMark/>
          </w:tcPr>
          <w:p w14:paraId="046D88EA"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0.1%</w:t>
            </w:r>
          </w:p>
        </w:tc>
        <w:tc>
          <w:tcPr>
            <w:tcW w:w="965" w:type="dxa"/>
            <w:tcBorders>
              <w:top w:val="nil"/>
              <w:left w:val="nil"/>
              <w:bottom w:val="single" w:sz="4" w:space="0" w:color="auto"/>
              <w:right w:val="single" w:sz="4" w:space="0" w:color="auto"/>
            </w:tcBorders>
            <w:shd w:val="clear" w:color="auto" w:fill="auto"/>
            <w:noWrap/>
            <w:vAlign w:val="center"/>
            <w:hideMark/>
          </w:tcPr>
          <w:p w14:paraId="792A20F1"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365</w:t>
            </w:r>
          </w:p>
        </w:tc>
        <w:tc>
          <w:tcPr>
            <w:tcW w:w="1235" w:type="dxa"/>
            <w:tcBorders>
              <w:top w:val="nil"/>
              <w:left w:val="nil"/>
              <w:bottom w:val="single" w:sz="4" w:space="0" w:color="auto"/>
              <w:right w:val="single" w:sz="4" w:space="0" w:color="auto"/>
            </w:tcBorders>
            <w:shd w:val="clear" w:color="auto" w:fill="auto"/>
            <w:noWrap/>
            <w:vAlign w:val="center"/>
            <w:hideMark/>
          </w:tcPr>
          <w:p w14:paraId="603EB6A2"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0.1%</w:t>
            </w:r>
          </w:p>
        </w:tc>
        <w:tc>
          <w:tcPr>
            <w:tcW w:w="965" w:type="dxa"/>
            <w:tcBorders>
              <w:top w:val="nil"/>
              <w:left w:val="nil"/>
              <w:bottom w:val="single" w:sz="4" w:space="0" w:color="auto"/>
              <w:right w:val="single" w:sz="4" w:space="0" w:color="auto"/>
            </w:tcBorders>
            <w:shd w:val="clear" w:color="auto" w:fill="auto"/>
            <w:noWrap/>
            <w:vAlign w:val="bottom"/>
            <w:hideMark/>
          </w:tcPr>
          <w:p w14:paraId="60F15312"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379</w:t>
            </w:r>
          </w:p>
        </w:tc>
        <w:tc>
          <w:tcPr>
            <w:tcW w:w="1275" w:type="dxa"/>
            <w:tcBorders>
              <w:top w:val="nil"/>
              <w:left w:val="nil"/>
              <w:bottom w:val="single" w:sz="4" w:space="0" w:color="auto"/>
              <w:right w:val="single" w:sz="4" w:space="0" w:color="auto"/>
            </w:tcBorders>
            <w:shd w:val="clear" w:color="auto" w:fill="auto"/>
            <w:noWrap/>
            <w:vAlign w:val="center"/>
            <w:hideMark/>
          </w:tcPr>
          <w:p w14:paraId="250CBACC"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0.1%</w:t>
            </w:r>
          </w:p>
        </w:tc>
      </w:tr>
      <w:tr w:rsidR="00E42B8C" w:rsidRPr="00225A7D" w14:paraId="498EF5A6" w14:textId="77777777" w:rsidTr="009740E0">
        <w:trPr>
          <w:cantSplit/>
          <w:trHeight w:val="240"/>
        </w:trPr>
        <w:tc>
          <w:tcPr>
            <w:tcW w:w="1781" w:type="dxa"/>
            <w:tcBorders>
              <w:top w:val="nil"/>
              <w:left w:val="single" w:sz="4" w:space="0" w:color="auto"/>
              <w:bottom w:val="single" w:sz="4" w:space="0" w:color="auto"/>
              <w:right w:val="single" w:sz="4" w:space="0" w:color="auto"/>
            </w:tcBorders>
            <w:shd w:val="clear" w:color="auto" w:fill="auto"/>
            <w:noWrap/>
            <w:vAlign w:val="bottom"/>
            <w:hideMark/>
          </w:tcPr>
          <w:p w14:paraId="2CD5F436" w14:textId="77777777" w:rsidR="00E42B8C" w:rsidRPr="00E42B8C" w:rsidRDefault="00E42B8C" w:rsidP="00E42B8C">
            <w:pPr>
              <w:spacing w:after="0" w:line="240" w:lineRule="auto"/>
              <w:rPr>
                <w:rFonts w:asciiTheme="minorHAnsi" w:eastAsia="Times New Roman" w:hAnsiTheme="minorHAnsi" w:cstheme="minorHAnsi"/>
                <w:color w:val="000000"/>
                <w:sz w:val="20"/>
                <w:szCs w:val="20"/>
              </w:rPr>
            </w:pPr>
            <w:r w:rsidRPr="00E42B8C">
              <w:rPr>
                <w:rFonts w:asciiTheme="minorHAnsi" w:eastAsia="Times New Roman" w:hAnsiTheme="minorHAnsi" w:cstheme="minorHAnsi"/>
                <w:color w:val="000000"/>
                <w:sz w:val="20"/>
                <w:szCs w:val="20"/>
              </w:rPr>
              <w:t>HAMPSHIRE</w:t>
            </w:r>
          </w:p>
        </w:tc>
        <w:tc>
          <w:tcPr>
            <w:tcW w:w="1094" w:type="dxa"/>
            <w:tcBorders>
              <w:top w:val="nil"/>
              <w:left w:val="nil"/>
              <w:bottom w:val="single" w:sz="4" w:space="0" w:color="auto"/>
              <w:right w:val="single" w:sz="4" w:space="0" w:color="auto"/>
            </w:tcBorders>
            <w:shd w:val="clear" w:color="auto" w:fill="auto"/>
            <w:noWrap/>
            <w:vAlign w:val="center"/>
            <w:hideMark/>
          </w:tcPr>
          <w:p w14:paraId="27068892"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191</w:t>
            </w:r>
          </w:p>
        </w:tc>
        <w:tc>
          <w:tcPr>
            <w:tcW w:w="1350" w:type="dxa"/>
            <w:tcBorders>
              <w:top w:val="nil"/>
              <w:left w:val="nil"/>
              <w:bottom w:val="single" w:sz="4" w:space="0" w:color="auto"/>
              <w:right w:val="single" w:sz="4" w:space="0" w:color="auto"/>
            </w:tcBorders>
            <w:shd w:val="clear" w:color="auto" w:fill="auto"/>
            <w:noWrap/>
            <w:vAlign w:val="center"/>
            <w:hideMark/>
          </w:tcPr>
          <w:p w14:paraId="40B2116C"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0.0%</w:t>
            </w:r>
          </w:p>
        </w:tc>
        <w:tc>
          <w:tcPr>
            <w:tcW w:w="965" w:type="dxa"/>
            <w:tcBorders>
              <w:top w:val="nil"/>
              <w:left w:val="nil"/>
              <w:bottom w:val="single" w:sz="4" w:space="0" w:color="auto"/>
              <w:right w:val="single" w:sz="4" w:space="0" w:color="auto"/>
            </w:tcBorders>
            <w:shd w:val="clear" w:color="auto" w:fill="auto"/>
            <w:noWrap/>
            <w:vAlign w:val="center"/>
            <w:hideMark/>
          </w:tcPr>
          <w:p w14:paraId="0A53218C"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262</w:t>
            </w:r>
          </w:p>
        </w:tc>
        <w:tc>
          <w:tcPr>
            <w:tcW w:w="1315" w:type="dxa"/>
            <w:tcBorders>
              <w:top w:val="nil"/>
              <w:left w:val="nil"/>
              <w:bottom w:val="single" w:sz="4" w:space="0" w:color="auto"/>
              <w:right w:val="single" w:sz="4" w:space="0" w:color="auto"/>
            </w:tcBorders>
            <w:shd w:val="clear" w:color="auto" w:fill="auto"/>
            <w:noWrap/>
            <w:vAlign w:val="center"/>
            <w:hideMark/>
          </w:tcPr>
          <w:p w14:paraId="323AAC03"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0.0%</w:t>
            </w:r>
          </w:p>
        </w:tc>
        <w:tc>
          <w:tcPr>
            <w:tcW w:w="965" w:type="dxa"/>
            <w:tcBorders>
              <w:top w:val="nil"/>
              <w:left w:val="nil"/>
              <w:bottom w:val="single" w:sz="4" w:space="0" w:color="auto"/>
              <w:right w:val="single" w:sz="4" w:space="0" w:color="auto"/>
            </w:tcBorders>
            <w:shd w:val="clear" w:color="auto" w:fill="auto"/>
            <w:noWrap/>
            <w:vAlign w:val="center"/>
            <w:hideMark/>
          </w:tcPr>
          <w:p w14:paraId="0FE5B2C1"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287</w:t>
            </w:r>
          </w:p>
        </w:tc>
        <w:tc>
          <w:tcPr>
            <w:tcW w:w="1235" w:type="dxa"/>
            <w:tcBorders>
              <w:top w:val="nil"/>
              <w:left w:val="nil"/>
              <w:bottom w:val="single" w:sz="4" w:space="0" w:color="auto"/>
              <w:right w:val="single" w:sz="4" w:space="0" w:color="auto"/>
            </w:tcBorders>
            <w:shd w:val="clear" w:color="auto" w:fill="auto"/>
            <w:noWrap/>
            <w:vAlign w:val="center"/>
            <w:hideMark/>
          </w:tcPr>
          <w:p w14:paraId="7A074A69"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0.1%</w:t>
            </w:r>
          </w:p>
        </w:tc>
        <w:tc>
          <w:tcPr>
            <w:tcW w:w="965" w:type="dxa"/>
            <w:tcBorders>
              <w:top w:val="nil"/>
              <w:left w:val="nil"/>
              <w:bottom w:val="single" w:sz="4" w:space="0" w:color="auto"/>
              <w:right w:val="single" w:sz="4" w:space="0" w:color="auto"/>
            </w:tcBorders>
            <w:shd w:val="clear" w:color="auto" w:fill="auto"/>
            <w:noWrap/>
            <w:vAlign w:val="bottom"/>
            <w:hideMark/>
          </w:tcPr>
          <w:p w14:paraId="04BE961C"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275</w:t>
            </w:r>
          </w:p>
        </w:tc>
        <w:tc>
          <w:tcPr>
            <w:tcW w:w="1275" w:type="dxa"/>
            <w:tcBorders>
              <w:top w:val="nil"/>
              <w:left w:val="nil"/>
              <w:bottom w:val="single" w:sz="4" w:space="0" w:color="auto"/>
              <w:right w:val="single" w:sz="4" w:space="0" w:color="auto"/>
            </w:tcBorders>
            <w:shd w:val="clear" w:color="auto" w:fill="auto"/>
            <w:noWrap/>
            <w:vAlign w:val="center"/>
            <w:hideMark/>
          </w:tcPr>
          <w:p w14:paraId="1E915C4F"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0.0%</w:t>
            </w:r>
          </w:p>
        </w:tc>
      </w:tr>
      <w:tr w:rsidR="00E42B8C" w:rsidRPr="00225A7D" w14:paraId="7F438B3F" w14:textId="77777777" w:rsidTr="009740E0">
        <w:trPr>
          <w:cantSplit/>
          <w:trHeight w:val="240"/>
        </w:trPr>
        <w:tc>
          <w:tcPr>
            <w:tcW w:w="1781" w:type="dxa"/>
            <w:tcBorders>
              <w:top w:val="nil"/>
              <w:left w:val="single" w:sz="4" w:space="0" w:color="auto"/>
              <w:bottom w:val="single" w:sz="4" w:space="0" w:color="auto"/>
              <w:right w:val="single" w:sz="4" w:space="0" w:color="auto"/>
            </w:tcBorders>
            <w:shd w:val="clear" w:color="auto" w:fill="auto"/>
            <w:noWrap/>
            <w:vAlign w:val="bottom"/>
            <w:hideMark/>
          </w:tcPr>
          <w:p w14:paraId="0C72CEEE" w14:textId="77777777" w:rsidR="00E42B8C" w:rsidRPr="00E42B8C" w:rsidRDefault="00E42B8C" w:rsidP="00E42B8C">
            <w:pPr>
              <w:spacing w:after="0" w:line="240" w:lineRule="auto"/>
              <w:rPr>
                <w:rFonts w:asciiTheme="minorHAnsi" w:eastAsia="Times New Roman" w:hAnsiTheme="minorHAnsi" w:cstheme="minorHAnsi"/>
                <w:color w:val="000000"/>
                <w:sz w:val="20"/>
                <w:szCs w:val="20"/>
              </w:rPr>
            </w:pPr>
            <w:r w:rsidRPr="00E42B8C">
              <w:rPr>
                <w:rFonts w:asciiTheme="minorHAnsi" w:eastAsia="Times New Roman" w:hAnsiTheme="minorHAnsi" w:cstheme="minorHAnsi"/>
                <w:color w:val="000000"/>
                <w:sz w:val="20"/>
                <w:szCs w:val="20"/>
              </w:rPr>
              <w:t>BERKSHIRE</w:t>
            </w:r>
          </w:p>
        </w:tc>
        <w:tc>
          <w:tcPr>
            <w:tcW w:w="1094" w:type="dxa"/>
            <w:tcBorders>
              <w:top w:val="nil"/>
              <w:left w:val="nil"/>
              <w:bottom w:val="single" w:sz="4" w:space="0" w:color="auto"/>
              <w:right w:val="single" w:sz="4" w:space="0" w:color="auto"/>
            </w:tcBorders>
            <w:shd w:val="clear" w:color="auto" w:fill="auto"/>
            <w:noWrap/>
            <w:vAlign w:val="center"/>
            <w:hideMark/>
          </w:tcPr>
          <w:p w14:paraId="2B7929F9"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138</w:t>
            </w:r>
          </w:p>
        </w:tc>
        <w:tc>
          <w:tcPr>
            <w:tcW w:w="1350" w:type="dxa"/>
            <w:tcBorders>
              <w:top w:val="nil"/>
              <w:left w:val="nil"/>
              <w:bottom w:val="single" w:sz="4" w:space="0" w:color="auto"/>
              <w:right w:val="single" w:sz="4" w:space="0" w:color="auto"/>
            </w:tcBorders>
            <w:shd w:val="clear" w:color="auto" w:fill="auto"/>
            <w:noWrap/>
            <w:vAlign w:val="center"/>
            <w:hideMark/>
          </w:tcPr>
          <w:p w14:paraId="624C010F"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0.0%</w:t>
            </w:r>
          </w:p>
        </w:tc>
        <w:tc>
          <w:tcPr>
            <w:tcW w:w="965" w:type="dxa"/>
            <w:tcBorders>
              <w:top w:val="nil"/>
              <w:left w:val="nil"/>
              <w:bottom w:val="single" w:sz="4" w:space="0" w:color="auto"/>
              <w:right w:val="single" w:sz="4" w:space="0" w:color="auto"/>
            </w:tcBorders>
            <w:shd w:val="clear" w:color="auto" w:fill="auto"/>
            <w:noWrap/>
            <w:vAlign w:val="center"/>
            <w:hideMark/>
          </w:tcPr>
          <w:p w14:paraId="18D180DB"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168</w:t>
            </w:r>
          </w:p>
        </w:tc>
        <w:tc>
          <w:tcPr>
            <w:tcW w:w="1315" w:type="dxa"/>
            <w:tcBorders>
              <w:top w:val="nil"/>
              <w:left w:val="nil"/>
              <w:bottom w:val="single" w:sz="4" w:space="0" w:color="auto"/>
              <w:right w:val="single" w:sz="4" w:space="0" w:color="auto"/>
            </w:tcBorders>
            <w:shd w:val="clear" w:color="auto" w:fill="auto"/>
            <w:noWrap/>
            <w:vAlign w:val="center"/>
            <w:hideMark/>
          </w:tcPr>
          <w:p w14:paraId="38491452"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0.0%</w:t>
            </w:r>
          </w:p>
        </w:tc>
        <w:tc>
          <w:tcPr>
            <w:tcW w:w="965" w:type="dxa"/>
            <w:tcBorders>
              <w:top w:val="nil"/>
              <w:left w:val="nil"/>
              <w:bottom w:val="single" w:sz="4" w:space="0" w:color="auto"/>
              <w:right w:val="single" w:sz="4" w:space="0" w:color="auto"/>
            </w:tcBorders>
            <w:shd w:val="clear" w:color="auto" w:fill="auto"/>
            <w:noWrap/>
            <w:vAlign w:val="center"/>
            <w:hideMark/>
          </w:tcPr>
          <w:p w14:paraId="669D618F"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198</w:t>
            </w:r>
          </w:p>
        </w:tc>
        <w:tc>
          <w:tcPr>
            <w:tcW w:w="1235" w:type="dxa"/>
            <w:tcBorders>
              <w:top w:val="nil"/>
              <w:left w:val="nil"/>
              <w:bottom w:val="single" w:sz="4" w:space="0" w:color="auto"/>
              <w:right w:val="single" w:sz="4" w:space="0" w:color="auto"/>
            </w:tcBorders>
            <w:shd w:val="clear" w:color="auto" w:fill="auto"/>
            <w:noWrap/>
            <w:vAlign w:val="center"/>
            <w:hideMark/>
          </w:tcPr>
          <w:p w14:paraId="3EB487A3"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0.0%</w:t>
            </w:r>
          </w:p>
        </w:tc>
        <w:tc>
          <w:tcPr>
            <w:tcW w:w="965" w:type="dxa"/>
            <w:tcBorders>
              <w:top w:val="nil"/>
              <w:left w:val="nil"/>
              <w:bottom w:val="single" w:sz="4" w:space="0" w:color="auto"/>
              <w:right w:val="single" w:sz="4" w:space="0" w:color="auto"/>
            </w:tcBorders>
            <w:shd w:val="clear" w:color="auto" w:fill="auto"/>
            <w:noWrap/>
            <w:vAlign w:val="bottom"/>
            <w:hideMark/>
          </w:tcPr>
          <w:p w14:paraId="2EC44624"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192</w:t>
            </w:r>
          </w:p>
        </w:tc>
        <w:tc>
          <w:tcPr>
            <w:tcW w:w="1275" w:type="dxa"/>
            <w:tcBorders>
              <w:top w:val="nil"/>
              <w:left w:val="nil"/>
              <w:bottom w:val="single" w:sz="4" w:space="0" w:color="auto"/>
              <w:right w:val="single" w:sz="4" w:space="0" w:color="auto"/>
            </w:tcBorders>
            <w:shd w:val="clear" w:color="auto" w:fill="auto"/>
            <w:noWrap/>
            <w:vAlign w:val="center"/>
            <w:hideMark/>
          </w:tcPr>
          <w:p w14:paraId="3AC3A952"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0.0%</w:t>
            </w:r>
          </w:p>
        </w:tc>
      </w:tr>
      <w:tr w:rsidR="00E42B8C" w:rsidRPr="00225A7D" w14:paraId="584D8916" w14:textId="77777777" w:rsidTr="009740E0">
        <w:trPr>
          <w:cantSplit/>
          <w:trHeight w:val="240"/>
        </w:trPr>
        <w:tc>
          <w:tcPr>
            <w:tcW w:w="1781" w:type="dxa"/>
            <w:tcBorders>
              <w:top w:val="nil"/>
              <w:left w:val="single" w:sz="4" w:space="0" w:color="auto"/>
              <w:bottom w:val="single" w:sz="4" w:space="0" w:color="auto"/>
              <w:right w:val="single" w:sz="4" w:space="0" w:color="auto"/>
            </w:tcBorders>
            <w:shd w:val="clear" w:color="auto" w:fill="auto"/>
            <w:noWrap/>
            <w:vAlign w:val="bottom"/>
            <w:hideMark/>
          </w:tcPr>
          <w:p w14:paraId="5D41F5A2" w14:textId="77777777" w:rsidR="00E42B8C" w:rsidRPr="00E42B8C" w:rsidRDefault="00E42B8C" w:rsidP="00E42B8C">
            <w:pPr>
              <w:spacing w:after="0" w:line="240" w:lineRule="auto"/>
              <w:rPr>
                <w:rFonts w:asciiTheme="minorHAnsi" w:eastAsia="Times New Roman" w:hAnsiTheme="minorHAnsi" w:cstheme="minorHAnsi"/>
                <w:color w:val="000000"/>
                <w:sz w:val="20"/>
                <w:szCs w:val="20"/>
              </w:rPr>
            </w:pPr>
            <w:r w:rsidRPr="00E42B8C">
              <w:rPr>
                <w:rFonts w:asciiTheme="minorHAnsi" w:eastAsia="Times New Roman" w:hAnsiTheme="minorHAnsi" w:cstheme="minorHAnsi"/>
                <w:color w:val="000000"/>
                <w:sz w:val="20"/>
                <w:szCs w:val="20"/>
              </w:rPr>
              <w:t>DUKES</w:t>
            </w:r>
          </w:p>
        </w:tc>
        <w:tc>
          <w:tcPr>
            <w:tcW w:w="1094" w:type="dxa"/>
            <w:tcBorders>
              <w:top w:val="nil"/>
              <w:left w:val="nil"/>
              <w:bottom w:val="single" w:sz="4" w:space="0" w:color="auto"/>
              <w:right w:val="single" w:sz="4" w:space="0" w:color="auto"/>
            </w:tcBorders>
            <w:shd w:val="clear" w:color="auto" w:fill="auto"/>
            <w:noWrap/>
            <w:vAlign w:val="center"/>
            <w:hideMark/>
          </w:tcPr>
          <w:p w14:paraId="46792A88"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134</w:t>
            </w:r>
          </w:p>
        </w:tc>
        <w:tc>
          <w:tcPr>
            <w:tcW w:w="1350" w:type="dxa"/>
            <w:tcBorders>
              <w:top w:val="nil"/>
              <w:left w:val="nil"/>
              <w:bottom w:val="single" w:sz="4" w:space="0" w:color="auto"/>
              <w:right w:val="single" w:sz="4" w:space="0" w:color="auto"/>
            </w:tcBorders>
            <w:shd w:val="clear" w:color="auto" w:fill="auto"/>
            <w:noWrap/>
            <w:vAlign w:val="center"/>
            <w:hideMark/>
          </w:tcPr>
          <w:p w14:paraId="316185B7"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0.0%</w:t>
            </w:r>
          </w:p>
        </w:tc>
        <w:tc>
          <w:tcPr>
            <w:tcW w:w="965" w:type="dxa"/>
            <w:tcBorders>
              <w:top w:val="nil"/>
              <w:left w:val="nil"/>
              <w:bottom w:val="single" w:sz="4" w:space="0" w:color="auto"/>
              <w:right w:val="single" w:sz="4" w:space="0" w:color="auto"/>
            </w:tcBorders>
            <w:shd w:val="clear" w:color="auto" w:fill="auto"/>
            <w:noWrap/>
            <w:vAlign w:val="center"/>
            <w:hideMark/>
          </w:tcPr>
          <w:p w14:paraId="05537CF3"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131</w:t>
            </w:r>
          </w:p>
        </w:tc>
        <w:tc>
          <w:tcPr>
            <w:tcW w:w="1315" w:type="dxa"/>
            <w:tcBorders>
              <w:top w:val="nil"/>
              <w:left w:val="nil"/>
              <w:bottom w:val="single" w:sz="4" w:space="0" w:color="auto"/>
              <w:right w:val="single" w:sz="4" w:space="0" w:color="auto"/>
            </w:tcBorders>
            <w:shd w:val="clear" w:color="auto" w:fill="auto"/>
            <w:noWrap/>
            <w:vAlign w:val="center"/>
            <w:hideMark/>
          </w:tcPr>
          <w:p w14:paraId="6EED23FB"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0.0%</w:t>
            </w:r>
          </w:p>
        </w:tc>
        <w:tc>
          <w:tcPr>
            <w:tcW w:w="965" w:type="dxa"/>
            <w:tcBorders>
              <w:top w:val="nil"/>
              <w:left w:val="nil"/>
              <w:bottom w:val="single" w:sz="4" w:space="0" w:color="auto"/>
              <w:right w:val="single" w:sz="4" w:space="0" w:color="auto"/>
            </w:tcBorders>
            <w:shd w:val="clear" w:color="auto" w:fill="auto"/>
            <w:noWrap/>
            <w:vAlign w:val="center"/>
            <w:hideMark/>
          </w:tcPr>
          <w:p w14:paraId="1A8A4CBF"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126</w:t>
            </w:r>
          </w:p>
        </w:tc>
        <w:tc>
          <w:tcPr>
            <w:tcW w:w="1235" w:type="dxa"/>
            <w:tcBorders>
              <w:top w:val="nil"/>
              <w:left w:val="nil"/>
              <w:bottom w:val="single" w:sz="4" w:space="0" w:color="auto"/>
              <w:right w:val="single" w:sz="4" w:space="0" w:color="auto"/>
            </w:tcBorders>
            <w:shd w:val="clear" w:color="auto" w:fill="auto"/>
            <w:noWrap/>
            <w:vAlign w:val="center"/>
            <w:hideMark/>
          </w:tcPr>
          <w:p w14:paraId="46AEF8E7"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0.0%</w:t>
            </w:r>
          </w:p>
        </w:tc>
        <w:tc>
          <w:tcPr>
            <w:tcW w:w="965" w:type="dxa"/>
            <w:tcBorders>
              <w:top w:val="nil"/>
              <w:left w:val="nil"/>
              <w:bottom w:val="single" w:sz="4" w:space="0" w:color="auto"/>
              <w:right w:val="single" w:sz="4" w:space="0" w:color="auto"/>
            </w:tcBorders>
            <w:shd w:val="clear" w:color="auto" w:fill="auto"/>
            <w:noWrap/>
            <w:vAlign w:val="bottom"/>
            <w:hideMark/>
          </w:tcPr>
          <w:p w14:paraId="418F94A1"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128</w:t>
            </w:r>
          </w:p>
        </w:tc>
        <w:tc>
          <w:tcPr>
            <w:tcW w:w="1275" w:type="dxa"/>
            <w:tcBorders>
              <w:top w:val="nil"/>
              <w:left w:val="nil"/>
              <w:bottom w:val="single" w:sz="4" w:space="0" w:color="auto"/>
              <w:right w:val="single" w:sz="4" w:space="0" w:color="auto"/>
            </w:tcBorders>
            <w:shd w:val="clear" w:color="auto" w:fill="auto"/>
            <w:noWrap/>
            <w:vAlign w:val="center"/>
            <w:hideMark/>
          </w:tcPr>
          <w:p w14:paraId="3C45AEBE"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0.0%</w:t>
            </w:r>
          </w:p>
        </w:tc>
      </w:tr>
      <w:tr w:rsidR="00E42B8C" w:rsidRPr="00225A7D" w14:paraId="4F72A964" w14:textId="77777777" w:rsidTr="009740E0">
        <w:trPr>
          <w:cantSplit/>
          <w:trHeight w:val="240"/>
        </w:trPr>
        <w:tc>
          <w:tcPr>
            <w:tcW w:w="1781" w:type="dxa"/>
            <w:tcBorders>
              <w:top w:val="nil"/>
              <w:left w:val="single" w:sz="4" w:space="0" w:color="auto"/>
              <w:bottom w:val="single" w:sz="4" w:space="0" w:color="auto"/>
              <w:right w:val="single" w:sz="4" w:space="0" w:color="auto"/>
            </w:tcBorders>
            <w:shd w:val="clear" w:color="auto" w:fill="auto"/>
            <w:noWrap/>
            <w:vAlign w:val="bottom"/>
            <w:hideMark/>
          </w:tcPr>
          <w:p w14:paraId="3190F792" w14:textId="77777777" w:rsidR="00E42B8C" w:rsidRPr="00E42B8C" w:rsidRDefault="00E42B8C" w:rsidP="00E42B8C">
            <w:pPr>
              <w:spacing w:after="0" w:line="240" w:lineRule="auto"/>
              <w:rPr>
                <w:rFonts w:asciiTheme="minorHAnsi" w:eastAsia="Times New Roman" w:hAnsiTheme="minorHAnsi" w:cstheme="minorHAnsi"/>
                <w:color w:val="000000"/>
                <w:sz w:val="20"/>
                <w:szCs w:val="20"/>
              </w:rPr>
            </w:pPr>
            <w:r w:rsidRPr="00E42B8C">
              <w:rPr>
                <w:rFonts w:asciiTheme="minorHAnsi" w:eastAsia="Times New Roman" w:hAnsiTheme="minorHAnsi" w:cstheme="minorHAnsi"/>
                <w:color w:val="000000"/>
                <w:sz w:val="20"/>
                <w:szCs w:val="20"/>
              </w:rPr>
              <w:t>FRANKLIN</w:t>
            </w:r>
          </w:p>
        </w:tc>
        <w:tc>
          <w:tcPr>
            <w:tcW w:w="1094" w:type="dxa"/>
            <w:tcBorders>
              <w:top w:val="nil"/>
              <w:left w:val="nil"/>
              <w:bottom w:val="single" w:sz="4" w:space="0" w:color="auto"/>
              <w:right w:val="single" w:sz="4" w:space="0" w:color="auto"/>
            </w:tcBorders>
            <w:shd w:val="clear" w:color="auto" w:fill="auto"/>
            <w:noWrap/>
            <w:vAlign w:val="center"/>
            <w:hideMark/>
          </w:tcPr>
          <w:p w14:paraId="21766911"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83</w:t>
            </w:r>
          </w:p>
        </w:tc>
        <w:tc>
          <w:tcPr>
            <w:tcW w:w="1350" w:type="dxa"/>
            <w:tcBorders>
              <w:top w:val="nil"/>
              <w:left w:val="nil"/>
              <w:bottom w:val="single" w:sz="4" w:space="0" w:color="auto"/>
              <w:right w:val="single" w:sz="4" w:space="0" w:color="auto"/>
            </w:tcBorders>
            <w:shd w:val="clear" w:color="auto" w:fill="auto"/>
            <w:noWrap/>
            <w:vAlign w:val="center"/>
            <w:hideMark/>
          </w:tcPr>
          <w:p w14:paraId="56A98086"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0.0%</w:t>
            </w:r>
          </w:p>
        </w:tc>
        <w:tc>
          <w:tcPr>
            <w:tcW w:w="965" w:type="dxa"/>
            <w:tcBorders>
              <w:top w:val="nil"/>
              <w:left w:val="nil"/>
              <w:bottom w:val="single" w:sz="4" w:space="0" w:color="auto"/>
              <w:right w:val="single" w:sz="4" w:space="0" w:color="auto"/>
            </w:tcBorders>
            <w:shd w:val="clear" w:color="auto" w:fill="auto"/>
            <w:noWrap/>
            <w:vAlign w:val="center"/>
            <w:hideMark/>
          </w:tcPr>
          <w:p w14:paraId="3FB47C3B"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100</w:t>
            </w:r>
          </w:p>
        </w:tc>
        <w:tc>
          <w:tcPr>
            <w:tcW w:w="1315" w:type="dxa"/>
            <w:tcBorders>
              <w:top w:val="nil"/>
              <w:left w:val="nil"/>
              <w:bottom w:val="single" w:sz="4" w:space="0" w:color="auto"/>
              <w:right w:val="single" w:sz="4" w:space="0" w:color="auto"/>
            </w:tcBorders>
            <w:shd w:val="clear" w:color="auto" w:fill="auto"/>
            <w:noWrap/>
            <w:vAlign w:val="center"/>
            <w:hideMark/>
          </w:tcPr>
          <w:p w14:paraId="0A0EBE53"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0.0%</w:t>
            </w:r>
          </w:p>
        </w:tc>
        <w:tc>
          <w:tcPr>
            <w:tcW w:w="965" w:type="dxa"/>
            <w:tcBorders>
              <w:top w:val="nil"/>
              <w:left w:val="nil"/>
              <w:bottom w:val="single" w:sz="4" w:space="0" w:color="auto"/>
              <w:right w:val="single" w:sz="4" w:space="0" w:color="auto"/>
            </w:tcBorders>
            <w:shd w:val="clear" w:color="auto" w:fill="auto"/>
            <w:noWrap/>
            <w:vAlign w:val="center"/>
            <w:hideMark/>
          </w:tcPr>
          <w:p w14:paraId="72A8364A"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112</w:t>
            </w:r>
          </w:p>
        </w:tc>
        <w:tc>
          <w:tcPr>
            <w:tcW w:w="1235" w:type="dxa"/>
            <w:tcBorders>
              <w:top w:val="nil"/>
              <w:left w:val="nil"/>
              <w:bottom w:val="single" w:sz="4" w:space="0" w:color="auto"/>
              <w:right w:val="single" w:sz="4" w:space="0" w:color="auto"/>
            </w:tcBorders>
            <w:shd w:val="clear" w:color="auto" w:fill="auto"/>
            <w:noWrap/>
            <w:vAlign w:val="center"/>
            <w:hideMark/>
          </w:tcPr>
          <w:p w14:paraId="3A37A14E"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0.0%</w:t>
            </w:r>
          </w:p>
        </w:tc>
        <w:tc>
          <w:tcPr>
            <w:tcW w:w="965" w:type="dxa"/>
            <w:tcBorders>
              <w:top w:val="nil"/>
              <w:left w:val="nil"/>
              <w:bottom w:val="single" w:sz="4" w:space="0" w:color="auto"/>
              <w:right w:val="single" w:sz="4" w:space="0" w:color="auto"/>
            </w:tcBorders>
            <w:shd w:val="clear" w:color="auto" w:fill="auto"/>
            <w:noWrap/>
            <w:vAlign w:val="bottom"/>
            <w:hideMark/>
          </w:tcPr>
          <w:p w14:paraId="033400E3"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116</w:t>
            </w:r>
          </w:p>
        </w:tc>
        <w:tc>
          <w:tcPr>
            <w:tcW w:w="1275" w:type="dxa"/>
            <w:tcBorders>
              <w:top w:val="nil"/>
              <w:left w:val="nil"/>
              <w:bottom w:val="single" w:sz="4" w:space="0" w:color="auto"/>
              <w:right w:val="single" w:sz="4" w:space="0" w:color="auto"/>
            </w:tcBorders>
            <w:shd w:val="clear" w:color="auto" w:fill="auto"/>
            <w:noWrap/>
            <w:vAlign w:val="center"/>
            <w:hideMark/>
          </w:tcPr>
          <w:p w14:paraId="7D12A5E1"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0.0%</w:t>
            </w:r>
          </w:p>
        </w:tc>
      </w:tr>
      <w:tr w:rsidR="00E42B8C" w:rsidRPr="00225A7D" w14:paraId="6108FE84" w14:textId="77777777" w:rsidTr="009740E0">
        <w:trPr>
          <w:cantSplit/>
          <w:trHeight w:val="240"/>
        </w:trPr>
        <w:tc>
          <w:tcPr>
            <w:tcW w:w="1781" w:type="dxa"/>
            <w:tcBorders>
              <w:top w:val="nil"/>
              <w:left w:val="single" w:sz="4" w:space="0" w:color="auto"/>
              <w:bottom w:val="single" w:sz="4" w:space="0" w:color="auto"/>
              <w:right w:val="single" w:sz="4" w:space="0" w:color="auto"/>
            </w:tcBorders>
            <w:shd w:val="clear" w:color="auto" w:fill="auto"/>
            <w:noWrap/>
            <w:vAlign w:val="bottom"/>
            <w:hideMark/>
          </w:tcPr>
          <w:p w14:paraId="7CD94D72" w14:textId="77777777" w:rsidR="00E42B8C" w:rsidRPr="00E42B8C" w:rsidRDefault="00E42B8C" w:rsidP="00E42B8C">
            <w:pPr>
              <w:spacing w:after="0" w:line="240" w:lineRule="auto"/>
              <w:rPr>
                <w:rFonts w:asciiTheme="minorHAnsi" w:eastAsia="Times New Roman" w:hAnsiTheme="minorHAnsi" w:cstheme="minorHAnsi"/>
                <w:color w:val="000000"/>
                <w:sz w:val="20"/>
                <w:szCs w:val="20"/>
              </w:rPr>
            </w:pPr>
            <w:r w:rsidRPr="00E42B8C">
              <w:rPr>
                <w:rFonts w:asciiTheme="minorHAnsi" w:eastAsia="Times New Roman" w:hAnsiTheme="minorHAnsi" w:cstheme="minorHAnsi"/>
                <w:color w:val="000000"/>
                <w:sz w:val="20"/>
                <w:szCs w:val="20"/>
              </w:rPr>
              <w:t>NANTUCKET</w:t>
            </w:r>
          </w:p>
        </w:tc>
        <w:tc>
          <w:tcPr>
            <w:tcW w:w="1094" w:type="dxa"/>
            <w:tcBorders>
              <w:top w:val="nil"/>
              <w:left w:val="nil"/>
              <w:bottom w:val="single" w:sz="4" w:space="0" w:color="auto"/>
              <w:right w:val="single" w:sz="4" w:space="0" w:color="auto"/>
            </w:tcBorders>
            <w:shd w:val="clear" w:color="auto" w:fill="auto"/>
            <w:noWrap/>
            <w:vAlign w:val="center"/>
            <w:hideMark/>
          </w:tcPr>
          <w:p w14:paraId="377D12BD"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65</w:t>
            </w:r>
          </w:p>
        </w:tc>
        <w:tc>
          <w:tcPr>
            <w:tcW w:w="1350" w:type="dxa"/>
            <w:tcBorders>
              <w:top w:val="nil"/>
              <w:left w:val="nil"/>
              <w:bottom w:val="single" w:sz="4" w:space="0" w:color="auto"/>
              <w:right w:val="single" w:sz="4" w:space="0" w:color="auto"/>
            </w:tcBorders>
            <w:shd w:val="clear" w:color="auto" w:fill="auto"/>
            <w:noWrap/>
            <w:vAlign w:val="center"/>
            <w:hideMark/>
          </w:tcPr>
          <w:p w14:paraId="5444AE1B"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0.0%</w:t>
            </w:r>
          </w:p>
        </w:tc>
        <w:tc>
          <w:tcPr>
            <w:tcW w:w="965" w:type="dxa"/>
            <w:tcBorders>
              <w:top w:val="nil"/>
              <w:left w:val="nil"/>
              <w:bottom w:val="single" w:sz="4" w:space="0" w:color="auto"/>
              <w:right w:val="single" w:sz="4" w:space="0" w:color="auto"/>
            </w:tcBorders>
            <w:shd w:val="clear" w:color="auto" w:fill="auto"/>
            <w:noWrap/>
            <w:vAlign w:val="center"/>
            <w:hideMark/>
          </w:tcPr>
          <w:p w14:paraId="69D82CA7"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82</w:t>
            </w:r>
          </w:p>
        </w:tc>
        <w:tc>
          <w:tcPr>
            <w:tcW w:w="1315" w:type="dxa"/>
            <w:tcBorders>
              <w:top w:val="nil"/>
              <w:left w:val="nil"/>
              <w:bottom w:val="single" w:sz="4" w:space="0" w:color="auto"/>
              <w:right w:val="single" w:sz="4" w:space="0" w:color="auto"/>
            </w:tcBorders>
            <w:shd w:val="clear" w:color="auto" w:fill="auto"/>
            <w:noWrap/>
            <w:vAlign w:val="center"/>
            <w:hideMark/>
          </w:tcPr>
          <w:p w14:paraId="2536039F"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0.0%</w:t>
            </w:r>
          </w:p>
        </w:tc>
        <w:tc>
          <w:tcPr>
            <w:tcW w:w="965" w:type="dxa"/>
            <w:tcBorders>
              <w:top w:val="nil"/>
              <w:left w:val="nil"/>
              <w:bottom w:val="single" w:sz="4" w:space="0" w:color="auto"/>
              <w:right w:val="single" w:sz="4" w:space="0" w:color="auto"/>
            </w:tcBorders>
            <w:shd w:val="clear" w:color="auto" w:fill="auto"/>
            <w:noWrap/>
            <w:vAlign w:val="center"/>
            <w:hideMark/>
          </w:tcPr>
          <w:p w14:paraId="2435B564"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73</w:t>
            </w:r>
          </w:p>
        </w:tc>
        <w:tc>
          <w:tcPr>
            <w:tcW w:w="1235" w:type="dxa"/>
            <w:tcBorders>
              <w:top w:val="nil"/>
              <w:left w:val="nil"/>
              <w:bottom w:val="single" w:sz="4" w:space="0" w:color="auto"/>
              <w:right w:val="single" w:sz="4" w:space="0" w:color="auto"/>
            </w:tcBorders>
            <w:shd w:val="clear" w:color="auto" w:fill="auto"/>
            <w:noWrap/>
            <w:vAlign w:val="center"/>
            <w:hideMark/>
          </w:tcPr>
          <w:p w14:paraId="3B7C93DF"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0.0%</w:t>
            </w:r>
          </w:p>
        </w:tc>
        <w:tc>
          <w:tcPr>
            <w:tcW w:w="965" w:type="dxa"/>
            <w:tcBorders>
              <w:top w:val="nil"/>
              <w:left w:val="nil"/>
              <w:bottom w:val="single" w:sz="4" w:space="0" w:color="auto"/>
              <w:right w:val="single" w:sz="4" w:space="0" w:color="auto"/>
            </w:tcBorders>
            <w:shd w:val="clear" w:color="auto" w:fill="auto"/>
            <w:noWrap/>
            <w:vAlign w:val="bottom"/>
            <w:hideMark/>
          </w:tcPr>
          <w:p w14:paraId="3541A3FC"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47</w:t>
            </w:r>
          </w:p>
        </w:tc>
        <w:tc>
          <w:tcPr>
            <w:tcW w:w="1275" w:type="dxa"/>
            <w:tcBorders>
              <w:top w:val="nil"/>
              <w:left w:val="nil"/>
              <w:bottom w:val="single" w:sz="4" w:space="0" w:color="auto"/>
              <w:right w:val="single" w:sz="4" w:space="0" w:color="auto"/>
            </w:tcBorders>
            <w:shd w:val="clear" w:color="auto" w:fill="auto"/>
            <w:noWrap/>
            <w:vAlign w:val="center"/>
            <w:hideMark/>
          </w:tcPr>
          <w:p w14:paraId="323CC973"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0.0%</w:t>
            </w:r>
          </w:p>
        </w:tc>
      </w:tr>
      <w:tr w:rsidR="00E42B8C" w:rsidRPr="00225A7D" w14:paraId="0F82383B" w14:textId="77777777" w:rsidTr="009740E0">
        <w:trPr>
          <w:cantSplit/>
          <w:trHeight w:val="240"/>
        </w:trPr>
        <w:tc>
          <w:tcPr>
            <w:tcW w:w="1781" w:type="dxa"/>
            <w:tcBorders>
              <w:top w:val="nil"/>
              <w:left w:val="single" w:sz="4" w:space="0" w:color="auto"/>
              <w:bottom w:val="single" w:sz="4" w:space="0" w:color="auto"/>
              <w:right w:val="single" w:sz="4" w:space="0" w:color="auto"/>
            </w:tcBorders>
            <w:shd w:val="clear" w:color="auto" w:fill="auto"/>
            <w:noWrap/>
            <w:vAlign w:val="bottom"/>
            <w:hideMark/>
          </w:tcPr>
          <w:p w14:paraId="31190192" w14:textId="77777777" w:rsidR="00E42B8C" w:rsidRPr="00E42B8C" w:rsidRDefault="00E42B8C" w:rsidP="00E42B8C">
            <w:pPr>
              <w:spacing w:after="0" w:line="240" w:lineRule="auto"/>
              <w:rPr>
                <w:rFonts w:asciiTheme="minorHAnsi" w:eastAsia="Times New Roman" w:hAnsiTheme="minorHAnsi" w:cstheme="minorHAnsi"/>
                <w:color w:val="000000"/>
                <w:sz w:val="20"/>
                <w:szCs w:val="20"/>
              </w:rPr>
            </w:pPr>
            <w:r w:rsidRPr="00E42B8C">
              <w:rPr>
                <w:rFonts w:asciiTheme="minorHAnsi" w:eastAsia="Times New Roman" w:hAnsiTheme="minorHAnsi" w:cstheme="minorHAnsi"/>
                <w:color w:val="000000"/>
                <w:sz w:val="20"/>
                <w:szCs w:val="20"/>
              </w:rPr>
              <w:t>UNKNOWN</w:t>
            </w:r>
          </w:p>
        </w:tc>
        <w:tc>
          <w:tcPr>
            <w:tcW w:w="1094" w:type="dxa"/>
            <w:tcBorders>
              <w:top w:val="nil"/>
              <w:left w:val="nil"/>
              <w:bottom w:val="single" w:sz="4" w:space="0" w:color="auto"/>
              <w:right w:val="single" w:sz="4" w:space="0" w:color="auto"/>
            </w:tcBorders>
            <w:shd w:val="clear" w:color="auto" w:fill="auto"/>
            <w:noWrap/>
            <w:vAlign w:val="center"/>
            <w:hideMark/>
          </w:tcPr>
          <w:p w14:paraId="275DFBEF"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201</w:t>
            </w:r>
          </w:p>
        </w:tc>
        <w:tc>
          <w:tcPr>
            <w:tcW w:w="1350" w:type="dxa"/>
            <w:tcBorders>
              <w:top w:val="nil"/>
              <w:left w:val="nil"/>
              <w:bottom w:val="single" w:sz="4" w:space="0" w:color="auto"/>
              <w:right w:val="single" w:sz="4" w:space="0" w:color="auto"/>
            </w:tcBorders>
            <w:shd w:val="clear" w:color="auto" w:fill="auto"/>
            <w:noWrap/>
            <w:vAlign w:val="center"/>
            <w:hideMark/>
          </w:tcPr>
          <w:p w14:paraId="5B96B4A6"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0.0%</w:t>
            </w:r>
          </w:p>
        </w:tc>
        <w:tc>
          <w:tcPr>
            <w:tcW w:w="965" w:type="dxa"/>
            <w:tcBorders>
              <w:top w:val="nil"/>
              <w:left w:val="nil"/>
              <w:bottom w:val="single" w:sz="4" w:space="0" w:color="auto"/>
              <w:right w:val="single" w:sz="4" w:space="0" w:color="auto"/>
            </w:tcBorders>
            <w:shd w:val="clear" w:color="auto" w:fill="auto"/>
            <w:noWrap/>
            <w:vAlign w:val="center"/>
            <w:hideMark/>
          </w:tcPr>
          <w:p w14:paraId="3F9D2051"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256</w:t>
            </w:r>
          </w:p>
        </w:tc>
        <w:tc>
          <w:tcPr>
            <w:tcW w:w="1315" w:type="dxa"/>
            <w:tcBorders>
              <w:top w:val="nil"/>
              <w:left w:val="nil"/>
              <w:bottom w:val="single" w:sz="4" w:space="0" w:color="auto"/>
              <w:right w:val="single" w:sz="4" w:space="0" w:color="auto"/>
            </w:tcBorders>
            <w:shd w:val="clear" w:color="auto" w:fill="auto"/>
            <w:noWrap/>
            <w:vAlign w:val="center"/>
            <w:hideMark/>
          </w:tcPr>
          <w:p w14:paraId="09ED9F5E"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0.0%</w:t>
            </w:r>
          </w:p>
        </w:tc>
        <w:tc>
          <w:tcPr>
            <w:tcW w:w="965" w:type="dxa"/>
            <w:tcBorders>
              <w:top w:val="nil"/>
              <w:left w:val="nil"/>
              <w:bottom w:val="single" w:sz="4" w:space="0" w:color="auto"/>
              <w:right w:val="single" w:sz="4" w:space="0" w:color="auto"/>
            </w:tcBorders>
            <w:shd w:val="clear" w:color="auto" w:fill="auto"/>
            <w:noWrap/>
            <w:vAlign w:val="center"/>
            <w:hideMark/>
          </w:tcPr>
          <w:p w14:paraId="7C0787C0"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242</w:t>
            </w:r>
          </w:p>
        </w:tc>
        <w:tc>
          <w:tcPr>
            <w:tcW w:w="1235" w:type="dxa"/>
            <w:tcBorders>
              <w:top w:val="nil"/>
              <w:left w:val="nil"/>
              <w:bottom w:val="single" w:sz="4" w:space="0" w:color="auto"/>
              <w:right w:val="single" w:sz="4" w:space="0" w:color="auto"/>
            </w:tcBorders>
            <w:shd w:val="clear" w:color="auto" w:fill="auto"/>
            <w:noWrap/>
            <w:vAlign w:val="center"/>
            <w:hideMark/>
          </w:tcPr>
          <w:p w14:paraId="47EFD034"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0.0%</w:t>
            </w:r>
          </w:p>
        </w:tc>
        <w:tc>
          <w:tcPr>
            <w:tcW w:w="965" w:type="dxa"/>
            <w:tcBorders>
              <w:top w:val="nil"/>
              <w:left w:val="nil"/>
              <w:bottom w:val="single" w:sz="4" w:space="0" w:color="auto"/>
              <w:right w:val="single" w:sz="4" w:space="0" w:color="auto"/>
            </w:tcBorders>
            <w:shd w:val="clear" w:color="auto" w:fill="auto"/>
            <w:noWrap/>
            <w:vAlign w:val="bottom"/>
            <w:hideMark/>
          </w:tcPr>
          <w:p w14:paraId="561333AE"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4,670</w:t>
            </w:r>
          </w:p>
        </w:tc>
        <w:tc>
          <w:tcPr>
            <w:tcW w:w="1275" w:type="dxa"/>
            <w:tcBorders>
              <w:top w:val="nil"/>
              <w:left w:val="nil"/>
              <w:bottom w:val="single" w:sz="4" w:space="0" w:color="auto"/>
              <w:right w:val="single" w:sz="4" w:space="0" w:color="auto"/>
            </w:tcBorders>
            <w:shd w:val="clear" w:color="auto" w:fill="auto"/>
            <w:noWrap/>
            <w:vAlign w:val="center"/>
            <w:hideMark/>
          </w:tcPr>
          <w:p w14:paraId="39B27D6B"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0.8%</w:t>
            </w:r>
          </w:p>
        </w:tc>
      </w:tr>
      <w:tr w:rsidR="00E42B8C" w:rsidRPr="00225A7D" w14:paraId="24DBB4E4" w14:textId="77777777" w:rsidTr="009740E0">
        <w:trPr>
          <w:cantSplit/>
          <w:trHeight w:val="240"/>
        </w:trPr>
        <w:tc>
          <w:tcPr>
            <w:tcW w:w="1781" w:type="dxa"/>
            <w:tcBorders>
              <w:top w:val="nil"/>
              <w:left w:val="single" w:sz="4" w:space="0" w:color="auto"/>
              <w:bottom w:val="single" w:sz="4" w:space="0" w:color="auto"/>
              <w:right w:val="single" w:sz="4" w:space="0" w:color="auto"/>
            </w:tcBorders>
            <w:shd w:val="clear" w:color="auto" w:fill="auto"/>
            <w:noWrap/>
            <w:vAlign w:val="bottom"/>
            <w:hideMark/>
          </w:tcPr>
          <w:p w14:paraId="11B3F86B" w14:textId="77777777" w:rsidR="00E42B8C" w:rsidRPr="00E42B8C" w:rsidRDefault="00E42B8C" w:rsidP="00E42B8C">
            <w:pPr>
              <w:spacing w:after="0" w:line="240" w:lineRule="auto"/>
              <w:rPr>
                <w:rFonts w:asciiTheme="minorHAnsi" w:eastAsia="Times New Roman" w:hAnsiTheme="minorHAnsi" w:cstheme="minorHAnsi"/>
                <w:color w:val="000000"/>
                <w:sz w:val="20"/>
                <w:szCs w:val="20"/>
              </w:rPr>
            </w:pPr>
            <w:r w:rsidRPr="00E42B8C">
              <w:rPr>
                <w:rFonts w:asciiTheme="minorHAnsi" w:eastAsia="Times New Roman" w:hAnsiTheme="minorHAnsi" w:cstheme="minorHAnsi"/>
                <w:color w:val="000000"/>
                <w:sz w:val="20"/>
                <w:szCs w:val="20"/>
              </w:rPr>
              <w:t>OUTSIDE MASSACHUSETTS</w:t>
            </w:r>
          </w:p>
        </w:tc>
        <w:tc>
          <w:tcPr>
            <w:tcW w:w="1094" w:type="dxa"/>
            <w:tcBorders>
              <w:top w:val="nil"/>
              <w:left w:val="nil"/>
              <w:bottom w:val="single" w:sz="4" w:space="0" w:color="auto"/>
              <w:right w:val="single" w:sz="4" w:space="0" w:color="auto"/>
            </w:tcBorders>
            <w:shd w:val="clear" w:color="auto" w:fill="auto"/>
            <w:noWrap/>
            <w:vAlign w:val="center"/>
            <w:hideMark/>
          </w:tcPr>
          <w:p w14:paraId="404DD133"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14,311</w:t>
            </w:r>
          </w:p>
        </w:tc>
        <w:tc>
          <w:tcPr>
            <w:tcW w:w="1350" w:type="dxa"/>
            <w:tcBorders>
              <w:top w:val="nil"/>
              <w:left w:val="nil"/>
              <w:bottom w:val="single" w:sz="4" w:space="0" w:color="auto"/>
              <w:right w:val="single" w:sz="4" w:space="0" w:color="auto"/>
            </w:tcBorders>
            <w:shd w:val="clear" w:color="auto" w:fill="auto"/>
            <w:noWrap/>
            <w:vAlign w:val="center"/>
            <w:hideMark/>
          </w:tcPr>
          <w:p w14:paraId="045F7171"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2.6%</w:t>
            </w:r>
          </w:p>
        </w:tc>
        <w:tc>
          <w:tcPr>
            <w:tcW w:w="965" w:type="dxa"/>
            <w:tcBorders>
              <w:top w:val="nil"/>
              <w:left w:val="nil"/>
              <w:bottom w:val="single" w:sz="4" w:space="0" w:color="auto"/>
              <w:right w:val="single" w:sz="4" w:space="0" w:color="auto"/>
            </w:tcBorders>
            <w:shd w:val="clear" w:color="auto" w:fill="auto"/>
            <w:noWrap/>
            <w:vAlign w:val="center"/>
            <w:hideMark/>
          </w:tcPr>
          <w:p w14:paraId="5C8F9C58"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15,069</w:t>
            </w:r>
          </w:p>
        </w:tc>
        <w:tc>
          <w:tcPr>
            <w:tcW w:w="1315" w:type="dxa"/>
            <w:tcBorders>
              <w:top w:val="nil"/>
              <w:left w:val="nil"/>
              <w:bottom w:val="single" w:sz="4" w:space="0" w:color="auto"/>
              <w:right w:val="single" w:sz="4" w:space="0" w:color="auto"/>
            </w:tcBorders>
            <w:shd w:val="clear" w:color="auto" w:fill="auto"/>
            <w:noWrap/>
            <w:vAlign w:val="center"/>
            <w:hideMark/>
          </w:tcPr>
          <w:p w14:paraId="0C6DC0D3"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2.7%</w:t>
            </w:r>
          </w:p>
        </w:tc>
        <w:tc>
          <w:tcPr>
            <w:tcW w:w="965" w:type="dxa"/>
            <w:tcBorders>
              <w:top w:val="nil"/>
              <w:left w:val="nil"/>
              <w:bottom w:val="single" w:sz="4" w:space="0" w:color="auto"/>
              <w:right w:val="single" w:sz="4" w:space="0" w:color="auto"/>
            </w:tcBorders>
            <w:shd w:val="clear" w:color="auto" w:fill="auto"/>
            <w:noWrap/>
            <w:vAlign w:val="center"/>
            <w:hideMark/>
          </w:tcPr>
          <w:p w14:paraId="698B24DC"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15,946</w:t>
            </w:r>
          </w:p>
        </w:tc>
        <w:tc>
          <w:tcPr>
            <w:tcW w:w="1235" w:type="dxa"/>
            <w:tcBorders>
              <w:top w:val="nil"/>
              <w:left w:val="nil"/>
              <w:bottom w:val="single" w:sz="4" w:space="0" w:color="auto"/>
              <w:right w:val="single" w:sz="4" w:space="0" w:color="auto"/>
            </w:tcBorders>
            <w:shd w:val="clear" w:color="auto" w:fill="auto"/>
            <w:noWrap/>
            <w:vAlign w:val="center"/>
            <w:hideMark/>
          </w:tcPr>
          <w:p w14:paraId="1A11ED55"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2.9%</w:t>
            </w:r>
          </w:p>
        </w:tc>
        <w:tc>
          <w:tcPr>
            <w:tcW w:w="965" w:type="dxa"/>
            <w:tcBorders>
              <w:top w:val="nil"/>
              <w:left w:val="nil"/>
              <w:bottom w:val="single" w:sz="4" w:space="0" w:color="auto"/>
              <w:right w:val="single" w:sz="4" w:space="0" w:color="auto"/>
            </w:tcBorders>
            <w:shd w:val="clear" w:color="auto" w:fill="auto"/>
            <w:noWrap/>
            <w:vAlign w:val="center"/>
            <w:hideMark/>
          </w:tcPr>
          <w:p w14:paraId="3CCA8E73"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16,414</w:t>
            </w:r>
          </w:p>
        </w:tc>
        <w:tc>
          <w:tcPr>
            <w:tcW w:w="1275" w:type="dxa"/>
            <w:tcBorders>
              <w:top w:val="nil"/>
              <w:left w:val="nil"/>
              <w:bottom w:val="single" w:sz="4" w:space="0" w:color="auto"/>
              <w:right w:val="single" w:sz="4" w:space="0" w:color="auto"/>
            </w:tcBorders>
            <w:shd w:val="clear" w:color="auto" w:fill="auto"/>
            <w:noWrap/>
            <w:vAlign w:val="center"/>
            <w:hideMark/>
          </w:tcPr>
          <w:p w14:paraId="41C7B0F0" w14:textId="77777777" w:rsidR="00E42B8C" w:rsidRPr="00E42B8C" w:rsidRDefault="00E42B8C" w:rsidP="00E42B8C">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2.9%</w:t>
            </w:r>
          </w:p>
        </w:tc>
      </w:tr>
      <w:tr w:rsidR="00E42B8C" w:rsidRPr="00225A7D" w14:paraId="61A8C8B6" w14:textId="77777777" w:rsidTr="009740E0">
        <w:trPr>
          <w:cantSplit/>
          <w:trHeight w:val="240"/>
        </w:trPr>
        <w:tc>
          <w:tcPr>
            <w:tcW w:w="1781" w:type="dxa"/>
            <w:tcBorders>
              <w:top w:val="nil"/>
              <w:left w:val="single" w:sz="4" w:space="0" w:color="auto"/>
              <w:bottom w:val="single" w:sz="4" w:space="0" w:color="auto"/>
              <w:right w:val="single" w:sz="4" w:space="0" w:color="auto"/>
            </w:tcBorders>
            <w:shd w:val="clear" w:color="auto" w:fill="auto"/>
            <w:noWrap/>
            <w:vAlign w:val="bottom"/>
            <w:hideMark/>
          </w:tcPr>
          <w:p w14:paraId="1BB7502B" w14:textId="77777777" w:rsidR="00E42B8C" w:rsidRPr="00E42B8C" w:rsidRDefault="00E42B8C" w:rsidP="00E42B8C">
            <w:pPr>
              <w:spacing w:after="0" w:line="240" w:lineRule="auto"/>
              <w:rPr>
                <w:rFonts w:asciiTheme="minorHAnsi" w:eastAsia="Times New Roman" w:hAnsiTheme="minorHAnsi" w:cstheme="minorHAnsi"/>
                <w:b/>
                <w:bCs/>
                <w:color w:val="000000"/>
                <w:sz w:val="20"/>
                <w:szCs w:val="20"/>
              </w:rPr>
            </w:pPr>
            <w:r w:rsidRPr="00E42B8C">
              <w:rPr>
                <w:rFonts w:asciiTheme="minorHAnsi" w:eastAsia="Times New Roman" w:hAnsiTheme="minorHAnsi" w:cstheme="minorHAnsi"/>
                <w:b/>
                <w:bCs/>
                <w:color w:val="000000"/>
                <w:sz w:val="20"/>
                <w:szCs w:val="20"/>
              </w:rPr>
              <w:t>GRAND TOTAL</w:t>
            </w:r>
          </w:p>
        </w:tc>
        <w:tc>
          <w:tcPr>
            <w:tcW w:w="1094" w:type="dxa"/>
            <w:tcBorders>
              <w:top w:val="nil"/>
              <w:left w:val="nil"/>
              <w:bottom w:val="single" w:sz="4" w:space="0" w:color="auto"/>
              <w:right w:val="single" w:sz="4" w:space="0" w:color="auto"/>
            </w:tcBorders>
            <w:shd w:val="clear" w:color="auto" w:fill="auto"/>
            <w:noWrap/>
            <w:vAlign w:val="center"/>
            <w:hideMark/>
          </w:tcPr>
          <w:p w14:paraId="628B4415" w14:textId="77777777" w:rsidR="00E42B8C" w:rsidRPr="00E42B8C" w:rsidRDefault="00E42B8C" w:rsidP="00E42B8C">
            <w:pPr>
              <w:spacing w:after="0" w:line="240" w:lineRule="auto"/>
              <w:jc w:val="center"/>
              <w:rPr>
                <w:rFonts w:asciiTheme="minorHAnsi" w:eastAsia="Times New Roman" w:hAnsiTheme="minorHAnsi" w:cstheme="minorHAnsi"/>
                <w:b/>
                <w:bCs/>
                <w:color w:val="000000"/>
                <w:sz w:val="20"/>
                <w:szCs w:val="20"/>
              </w:rPr>
            </w:pPr>
            <w:r w:rsidRPr="00E42B8C">
              <w:rPr>
                <w:rFonts w:asciiTheme="minorHAnsi" w:hAnsiTheme="minorHAnsi" w:cstheme="minorHAnsi"/>
                <w:b/>
                <w:bCs/>
                <w:color w:val="000000"/>
                <w:sz w:val="20"/>
                <w:szCs w:val="20"/>
              </w:rPr>
              <w:t>560,698</w:t>
            </w:r>
          </w:p>
        </w:tc>
        <w:tc>
          <w:tcPr>
            <w:tcW w:w="1350" w:type="dxa"/>
            <w:tcBorders>
              <w:top w:val="nil"/>
              <w:left w:val="nil"/>
              <w:bottom w:val="single" w:sz="4" w:space="0" w:color="auto"/>
              <w:right w:val="single" w:sz="4" w:space="0" w:color="auto"/>
            </w:tcBorders>
            <w:shd w:val="clear" w:color="auto" w:fill="auto"/>
            <w:noWrap/>
            <w:vAlign w:val="center"/>
            <w:hideMark/>
          </w:tcPr>
          <w:p w14:paraId="13BFB7E4" w14:textId="77777777" w:rsidR="00E42B8C" w:rsidRPr="00E42B8C" w:rsidRDefault="00E42B8C" w:rsidP="00E42B8C">
            <w:pPr>
              <w:spacing w:after="0" w:line="240" w:lineRule="auto"/>
              <w:jc w:val="center"/>
              <w:rPr>
                <w:rFonts w:asciiTheme="minorHAnsi" w:eastAsia="Times New Roman" w:hAnsiTheme="minorHAnsi" w:cstheme="minorHAnsi"/>
                <w:b/>
                <w:bCs/>
                <w:color w:val="000000"/>
                <w:sz w:val="20"/>
                <w:szCs w:val="20"/>
              </w:rPr>
            </w:pPr>
            <w:r w:rsidRPr="00E42B8C">
              <w:rPr>
                <w:rFonts w:asciiTheme="minorHAnsi" w:hAnsiTheme="minorHAnsi" w:cstheme="minorHAnsi"/>
                <w:b/>
                <w:bCs/>
                <w:color w:val="000000"/>
                <w:sz w:val="20"/>
                <w:szCs w:val="20"/>
              </w:rPr>
              <w:t>100.0%</w:t>
            </w:r>
          </w:p>
        </w:tc>
        <w:tc>
          <w:tcPr>
            <w:tcW w:w="965" w:type="dxa"/>
            <w:tcBorders>
              <w:top w:val="nil"/>
              <w:left w:val="nil"/>
              <w:bottom w:val="single" w:sz="4" w:space="0" w:color="auto"/>
              <w:right w:val="single" w:sz="4" w:space="0" w:color="auto"/>
            </w:tcBorders>
            <w:shd w:val="clear" w:color="auto" w:fill="auto"/>
            <w:noWrap/>
            <w:vAlign w:val="center"/>
            <w:hideMark/>
          </w:tcPr>
          <w:p w14:paraId="3CFE6CA3" w14:textId="77777777" w:rsidR="00E42B8C" w:rsidRPr="00E42B8C" w:rsidRDefault="00E42B8C" w:rsidP="00E42B8C">
            <w:pPr>
              <w:spacing w:after="0" w:line="240" w:lineRule="auto"/>
              <w:jc w:val="center"/>
              <w:rPr>
                <w:rFonts w:asciiTheme="minorHAnsi" w:eastAsia="Times New Roman" w:hAnsiTheme="minorHAnsi" w:cstheme="minorHAnsi"/>
                <w:b/>
                <w:bCs/>
                <w:color w:val="000000"/>
                <w:sz w:val="20"/>
                <w:szCs w:val="20"/>
              </w:rPr>
            </w:pPr>
            <w:r w:rsidRPr="00E42B8C">
              <w:rPr>
                <w:rFonts w:asciiTheme="minorHAnsi" w:hAnsiTheme="minorHAnsi" w:cstheme="minorHAnsi"/>
                <w:b/>
                <w:bCs/>
                <w:color w:val="000000"/>
                <w:sz w:val="20"/>
                <w:szCs w:val="20"/>
              </w:rPr>
              <w:t>554,154</w:t>
            </w:r>
          </w:p>
        </w:tc>
        <w:tc>
          <w:tcPr>
            <w:tcW w:w="1315" w:type="dxa"/>
            <w:tcBorders>
              <w:top w:val="nil"/>
              <w:left w:val="nil"/>
              <w:bottom w:val="single" w:sz="4" w:space="0" w:color="auto"/>
              <w:right w:val="single" w:sz="4" w:space="0" w:color="auto"/>
            </w:tcBorders>
            <w:shd w:val="clear" w:color="auto" w:fill="auto"/>
            <w:noWrap/>
            <w:vAlign w:val="center"/>
            <w:hideMark/>
          </w:tcPr>
          <w:p w14:paraId="079A75A5" w14:textId="77777777" w:rsidR="00E42B8C" w:rsidRPr="00E42B8C" w:rsidRDefault="00E42B8C" w:rsidP="00E42B8C">
            <w:pPr>
              <w:spacing w:after="0" w:line="240" w:lineRule="auto"/>
              <w:jc w:val="center"/>
              <w:rPr>
                <w:rFonts w:asciiTheme="minorHAnsi" w:eastAsia="Times New Roman" w:hAnsiTheme="minorHAnsi" w:cstheme="minorHAnsi"/>
                <w:b/>
                <w:bCs/>
                <w:color w:val="000000"/>
                <w:sz w:val="20"/>
                <w:szCs w:val="20"/>
              </w:rPr>
            </w:pPr>
            <w:r w:rsidRPr="00E42B8C">
              <w:rPr>
                <w:rFonts w:asciiTheme="minorHAnsi" w:hAnsiTheme="minorHAnsi" w:cstheme="minorHAnsi"/>
                <w:b/>
                <w:bCs/>
                <w:color w:val="000000"/>
                <w:sz w:val="20"/>
                <w:szCs w:val="20"/>
              </w:rPr>
              <w:t>100.0%</w:t>
            </w:r>
          </w:p>
        </w:tc>
        <w:tc>
          <w:tcPr>
            <w:tcW w:w="965" w:type="dxa"/>
            <w:tcBorders>
              <w:top w:val="nil"/>
              <w:left w:val="nil"/>
              <w:bottom w:val="single" w:sz="4" w:space="0" w:color="auto"/>
              <w:right w:val="single" w:sz="4" w:space="0" w:color="auto"/>
            </w:tcBorders>
            <w:shd w:val="clear" w:color="auto" w:fill="auto"/>
            <w:noWrap/>
            <w:vAlign w:val="center"/>
            <w:hideMark/>
          </w:tcPr>
          <w:p w14:paraId="4B9FF8E8" w14:textId="77777777" w:rsidR="00E42B8C" w:rsidRPr="00E42B8C" w:rsidRDefault="00E42B8C" w:rsidP="00E42B8C">
            <w:pPr>
              <w:spacing w:after="0" w:line="240" w:lineRule="auto"/>
              <w:jc w:val="center"/>
              <w:rPr>
                <w:rFonts w:asciiTheme="minorHAnsi" w:eastAsia="Times New Roman" w:hAnsiTheme="minorHAnsi" w:cstheme="minorHAnsi"/>
                <w:b/>
                <w:bCs/>
                <w:color w:val="000000"/>
                <w:sz w:val="20"/>
                <w:szCs w:val="20"/>
              </w:rPr>
            </w:pPr>
            <w:r w:rsidRPr="00E42B8C">
              <w:rPr>
                <w:rFonts w:asciiTheme="minorHAnsi" w:hAnsiTheme="minorHAnsi" w:cstheme="minorHAnsi"/>
                <w:b/>
                <w:bCs/>
                <w:color w:val="000000"/>
                <w:sz w:val="20"/>
                <w:szCs w:val="20"/>
              </w:rPr>
              <w:t>550,915</w:t>
            </w:r>
          </w:p>
        </w:tc>
        <w:tc>
          <w:tcPr>
            <w:tcW w:w="1235" w:type="dxa"/>
            <w:tcBorders>
              <w:top w:val="nil"/>
              <w:left w:val="nil"/>
              <w:bottom w:val="single" w:sz="4" w:space="0" w:color="auto"/>
              <w:right w:val="single" w:sz="4" w:space="0" w:color="auto"/>
            </w:tcBorders>
            <w:shd w:val="clear" w:color="auto" w:fill="auto"/>
            <w:noWrap/>
            <w:vAlign w:val="center"/>
            <w:hideMark/>
          </w:tcPr>
          <w:p w14:paraId="531CBE70" w14:textId="77777777" w:rsidR="00E42B8C" w:rsidRPr="00E42B8C" w:rsidRDefault="00E42B8C" w:rsidP="00E42B8C">
            <w:pPr>
              <w:spacing w:after="0" w:line="240" w:lineRule="auto"/>
              <w:jc w:val="center"/>
              <w:rPr>
                <w:rFonts w:asciiTheme="minorHAnsi" w:eastAsia="Times New Roman" w:hAnsiTheme="minorHAnsi" w:cstheme="minorHAnsi"/>
                <w:b/>
                <w:bCs/>
                <w:color w:val="000000"/>
                <w:sz w:val="20"/>
                <w:szCs w:val="20"/>
              </w:rPr>
            </w:pPr>
            <w:r w:rsidRPr="00E42B8C">
              <w:rPr>
                <w:rFonts w:asciiTheme="minorHAnsi" w:hAnsiTheme="minorHAnsi" w:cstheme="minorHAnsi"/>
                <w:b/>
                <w:bCs/>
                <w:color w:val="000000"/>
                <w:sz w:val="20"/>
                <w:szCs w:val="20"/>
              </w:rPr>
              <w:t>100.0%</w:t>
            </w:r>
          </w:p>
        </w:tc>
        <w:tc>
          <w:tcPr>
            <w:tcW w:w="965" w:type="dxa"/>
            <w:tcBorders>
              <w:top w:val="nil"/>
              <w:left w:val="nil"/>
              <w:bottom w:val="single" w:sz="4" w:space="0" w:color="auto"/>
              <w:right w:val="single" w:sz="4" w:space="0" w:color="auto"/>
            </w:tcBorders>
            <w:shd w:val="clear" w:color="auto" w:fill="auto"/>
            <w:noWrap/>
            <w:vAlign w:val="center"/>
            <w:hideMark/>
          </w:tcPr>
          <w:p w14:paraId="10C2A695" w14:textId="77777777" w:rsidR="00E42B8C" w:rsidRPr="00E42B8C" w:rsidRDefault="00E42B8C" w:rsidP="00E42B8C">
            <w:pPr>
              <w:spacing w:after="0" w:line="240" w:lineRule="auto"/>
              <w:jc w:val="center"/>
              <w:rPr>
                <w:rFonts w:asciiTheme="minorHAnsi" w:eastAsia="Times New Roman" w:hAnsiTheme="minorHAnsi" w:cstheme="minorHAnsi"/>
                <w:b/>
                <w:bCs/>
                <w:color w:val="000000"/>
                <w:sz w:val="20"/>
                <w:szCs w:val="20"/>
              </w:rPr>
            </w:pPr>
            <w:r w:rsidRPr="00E42B8C">
              <w:rPr>
                <w:rFonts w:asciiTheme="minorHAnsi" w:hAnsiTheme="minorHAnsi" w:cstheme="minorHAnsi"/>
                <w:b/>
                <w:bCs/>
                <w:color w:val="000000"/>
                <w:sz w:val="20"/>
                <w:szCs w:val="20"/>
              </w:rPr>
              <w:t>573,888</w:t>
            </w:r>
          </w:p>
        </w:tc>
        <w:tc>
          <w:tcPr>
            <w:tcW w:w="1275" w:type="dxa"/>
            <w:tcBorders>
              <w:top w:val="nil"/>
              <w:left w:val="nil"/>
              <w:bottom w:val="single" w:sz="4" w:space="0" w:color="auto"/>
              <w:right w:val="single" w:sz="4" w:space="0" w:color="auto"/>
            </w:tcBorders>
            <w:shd w:val="clear" w:color="auto" w:fill="auto"/>
            <w:noWrap/>
            <w:vAlign w:val="center"/>
            <w:hideMark/>
          </w:tcPr>
          <w:p w14:paraId="167D5815" w14:textId="77777777" w:rsidR="00E42B8C" w:rsidRPr="00E42B8C" w:rsidRDefault="00E42B8C" w:rsidP="00E42B8C">
            <w:pPr>
              <w:spacing w:after="0" w:line="240" w:lineRule="auto"/>
              <w:jc w:val="center"/>
              <w:rPr>
                <w:rFonts w:asciiTheme="minorHAnsi" w:eastAsia="Times New Roman" w:hAnsiTheme="minorHAnsi" w:cstheme="minorHAnsi"/>
                <w:b/>
                <w:bCs/>
                <w:color w:val="000000"/>
                <w:sz w:val="20"/>
                <w:szCs w:val="20"/>
              </w:rPr>
            </w:pPr>
            <w:r w:rsidRPr="00E42B8C">
              <w:rPr>
                <w:rFonts w:asciiTheme="minorHAnsi" w:hAnsiTheme="minorHAnsi" w:cstheme="minorHAnsi"/>
                <w:b/>
                <w:bCs/>
                <w:color w:val="000000"/>
                <w:sz w:val="20"/>
                <w:szCs w:val="20"/>
              </w:rPr>
              <w:t>100.0%</w:t>
            </w:r>
          </w:p>
        </w:tc>
      </w:tr>
    </w:tbl>
    <w:p w14:paraId="6C55BEA6" w14:textId="6C971BF1" w:rsidR="00F20199" w:rsidRPr="00F20199" w:rsidRDefault="00F20199" w:rsidP="00F20199">
      <w:pPr>
        <w:jc w:val="center"/>
        <w:rPr>
          <w:rFonts w:asciiTheme="minorHAnsi" w:hAnsiTheme="minorHAnsi" w:cstheme="minorHAnsi"/>
          <w:b/>
          <w:szCs w:val="24"/>
        </w:rPr>
      </w:pPr>
      <w:r w:rsidRPr="00A3314D">
        <w:rPr>
          <w:rFonts w:asciiTheme="minorHAnsi" w:hAnsiTheme="minorHAnsi" w:cstheme="minorHAnsi"/>
          <w:b/>
          <w:szCs w:val="24"/>
        </w:rPr>
        <w:t xml:space="preserve">Table 3. Atrius Health Patient Panel </w:t>
      </w:r>
      <w:r>
        <w:rPr>
          <w:rFonts w:asciiTheme="minorHAnsi" w:hAnsiTheme="minorHAnsi" w:cstheme="minorHAnsi"/>
          <w:b/>
          <w:szCs w:val="24"/>
        </w:rPr>
        <w:t xml:space="preserve">- </w:t>
      </w:r>
      <w:r w:rsidRPr="00A3314D">
        <w:rPr>
          <w:rFonts w:asciiTheme="minorHAnsi" w:hAnsiTheme="minorHAnsi" w:cstheme="minorHAnsi"/>
          <w:b/>
          <w:szCs w:val="24"/>
        </w:rPr>
        <w:t>Under and Over 50 Years of Age</w:t>
      </w:r>
    </w:p>
    <w:tbl>
      <w:tblPr>
        <w:tblW w:w="7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8"/>
        <w:gridCol w:w="1358"/>
        <w:gridCol w:w="1639"/>
        <w:gridCol w:w="1641"/>
      </w:tblGrid>
      <w:tr w:rsidR="00F20199" w:rsidRPr="00335AB3" w14:paraId="5A72CE87" w14:textId="77777777" w:rsidTr="00E71397">
        <w:trPr>
          <w:cantSplit/>
          <w:trHeight w:val="320"/>
          <w:tblHeader/>
          <w:jc w:val="center"/>
        </w:trPr>
        <w:tc>
          <w:tcPr>
            <w:tcW w:w="2798" w:type="dxa"/>
            <w:shd w:val="clear" w:color="auto" w:fill="BDD6EE" w:themeFill="accent1" w:themeFillTint="66"/>
            <w:noWrap/>
            <w:vAlign w:val="bottom"/>
            <w:hideMark/>
          </w:tcPr>
          <w:p w14:paraId="307FCDA2" w14:textId="77777777" w:rsidR="00F20199" w:rsidRPr="00E42B8C" w:rsidRDefault="00F20199" w:rsidP="00DD634E">
            <w:pPr>
              <w:spacing w:after="0" w:line="240" w:lineRule="auto"/>
              <w:rPr>
                <w:rFonts w:eastAsia="Times New Roman" w:cs="Times New Roman"/>
                <w:sz w:val="20"/>
                <w:szCs w:val="20"/>
              </w:rPr>
            </w:pPr>
          </w:p>
        </w:tc>
        <w:tc>
          <w:tcPr>
            <w:tcW w:w="1358" w:type="dxa"/>
            <w:shd w:val="clear" w:color="auto" w:fill="BDD6EE" w:themeFill="accent1" w:themeFillTint="66"/>
            <w:noWrap/>
            <w:vAlign w:val="bottom"/>
            <w:hideMark/>
          </w:tcPr>
          <w:p w14:paraId="320085E9" w14:textId="77777777" w:rsidR="00F20199" w:rsidRPr="00E42B8C" w:rsidRDefault="00F20199" w:rsidP="00DD634E">
            <w:pPr>
              <w:spacing w:after="0" w:line="240" w:lineRule="auto"/>
              <w:jc w:val="center"/>
              <w:rPr>
                <w:rFonts w:ascii="Calibri" w:eastAsia="Times New Roman" w:hAnsi="Calibri" w:cs="Calibri"/>
                <w:b/>
                <w:bCs/>
                <w:color w:val="000000"/>
                <w:sz w:val="20"/>
                <w:szCs w:val="20"/>
              </w:rPr>
            </w:pPr>
            <w:r w:rsidRPr="00E42B8C">
              <w:rPr>
                <w:rFonts w:ascii="Calibri" w:eastAsia="Times New Roman" w:hAnsi="Calibri" w:cs="Calibri"/>
                <w:b/>
                <w:bCs/>
                <w:color w:val="000000"/>
                <w:sz w:val="20"/>
                <w:szCs w:val="20"/>
              </w:rPr>
              <w:t>Total Patients</w:t>
            </w:r>
          </w:p>
        </w:tc>
        <w:tc>
          <w:tcPr>
            <w:tcW w:w="1639" w:type="dxa"/>
            <w:shd w:val="clear" w:color="auto" w:fill="BDD6EE" w:themeFill="accent1" w:themeFillTint="66"/>
            <w:noWrap/>
            <w:vAlign w:val="bottom"/>
            <w:hideMark/>
          </w:tcPr>
          <w:p w14:paraId="591E0F1D" w14:textId="77777777" w:rsidR="00F20199" w:rsidRPr="00E42B8C" w:rsidRDefault="00F20199" w:rsidP="00DD634E">
            <w:pPr>
              <w:spacing w:after="0" w:line="240" w:lineRule="auto"/>
              <w:jc w:val="center"/>
              <w:rPr>
                <w:rFonts w:ascii="Calibri" w:eastAsia="Times New Roman" w:hAnsi="Calibri" w:cs="Calibri"/>
                <w:b/>
                <w:bCs/>
                <w:color w:val="000000"/>
                <w:sz w:val="20"/>
                <w:szCs w:val="20"/>
              </w:rPr>
            </w:pPr>
            <w:r w:rsidRPr="00E42B8C">
              <w:rPr>
                <w:rFonts w:ascii="Calibri" w:eastAsia="Times New Roman" w:hAnsi="Calibri" w:cs="Calibri"/>
                <w:b/>
                <w:bCs/>
                <w:color w:val="000000"/>
                <w:sz w:val="20"/>
                <w:szCs w:val="20"/>
              </w:rPr>
              <w:t>Patients Under 50</w:t>
            </w:r>
          </w:p>
        </w:tc>
        <w:tc>
          <w:tcPr>
            <w:tcW w:w="1641" w:type="dxa"/>
            <w:shd w:val="clear" w:color="auto" w:fill="BDD6EE" w:themeFill="accent1" w:themeFillTint="66"/>
            <w:noWrap/>
            <w:vAlign w:val="bottom"/>
            <w:hideMark/>
          </w:tcPr>
          <w:p w14:paraId="7136B2B5" w14:textId="77777777" w:rsidR="00F20199" w:rsidRPr="00E42B8C" w:rsidRDefault="00F20199" w:rsidP="00DD634E">
            <w:pPr>
              <w:spacing w:after="0" w:line="240" w:lineRule="auto"/>
              <w:jc w:val="center"/>
              <w:rPr>
                <w:rFonts w:ascii="Calibri" w:eastAsia="Times New Roman" w:hAnsi="Calibri" w:cs="Calibri"/>
                <w:b/>
                <w:bCs/>
                <w:color w:val="000000"/>
                <w:sz w:val="20"/>
                <w:szCs w:val="20"/>
              </w:rPr>
            </w:pPr>
            <w:r w:rsidRPr="00E42B8C">
              <w:rPr>
                <w:rFonts w:ascii="Calibri" w:eastAsia="Times New Roman" w:hAnsi="Calibri" w:cs="Calibri"/>
                <w:b/>
                <w:bCs/>
                <w:color w:val="000000"/>
                <w:sz w:val="20"/>
                <w:szCs w:val="20"/>
              </w:rPr>
              <w:t>Patients Over 50</w:t>
            </w:r>
          </w:p>
        </w:tc>
      </w:tr>
      <w:tr w:rsidR="00F20199" w:rsidRPr="00335AB3" w14:paraId="218C9655" w14:textId="77777777" w:rsidTr="00527B11">
        <w:trPr>
          <w:cantSplit/>
          <w:trHeight w:val="320"/>
          <w:jc w:val="center"/>
        </w:trPr>
        <w:tc>
          <w:tcPr>
            <w:tcW w:w="2798" w:type="dxa"/>
            <w:shd w:val="clear" w:color="auto" w:fill="auto"/>
            <w:noWrap/>
            <w:vAlign w:val="center"/>
            <w:hideMark/>
          </w:tcPr>
          <w:p w14:paraId="0169E5CA" w14:textId="1833D4F3" w:rsidR="00F20199" w:rsidRPr="00E42B8C" w:rsidRDefault="00FF19FF" w:rsidP="00DD634E">
            <w:pPr>
              <w:spacing w:after="0" w:line="240" w:lineRule="auto"/>
              <w:jc w:val="center"/>
              <w:rPr>
                <w:rFonts w:ascii="Calibri" w:eastAsia="Times New Roman" w:hAnsi="Calibri" w:cs="Calibri"/>
                <w:b/>
                <w:bCs/>
                <w:color w:val="000000"/>
                <w:sz w:val="20"/>
                <w:szCs w:val="20"/>
              </w:rPr>
            </w:pPr>
            <w:r w:rsidRPr="00E42B8C">
              <w:rPr>
                <w:rFonts w:ascii="Calibri" w:eastAsia="Times New Roman" w:hAnsi="Calibri" w:cs="Calibri"/>
                <w:b/>
                <w:bCs/>
                <w:color w:val="000000"/>
                <w:sz w:val="20"/>
                <w:szCs w:val="20"/>
              </w:rPr>
              <w:t>CY</w:t>
            </w:r>
            <w:r w:rsidR="00F20199" w:rsidRPr="00E42B8C">
              <w:rPr>
                <w:rFonts w:ascii="Calibri" w:eastAsia="Times New Roman" w:hAnsi="Calibri" w:cs="Calibri"/>
                <w:b/>
                <w:bCs/>
                <w:color w:val="000000"/>
                <w:sz w:val="20"/>
                <w:szCs w:val="20"/>
              </w:rPr>
              <w:t>2020</w:t>
            </w:r>
          </w:p>
        </w:tc>
        <w:tc>
          <w:tcPr>
            <w:tcW w:w="1358" w:type="dxa"/>
            <w:shd w:val="clear" w:color="auto" w:fill="auto"/>
            <w:noWrap/>
            <w:vAlign w:val="center"/>
            <w:hideMark/>
          </w:tcPr>
          <w:p w14:paraId="56A13A91" w14:textId="77777777" w:rsidR="00F20199" w:rsidRPr="00E42B8C" w:rsidRDefault="00F20199" w:rsidP="00DD634E">
            <w:pPr>
              <w:spacing w:after="0" w:line="240" w:lineRule="auto"/>
              <w:jc w:val="center"/>
              <w:rPr>
                <w:rFonts w:ascii="Calibri" w:eastAsia="Times New Roman" w:hAnsi="Calibri" w:cs="Calibri"/>
                <w:color w:val="000000"/>
                <w:sz w:val="20"/>
                <w:szCs w:val="20"/>
              </w:rPr>
            </w:pPr>
            <w:r w:rsidRPr="00E42B8C">
              <w:rPr>
                <w:rFonts w:ascii="Calibri" w:hAnsi="Calibri" w:cs="Calibri"/>
                <w:color w:val="000000"/>
                <w:sz w:val="20"/>
                <w:szCs w:val="20"/>
              </w:rPr>
              <w:t>560,698</w:t>
            </w:r>
          </w:p>
        </w:tc>
        <w:tc>
          <w:tcPr>
            <w:tcW w:w="1639" w:type="dxa"/>
            <w:shd w:val="clear" w:color="auto" w:fill="auto"/>
            <w:noWrap/>
            <w:vAlign w:val="center"/>
            <w:hideMark/>
          </w:tcPr>
          <w:p w14:paraId="0250B1C2" w14:textId="77777777" w:rsidR="00F20199" w:rsidRPr="00E42B8C" w:rsidRDefault="00F20199" w:rsidP="00DD634E">
            <w:pPr>
              <w:spacing w:after="0" w:line="240" w:lineRule="auto"/>
              <w:jc w:val="center"/>
              <w:rPr>
                <w:rFonts w:ascii="Calibri" w:eastAsia="Times New Roman" w:hAnsi="Calibri" w:cs="Calibri"/>
                <w:color w:val="000000"/>
                <w:sz w:val="20"/>
                <w:szCs w:val="20"/>
              </w:rPr>
            </w:pPr>
            <w:r w:rsidRPr="00E42B8C">
              <w:rPr>
                <w:rFonts w:ascii="Calibri" w:hAnsi="Calibri" w:cs="Calibri"/>
                <w:color w:val="000000"/>
                <w:sz w:val="20"/>
                <w:szCs w:val="20"/>
              </w:rPr>
              <w:t>340,917</w:t>
            </w:r>
          </w:p>
        </w:tc>
        <w:tc>
          <w:tcPr>
            <w:tcW w:w="1641" w:type="dxa"/>
            <w:shd w:val="clear" w:color="auto" w:fill="auto"/>
            <w:noWrap/>
            <w:vAlign w:val="center"/>
            <w:hideMark/>
          </w:tcPr>
          <w:p w14:paraId="6CC01FB0" w14:textId="77777777" w:rsidR="00F20199" w:rsidRPr="00E42B8C" w:rsidRDefault="00F20199" w:rsidP="00DD634E">
            <w:pPr>
              <w:spacing w:after="0" w:line="240" w:lineRule="auto"/>
              <w:jc w:val="center"/>
              <w:rPr>
                <w:rFonts w:ascii="Calibri" w:eastAsia="Times New Roman" w:hAnsi="Calibri" w:cs="Calibri"/>
                <w:color w:val="000000"/>
                <w:sz w:val="20"/>
                <w:szCs w:val="20"/>
              </w:rPr>
            </w:pPr>
            <w:r w:rsidRPr="00E42B8C">
              <w:rPr>
                <w:rFonts w:ascii="Calibri" w:hAnsi="Calibri" w:cs="Calibri"/>
                <w:color w:val="000000"/>
                <w:sz w:val="20"/>
                <w:szCs w:val="20"/>
              </w:rPr>
              <w:t>219,781</w:t>
            </w:r>
          </w:p>
        </w:tc>
      </w:tr>
      <w:tr w:rsidR="00F20199" w:rsidRPr="00335AB3" w14:paraId="5809D9FB" w14:textId="77777777" w:rsidTr="00527B11">
        <w:trPr>
          <w:cantSplit/>
          <w:trHeight w:val="320"/>
          <w:jc w:val="center"/>
        </w:trPr>
        <w:tc>
          <w:tcPr>
            <w:tcW w:w="2798" w:type="dxa"/>
            <w:shd w:val="clear" w:color="auto" w:fill="auto"/>
            <w:noWrap/>
            <w:vAlign w:val="center"/>
            <w:hideMark/>
          </w:tcPr>
          <w:p w14:paraId="296FFAF2" w14:textId="3433346C" w:rsidR="00F20199" w:rsidRPr="00E42B8C" w:rsidRDefault="00FF19FF" w:rsidP="00DD634E">
            <w:pPr>
              <w:spacing w:after="0" w:line="240" w:lineRule="auto"/>
              <w:jc w:val="center"/>
              <w:rPr>
                <w:rFonts w:ascii="Calibri" w:eastAsia="Times New Roman" w:hAnsi="Calibri" w:cs="Calibri"/>
                <w:b/>
                <w:bCs/>
                <w:color w:val="000000"/>
                <w:sz w:val="20"/>
                <w:szCs w:val="20"/>
              </w:rPr>
            </w:pPr>
            <w:r w:rsidRPr="00E42B8C">
              <w:rPr>
                <w:rFonts w:ascii="Calibri" w:eastAsia="Times New Roman" w:hAnsi="Calibri" w:cs="Calibri"/>
                <w:b/>
                <w:bCs/>
                <w:color w:val="000000"/>
                <w:sz w:val="20"/>
                <w:szCs w:val="20"/>
              </w:rPr>
              <w:t>CY</w:t>
            </w:r>
            <w:r w:rsidR="00F20199" w:rsidRPr="00E42B8C">
              <w:rPr>
                <w:rFonts w:ascii="Calibri" w:eastAsia="Times New Roman" w:hAnsi="Calibri" w:cs="Calibri"/>
                <w:b/>
                <w:bCs/>
                <w:color w:val="000000"/>
                <w:sz w:val="20"/>
                <w:szCs w:val="20"/>
              </w:rPr>
              <w:t>2023</w:t>
            </w:r>
          </w:p>
        </w:tc>
        <w:tc>
          <w:tcPr>
            <w:tcW w:w="1358" w:type="dxa"/>
            <w:shd w:val="clear" w:color="auto" w:fill="auto"/>
            <w:noWrap/>
            <w:vAlign w:val="center"/>
            <w:hideMark/>
          </w:tcPr>
          <w:p w14:paraId="47FAD501" w14:textId="77777777" w:rsidR="00F20199" w:rsidRPr="00E42B8C" w:rsidRDefault="00F20199" w:rsidP="00DD634E">
            <w:pPr>
              <w:spacing w:after="0" w:line="240" w:lineRule="auto"/>
              <w:jc w:val="center"/>
              <w:rPr>
                <w:rFonts w:ascii="Calibri" w:eastAsia="Times New Roman" w:hAnsi="Calibri" w:cs="Calibri"/>
                <w:color w:val="000000"/>
                <w:sz w:val="20"/>
                <w:szCs w:val="20"/>
              </w:rPr>
            </w:pPr>
            <w:r w:rsidRPr="00E42B8C">
              <w:rPr>
                <w:rFonts w:ascii="Calibri" w:hAnsi="Calibri" w:cs="Calibri"/>
                <w:color w:val="000000"/>
                <w:sz w:val="20"/>
                <w:szCs w:val="20"/>
              </w:rPr>
              <w:t>573,888</w:t>
            </w:r>
          </w:p>
        </w:tc>
        <w:tc>
          <w:tcPr>
            <w:tcW w:w="1639" w:type="dxa"/>
            <w:shd w:val="clear" w:color="auto" w:fill="auto"/>
            <w:noWrap/>
            <w:vAlign w:val="center"/>
            <w:hideMark/>
          </w:tcPr>
          <w:p w14:paraId="7CCA5EF3" w14:textId="77777777" w:rsidR="00F20199" w:rsidRPr="00E42B8C" w:rsidRDefault="00F20199" w:rsidP="00DD634E">
            <w:pPr>
              <w:spacing w:after="0" w:line="240" w:lineRule="auto"/>
              <w:jc w:val="center"/>
              <w:rPr>
                <w:rFonts w:ascii="Calibri" w:eastAsia="Times New Roman" w:hAnsi="Calibri" w:cs="Calibri"/>
                <w:color w:val="000000"/>
                <w:sz w:val="20"/>
                <w:szCs w:val="20"/>
              </w:rPr>
            </w:pPr>
            <w:r w:rsidRPr="00E42B8C">
              <w:rPr>
                <w:rFonts w:ascii="Calibri" w:hAnsi="Calibri" w:cs="Calibri"/>
                <w:color w:val="000000"/>
                <w:sz w:val="20"/>
                <w:szCs w:val="20"/>
              </w:rPr>
              <w:t>344,644</w:t>
            </w:r>
          </w:p>
        </w:tc>
        <w:tc>
          <w:tcPr>
            <w:tcW w:w="1641" w:type="dxa"/>
            <w:shd w:val="clear" w:color="auto" w:fill="auto"/>
            <w:noWrap/>
            <w:vAlign w:val="center"/>
            <w:hideMark/>
          </w:tcPr>
          <w:p w14:paraId="7AA99D70" w14:textId="77777777" w:rsidR="00F20199" w:rsidRPr="00E42B8C" w:rsidRDefault="00F20199" w:rsidP="00DD634E">
            <w:pPr>
              <w:spacing w:after="0" w:line="240" w:lineRule="auto"/>
              <w:jc w:val="center"/>
              <w:rPr>
                <w:rFonts w:ascii="Calibri" w:eastAsia="Times New Roman" w:hAnsi="Calibri" w:cs="Calibri"/>
                <w:color w:val="000000"/>
                <w:sz w:val="20"/>
                <w:szCs w:val="20"/>
              </w:rPr>
            </w:pPr>
            <w:r w:rsidRPr="00E42B8C">
              <w:rPr>
                <w:rFonts w:ascii="Calibri" w:hAnsi="Calibri" w:cs="Calibri"/>
                <w:color w:val="000000"/>
                <w:sz w:val="20"/>
                <w:szCs w:val="20"/>
              </w:rPr>
              <w:t>229,244</w:t>
            </w:r>
          </w:p>
        </w:tc>
      </w:tr>
      <w:tr w:rsidR="00F20199" w:rsidRPr="00335AB3" w14:paraId="3353C659" w14:textId="77777777" w:rsidTr="00527B11">
        <w:trPr>
          <w:cantSplit/>
          <w:trHeight w:val="320"/>
          <w:jc w:val="center"/>
        </w:trPr>
        <w:tc>
          <w:tcPr>
            <w:tcW w:w="2798" w:type="dxa"/>
            <w:shd w:val="clear" w:color="auto" w:fill="auto"/>
            <w:noWrap/>
            <w:vAlign w:val="center"/>
            <w:hideMark/>
          </w:tcPr>
          <w:p w14:paraId="0CFC5B9C" w14:textId="40D06D01" w:rsidR="00F20199" w:rsidRPr="00E42B8C" w:rsidRDefault="00F20199" w:rsidP="00DD634E">
            <w:pPr>
              <w:spacing w:after="0" w:line="240" w:lineRule="auto"/>
              <w:jc w:val="center"/>
              <w:rPr>
                <w:rFonts w:ascii="Calibri" w:eastAsia="Times New Roman" w:hAnsi="Calibri" w:cs="Calibri"/>
                <w:b/>
                <w:bCs/>
                <w:color w:val="000000"/>
                <w:sz w:val="20"/>
                <w:szCs w:val="20"/>
              </w:rPr>
            </w:pPr>
            <w:r w:rsidRPr="00E42B8C">
              <w:rPr>
                <w:rFonts w:ascii="Calibri" w:eastAsia="Times New Roman" w:hAnsi="Calibri" w:cs="Calibri"/>
                <w:b/>
                <w:bCs/>
                <w:color w:val="000000"/>
                <w:sz w:val="20"/>
                <w:szCs w:val="20"/>
              </w:rPr>
              <w:t xml:space="preserve">Change </w:t>
            </w:r>
            <w:r w:rsidR="00FF19FF" w:rsidRPr="00E42B8C">
              <w:rPr>
                <w:rFonts w:ascii="Calibri" w:eastAsia="Times New Roman" w:hAnsi="Calibri" w:cs="Calibri"/>
                <w:b/>
                <w:bCs/>
                <w:color w:val="000000"/>
                <w:sz w:val="20"/>
                <w:szCs w:val="20"/>
              </w:rPr>
              <w:t>CY</w:t>
            </w:r>
            <w:r w:rsidRPr="00E42B8C">
              <w:rPr>
                <w:rFonts w:ascii="Calibri" w:eastAsia="Times New Roman" w:hAnsi="Calibri" w:cs="Calibri"/>
                <w:b/>
                <w:bCs/>
                <w:color w:val="000000"/>
                <w:sz w:val="20"/>
                <w:szCs w:val="20"/>
              </w:rPr>
              <w:t xml:space="preserve">2020 - </w:t>
            </w:r>
            <w:r w:rsidR="00FF19FF" w:rsidRPr="00E42B8C">
              <w:rPr>
                <w:rFonts w:ascii="Calibri" w:eastAsia="Times New Roman" w:hAnsi="Calibri" w:cs="Calibri"/>
                <w:b/>
                <w:bCs/>
                <w:color w:val="000000"/>
                <w:sz w:val="20"/>
                <w:szCs w:val="20"/>
              </w:rPr>
              <w:t>CY</w:t>
            </w:r>
            <w:r w:rsidRPr="00E42B8C">
              <w:rPr>
                <w:rFonts w:ascii="Calibri" w:eastAsia="Times New Roman" w:hAnsi="Calibri" w:cs="Calibri"/>
                <w:b/>
                <w:bCs/>
                <w:color w:val="000000"/>
                <w:sz w:val="20"/>
                <w:szCs w:val="20"/>
              </w:rPr>
              <w:t>2023</w:t>
            </w:r>
          </w:p>
        </w:tc>
        <w:tc>
          <w:tcPr>
            <w:tcW w:w="1358" w:type="dxa"/>
            <w:shd w:val="clear" w:color="auto" w:fill="auto"/>
            <w:noWrap/>
            <w:vAlign w:val="center"/>
            <w:hideMark/>
          </w:tcPr>
          <w:p w14:paraId="485338F4" w14:textId="77777777" w:rsidR="00F20199" w:rsidRPr="00E42B8C" w:rsidRDefault="00F20199" w:rsidP="00DD634E">
            <w:pPr>
              <w:spacing w:after="0" w:line="240" w:lineRule="auto"/>
              <w:jc w:val="center"/>
              <w:rPr>
                <w:rFonts w:ascii="Calibri" w:eastAsia="Times New Roman" w:hAnsi="Calibri" w:cs="Calibri"/>
                <w:color w:val="000000"/>
                <w:sz w:val="20"/>
                <w:szCs w:val="20"/>
              </w:rPr>
            </w:pPr>
            <w:r w:rsidRPr="00E42B8C">
              <w:rPr>
                <w:rFonts w:ascii="Calibri" w:hAnsi="Calibri" w:cs="Calibri"/>
                <w:color w:val="000000"/>
                <w:sz w:val="20"/>
                <w:szCs w:val="20"/>
              </w:rPr>
              <w:t>13,190</w:t>
            </w:r>
          </w:p>
        </w:tc>
        <w:tc>
          <w:tcPr>
            <w:tcW w:w="1639" w:type="dxa"/>
            <w:shd w:val="clear" w:color="auto" w:fill="auto"/>
            <w:noWrap/>
            <w:vAlign w:val="center"/>
            <w:hideMark/>
          </w:tcPr>
          <w:p w14:paraId="3BBCB4D8" w14:textId="77777777" w:rsidR="00F20199" w:rsidRPr="00E42B8C" w:rsidRDefault="00F20199" w:rsidP="00DD634E">
            <w:pPr>
              <w:spacing w:after="0" w:line="240" w:lineRule="auto"/>
              <w:jc w:val="center"/>
              <w:rPr>
                <w:rFonts w:ascii="Calibri" w:eastAsia="Times New Roman" w:hAnsi="Calibri" w:cs="Calibri"/>
                <w:color w:val="000000"/>
                <w:sz w:val="20"/>
                <w:szCs w:val="20"/>
              </w:rPr>
            </w:pPr>
            <w:r w:rsidRPr="00E42B8C">
              <w:rPr>
                <w:rFonts w:ascii="Calibri" w:hAnsi="Calibri" w:cs="Calibri"/>
                <w:color w:val="000000"/>
                <w:sz w:val="20"/>
                <w:szCs w:val="20"/>
              </w:rPr>
              <w:t>3,727</w:t>
            </w:r>
          </w:p>
        </w:tc>
        <w:tc>
          <w:tcPr>
            <w:tcW w:w="1641" w:type="dxa"/>
            <w:shd w:val="clear" w:color="auto" w:fill="auto"/>
            <w:noWrap/>
            <w:vAlign w:val="center"/>
            <w:hideMark/>
          </w:tcPr>
          <w:p w14:paraId="517291E4" w14:textId="77777777" w:rsidR="00F20199" w:rsidRPr="00E42B8C" w:rsidRDefault="00F20199" w:rsidP="00DD634E">
            <w:pPr>
              <w:spacing w:after="0" w:line="240" w:lineRule="auto"/>
              <w:jc w:val="center"/>
              <w:rPr>
                <w:rFonts w:ascii="Calibri" w:eastAsia="Times New Roman" w:hAnsi="Calibri" w:cs="Calibri"/>
                <w:color w:val="000000"/>
                <w:sz w:val="20"/>
                <w:szCs w:val="20"/>
              </w:rPr>
            </w:pPr>
            <w:r w:rsidRPr="00E42B8C">
              <w:rPr>
                <w:rFonts w:ascii="Calibri" w:hAnsi="Calibri" w:cs="Calibri"/>
                <w:color w:val="000000"/>
                <w:sz w:val="20"/>
                <w:szCs w:val="20"/>
              </w:rPr>
              <w:t>9,463</w:t>
            </w:r>
          </w:p>
        </w:tc>
      </w:tr>
      <w:tr w:rsidR="00F20199" w:rsidRPr="00335AB3" w14:paraId="13CB267E" w14:textId="77777777" w:rsidTr="00527B11">
        <w:trPr>
          <w:cantSplit/>
          <w:trHeight w:val="320"/>
          <w:jc w:val="center"/>
        </w:trPr>
        <w:tc>
          <w:tcPr>
            <w:tcW w:w="2798" w:type="dxa"/>
            <w:shd w:val="clear" w:color="auto" w:fill="auto"/>
            <w:noWrap/>
            <w:vAlign w:val="center"/>
            <w:hideMark/>
          </w:tcPr>
          <w:p w14:paraId="2FED1B1A" w14:textId="12E16E3E" w:rsidR="00F20199" w:rsidRPr="00E42B8C" w:rsidRDefault="00F20199" w:rsidP="00DD634E">
            <w:pPr>
              <w:spacing w:after="0" w:line="240" w:lineRule="auto"/>
              <w:jc w:val="center"/>
              <w:rPr>
                <w:rFonts w:ascii="Calibri" w:eastAsia="Times New Roman" w:hAnsi="Calibri" w:cs="Calibri"/>
                <w:b/>
                <w:bCs/>
                <w:color w:val="000000"/>
                <w:sz w:val="20"/>
                <w:szCs w:val="20"/>
              </w:rPr>
            </w:pPr>
            <w:r w:rsidRPr="00E42B8C">
              <w:rPr>
                <w:rFonts w:ascii="Calibri" w:eastAsia="Times New Roman" w:hAnsi="Calibri" w:cs="Calibri"/>
                <w:b/>
                <w:bCs/>
                <w:color w:val="000000"/>
                <w:sz w:val="20"/>
                <w:szCs w:val="20"/>
              </w:rPr>
              <w:t xml:space="preserve">% Change </w:t>
            </w:r>
            <w:r w:rsidR="00FF19FF" w:rsidRPr="00E42B8C">
              <w:rPr>
                <w:rFonts w:ascii="Calibri" w:eastAsia="Times New Roman" w:hAnsi="Calibri" w:cs="Calibri"/>
                <w:b/>
                <w:bCs/>
                <w:color w:val="000000"/>
                <w:sz w:val="20"/>
                <w:szCs w:val="20"/>
              </w:rPr>
              <w:t>CY</w:t>
            </w:r>
            <w:r w:rsidRPr="00E42B8C">
              <w:rPr>
                <w:rFonts w:ascii="Calibri" w:eastAsia="Times New Roman" w:hAnsi="Calibri" w:cs="Calibri"/>
                <w:b/>
                <w:bCs/>
                <w:color w:val="000000"/>
                <w:sz w:val="20"/>
                <w:szCs w:val="20"/>
              </w:rPr>
              <w:t xml:space="preserve">2020 - </w:t>
            </w:r>
            <w:r w:rsidR="00FF19FF" w:rsidRPr="00E42B8C">
              <w:rPr>
                <w:rFonts w:ascii="Calibri" w:eastAsia="Times New Roman" w:hAnsi="Calibri" w:cs="Calibri"/>
                <w:b/>
                <w:bCs/>
                <w:color w:val="000000"/>
                <w:sz w:val="20"/>
                <w:szCs w:val="20"/>
              </w:rPr>
              <w:t>CY</w:t>
            </w:r>
            <w:r w:rsidRPr="00E42B8C">
              <w:rPr>
                <w:rFonts w:ascii="Calibri" w:eastAsia="Times New Roman" w:hAnsi="Calibri" w:cs="Calibri"/>
                <w:b/>
                <w:bCs/>
                <w:color w:val="000000"/>
                <w:sz w:val="20"/>
                <w:szCs w:val="20"/>
              </w:rPr>
              <w:t>2023</w:t>
            </w:r>
          </w:p>
        </w:tc>
        <w:tc>
          <w:tcPr>
            <w:tcW w:w="1358" w:type="dxa"/>
            <w:shd w:val="clear" w:color="auto" w:fill="auto"/>
            <w:noWrap/>
            <w:vAlign w:val="center"/>
            <w:hideMark/>
          </w:tcPr>
          <w:p w14:paraId="363574F6" w14:textId="77777777" w:rsidR="00F20199" w:rsidRPr="00E42B8C" w:rsidRDefault="00F20199" w:rsidP="00DD634E">
            <w:pPr>
              <w:spacing w:after="0" w:line="240" w:lineRule="auto"/>
              <w:jc w:val="center"/>
              <w:rPr>
                <w:rFonts w:ascii="Calibri" w:eastAsia="Times New Roman" w:hAnsi="Calibri" w:cs="Calibri"/>
                <w:b/>
                <w:bCs/>
                <w:color w:val="000000"/>
                <w:sz w:val="20"/>
                <w:szCs w:val="20"/>
              </w:rPr>
            </w:pPr>
            <w:r w:rsidRPr="00E42B8C">
              <w:rPr>
                <w:rFonts w:ascii="Calibri" w:hAnsi="Calibri" w:cs="Calibri"/>
                <w:color w:val="000000"/>
                <w:sz w:val="20"/>
                <w:szCs w:val="20"/>
              </w:rPr>
              <w:t>2.4%</w:t>
            </w:r>
          </w:p>
        </w:tc>
        <w:tc>
          <w:tcPr>
            <w:tcW w:w="1639" w:type="dxa"/>
            <w:shd w:val="clear" w:color="auto" w:fill="auto"/>
            <w:noWrap/>
            <w:vAlign w:val="center"/>
            <w:hideMark/>
          </w:tcPr>
          <w:p w14:paraId="3BD4C3E7" w14:textId="77777777" w:rsidR="00F20199" w:rsidRPr="00E42B8C" w:rsidRDefault="00F20199" w:rsidP="00DD634E">
            <w:pPr>
              <w:spacing w:after="0" w:line="240" w:lineRule="auto"/>
              <w:jc w:val="center"/>
              <w:rPr>
                <w:rFonts w:ascii="Calibri" w:eastAsia="Times New Roman" w:hAnsi="Calibri" w:cs="Calibri"/>
                <w:b/>
                <w:bCs/>
                <w:color w:val="000000"/>
                <w:sz w:val="20"/>
                <w:szCs w:val="20"/>
              </w:rPr>
            </w:pPr>
            <w:r w:rsidRPr="00E42B8C">
              <w:rPr>
                <w:rFonts w:ascii="Calibri" w:hAnsi="Calibri" w:cs="Calibri"/>
                <w:color w:val="000000"/>
                <w:sz w:val="20"/>
                <w:szCs w:val="20"/>
              </w:rPr>
              <w:t>1.1%</w:t>
            </w:r>
          </w:p>
        </w:tc>
        <w:tc>
          <w:tcPr>
            <w:tcW w:w="1641" w:type="dxa"/>
            <w:shd w:val="clear" w:color="auto" w:fill="auto"/>
            <w:noWrap/>
            <w:vAlign w:val="center"/>
            <w:hideMark/>
          </w:tcPr>
          <w:p w14:paraId="6C6C5A25" w14:textId="77777777" w:rsidR="00F20199" w:rsidRPr="00E42B8C" w:rsidRDefault="00F20199" w:rsidP="00DD634E">
            <w:pPr>
              <w:spacing w:after="0" w:line="240" w:lineRule="auto"/>
              <w:jc w:val="center"/>
              <w:rPr>
                <w:rFonts w:ascii="Calibri" w:eastAsia="Times New Roman" w:hAnsi="Calibri" w:cs="Calibri"/>
                <w:b/>
                <w:bCs/>
                <w:color w:val="000000"/>
                <w:sz w:val="20"/>
                <w:szCs w:val="20"/>
              </w:rPr>
            </w:pPr>
            <w:r w:rsidRPr="00E42B8C">
              <w:rPr>
                <w:rFonts w:ascii="Calibri" w:hAnsi="Calibri" w:cs="Calibri"/>
                <w:color w:val="000000"/>
                <w:sz w:val="20"/>
                <w:szCs w:val="20"/>
              </w:rPr>
              <w:t>4.3%</w:t>
            </w:r>
          </w:p>
        </w:tc>
      </w:tr>
    </w:tbl>
    <w:p w14:paraId="0448F014" w14:textId="77777777" w:rsidR="00F20199" w:rsidRDefault="00F20199" w:rsidP="00F20199"/>
    <w:p w14:paraId="090DB3F4" w14:textId="62547E21" w:rsidR="00F20199" w:rsidRPr="00155351" w:rsidRDefault="00F20199" w:rsidP="00F20199">
      <w:pPr>
        <w:jc w:val="center"/>
        <w:rPr>
          <w:rFonts w:asciiTheme="minorHAnsi" w:hAnsiTheme="minorHAnsi" w:cstheme="minorHAnsi"/>
          <w:b/>
          <w:szCs w:val="24"/>
        </w:rPr>
      </w:pPr>
      <w:r w:rsidRPr="00155351">
        <w:rPr>
          <w:rFonts w:asciiTheme="minorHAnsi" w:hAnsiTheme="minorHAnsi" w:cstheme="minorHAnsi"/>
          <w:b/>
          <w:szCs w:val="24"/>
        </w:rPr>
        <w:t>Table</w:t>
      </w:r>
      <w:r>
        <w:rPr>
          <w:rFonts w:asciiTheme="minorHAnsi" w:hAnsiTheme="minorHAnsi" w:cstheme="minorHAnsi"/>
          <w:b/>
          <w:szCs w:val="24"/>
        </w:rPr>
        <w:t xml:space="preserve"> 4</w:t>
      </w:r>
      <w:r w:rsidRPr="00155351">
        <w:rPr>
          <w:rFonts w:asciiTheme="minorHAnsi" w:hAnsiTheme="minorHAnsi" w:cstheme="minorHAnsi"/>
          <w:b/>
          <w:szCs w:val="24"/>
        </w:rPr>
        <w:t>. Surg</w:t>
      </w:r>
      <w:r>
        <w:rPr>
          <w:rFonts w:asciiTheme="minorHAnsi" w:hAnsiTheme="minorHAnsi" w:cstheme="minorHAnsi"/>
          <w:b/>
          <w:szCs w:val="24"/>
        </w:rPr>
        <w:t>ical Patients</w:t>
      </w:r>
      <w:r w:rsidR="00943C78">
        <w:rPr>
          <w:rStyle w:val="FootnoteReference"/>
          <w:rFonts w:asciiTheme="minorHAnsi" w:hAnsiTheme="minorHAnsi" w:cstheme="minorHAnsi"/>
          <w:b/>
          <w:szCs w:val="24"/>
        </w:rPr>
        <w:footnoteReference w:id="40"/>
      </w:r>
    </w:p>
    <w:tbl>
      <w:tblPr>
        <w:tblW w:w="10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1079"/>
        <w:gridCol w:w="7"/>
        <w:gridCol w:w="1086"/>
        <w:gridCol w:w="1079"/>
        <w:gridCol w:w="1093"/>
        <w:gridCol w:w="1079"/>
        <w:gridCol w:w="7"/>
        <w:gridCol w:w="1086"/>
        <w:gridCol w:w="1162"/>
        <w:gridCol w:w="1158"/>
      </w:tblGrid>
      <w:tr w:rsidR="002B37FE" w:rsidRPr="009749B5" w14:paraId="0B9FE1BC" w14:textId="77777777" w:rsidTr="00CC7628">
        <w:trPr>
          <w:cantSplit/>
          <w:trHeight w:val="300"/>
          <w:tblHeader/>
          <w:jc w:val="center"/>
        </w:trPr>
        <w:tc>
          <w:tcPr>
            <w:tcW w:w="2124" w:type="dxa"/>
            <w:shd w:val="clear" w:color="auto" w:fill="BDD6EE" w:themeFill="accent1" w:themeFillTint="66"/>
            <w:noWrap/>
            <w:vAlign w:val="bottom"/>
            <w:hideMark/>
          </w:tcPr>
          <w:p w14:paraId="6DBD5D19" w14:textId="77777777" w:rsidR="002B37FE" w:rsidRPr="00E42B8C" w:rsidRDefault="002B37FE" w:rsidP="002B37FE">
            <w:pPr>
              <w:spacing w:after="0" w:line="240" w:lineRule="auto"/>
              <w:rPr>
                <w:rFonts w:asciiTheme="minorHAnsi" w:eastAsia="Times New Roman" w:hAnsiTheme="minorHAnsi" w:cstheme="minorHAnsi"/>
                <w:sz w:val="20"/>
                <w:szCs w:val="20"/>
              </w:rPr>
            </w:pPr>
          </w:p>
        </w:tc>
        <w:tc>
          <w:tcPr>
            <w:tcW w:w="1086" w:type="dxa"/>
            <w:gridSpan w:val="2"/>
            <w:tcBorders>
              <w:bottom w:val="single" w:sz="4" w:space="0" w:color="auto"/>
              <w:right w:val="nil"/>
            </w:tcBorders>
            <w:shd w:val="clear" w:color="auto" w:fill="BDD6EE" w:themeFill="accent1" w:themeFillTint="66"/>
            <w:noWrap/>
            <w:vAlign w:val="center"/>
            <w:hideMark/>
          </w:tcPr>
          <w:p w14:paraId="7D3C20E8" w14:textId="77777777" w:rsidR="002B37FE" w:rsidRPr="00E42B8C" w:rsidRDefault="002B37FE" w:rsidP="002B37FE">
            <w:pPr>
              <w:spacing w:after="0" w:line="240" w:lineRule="auto"/>
              <w:jc w:val="center"/>
              <w:rPr>
                <w:rFonts w:asciiTheme="minorHAnsi" w:eastAsia="Times New Roman" w:hAnsiTheme="minorHAnsi" w:cstheme="minorHAnsi"/>
                <w:b/>
                <w:bCs/>
                <w:color w:val="000000"/>
                <w:sz w:val="20"/>
                <w:szCs w:val="20"/>
              </w:rPr>
            </w:pPr>
            <w:r w:rsidRPr="00E42B8C">
              <w:rPr>
                <w:rFonts w:asciiTheme="minorHAnsi" w:eastAsia="Times New Roman" w:hAnsiTheme="minorHAnsi" w:cstheme="minorHAnsi"/>
                <w:b/>
                <w:bCs/>
                <w:color w:val="000000"/>
                <w:sz w:val="20"/>
                <w:szCs w:val="20"/>
              </w:rPr>
              <w:t>CY 2020</w:t>
            </w:r>
          </w:p>
        </w:tc>
        <w:tc>
          <w:tcPr>
            <w:tcW w:w="1086" w:type="dxa"/>
            <w:tcBorders>
              <w:left w:val="nil"/>
              <w:bottom w:val="single" w:sz="4" w:space="0" w:color="auto"/>
            </w:tcBorders>
            <w:shd w:val="clear" w:color="auto" w:fill="BDD6EE" w:themeFill="accent1" w:themeFillTint="66"/>
            <w:vAlign w:val="center"/>
          </w:tcPr>
          <w:p w14:paraId="14A97089" w14:textId="1B9DA21A" w:rsidR="002B37FE" w:rsidRPr="00E42B8C" w:rsidRDefault="002B37FE" w:rsidP="002B37FE">
            <w:pPr>
              <w:spacing w:after="0" w:line="240" w:lineRule="auto"/>
              <w:jc w:val="center"/>
              <w:rPr>
                <w:rFonts w:asciiTheme="minorHAnsi" w:eastAsia="Times New Roman" w:hAnsiTheme="minorHAnsi" w:cstheme="minorHAnsi"/>
                <w:b/>
                <w:bCs/>
                <w:color w:val="000000"/>
                <w:sz w:val="20"/>
                <w:szCs w:val="20"/>
              </w:rPr>
            </w:pPr>
            <w:r w:rsidRPr="00E42B8C">
              <w:rPr>
                <w:rFonts w:asciiTheme="minorHAnsi" w:eastAsia="Times New Roman" w:hAnsiTheme="minorHAnsi" w:cstheme="minorHAnsi"/>
                <w:b/>
                <w:bCs/>
                <w:color w:val="000000"/>
                <w:sz w:val="20"/>
                <w:szCs w:val="20"/>
              </w:rPr>
              <w:t>CY 2020</w:t>
            </w:r>
          </w:p>
        </w:tc>
        <w:tc>
          <w:tcPr>
            <w:tcW w:w="1079" w:type="dxa"/>
            <w:tcBorders>
              <w:bottom w:val="single" w:sz="4" w:space="0" w:color="auto"/>
              <w:right w:val="nil"/>
            </w:tcBorders>
            <w:shd w:val="clear" w:color="auto" w:fill="BDD6EE" w:themeFill="accent1" w:themeFillTint="66"/>
            <w:noWrap/>
            <w:vAlign w:val="center"/>
            <w:hideMark/>
          </w:tcPr>
          <w:p w14:paraId="51F6B805" w14:textId="77777777" w:rsidR="002B37FE" w:rsidRPr="00E42B8C" w:rsidRDefault="002B37FE" w:rsidP="002B37FE">
            <w:pPr>
              <w:spacing w:after="0" w:line="240" w:lineRule="auto"/>
              <w:jc w:val="center"/>
              <w:rPr>
                <w:rFonts w:asciiTheme="minorHAnsi" w:eastAsia="Times New Roman" w:hAnsiTheme="minorHAnsi" w:cstheme="minorHAnsi"/>
                <w:b/>
                <w:bCs/>
                <w:color w:val="000000"/>
                <w:sz w:val="20"/>
                <w:szCs w:val="20"/>
              </w:rPr>
            </w:pPr>
            <w:r w:rsidRPr="00E42B8C">
              <w:rPr>
                <w:rFonts w:asciiTheme="minorHAnsi" w:eastAsia="Times New Roman" w:hAnsiTheme="minorHAnsi" w:cstheme="minorHAnsi"/>
                <w:b/>
                <w:bCs/>
                <w:color w:val="000000"/>
                <w:sz w:val="20"/>
                <w:szCs w:val="20"/>
              </w:rPr>
              <w:t>CY 2021</w:t>
            </w:r>
          </w:p>
        </w:tc>
        <w:tc>
          <w:tcPr>
            <w:tcW w:w="1093" w:type="dxa"/>
            <w:tcBorders>
              <w:left w:val="nil"/>
              <w:bottom w:val="single" w:sz="4" w:space="0" w:color="auto"/>
            </w:tcBorders>
            <w:shd w:val="clear" w:color="auto" w:fill="BDD6EE" w:themeFill="accent1" w:themeFillTint="66"/>
            <w:vAlign w:val="center"/>
          </w:tcPr>
          <w:p w14:paraId="434EF356" w14:textId="0EC51CF7" w:rsidR="002B37FE" w:rsidRPr="00E42B8C" w:rsidRDefault="002B37FE" w:rsidP="002B37FE">
            <w:pPr>
              <w:spacing w:after="0" w:line="240" w:lineRule="auto"/>
              <w:jc w:val="center"/>
              <w:rPr>
                <w:rFonts w:asciiTheme="minorHAnsi" w:eastAsia="Times New Roman" w:hAnsiTheme="minorHAnsi" w:cstheme="minorHAnsi"/>
                <w:b/>
                <w:bCs/>
                <w:color w:val="000000"/>
                <w:sz w:val="20"/>
                <w:szCs w:val="20"/>
              </w:rPr>
            </w:pPr>
            <w:r w:rsidRPr="00E42B8C">
              <w:rPr>
                <w:rFonts w:asciiTheme="minorHAnsi" w:eastAsia="Times New Roman" w:hAnsiTheme="minorHAnsi" w:cstheme="minorHAnsi"/>
                <w:b/>
                <w:bCs/>
                <w:color w:val="000000"/>
                <w:sz w:val="20"/>
                <w:szCs w:val="20"/>
              </w:rPr>
              <w:t>CY 2021</w:t>
            </w:r>
          </w:p>
        </w:tc>
        <w:tc>
          <w:tcPr>
            <w:tcW w:w="1086" w:type="dxa"/>
            <w:gridSpan w:val="2"/>
            <w:tcBorders>
              <w:bottom w:val="single" w:sz="4" w:space="0" w:color="auto"/>
              <w:right w:val="nil"/>
            </w:tcBorders>
            <w:shd w:val="clear" w:color="auto" w:fill="BDD6EE" w:themeFill="accent1" w:themeFillTint="66"/>
            <w:noWrap/>
            <w:vAlign w:val="center"/>
            <w:hideMark/>
          </w:tcPr>
          <w:p w14:paraId="66459E0F" w14:textId="77777777" w:rsidR="002B37FE" w:rsidRPr="00E42B8C" w:rsidRDefault="002B37FE" w:rsidP="002B37FE">
            <w:pPr>
              <w:spacing w:after="0" w:line="240" w:lineRule="auto"/>
              <w:jc w:val="center"/>
              <w:rPr>
                <w:rFonts w:asciiTheme="minorHAnsi" w:eastAsia="Times New Roman" w:hAnsiTheme="minorHAnsi" w:cstheme="minorHAnsi"/>
                <w:b/>
                <w:bCs/>
                <w:color w:val="000000"/>
                <w:sz w:val="20"/>
                <w:szCs w:val="20"/>
              </w:rPr>
            </w:pPr>
            <w:r w:rsidRPr="00E42B8C">
              <w:rPr>
                <w:rFonts w:asciiTheme="minorHAnsi" w:eastAsia="Times New Roman" w:hAnsiTheme="minorHAnsi" w:cstheme="minorHAnsi"/>
                <w:b/>
                <w:bCs/>
                <w:color w:val="000000"/>
                <w:sz w:val="20"/>
                <w:szCs w:val="20"/>
              </w:rPr>
              <w:t>CY 2022</w:t>
            </w:r>
          </w:p>
        </w:tc>
        <w:tc>
          <w:tcPr>
            <w:tcW w:w="1086" w:type="dxa"/>
            <w:tcBorders>
              <w:left w:val="nil"/>
              <w:bottom w:val="single" w:sz="4" w:space="0" w:color="auto"/>
            </w:tcBorders>
            <w:shd w:val="clear" w:color="auto" w:fill="BDD6EE" w:themeFill="accent1" w:themeFillTint="66"/>
            <w:vAlign w:val="center"/>
          </w:tcPr>
          <w:p w14:paraId="46DA1397" w14:textId="0EF5D10C" w:rsidR="002B37FE" w:rsidRPr="00E42B8C" w:rsidRDefault="002B37FE" w:rsidP="002B37FE">
            <w:pPr>
              <w:spacing w:after="0" w:line="240" w:lineRule="auto"/>
              <w:jc w:val="center"/>
              <w:rPr>
                <w:rFonts w:asciiTheme="minorHAnsi" w:eastAsia="Times New Roman" w:hAnsiTheme="minorHAnsi" w:cstheme="minorHAnsi"/>
                <w:b/>
                <w:bCs/>
                <w:color w:val="000000"/>
                <w:sz w:val="20"/>
                <w:szCs w:val="20"/>
              </w:rPr>
            </w:pPr>
            <w:r w:rsidRPr="00E42B8C">
              <w:rPr>
                <w:rFonts w:asciiTheme="minorHAnsi" w:eastAsia="Times New Roman" w:hAnsiTheme="minorHAnsi" w:cstheme="minorHAnsi"/>
                <w:b/>
                <w:bCs/>
                <w:color w:val="000000"/>
                <w:sz w:val="20"/>
                <w:szCs w:val="20"/>
              </w:rPr>
              <w:t>CY 2022</w:t>
            </w:r>
          </w:p>
        </w:tc>
        <w:tc>
          <w:tcPr>
            <w:tcW w:w="1162" w:type="dxa"/>
            <w:tcBorders>
              <w:bottom w:val="single" w:sz="4" w:space="0" w:color="auto"/>
              <w:right w:val="nil"/>
            </w:tcBorders>
            <w:shd w:val="clear" w:color="auto" w:fill="BDD6EE" w:themeFill="accent1" w:themeFillTint="66"/>
          </w:tcPr>
          <w:p w14:paraId="7EA281AF" w14:textId="77777777" w:rsidR="002B37FE" w:rsidRPr="00E42B8C" w:rsidRDefault="002B37FE" w:rsidP="002B37FE">
            <w:pPr>
              <w:spacing w:after="0" w:line="240" w:lineRule="auto"/>
              <w:jc w:val="center"/>
              <w:rPr>
                <w:rFonts w:asciiTheme="minorHAnsi" w:eastAsia="Times New Roman" w:hAnsiTheme="minorHAnsi" w:cstheme="minorHAnsi"/>
                <w:b/>
                <w:bCs/>
                <w:color w:val="000000"/>
                <w:sz w:val="20"/>
                <w:szCs w:val="20"/>
              </w:rPr>
            </w:pPr>
            <w:r w:rsidRPr="00E42B8C">
              <w:rPr>
                <w:rFonts w:asciiTheme="minorHAnsi" w:eastAsia="Times New Roman" w:hAnsiTheme="minorHAnsi" w:cstheme="minorHAnsi"/>
                <w:b/>
                <w:bCs/>
                <w:color w:val="000000"/>
                <w:sz w:val="20"/>
                <w:szCs w:val="20"/>
              </w:rPr>
              <w:t>CY2023</w:t>
            </w:r>
          </w:p>
        </w:tc>
        <w:tc>
          <w:tcPr>
            <w:tcW w:w="1158" w:type="dxa"/>
            <w:tcBorders>
              <w:left w:val="nil"/>
              <w:bottom w:val="single" w:sz="4" w:space="0" w:color="auto"/>
            </w:tcBorders>
            <w:shd w:val="clear" w:color="auto" w:fill="BDD6EE" w:themeFill="accent1" w:themeFillTint="66"/>
          </w:tcPr>
          <w:p w14:paraId="372E7088" w14:textId="7F51CA66" w:rsidR="002B37FE" w:rsidRPr="00E42B8C" w:rsidRDefault="002B37FE" w:rsidP="002B37FE">
            <w:pPr>
              <w:spacing w:after="0" w:line="240" w:lineRule="auto"/>
              <w:jc w:val="center"/>
              <w:rPr>
                <w:rFonts w:asciiTheme="minorHAnsi" w:eastAsia="Times New Roman" w:hAnsiTheme="minorHAnsi" w:cstheme="minorHAnsi"/>
                <w:b/>
                <w:bCs/>
                <w:color w:val="000000"/>
                <w:sz w:val="20"/>
                <w:szCs w:val="20"/>
              </w:rPr>
            </w:pPr>
            <w:r w:rsidRPr="00E42B8C">
              <w:rPr>
                <w:rFonts w:asciiTheme="minorHAnsi" w:eastAsia="Times New Roman" w:hAnsiTheme="minorHAnsi" w:cstheme="minorHAnsi"/>
                <w:b/>
                <w:bCs/>
                <w:color w:val="000000"/>
                <w:sz w:val="20"/>
                <w:szCs w:val="20"/>
              </w:rPr>
              <w:t>CY2023</w:t>
            </w:r>
          </w:p>
        </w:tc>
      </w:tr>
      <w:tr w:rsidR="002B37FE" w:rsidRPr="009749B5" w14:paraId="31766CF9" w14:textId="77777777" w:rsidTr="00CC7628">
        <w:trPr>
          <w:cantSplit/>
          <w:trHeight w:val="300"/>
          <w:jc w:val="center"/>
        </w:trPr>
        <w:tc>
          <w:tcPr>
            <w:tcW w:w="2124" w:type="dxa"/>
            <w:tcBorders>
              <w:bottom w:val="single" w:sz="4" w:space="0" w:color="auto"/>
            </w:tcBorders>
            <w:shd w:val="clear" w:color="auto" w:fill="auto"/>
            <w:noWrap/>
            <w:vAlign w:val="center"/>
            <w:hideMark/>
          </w:tcPr>
          <w:p w14:paraId="0FA391FC" w14:textId="77777777" w:rsidR="002B37FE" w:rsidRPr="00E42B8C" w:rsidRDefault="002B37FE" w:rsidP="002B37FE">
            <w:pPr>
              <w:spacing w:after="0" w:line="240" w:lineRule="auto"/>
              <w:rPr>
                <w:rFonts w:asciiTheme="minorHAnsi" w:eastAsia="Times New Roman" w:hAnsiTheme="minorHAnsi" w:cstheme="minorHAnsi"/>
                <w:b/>
                <w:bCs/>
                <w:color w:val="000000"/>
                <w:sz w:val="20"/>
                <w:szCs w:val="20"/>
              </w:rPr>
            </w:pPr>
            <w:r w:rsidRPr="00E42B8C">
              <w:rPr>
                <w:rFonts w:asciiTheme="minorHAnsi" w:eastAsia="Times New Roman" w:hAnsiTheme="minorHAnsi" w:cstheme="minorHAnsi"/>
                <w:b/>
                <w:bCs/>
                <w:color w:val="000000"/>
                <w:sz w:val="20"/>
                <w:szCs w:val="20"/>
              </w:rPr>
              <w:t>PATIENTS</w:t>
            </w:r>
          </w:p>
        </w:tc>
        <w:tc>
          <w:tcPr>
            <w:tcW w:w="1079" w:type="dxa"/>
            <w:tcBorders>
              <w:bottom w:val="single" w:sz="4" w:space="0" w:color="auto"/>
              <w:right w:val="nil"/>
            </w:tcBorders>
            <w:shd w:val="clear" w:color="auto" w:fill="auto"/>
            <w:noWrap/>
            <w:vAlign w:val="center"/>
            <w:hideMark/>
          </w:tcPr>
          <w:p w14:paraId="11243C3A" w14:textId="77777777" w:rsidR="002B37FE" w:rsidRPr="00E42B8C" w:rsidRDefault="002B37FE" w:rsidP="002B37FE">
            <w:pPr>
              <w:spacing w:after="0" w:line="240" w:lineRule="auto"/>
              <w:jc w:val="center"/>
              <w:rPr>
                <w:rFonts w:asciiTheme="minorHAnsi" w:eastAsia="Times New Roman" w:hAnsiTheme="minorHAnsi" w:cstheme="minorHAnsi"/>
                <w:b/>
                <w:bCs/>
                <w:color w:val="000000"/>
                <w:sz w:val="20"/>
                <w:szCs w:val="20"/>
              </w:rPr>
            </w:pPr>
            <w:r w:rsidRPr="00E42B8C">
              <w:rPr>
                <w:rFonts w:asciiTheme="minorHAnsi" w:hAnsiTheme="minorHAnsi" w:cstheme="minorHAnsi"/>
                <w:b/>
                <w:bCs/>
                <w:color w:val="000000"/>
                <w:sz w:val="20"/>
                <w:szCs w:val="20"/>
              </w:rPr>
              <w:t>12,573</w:t>
            </w:r>
          </w:p>
        </w:tc>
        <w:tc>
          <w:tcPr>
            <w:tcW w:w="1093" w:type="dxa"/>
            <w:gridSpan w:val="2"/>
            <w:tcBorders>
              <w:left w:val="nil"/>
              <w:bottom w:val="single" w:sz="4" w:space="0" w:color="auto"/>
            </w:tcBorders>
            <w:shd w:val="clear" w:color="auto" w:fill="auto"/>
            <w:noWrap/>
            <w:vAlign w:val="center"/>
            <w:hideMark/>
          </w:tcPr>
          <w:p w14:paraId="36274215" w14:textId="77777777" w:rsidR="002B37FE" w:rsidRPr="00E42B8C" w:rsidRDefault="002B37FE" w:rsidP="002B37FE">
            <w:pPr>
              <w:spacing w:after="0" w:line="240" w:lineRule="auto"/>
              <w:jc w:val="center"/>
              <w:rPr>
                <w:rFonts w:asciiTheme="minorHAnsi" w:eastAsia="Times New Roman" w:hAnsiTheme="minorHAnsi" w:cstheme="minorHAnsi"/>
                <w:b/>
                <w:bCs/>
                <w:color w:val="000000"/>
                <w:sz w:val="20"/>
                <w:szCs w:val="20"/>
              </w:rPr>
            </w:pPr>
            <w:r w:rsidRPr="00E42B8C">
              <w:rPr>
                <w:rFonts w:asciiTheme="minorHAnsi" w:hAnsiTheme="minorHAnsi" w:cstheme="minorHAnsi"/>
                <w:b/>
                <w:bCs/>
                <w:color w:val="000000"/>
                <w:sz w:val="20"/>
                <w:szCs w:val="20"/>
              </w:rPr>
              <w:t>100%</w:t>
            </w:r>
          </w:p>
        </w:tc>
        <w:tc>
          <w:tcPr>
            <w:tcW w:w="1079" w:type="dxa"/>
            <w:tcBorders>
              <w:bottom w:val="single" w:sz="4" w:space="0" w:color="auto"/>
              <w:right w:val="nil"/>
            </w:tcBorders>
            <w:shd w:val="clear" w:color="auto" w:fill="auto"/>
            <w:noWrap/>
            <w:vAlign w:val="center"/>
            <w:hideMark/>
          </w:tcPr>
          <w:p w14:paraId="1B1EDE46" w14:textId="77777777" w:rsidR="002B37FE" w:rsidRPr="00E42B8C" w:rsidRDefault="002B37FE" w:rsidP="002B37FE">
            <w:pPr>
              <w:spacing w:after="0" w:line="240" w:lineRule="auto"/>
              <w:jc w:val="center"/>
              <w:rPr>
                <w:rFonts w:asciiTheme="minorHAnsi" w:eastAsia="Times New Roman" w:hAnsiTheme="minorHAnsi" w:cstheme="minorHAnsi"/>
                <w:b/>
                <w:bCs/>
                <w:color w:val="000000"/>
                <w:sz w:val="20"/>
                <w:szCs w:val="20"/>
              </w:rPr>
            </w:pPr>
            <w:r w:rsidRPr="00E42B8C">
              <w:rPr>
                <w:rFonts w:asciiTheme="minorHAnsi" w:hAnsiTheme="minorHAnsi" w:cstheme="minorHAnsi"/>
                <w:b/>
                <w:bCs/>
                <w:color w:val="000000"/>
                <w:sz w:val="20"/>
                <w:szCs w:val="20"/>
              </w:rPr>
              <w:t>13,162</w:t>
            </w:r>
          </w:p>
        </w:tc>
        <w:tc>
          <w:tcPr>
            <w:tcW w:w="1093" w:type="dxa"/>
            <w:tcBorders>
              <w:left w:val="nil"/>
              <w:bottom w:val="single" w:sz="4" w:space="0" w:color="auto"/>
            </w:tcBorders>
            <w:shd w:val="clear" w:color="auto" w:fill="auto"/>
            <w:noWrap/>
            <w:vAlign w:val="center"/>
            <w:hideMark/>
          </w:tcPr>
          <w:p w14:paraId="0A41D137" w14:textId="77777777" w:rsidR="002B37FE" w:rsidRPr="00E42B8C" w:rsidRDefault="002B37FE" w:rsidP="002B37FE">
            <w:pPr>
              <w:spacing w:after="0" w:line="240" w:lineRule="auto"/>
              <w:jc w:val="center"/>
              <w:rPr>
                <w:rFonts w:asciiTheme="minorHAnsi" w:eastAsia="Times New Roman" w:hAnsiTheme="minorHAnsi" w:cstheme="minorHAnsi"/>
                <w:b/>
                <w:bCs/>
                <w:color w:val="000000"/>
                <w:sz w:val="20"/>
                <w:szCs w:val="20"/>
              </w:rPr>
            </w:pPr>
            <w:r w:rsidRPr="00E42B8C">
              <w:rPr>
                <w:rFonts w:asciiTheme="minorHAnsi" w:hAnsiTheme="minorHAnsi" w:cstheme="minorHAnsi"/>
                <w:b/>
                <w:bCs/>
                <w:color w:val="000000"/>
                <w:sz w:val="20"/>
                <w:szCs w:val="20"/>
              </w:rPr>
              <w:t>100%</w:t>
            </w:r>
          </w:p>
        </w:tc>
        <w:tc>
          <w:tcPr>
            <w:tcW w:w="1079" w:type="dxa"/>
            <w:tcBorders>
              <w:bottom w:val="single" w:sz="4" w:space="0" w:color="auto"/>
              <w:right w:val="nil"/>
            </w:tcBorders>
            <w:shd w:val="clear" w:color="auto" w:fill="auto"/>
            <w:noWrap/>
            <w:vAlign w:val="center"/>
            <w:hideMark/>
          </w:tcPr>
          <w:p w14:paraId="1A03DDC9" w14:textId="77777777" w:rsidR="002B37FE" w:rsidRPr="00E42B8C" w:rsidRDefault="002B37FE" w:rsidP="002B37FE">
            <w:pPr>
              <w:spacing w:after="0" w:line="240" w:lineRule="auto"/>
              <w:jc w:val="center"/>
              <w:rPr>
                <w:rFonts w:asciiTheme="minorHAnsi" w:eastAsia="Times New Roman" w:hAnsiTheme="minorHAnsi" w:cstheme="minorHAnsi"/>
                <w:b/>
                <w:bCs/>
                <w:color w:val="000000"/>
                <w:sz w:val="20"/>
                <w:szCs w:val="20"/>
              </w:rPr>
            </w:pPr>
            <w:r w:rsidRPr="00E42B8C">
              <w:rPr>
                <w:rFonts w:asciiTheme="minorHAnsi" w:hAnsiTheme="minorHAnsi" w:cstheme="minorHAnsi"/>
                <w:b/>
                <w:bCs/>
                <w:color w:val="000000"/>
                <w:sz w:val="20"/>
                <w:szCs w:val="20"/>
              </w:rPr>
              <w:t>14,288</w:t>
            </w:r>
          </w:p>
        </w:tc>
        <w:tc>
          <w:tcPr>
            <w:tcW w:w="1093" w:type="dxa"/>
            <w:gridSpan w:val="2"/>
            <w:tcBorders>
              <w:left w:val="nil"/>
              <w:bottom w:val="single" w:sz="4" w:space="0" w:color="auto"/>
            </w:tcBorders>
            <w:shd w:val="clear" w:color="auto" w:fill="auto"/>
            <w:noWrap/>
            <w:vAlign w:val="center"/>
            <w:hideMark/>
          </w:tcPr>
          <w:p w14:paraId="21602158" w14:textId="77777777" w:rsidR="002B37FE" w:rsidRPr="00E42B8C" w:rsidRDefault="002B37FE" w:rsidP="002B37FE">
            <w:pPr>
              <w:spacing w:after="0" w:line="240" w:lineRule="auto"/>
              <w:jc w:val="center"/>
              <w:rPr>
                <w:rFonts w:asciiTheme="minorHAnsi" w:eastAsia="Times New Roman" w:hAnsiTheme="minorHAnsi" w:cstheme="minorHAnsi"/>
                <w:b/>
                <w:bCs/>
                <w:color w:val="000000"/>
                <w:sz w:val="20"/>
                <w:szCs w:val="20"/>
              </w:rPr>
            </w:pPr>
            <w:r w:rsidRPr="00E42B8C">
              <w:rPr>
                <w:rFonts w:asciiTheme="minorHAnsi" w:hAnsiTheme="minorHAnsi" w:cstheme="minorHAnsi"/>
                <w:b/>
                <w:bCs/>
                <w:color w:val="000000"/>
                <w:sz w:val="20"/>
                <w:szCs w:val="20"/>
              </w:rPr>
              <w:t>100%</w:t>
            </w:r>
          </w:p>
        </w:tc>
        <w:tc>
          <w:tcPr>
            <w:tcW w:w="1162" w:type="dxa"/>
            <w:tcBorders>
              <w:bottom w:val="single" w:sz="4" w:space="0" w:color="auto"/>
              <w:right w:val="nil"/>
            </w:tcBorders>
            <w:vAlign w:val="center"/>
          </w:tcPr>
          <w:p w14:paraId="7FEBDEB8" w14:textId="77777777" w:rsidR="002B37FE" w:rsidRPr="00E42B8C" w:rsidRDefault="002B37FE" w:rsidP="002B37FE">
            <w:pPr>
              <w:spacing w:after="0" w:line="240" w:lineRule="auto"/>
              <w:jc w:val="center"/>
              <w:rPr>
                <w:rFonts w:asciiTheme="minorHAnsi" w:hAnsiTheme="minorHAnsi" w:cstheme="minorHAnsi"/>
                <w:b/>
                <w:bCs/>
                <w:color w:val="000000"/>
                <w:sz w:val="20"/>
                <w:szCs w:val="20"/>
              </w:rPr>
            </w:pPr>
            <w:r w:rsidRPr="00E42B8C">
              <w:rPr>
                <w:rFonts w:asciiTheme="minorHAnsi" w:hAnsiTheme="minorHAnsi" w:cstheme="minorHAnsi"/>
                <w:b/>
                <w:bCs/>
                <w:color w:val="000000"/>
                <w:sz w:val="20"/>
                <w:szCs w:val="20"/>
              </w:rPr>
              <w:t>15,396</w:t>
            </w:r>
          </w:p>
        </w:tc>
        <w:tc>
          <w:tcPr>
            <w:tcW w:w="1158" w:type="dxa"/>
            <w:tcBorders>
              <w:left w:val="nil"/>
              <w:bottom w:val="single" w:sz="4" w:space="0" w:color="auto"/>
            </w:tcBorders>
            <w:vAlign w:val="center"/>
          </w:tcPr>
          <w:p w14:paraId="16CC2A10" w14:textId="77777777" w:rsidR="002B37FE" w:rsidRPr="00E42B8C" w:rsidRDefault="002B37FE" w:rsidP="002B37FE">
            <w:pPr>
              <w:spacing w:after="0" w:line="240" w:lineRule="auto"/>
              <w:jc w:val="center"/>
              <w:rPr>
                <w:rFonts w:asciiTheme="minorHAnsi" w:eastAsia="Times New Roman" w:hAnsiTheme="minorHAnsi" w:cstheme="minorHAnsi"/>
                <w:b/>
                <w:bCs/>
                <w:color w:val="000000"/>
                <w:sz w:val="20"/>
                <w:szCs w:val="20"/>
              </w:rPr>
            </w:pPr>
            <w:r w:rsidRPr="00E42B8C">
              <w:rPr>
                <w:rFonts w:asciiTheme="minorHAnsi" w:hAnsiTheme="minorHAnsi" w:cstheme="minorHAnsi"/>
                <w:b/>
                <w:bCs/>
                <w:color w:val="000000"/>
                <w:sz w:val="20"/>
                <w:szCs w:val="20"/>
              </w:rPr>
              <w:t>100%</w:t>
            </w:r>
          </w:p>
        </w:tc>
      </w:tr>
      <w:tr w:rsidR="002B37FE" w:rsidRPr="009749B5" w14:paraId="3C1C07A3" w14:textId="77777777" w:rsidTr="00CC7628">
        <w:trPr>
          <w:cantSplit/>
          <w:trHeight w:val="300"/>
          <w:jc w:val="center"/>
        </w:trPr>
        <w:tc>
          <w:tcPr>
            <w:tcW w:w="2124" w:type="dxa"/>
            <w:tcBorders>
              <w:bottom w:val="nil"/>
              <w:right w:val="single" w:sz="4" w:space="0" w:color="auto"/>
            </w:tcBorders>
            <w:shd w:val="clear" w:color="000000" w:fill="C5D9F1"/>
            <w:noWrap/>
            <w:vAlign w:val="center"/>
            <w:hideMark/>
          </w:tcPr>
          <w:p w14:paraId="273F5909" w14:textId="77777777" w:rsidR="002B37FE" w:rsidRPr="00E42B8C" w:rsidRDefault="002B37FE" w:rsidP="002B37FE">
            <w:pPr>
              <w:spacing w:after="0" w:line="240" w:lineRule="auto"/>
              <w:rPr>
                <w:rFonts w:asciiTheme="minorHAnsi" w:eastAsia="Times New Roman" w:hAnsiTheme="minorHAnsi" w:cstheme="minorHAnsi"/>
                <w:b/>
                <w:bCs/>
                <w:color w:val="000000"/>
                <w:sz w:val="20"/>
                <w:szCs w:val="20"/>
              </w:rPr>
            </w:pPr>
            <w:r w:rsidRPr="00E42B8C">
              <w:rPr>
                <w:rFonts w:asciiTheme="minorHAnsi" w:eastAsia="Times New Roman" w:hAnsiTheme="minorHAnsi" w:cstheme="minorHAnsi"/>
                <w:b/>
                <w:bCs/>
                <w:color w:val="000000"/>
                <w:sz w:val="20"/>
                <w:szCs w:val="20"/>
              </w:rPr>
              <w:t>Age Group</w:t>
            </w:r>
          </w:p>
        </w:tc>
        <w:tc>
          <w:tcPr>
            <w:tcW w:w="1079" w:type="dxa"/>
            <w:tcBorders>
              <w:left w:val="single" w:sz="4" w:space="0" w:color="auto"/>
              <w:bottom w:val="nil"/>
              <w:right w:val="nil"/>
            </w:tcBorders>
            <w:shd w:val="clear" w:color="000000" w:fill="C5D9F1"/>
            <w:noWrap/>
            <w:vAlign w:val="center"/>
            <w:hideMark/>
          </w:tcPr>
          <w:p w14:paraId="44477A2C" w14:textId="77777777" w:rsidR="002B37FE" w:rsidRPr="00E42B8C" w:rsidRDefault="002B37FE" w:rsidP="002B37FE">
            <w:pPr>
              <w:spacing w:after="0" w:line="240" w:lineRule="auto"/>
              <w:rPr>
                <w:rFonts w:asciiTheme="minorHAnsi" w:eastAsia="Times New Roman" w:hAnsiTheme="minorHAnsi" w:cstheme="minorHAnsi"/>
                <w:b/>
                <w:bCs/>
                <w:color w:val="000000"/>
                <w:sz w:val="20"/>
                <w:szCs w:val="20"/>
              </w:rPr>
            </w:pPr>
            <w:r w:rsidRPr="00E42B8C">
              <w:rPr>
                <w:rFonts w:asciiTheme="minorHAnsi" w:hAnsiTheme="minorHAnsi" w:cstheme="minorHAnsi"/>
                <w:b/>
                <w:bCs/>
                <w:color w:val="000000"/>
                <w:sz w:val="20"/>
                <w:szCs w:val="20"/>
              </w:rPr>
              <w:t> </w:t>
            </w:r>
          </w:p>
        </w:tc>
        <w:tc>
          <w:tcPr>
            <w:tcW w:w="1093" w:type="dxa"/>
            <w:gridSpan w:val="2"/>
            <w:tcBorders>
              <w:left w:val="nil"/>
              <w:bottom w:val="nil"/>
              <w:right w:val="nil"/>
            </w:tcBorders>
            <w:shd w:val="clear" w:color="000000" w:fill="C5D9F1"/>
            <w:noWrap/>
            <w:vAlign w:val="center"/>
            <w:hideMark/>
          </w:tcPr>
          <w:p w14:paraId="0526C3E7" w14:textId="77777777" w:rsidR="002B37FE" w:rsidRPr="00E42B8C" w:rsidRDefault="002B37FE" w:rsidP="002B37FE">
            <w:pPr>
              <w:spacing w:after="0" w:line="240" w:lineRule="auto"/>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 </w:t>
            </w:r>
          </w:p>
        </w:tc>
        <w:tc>
          <w:tcPr>
            <w:tcW w:w="1079" w:type="dxa"/>
            <w:tcBorders>
              <w:left w:val="nil"/>
              <w:bottom w:val="nil"/>
              <w:right w:val="nil"/>
            </w:tcBorders>
            <w:shd w:val="clear" w:color="000000" w:fill="C5D9F1"/>
            <w:noWrap/>
            <w:vAlign w:val="center"/>
            <w:hideMark/>
          </w:tcPr>
          <w:p w14:paraId="3B362732" w14:textId="77777777" w:rsidR="002B37FE" w:rsidRPr="00E42B8C" w:rsidRDefault="002B37FE" w:rsidP="002B37FE">
            <w:pPr>
              <w:spacing w:after="0" w:line="240" w:lineRule="auto"/>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 </w:t>
            </w:r>
          </w:p>
        </w:tc>
        <w:tc>
          <w:tcPr>
            <w:tcW w:w="1093" w:type="dxa"/>
            <w:tcBorders>
              <w:left w:val="nil"/>
              <w:bottom w:val="nil"/>
              <w:right w:val="nil"/>
            </w:tcBorders>
            <w:shd w:val="clear" w:color="000000" w:fill="C5D9F1"/>
            <w:noWrap/>
            <w:vAlign w:val="center"/>
            <w:hideMark/>
          </w:tcPr>
          <w:p w14:paraId="278A7E6F" w14:textId="77777777" w:rsidR="002B37FE" w:rsidRPr="00E42B8C" w:rsidRDefault="002B37FE" w:rsidP="002B37FE">
            <w:pPr>
              <w:spacing w:after="0" w:line="240" w:lineRule="auto"/>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 </w:t>
            </w:r>
          </w:p>
        </w:tc>
        <w:tc>
          <w:tcPr>
            <w:tcW w:w="1079" w:type="dxa"/>
            <w:tcBorders>
              <w:left w:val="nil"/>
              <w:bottom w:val="nil"/>
              <w:right w:val="nil"/>
            </w:tcBorders>
            <w:shd w:val="clear" w:color="000000" w:fill="C5D9F1"/>
            <w:noWrap/>
            <w:vAlign w:val="center"/>
            <w:hideMark/>
          </w:tcPr>
          <w:p w14:paraId="072136EE" w14:textId="77777777" w:rsidR="002B37FE" w:rsidRPr="00E42B8C" w:rsidRDefault="002B37FE" w:rsidP="002B37FE">
            <w:pPr>
              <w:spacing w:after="0" w:line="240" w:lineRule="auto"/>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 </w:t>
            </w:r>
          </w:p>
        </w:tc>
        <w:tc>
          <w:tcPr>
            <w:tcW w:w="1093" w:type="dxa"/>
            <w:gridSpan w:val="2"/>
            <w:tcBorders>
              <w:left w:val="nil"/>
              <w:bottom w:val="nil"/>
              <w:right w:val="nil"/>
            </w:tcBorders>
            <w:shd w:val="clear" w:color="000000" w:fill="C5D9F1"/>
            <w:noWrap/>
            <w:vAlign w:val="center"/>
            <w:hideMark/>
          </w:tcPr>
          <w:p w14:paraId="2044EA55" w14:textId="77777777" w:rsidR="002B37FE" w:rsidRPr="00E42B8C" w:rsidRDefault="002B37FE" w:rsidP="002B37FE">
            <w:pPr>
              <w:spacing w:after="0" w:line="240" w:lineRule="auto"/>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 </w:t>
            </w:r>
          </w:p>
        </w:tc>
        <w:tc>
          <w:tcPr>
            <w:tcW w:w="1162" w:type="dxa"/>
            <w:tcBorders>
              <w:left w:val="nil"/>
              <w:bottom w:val="nil"/>
              <w:right w:val="nil"/>
            </w:tcBorders>
            <w:shd w:val="clear" w:color="000000" w:fill="C5D9F1"/>
            <w:vAlign w:val="center"/>
          </w:tcPr>
          <w:p w14:paraId="0EDE7641" w14:textId="77777777" w:rsidR="002B37FE" w:rsidRPr="00E42B8C" w:rsidRDefault="002B37FE" w:rsidP="002B37FE">
            <w:pPr>
              <w:spacing w:after="0" w:line="240" w:lineRule="auto"/>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 </w:t>
            </w:r>
          </w:p>
        </w:tc>
        <w:tc>
          <w:tcPr>
            <w:tcW w:w="1158" w:type="dxa"/>
            <w:tcBorders>
              <w:left w:val="nil"/>
              <w:bottom w:val="nil"/>
            </w:tcBorders>
            <w:shd w:val="clear" w:color="000000" w:fill="C5D9F1"/>
            <w:vAlign w:val="center"/>
          </w:tcPr>
          <w:p w14:paraId="076B5802" w14:textId="77777777" w:rsidR="002B37FE" w:rsidRPr="00E42B8C" w:rsidRDefault="002B37FE" w:rsidP="002B37FE">
            <w:pPr>
              <w:spacing w:after="0" w:line="240" w:lineRule="auto"/>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 </w:t>
            </w:r>
          </w:p>
        </w:tc>
      </w:tr>
      <w:tr w:rsidR="002B37FE" w:rsidRPr="009749B5" w14:paraId="26E7136F" w14:textId="77777777" w:rsidTr="00CC7628">
        <w:trPr>
          <w:cantSplit/>
          <w:trHeight w:val="300"/>
          <w:jc w:val="center"/>
        </w:trPr>
        <w:tc>
          <w:tcPr>
            <w:tcW w:w="2124" w:type="dxa"/>
            <w:tcBorders>
              <w:top w:val="nil"/>
              <w:bottom w:val="nil"/>
              <w:right w:val="single" w:sz="4" w:space="0" w:color="auto"/>
            </w:tcBorders>
            <w:shd w:val="clear" w:color="auto" w:fill="auto"/>
            <w:noWrap/>
            <w:vAlign w:val="center"/>
            <w:hideMark/>
          </w:tcPr>
          <w:p w14:paraId="1A5DD9ED" w14:textId="77777777" w:rsidR="002B37FE" w:rsidRPr="00E42B8C" w:rsidRDefault="002B37FE" w:rsidP="002B37FE">
            <w:pPr>
              <w:spacing w:after="0" w:line="240" w:lineRule="auto"/>
              <w:rPr>
                <w:rFonts w:asciiTheme="minorHAnsi" w:eastAsia="Times New Roman" w:hAnsiTheme="minorHAnsi" w:cstheme="minorHAnsi"/>
                <w:color w:val="000000"/>
                <w:sz w:val="20"/>
                <w:szCs w:val="20"/>
              </w:rPr>
            </w:pPr>
            <w:r w:rsidRPr="00E42B8C">
              <w:rPr>
                <w:rFonts w:asciiTheme="minorHAnsi" w:eastAsia="Times New Roman" w:hAnsiTheme="minorHAnsi" w:cstheme="minorHAnsi"/>
                <w:color w:val="000000"/>
                <w:sz w:val="20"/>
                <w:szCs w:val="20"/>
              </w:rPr>
              <w:t>0 - 18</w:t>
            </w:r>
          </w:p>
        </w:tc>
        <w:tc>
          <w:tcPr>
            <w:tcW w:w="1079" w:type="dxa"/>
            <w:tcBorders>
              <w:top w:val="nil"/>
              <w:left w:val="single" w:sz="4" w:space="0" w:color="auto"/>
              <w:bottom w:val="nil"/>
              <w:right w:val="nil"/>
            </w:tcBorders>
            <w:shd w:val="clear" w:color="auto" w:fill="auto"/>
            <w:noWrap/>
            <w:vAlign w:val="center"/>
            <w:hideMark/>
          </w:tcPr>
          <w:p w14:paraId="1D7E072E"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855</w:t>
            </w:r>
          </w:p>
        </w:tc>
        <w:tc>
          <w:tcPr>
            <w:tcW w:w="1093" w:type="dxa"/>
            <w:gridSpan w:val="2"/>
            <w:tcBorders>
              <w:top w:val="nil"/>
              <w:left w:val="nil"/>
              <w:bottom w:val="nil"/>
              <w:right w:val="nil"/>
            </w:tcBorders>
            <w:shd w:val="clear" w:color="auto" w:fill="auto"/>
            <w:noWrap/>
            <w:vAlign w:val="center"/>
            <w:hideMark/>
          </w:tcPr>
          <w:p w14:paraId="06E63E64"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6.8%</w:t>
            </w:r>
          </w:p>
        </w:tc>
        <w:tc>
          <w:tcPr>
            <w:tcW w:w="1079" w:type="dxa"/>
            <w:tcBorders>
              <w:top w:val="nil"/>
              <w:left w:val="nil"/>
              <w:bottom w:val="nil"/>
              <w:right w:val="nil"/>
            </w:tcBorders>
            <w:shd w:val="clear" w:color="auto" w:fill="auto"/>
            <w:noWrap/>
            <w:vAlign w:val="center"/>
            <w:hideMark/>
          </w:tcPr>
          <w:p w14:paraId="49F42B2A"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723</w:t>
            </w:r>
          </w:p>
        </w:tc>
        <w:tc>
          <w:tcPr>
            <w:tcW w:w="1093" w:type="dxa"/>
            <w:tcBorders>
              <w:top w:val="nil"/>
              <w:left w:val="nil"/>
              <w:bottom w:val="nil"/>
              <w:right w:val="nil"/>
            </w:tcBorders>
            <w:shd w:val="clear" w:color="auto" w:fill="auto"/>
            <w:noWrap/>
            <w:vAlign w:val="center"/>
            <w:hideMark/>
          </w:tcPr>
          <w:p w14:paraId="3728C3DF"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5.5%</w:t>
            </w:r>
          </w:p>
        </w:tc>
        <w:tc>
          <w:tcPr>
            <w:tcW w:w="1079" w:type="dxa"/>
            <w:tcBorders>
              <w:top w:val="nil"/>
              <w:left w:val="nil"/>
              <w:bottom w:val="nil"/>
              <w:right w:val="nil"/>
            </w:tcBorders>
            <w:shd w:val="clear" w:color="auto" w:fill="auto"/>
            <w:noWrap/>
            <w:vAlign w:val="center"/>
            <w:hideMark/>
          </w:tcPr>
          <w:p w14:paraId="31EF2525"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1,086</w:t>
            </w:r>
          </w:p>
        </w:tc>
        <w:tc>
          <w:tcPr>
            <w:tcW w:w="1093" w:type="dxa"/>
            <w:gridSpan w:val="2"/>
            <w:tcBorders>
              <w:top w:val="nil"/>
              <w:left w:val="nil"/>
              <w:bottom w:val="nil"/>
              <w:right w:val="nil"/>
            </w:tcBorders>
            <w:shd w:val="clear" w:color="auto" w:fill="auto"/>
            <w:noWrap/>
            <w:vAlign w:val="center"/>
            <w:hideMark/>
          </w:tcPr>
          <w:p w14:paraId="3E70BBD5"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7.60%</w:t>
            </w:r>
          </w:p>
        </w:tc>
        <w:tc>
          <w:tcPr>
            <w:tcW w:w="1162" w:type="dxa"/>
            <w:tcBorders>
              <w:top w:val="nil"/>
              <w:left w:val="nil"/>
              <w:bottom w:val="nil"/>
              <w:right w:val="nil"/>
            </w:tcBorders>
            <w:vAlign w:val="center"/>
          </w:tcPr>
          <w:p w14:paraId="05E2A77C"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1,429</w:t>
            </w:r>
          </w:p>
        </w:tc>
        <w:tc>
          <w:tcPr>
            <w:tcW w:w="1158" w:type="dxa"/>
            <w:tcBorders>
              <w:top w:val="nil"/>
              <w:left w:val="nil"/>
              <w:bottom w:val="nil"/>
            </w:tcBorders>
            <w:vAlign w:val="center"/>
          </w:tcPr>
          <w:p w14:paraId="633FF000"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9.3%</w:t>
            </w:r>
          </w:p>
        </w:tc>
      </w:tr>
      <w:tr w:rsidR="002B37FE" w:rsidRPr="009749B5" w14:paraId="11190416" w14:textId="77777777" w:rsidTr="00CC7628">
        <w:trPr>
          <w:cantSplit/>
          <w:trHeight w:val="300"/>
          <w:jc w:val="center"/>
        </w:trPr>
        <w:tc>
          <w:tcPr>
            <w:tcW w:w="2124" w:type="dxa"/>
            <w:tcBorders>
              <w:top w:val="nil"/>
              <w:bottom w:val="nil"/>
              <w:right w:val="single" w:sz="4" w:space="0" w:color="auto"/>
            </w:tcBorders>
            <w:shd w:val="clear" w:color="auto" w:fill="auto"/>
            <w:noWrap/>
            <w:vAlign w:val="center"/>
            <w:hideMark/>
          </w:tcPr>
          <w:p w14:paraId="09E13E3A" w14:textId="77777777" w:rsidR="002B37FE" w:rsidRPr="00E42B8C" w:rsidRDefault="002B37FE" w:rsidP="002B37FE">
            <w:pPr>
              <w:spacing w:after="0" w:line="240" w:lineRule="auto"/>
              <w:rPr>
                <w:rFonts w:asciiTheme="minorHAnsi" w:eastAsia="Times New Roman" w:hAnsiTheme="minorHAnsi" w:cstheme="minorHAnsi"/>
                <w:color w:val="000000"/>
                <w:sz w:val="20"/>
                <w:szCs w:val="20"/>
              </w:rPr>
            </w:pPr>
            <w:r w:rsidRPr="00E42B8C">
              <w:rPr>
                <w:rFonts w:asciiTheme="minorHAnsi" w:eastAsia="Times New Roman" w:hAnsiTheme="minorHAnsi" w:cstheme="minorHAnsi"/>
                <w:color w:val="000000"/>
                <w:sz w:val="20"/>
                <w:szCs w:val="20"/>
              </w:rPr>
              <w:t>19 - 64</w:t>
            </w:r>
          </w:p>
        </w:tc>
        <w:tc>
          <w:tcPr>
            <w:tcW w:w="1079" w:type="dxa"/>
            <w:tcBorders>
              <w:top w:val="nil"/>
              <w:left w:val="single" w:sz="4" w:space="0" w:color="auto"/>
              <w:bottom w:val="nil"/>
              <w:right w:val="nil"/>
            </w:tcBorders>
            <w:shd w:val="clear" w:color="auto" w:fill="auto"/>
            <w:noWrap/>
            <w:vAlign w:val="center"/>
            <w:hideMark/>
          </w:tcPr>
          <w:p w14:paraId="211CF3B1"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7,041</w:t>
            </w:r>
          </w:p>
        </w:tc>
        <w:tc>
          <w:tcPr>
            <w:tcW w:w="1093" w:type="dxa"/>
            <w:gridSpan w:val="2"/>
            <w:tcBorders>
              <w:top w:val="nil"/>
              <w:left w:val="nil"/>
              <w:bottom w:val="nil"/>
              <w:right w:val="nil"/>
            </w:tcBorders>
            <w:shd w:val="clear" w:color="auto" w:fill="auto"/>
            <w:noWrap/>
            <w:vAlign w:val="center"/>
            <w:hideMark/>
          </w:tcPr>
          <w:p w14:paraId="6EBD7EC0"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56.0%</w:t>
            </w:r>
          </w:p>
        </w:tc>
        <w:tc>
          <w:tcPr>
            <w:tcW w:w="1079" w:type="dxa"/>
            <w:tcBorders>
              <w:top w:val="nil"/>
              <w:left w:val="nil"/>
              <w:bottom w:val="nil"/>
              <w:right w:val="nil"/>
            </w:tcBorders>
            <w:shd w:val="clear" w:color="auto" w:fill="auto"/>
            <w:noWrap/>
            <w:vAlign w:val="center"/>
            <w:hideMark/>
          </w:tcPr>
          <w:p w14:paraId="76B48774"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7,732</w:t>
            </w:r>
          </w:p>
        </w:tc>
        <w:tc>
          <w:tcPr>
            <w:tcW w:w="1093" w:type="dxa"/>
            <w:tcBorders>
              <w:top w:val="nil"/>
              <w:left w:val="nil"/>
              <w:bottom w:val="nil"/>
              <w:right w:val="nil"/>
            </w:tcBorders>
            <w:shd w:val="clear" w:color="auto" w:fill="auto"/>
            <w:noWrap/>
            <w:vAlign w:val="center"/>
            <w:hideMark/>
          </w:tcPr>
          <w:p w14:paraId="06BD6927"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58.7%</w:t>
            </w:r>
          </w:p>
        </w:tc>
        <w:tc>
          <w:tcPr>
            <w:tcW w:w="1079" w:type="dxa"/>
            <w:tcBorders>
              <w:top w:val="nil"/>
              <w:left w:val="nil"/>
              <w:bottom w:val="nil"/>
              <w:right w:val="nil"/>
            </w:tcBorders>
            <w:shd w:val="clear" w:color="auto" w:fill="auto"/>
            <w:noWrap/>
            <w:vAlign w:val="center"/>
            <w:hideMark/>
          </w:tcPr>
          <w:p w14:paraId="2B77A1F6"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7,973</w:t>
            </w:r>
          </w:p>
        </w:tc>
        <w:tc>
          <w:tcPr>
            <w:tcW w:w="1093" w:type="dxa"/>
            <w:gridSpan w:val="2"/>
            <w:tcBorders>
              <w:top w:val="nil"/>
              <w:left w:val="nil"/>
              <w:bottom w:val="nil"/>
              <w:right w:val="nil"/>
            </w:tcBorders>
            <w:shd w:val="clear" w:color="auto" w:fill="auto"/>
            <w:noWrap/>
            <w:vAlign w:val="center"/>
            <w:hideMark/>
          </w:tcPr>
          <w:p w14:paraId="278D14F7"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55.80%</w:t>
            </w:r>
          </w:p>
        </w:tc>
        <w:tc>
          <w:tcPr>
            <w:tcW w:w="1162" w:type="dxa"/>
            <w:tcBorders>
              <w:top w:val="nil"/>
              <w:left w:val="nil"/>
              <w:bottom w:val="nil"/>
              <w:right w:val="nil"/>
            </w:tcBorders>
            <w:vAlign w:val="center"/>
          </w:tcPr>
          <w:p w14:paraId="6A69FCDA"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8,370</w:t>
            </w:r>
          </w:p>
        </w:tc>
        <w:tc>
          <w:tcPr>
            <w:tcW w:w="1158" w:type="dxa"/>
            <w:tcBorders>
              <w:top w:val="nil"/>
              <w:left w:val="nil"/>
              <w:bottom w:val="nil"/>
            </w:tcBorders>
            <w:vAlign w:val="center"/>
          </w:tcPr>
          <w:p w14:paraId="7F162F14"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54.4%</w:t>
            </w:r>
          </w:p>
        </w:tc>
      </w:tr>
      <w:tr w:rsidR="002B37FE" w:rsidRPr="009749B5" w14:paraId="1D90FF9A" w14:textId="77777777" w:rsidTr="00CC7628">
        <w:trPr>
          <w:cantSplit/>
          <w:trHeight w:val="300"/>
          <w:jc w:val="center"/>
        </w:trPr>
        <w:tc>
          <w:tcPr>
            <w:tcW w:w="2124" w:type="dxa"/>
            <w:tcBorders>
              <w:top w:val="nil"/>
              <w:bottom w:val="nil"/>
              <w:right w:val="single" w:sz="4" w:space="0" w:color="auto"/>
            </w:tcBorders>
            <w:shd w:val="clear" w:color="auto" w:fill="auto"/>
            <w:noWrap/>
            <w:vAlign w:val="center"/>
            <w:hideMark/>
          </w:tcPr>
          <w:p w14:paraId="07BE702D" w14:textId="77777777" w:rsidR="002B37FE" w:rsidRPr="00E42B8C" w:rsidRDefault="002B37FE" w:rsidP="002B37FE">
            <w:pPr>
              <w:spacing w:after="0" w:line="240" w:lineRule="auto"/>
              <w:rPr>
                <w:rFonts w:asciiTheme="minorHAnsi" w:eastAsia="Times New Roman" w:hAnsiTheme="minorHAnsi" w:cstheme="minorHAnsi"/>
                <w:color w:val="000000"/>
                <w:sz w:val="20"/>
                <w:szCs w:val="20"/>
              </w:rPr>
            </w:pPr>
            <w:r w:rsidRPr="00E42B8C">
              <w:rPr>
                <w:rFonts w:asciiTheme="minorHAnsi" w:eastAsia="Times New Roman" w:hAnsiTheme="minorHAnsi" w:cstheme="minorHAnsi"/>
                <w:color w:val="000000"/>
                <w:sz w:val="20"/>
                <w:szCs w:val="20"/>
              </w:rPr>
              <w:t xml:space="preserve">65 and </w:t>
            </w:r>
            <w:proofErr w:type="gramStart"/>
            <w:r w:rsidRPr="00E42B8C">
              <w:rPr>
                <w:rFonts w:asciiTheme="minorHAnsi" w:eastAsia="Times New Roman" w:hAnsiTheme="minorHAnsi" w:cstheme="minorHAnsi"/>
                <w:color w:val="000000"/>
                <w:sz w:val="20"/>
                <w:szCs w:val="20"/>
              </w:rPr>
              <w:t>Over</w:t>
            </w:r>
            <w:proofErr w:type="gramEnd"/>
          </w:p>
        </w:tc>
        <w:tc>
          <w:tcPr>
            <w:tcW w:w="1079" w:type="dxa"/>
            <w:tcBorders>
              <w:top w:val="nil"/>
              <w:left w:val="single" w:sz="4" w:space="0" w:color="auto"/>
              <w:bottom w:val="nil"/>
              <w:right w:val="nil"/>
            </w:tcBorders>
            <w:shd w:val="clear" w:color="auto" w:fill="auto"/>
            <w:noWrap/>
            <w:vAlign w:val="center"/>
            <w:hideMark/>
          </w:tcPr>
          <w:p w14:paraId="2FE219F5"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4,677</w:t>
            </w:r>
          </w:p>
        </w:tc>
        <w:tc>
          <w:tcPr>
            <w:tcW w:w="1093" w:type="dxa"/>
            <w:gridSpan w:val="2"/>
            <w:tcBorders>
              <w:top w:val="nil"/>
              <w:left w:val="nil"/>
              <w:bottom w:val="nil"/>
              <w:right w:val="nil"/>
            </w:tcBorders>
            <w:shd w:val="clear" w:color="auto" w:fill="auto"/>
            <w:noWrap/>
            <w:vAlign w:val="center"/>
            <w:hideMark/>
          </w:tcPr>
          <w:p w14:paraId="100A9AE8"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37.2%</w:t>
            </w:r>
          </w:p>
        </w:tc>
        <w:tc>
          <w:tcPr>
            <w:tcW w:w="1079" w:type="dxa"/>
            <w:tcBorders>
              <w:top w:val="nil"/>
              <w:left w:val="nil"/>
              <w:bottom w:val="nil"/>
              <w:right w:val="nil"/>
            </w:tcBorders>
            <w:shd w:val="clear" w:color="auto" w:fill="auto"/>
            <w:noWrap/>
            <w:vAlign w:val="center"/>
            <w:hideMark/>
          </w:tcPr>
          <w:p w14:paraId="01E57407"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4,707</w:t>
            </w:r>
          </w:p>
        </w:tc>
        <w:tc>
          <w:tcPr>
            <w:tcW w:w="1093" w:type="dxa"/>
            <w:tcBorders>
              <w:top w:val="nil"/>
              <w:left w:val="nil"/>
              <w:bottom w:val="nil"/>
              <w:right w:val="nil"/>
            </w:tcBorders>
            <w:shd w:val="clear" w:color="auto" w:fill="auto"/>
            <w:noWrap/>
            <w:vAlign w:val="center"/>
            <w:hideMark/>
          </w:tcPr>
          <w:p w14:paraId="5AA0D76E"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35.8%</w:t>
            </w:r>
          </w:p>
        </w:tc>
        <w:tc>
          <w:tcPr>
            <w:tcW w:w="1079" w:type="dxa"/>
            <w:tcBorders>
              <w:top w:val="nil"/>
              <w:left w:val="nil"/>
              <w:bottom w:val="nil"/>
              <w:right w:val="nil"/>
            </w:tcBorders>
            <w:shd w:val="clear" w:color="auto" w:fill="auto"/>
            <w:noWrap/>
            <w:vAlign w:val="center"/>
            <w:hideMark/>
          </w:tcPr>
          <w:p w14:paraId="67757B37"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5,229</w:t>
            </w:r>
          </w:p>
        </w:tc>
        <w:tc>
          <w:tcPr>
            <w:tcW w:w="1093" w:type="dxa"/>
            <w:gridSpan w:val="2"/>
            <w:tcBorders>
              <w:top w:val="nil"/>
              <w:left w:val="nil"/>
              <w:bottom w:val="nil"/>
              <w:right w:val="nil"/>
            </w:tcBorders>
            <w:shd w:val="clear" w:color="auto" w:fill="auto"/>
            <w:noWrap/>
            <w:vAlign w:val="center"/>
            <w:hideMark/>
          </w:tcPr>
          <w:p w14:paraId="2104DF2C"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36.60%</w:t>
            </w:r>
          </w:p>
        </w:tc>
        <w:tc>
          <w:tcPr>
            <w:tcW w:w="1162" w:type="dxa"/>
            <w:tcBorders>
              <w:top w:val="nil"/>
              <w:left w:val="nil"/>
              <w:bottom w:val="nil"/>
              <w:right w:val="nil"/>
            </w:tcBorders>
            <w:vAlign w:val="center"/>
          </w:tcPr>
          <w:p w14:paraId="52F26DEE"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5,597</w:t>
            </w:r>
          </w:p>
        </w:tc>
        <w:tc>
          <w:tcPr>
            <w:tcW w:w="1158" w:type="dxa"/>
            <w:tcBorders>
              <w:top w:val="nil"/>
              <w:left w:val="nil"/>
              <w:bottom w:val="nil"/>
            </w:tcBorders>
            <w:vAlign w:val="center"/>
          </w:tcPr>
          <w:p w14:paraId="39702039"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36.4%</w:t>
            </w:r>
          </w:p>
        </w:tc>
      </w:tr>
      <w:tr w:rsidR="002B37FE" w:rsidRPr="009749B5" w14:paraId="505219DA" w14:textId="77777777" w:rsidTr="00CC7628">
        <w:trPr>
          <w:cantSplit/>
          <w:trHeight w:val="300"/>
          <w:jc w:val="center"/>
        </w:trPr>
        <w:tc>
          <w:tcPr>
            <w:tcW w:w="2124" w:type="dxa"/>
            <w:tcBorders>
              <w:top w:val="nil"/>
              <w:bottom w:val="nil"/>
              <w:right w:val="single" w:sz="4" w:space="0" w:color="auto"/>
            </w:tcBorders>
            <w:shd w:val="clear" w:color="000000" w:fill="C5D9F1"/>
            <w:noWrap/>
            <w:vAlign w:val="center"/>
            <w:hideMark/>
          </w:tcPr>
          <w:p w14:paraId="5EAA8911" w14:textId="77777777" w:rsidR="002B37FE" w:rsidRPr="00E42B8C" w:rsidRDefault="002B37FE" w:rsidP="002B37FE">
            <w:pPr>
              <w:spacing w:after="0" w:line="240" w:lineRule="auto"/>
              <w:rPr>
                <w:rFonts w:asciiTheme="minorHAnsi" w:eastAsia="Times New Roman" w:hAnsiTheme="minorHAnsi" w:cstheme="minorHAnsi"/>
                <w:b/>
                <w:bCs/>
                <w:color w:val="000000"/>
                <w:sz w:val="20"/>
                <w:szCs w:val="20"/>
              </w:rPr>
            </w:pPr>
            <w:r w:rsidRPr="00E42B8C">
              <w:rPr>
                <w:rFonts w:asciiTheme="minorHAnsi" w:eastAsia="Times New Roman" w:hAnsiTheme="minorHAnsi" w:cstheme="minorHAnsi"/>
                <w:b/>
                <w:bCs/>
                <w:color w:val="000000"/>
                <w:sz w:val="20"/>
                <w:szCs w:val="20"/>
              </w:rPr>
              <w:t>Payer Type</w:t>
            </w:r>
          </w:p>
        </w:tc>
        <w:tc>
          <w:tcPr>
            <w:tcW w:w="1079" w:type="dxa"/>
            <w:tcBorders>
              <w:top w:val="nil"/>
              <w:left w:val="single" w:sz="4" w:space="0" w:color="auto"/>
              <w:bottom w:val="nil"/>
              <w:right w:val="nil"/>
            </w:tcBorders>
            <w:shd w:val="clear" w:color="000000" w:fill="C5D9F1"/>
            <w:noWrap/>
            <w:vAlign w:val="center"/>
            <w:hideMark/>
          </w:tcPr>
          <w:p w14:paraId="4F592E03"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 </w:t>
            </w:r>
          </w:p>
        </w:tc>
        <w:tc>
          <w:tcPr>
            <w:tcW w:w="1093" w:type="dxa"/>
            <w:gridSpan w:val="2"/>
            <w:tcBorders>
              <w:top w:val="nil"/>
              <w:left w:val="nil"/>
              <w:bottom w:val="nil"/>
              <w:right w:val="nil"/>
            </w:tcBorders>
            <w:shd w:val="clear" w:color="000000" w:fill="C5D9F1"/>
            <w:noWrap/>
            <w:vAlign w:val="center"/>
            <w:hideMark/>
          </w:tcPr>
          <w:p w14:paraId="2B4704F4" w14:textId="77777777" w:rsidR="002B37FE" w:rsidRPr="00E42B8C" w:rsidRDefault="002B37FE" w:rsidP="002B37FE">
            <w:pPr>
              <w:spacing w:after="0" w:line="240" w:lineRule="auto"/>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 </w:t>
            </w:r>
          </w:p>
        </w:tc>
        <w:tc>
          <w:tcPr>
            <w:tcW w:w="1079" w:type="dxa"/>
            <w:tcBorders>
              <w:top w:val="nil"/>
              <w:left w:val="nil"/>
              <w:bottom w:val="nil"/>
              <w:right w:val="nil"/>
            </w:tcBorders>
            <w:shd w:val="clear" w:color="000000" w:fill="C5D9F1"/>
            <w:noWrap/>
            <w:vAlign w:val="center"/>
            <w:hideMark/>
          </w:tcPr>
          <w:p w14:paraId="5E95D2A4"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 </w:t>
            </w:r>
          </w:p>
        </w:tc>
        <w:tc>
          <w:tcPr>
            <w:tcW w:w="1093" w:type="dxa"/>
            <w:tcBorders>
              <w:top w:val="nil"/>
              <w:left w:val="nil"/>
              <w:bottom w:val="nil"/>
              <w:right w:val="nil"/>
            </w:tcBorders>
            <w:shd w:val="clear" w:color="000000" w:fill="C5D9F1"/>
            <w:noWrap/>
            <w:vAlign w:val="center"/>
            <w:hideMark/>
          </w:tcPr>
          <w:p w14:paraId="34BEBACA" w14:textId="77777777" w:rsidR="002B37FE" w:rsidRPr="00E42B8C" w:rsidRDefault="002B37FE" w:rsidP="002B37FE">
            <w:pPr>
              <w:spacing w:after="0" w:line="240" w:lineRule="auto"/>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 </w:t>
            </w:r>
          </w:p>
        </w:tc>
        <w:tc>
          <w:tcPr>
            <w:tcW w:w="1079" w:type="dxa"/>
            <w:tcBorders>
              <w:top w:val="nil"/>
              <w:left w:val="nil"/>
              <w:bottom w:val="nil"/>
              <w:right w:val="nil"/>
            </w:tcBorders>
            <w:shd w:val="clear" w:color="000000" w:fill="C5D9F1"/>
            <w:noWrap/>
            <w:vAlign w:val="center"/>
            <w:hideMark/>
          </w:tcPr>
          <w:p w14:paraId="1410AFBA"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 </w:t>
            </w:r>
          </w:p>
        </w:tc>
        <w:tc>
          <w:tcPr>
            <w:tcW w:w="1093" w:type="dxa"/>
            <w:gridSpan w:val="2"/>
            <w:tcBorders>
              <w:top w:val="nil"/>
              <w:left w:val="nil"/>
              <w:bottom w:val="nil"/>
              <w:right w:val="nil"/>
            </w:tcBorders>
            <w:shd w:val="clear" w:color="000000" w:fill="C5D9F1"/>
            <w:noWrap/>
            <w:vAlign w:val="center"/>
            <w:hideMark/>
          </w:tcPr>
          <w:p w14:paraId="5F322BF7" w14:textId="77777777" w:rsidR="002B37FE" w:rsidRPr="00E42B8C" w:rsidRDefault="002B37FE" w:rsidP="002B37FE">
            <w:pPr>
              <w:spacing w:after="0" w:line="240" w:lineRule="auto"/>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 </w:t>
            </w:r>
          </w:p>
        </w:tc>
        <w:tc>
          <w:tcPr>
            <w:tcW w:w="1162" w:type="dxa"/>
            <w:tcBorders>
              <w:top w:val="nil"/>
              <w:left w:val="nil"/>
              <w:bottom w:val="nil"/>
              <w:right w:val="nil"/>
            </w:tcBorders>
            <w:shd w:val="clear" w:color="000000" w:fill="C5D9F1"/>
            <w:vAlign w:val="center"/>
          </w:tcPr>
          <w:p w14:paraId="22CD81D1" w14:textId="77777777" w:rsidR="002B37FE" w:rsidRPr="00E42B8C" w:rsidRDefault="002B37FE" w:rsidP="002B37FE">
            <w:pPr>
              <w:spacing w:after="0" w:line="240" w:lineRule="auto"/>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 </w:t>
            </w:r>
          </w:p>
        </w:tc>
        <w:tc>
          <w:tcPr>
            <w:tcW w:w="1158" w:type="dxa"/>
            <w:tcBorders>
              <w:top w:val="nil"/>
              <w:left w:val="nil"/>
              <w:bottom w:val="nil"/>
            </w:tcBorders>
            <w:shd w:val="clear" w:color="000000" w:fill="C5D9F1"/>
            <w:vAlign w:val="center"/>
          </w:tcPr>
          <w:p w14:paraId="40F9F5A9" w14:textId="77777777" w:rsidR="002B37FE" w:rsidRPr="00E42B8C" w:rsidRDefault="002B37FE" w:rsidP="002B37FE">
            <w:pPr>
              <w:spacing w:after="0" w:line="240" w:lineRule="auto"/>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 </w:t>
            </w:r>
          </w:p>
        </w:tc>
      </w:tr>
      <w:tr w:rsidR="002B37FE" w:rsidRPr="009749B5" w14:paraId="4C5C50B3" w14:textId="77777777" w:rsidTr="00CC7628">
        <w:trPr>
          <w:cantSplit/>
          <w:trHeight w:val="300"/>
          <w:jc w:val="center"/>
        </w:trPr>
        <w:tc>
          <w:tcPr>
            <w:tcW w:w="2124" w:type="dxa"/>
            <w:tcBorders>
              <w:top w:val="nil"/>
              <w:bottom w:val="nil"/>
              <w:right w:val="single" w:sz="4" w:space="0" w:color="auto"/>
            </w:tcBorders>
            <w:shd w:val="clear" w:color="auto" w:fill="auto"/>
            <w:noWrap/>
            <w:vAlign w:val="center"/>
            <w:hideMark/>
          </w:tcPr>
          <w:p w14:paraId="78B6A8A4" w14:textId="77777777" w:rsidR="002B37FE" w:rsidRPr="00E42B8C" w:rsidRDefault="002B37FE" w:rsidP="002B37FE">
            <w:pPr>
              <w:spacing w:after="0" w:line="240" w:lineRule="auto"/>
              <w:rPr>
                <w:rFonts w:asciiTheme="minorHAnsi" w:eastAsia="Times New Roman" w:hAnsiTheme="minorHAnsi" w:cstheme="minorHAnsi"/>
                <w:color w:val="000000"/>
                <w:sz w:val="20"/>
                <w:szCs w:val="20"/>
              </w:rPr>
            </w:pPr>
            <w:r w:rsidRPr="00E42B8C">
              <w:rPr>
                <w:rFonts w:asciiTheme="minorHAnsi" w:eastAsia="Times New Roman" w:hAnsiTheme="minorHAnsi" w:cstheme="minorHAnsi"/>
                <w:color w:val="000000"/>
                <w:sz w:val="20"/>
                <w:szCs w:val="20"/>
              </w:rPr>
              <w:t>Commercial</w:t>
            </w:r>
          </w:p>
        </w:tc>
        <w:tc>
          <w:tcPr>
            <w:tcW w:w="1079" w:type="dxa"/>
            <w:tcBorders>
              <w:top w:val="nil"/>
              <w:left w:val="single" w:sz="4" w:space="0" w:color="auto"/>
              <w:bottom w:val="nil"/>
              <w:right w:val="nil"/>
            </w:tcBorders>
            <w:shd w:val="clear" w:color="auto" w:fill="auto"/>
            <w:noWrap/>
            <w:vAlign w:val="center"/>
            <w:hideMark/>
          </w:tcPr>
          <w:p w14:paraId="1270A3BA"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7,116</w:t>
            </w:r>
          </w:p>
        </w:tc>
        <w:tc>
          <w:tcPr>
            <w:tcW w:w="1093" w:type="dxa"/>
            <w:gridSpan w:val="2"/>
            <w:tcBorders>
              <w:top w:val="nil"/>
              <w:left w:val="nil"/>
              <w:bottom w:val="nil"/>
              <w:right w:val="nil"/>
            </w:tcBorders>
            <w:shd w:val="clear" w:color="auto" w:fill="auto"/>
            <w:noWrap/>
            <w:vAlign w:val="center"/>
            <w:hideMark/>
          </w:tcPr>
          <w:p w14:paraId="0645CBB3"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56.6%</w:t>
            </w:r>
          </w:p>
        </w:tc>
        <w:tc>
          <w:tcPr>
            <w:tcW w:w="1079" w:type="dxa"/>
            <w:tcBorders>
              <w:top w:val="nil"/>
              <w:left w:val="nil"/>
              <w:bottom w:val="nil"/>
              <w:right w:val="nil"/>
            </w:tcBorders>
            <w:shd w:val="clear" w:color="auto" w:fill="auto"/>
            <w:noWrap/>
            <w:vAlign w:val="center"/>
            <w:hideMark/>
          </w:tcPr>
          <w:p w14:paraId="3EA43D30"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7,521</w:t>
            </w:r>
          </w:p>
        </w:tc>
        <w:tc>
          <w:tcPr>
            <w:tcW w:w="1093" w:type="dxa"/>
            <w:tcBorders>
              <w:top w:val="nil"/>
              <w:left w:val="nil"/>
              <w:bottom w:val="nil"/>
              <w:right w:val="nil"/>
            </w:tcBorders>
            <w:shd w:val="clear" w:color="auto" w:fill="auto"/>
            <w:noWrap/>
            <w:vAlign w:val="center"/>
            <w:hideMark/>
          </w:tcPr>
          <w:p w14:paraId="3DCC25E4"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57.1%</w:t>
            </w:r>
          </w:p>
        </w:tc>
        <w:tc>
          <w:tcPr>
            <w:tcW w:w="1079" w:type="dxa"/>
            <w:tcBorders>
              <w:top w:val="nil"/>
              <w:left w:val="nil"/>
              <w:bottom w:val="nil"/>
              <w:right w:val="nil"/>
            </w:tcBorders>
            <w:shd w:val="clear" w:color="auto" w:fill="auto"/>
            <w:noWrap/>
            <w:vAlign w:val="center"/>
            <w:hideMark/>
          </w:tcPr>
          <w:p w14:paraId="5BD6724B"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7,987</w:t>
            </w:r>
          </w:p>
        </w:tc>
        <w:tc>
          <w:tcPr>
            <w:tcW w:w="1093" w:type="dxa"/>
            <w:gridSpan w:val="2"/>
            <w:tcBorders>
              <w:top w:val="nil"/>
              <w:left w:val="nil"/>
              <w:bottom w:val="nil"/>
              <w:right w:val="nil"/>
            </w:tcBorders>
            <w:shd w:val="clear" w:color="auto" w:fill="auto"/>
            <w:noWrap/>
            <w:vAlign w:val="center"/>
            <w:hideMark/>
          </w:tcPr>
          <w:p w14:paraId="4CEB989D"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55.90%</w:t>
            </w:r>
          </w:p>
        </w:tc>
        <w:tc>
          <w:tcPr>
            <w:tcW w:w="1162" w:type="dxa"/>
            <w:tcBorders>
              <w:top w:val="nil"/>
              <w:left w:val="nil"/>
              <w:bottom w:val="nil"/>
              <w:right w:val="nil"/>
            </w:tcBorders>
            <w:vAlign w:val="center"/>
          </w:tcPr>
          <w:p w14:paraId="054A920F"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8,733</w:t>
            </w:r>
          </w:p>
        </w:tc>
        <w:tc>
          <w:tcPr>
            <w:tcW w:w="1158" w:type="dxa"/>
            <w:tcBorders>
              <w:top w:val="nil"/>
              <w:left w:val="nil"/>
              <w:bottom w:val="nil"/>
            </w:tcBorders>
            <w:vAlign w:val="center"/>
          </w:tcPr>
          <w:p w14:paraId="18D206D1"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56.7%</w:t>
            </w:r>
          </w:p>
        </w:tc>
      </w:tr>
      <w:tr w:rsidR="002B37FE" w:rsidRPr="009749B5" w14:paraId="42C13E0E" w14:textId="77777777" w:rsidTr="00CC7628">
        <w:trPr>
          <w:cantSplit/>
          <w:trHeight w:val="300"/>
          <w:jc w:val="center"/>
        </w:trPr>
        <w:tc>
          <w:tcPr>
            <w:tcW w:w="2124" w:type="dxa"/>
            <w:tcBorders>
              <w:top w:val="nil"/>
              <w:bottom w:val="nil"/>
              <w:right w:val="single" w:sz="4" w:space="0" w:color="auto"/>
            </w:tcBorders>
            <w:shd w:val="clear" w:color="auto" w:fill="auto"/>
            <w:noWrap/>
            <w:vAlign w:val="center"/>
            <w:hideMark/>
          </w:tcPr>
          <w:p w14:paraId="0C90B587" w14:textId="77777777" w:rsidR="002B37FE" w:rsidRPr="00E42B8C" w:rsidRDefault="002B37FE" w:rsidP="002B37FE">
            <w:pPr>
              <w:spacing w:after="0" w:line="240" w:lineRule="auto"/>
              <w:rPr>
                <w:rFonts w:asciiTheme="minorHAnsi" w:eastAsia="Times New Roman" w:hAnsiTheme="minorHAnsi" w:cstheme="minorHAnsi"/>
                <w:color w:val="000000"/>
                <w:sz w:val="20"/>
                <w:szCs w:val="20"/>
              </w:rPr>
            </w:pPr>
            <w:r w:rsidRPr="00E42B8C">
              <w:rPr>
                <w:rFonts w:asciiTheme="minorHAnsi" w:eastAsia="Times New Roman" w:hAnsiTheme="minorHAnsi" w:cstheme="minorHAnsi"/>
                <w:color w:val="000000"/>
                <w:sz w:val="20"/>
                <w:szCs w:val="20"/>
              </w:rPr>
              <w:t>Medicare</w:t>
            </w:r>
          </w:p>
        </w:tc>
        <w:tc>
          <w:tcPr>
            <w:tcW w:w="1079" w:type="dxa"/>
            <w:tcBorders>
              <w:top w:val="nil"/>
              <w:left w:val="single" w:sz="4" w:space="0" w:color="auto"/>
              <w:bottom w:val="nil"/>
              <w:right w:val="nil"/>
            </w:tcBorders>
            <w:shd w:val="clear" w:color="auto" w:fill="auto"/>
            <w:noWrap/>
            <w:vAlign w:val="center"/>
            <w:hideMark/>
          </w:tcPr>
          <w:p w14:paraId="2690AEFF"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4,413</w:t>
            </w:r>
          </w:p>
        </w:tc>
        <w:tc>
          <w:tcPr>
            <w:tcW w:w="1093" w:type="dxa"/>
            <w:gridSpan w:val="2"/>
            <w:tcBorders>
              <w:top w:val="nil"/>
              <w:left w:val="nil"/>
              <w:bottom w:val="nil"/>
              <w:right w:val="nil"/>
            </w:tcBorders>
            <w:shd w:val="clear" w:color="auto" w:fill="auto"/>
            <w:noWrap/>
            <w:vAlign w:val="center"/>
            <w:hideMark/>
          </w:tcPr>
          <w:p w14:paraId="179633E5"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35.1%</w:t>
            </w:r>
          </w:p>
        </w:tc>
        <w:tc>
          <w:tcPr>
            <w:tcW w:w="1079" w:type="dxa"/>
            <w:tcBorders>
              <w:top w:val="nil"/>
              <w:left w:val="nil"/>
              <w:bottom w:val="nil"/>
              <w:right w:val="nil"/>
            </w:tcBorders>
            <w:shd w:val="clear" w:color="auto" w:fill="auto"/>
            <w:noWrap/>
            <w:vAlign w:val="center"/>
            <w:hideMark/>
          </w:tcPr>
          <w:p w14:paraId="7851A810"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4,326</w:t>
            </w:r>
          </w:p>
        </w:tc>
        <w:tc>
          <w:tcPr>
            <w:tcW w:w="1093" w:type="dxa"/>
            <w:tcBorders>
              <w:top w:val="nil"/>
              <w:left w:val="nil"/>
              <w:bottom w:val="nil"/>
              <w:right w:val="nil"/>
            </w:tcBorders>
            <w:shd w:val="clear" w:color="auto" w:fill="auto"/>
            <w:noWrap/>
            <w:vAlign w:val="center"/>
            <w:hideMark/>
          </w:tcPr>
          <w:p w14:paraId="6FA95FC7"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32.9%</w:t>
            </w:r>
          </w:p>
        </w:tc>
        <w:tc>
          <w:tcPr>
            <w:tcW w:w="1079" w:type="dxa"/>
            <w:tcBorders>
              <w:top w:val="nil"/>
              <w:left w:val="nil"/>
              <w:bottom w:val="nil"/>
              <w:right w:val="nil"/>
            </w:tcBorders>
            <w:shd w:val="clear" w:color="auto" w:fill="auto"/>
            <w:noWrap/>
            <w:vAlign w:val="center"/>
            <w:hideMark/>
          </w:tcPr>
          <w:p w14:paraId="4FCC39C5"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4,801</w:t>
            </w:r>
          </w:p>
        </w:tc>
        <w:tc>
          <w:tcPr>
            <w:tcW w:w="1093" w:type="dxa"/>
            <w:gridSpan w:val="2"/>
            <w:tcBorders>
              <w:top w:val="nil"/>
              <w:left w:val="nil"/>
              <w:bottom w:val="nil"/>
              <w:right w:val="nil"/>
            </w:tcBorders>
            <w:shd w:val="clear" w:color="auto" w:fill="auto"/>
            <w:noWrap/>
            <w:vAlign w:val="center"/>
            <w:hideMark/>
          </w:tcPr>
          <w:p w14:paraId="68D12ABB"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33.60%</w:t>
            </w:r>
          </w:p>
        </w:tc>
        <w:tc>
          <w:tcPr>
            <w:tcW w:w="1162" w:type="dxa"/>
            <w:tcBorders>
              <w:top w:val="nil"/>
              <w:left w:val="nil"/>
              <w:bottom w:val="nil"/>
              <w:right w:val="nil"/>
            </w:tcBorders>
            <w:vAlign w:val="center"/>
          </w:tcPr>
          <w:p w14:paraId="3B6144EA"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5,142</w:t>
            </w:r>
          </w:p>
        </w:tc>
        <w:tc>
          <w:tcPr>
            <w:tcW w:w="1158" w:type="dxa"/>
            <w:tcBorders>
              <w:top w:val="nil"/>
              <w:left w:val="nil"/>
              <w:bottom w:val="nil"/>
            </w:tcBorders>
            <w:vAlign w:val="center"/>
          </w:tcPr>
          <w:p w14:paraId="1D9D9DF3"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33.4%</w:t>
            </w:r>
          </w:p>
        </w:tc>
      </w:tr>
      <w:tr w:rsidR="002B37FE" w:rsidRPr="009749B5" w14:paraId="2D25BC5C" w14:textId="77777777" w:rsidTr="00CC7628">
        <w:trPr>
          <w:cantSplit/>
          <w:trHeight w:val="300"/>
          <w:jc w:val="center"/>
        </w:trPr>
        <w:tc>
          <w:tcPr>
            <w:tcW w:w="2124" w:type="dxa"/>
            <w:tcBorders>
              <w:top w:val="nil"/>
              <w:bottom w:val="nil"/>
              <w:right w:val="single" w:sz="4" w:space="0" w:color="auto"/>
            </w:tcBorders>
            <w:shd w:val="clear" w:color="auto" w:fill="auto"/>
            <w:noWrap/>
            <w:vAlign w:val="center"/>
            <w:hideMark/>
          </w:tcPr>
          <w:p w14:paraId="0A768392" w14:textId="77777777" w:rsidR="002B37FE" w:rsidRPr="00E42B8C" w:rsidRDefault="002B37FE" w:rsidP="002B37FE">
            <w:pPr>
              <w:spacing w:after="0" w:line="240" w:lineRule="auto"/>
              <w:rPr>
                <w:rFonts w:asciiTheme="minorHAnsi" w:eastAsia="Times New Roman" w:hAnsiTheme="minorHAnsi" w:cstheme="minorHAnsi"/>
                <w:color w:val="000000"/>
                <w:sz w:val="20"/>
                <w:szCs w:val="20"/>
              </w:rPr>
            </w:pPr>
            <w:r w:rsidRPr="00E42B8C">
              <w:rPr>
                <w:rFonts w:asciiTheme="minorHAnsi" w:eastAsia="Times New Roman" w:hAnsiTheme="minorHAnsi" w:cstheme="minorHAnsi"/>
                <w:color w:val="000000"/>
                <w:sz w:val="20"/>
                <w:szCs w:val="20"/>
              </w:rPr>
              <w:t>Medicaid</w:t>
            </w:r>
          </w:p>
        </w:tc>
        <w:tc>
          <w:tcPr>
            <w:tcW w:w="1079" w:type="dxa"/>
            <w:tcBorders>
              <w:top w:val="nil"/>
              <w:left w:val="single" w:sz="4" w:space="0" w:color="auto"/>
              <w:bottom w:val="nil"/>
              <w:right w:val="nil"/>
            </w:tcBorders>
            <w:shd w:val="clear" w:color="auto" w:fill="auto"/>
            <w:noWrap/>
            <w:vAlign w:val="center"/>
            <w:hideMark/>
          </w:tcPr>
          <w:p w14:paraId="7FA21B67"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1,044</w:t>
            </w:r>
          </w:p>
        </w:tc>
        <w:tc>
          <w:tcPr>
            <w:tcW w:w="1093" w:type="dxa"/>
            <w:gridSpan w:val="2"/>
            <w:tcBorders>
              <w:top w:val="nil"/>
              <w:left w:val="nil"/>
              <w:bottom w:val="nil"/>
              <w:right w:val="nil"/>
            </w:tcBorders>
            <w:shd w:val="clear" w:color="auto" w:fill="auto"/>
            <w:noWrap/>
            <w:vAlign w:val="center"/>
            <w:hideMark/>
          </w:tcPr>
          <w:p w14:paraId="0902346F"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8.3%</w:t>
            </w:r>
          </w:p>
        </w:tc>
        <w:tc>
          <w:tcPr>
            <w:tcW w:w="1079" w:type="dxa"/>
            <w:tcBorders>
              <w:top w:val="nil"/>
              <w:left w:val="nil"/>
              <w:bottom w:val="nil"/>
              <w:right w:val="nil"/>
            </w:tcBorders>
            <w:shd w:val="clear" w:color="auto" w:fill="auto"/>
            <w:noWrap/>
            <w:vAlign w:val="center"/>
            <w:hideMark/>
          </w:tcPr>
          <w:p w14:paraId="34A23D19"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1,302</w:t>
            </w:r>
          </w:p>
        </w:tc>
        <w:tc>
          <w:tcPr>
            <w:tcW w:w="1093" w:type="dxa"/>
            <w:tcBorders>
              <w:top w:val="nil"/>
              <w:left w:val="nil"/>
              <w:bottom w:val="nil"/>
              <w:right w:val="nil"/>
            </w:tcBorders>
            <w:shd w:val="clear" w:color="auto" w:fill="auto"/>
            <w:noWrap/>
            <w:vAlign w:val="center"/>
            <w:hideMark/>
          </w:tcPr>
          <w:p w14:paraId="4F0EB974"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9.9%</w:t>
            </w:r>
          </w:p>
        </w:tc>
        <w:tc>
          <w:tcPr>
            <w:tcW w:w="1079" w:type="dxa"/>
            <w:tcBorders>
              <w:top w:val="nil"/>
              <w:left w:val="nil"/>
              <w:bottom w:val="nil"/>
              <w:right w:val="nil"/>
            </w:tcBorders>
            <w:shd w:val="clear" w:color="auto" w:fill="auto"/>
            <w:noWrap/>
            <w:vAlign w:val="center"/>
            <w:hideMark/>
          </w:tcPr>
          <w:p w14:paraId="02ED7B06"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1,486</w:t>
            </w:r>
          </w:p>
        </w:tc>
        <w:tc>
          <w:tcPr>
            <w:tcW w:w="1093" w:type="dxa"/>
            <w:gridSpan w:val="2"/>
            <w:tcBorders>
              <w:top w:val="nil"/>
              <w:left w:val="nil"/>
              <w:bottom w:val="nil"/>
              <w:right w:val="nil"/>
            </w:tcBorders>
            <w:shd w:val="clear" w:color="auto" w:fill="auto"/>
            <w:noWrap/>
            <w:vAlign w:val="center"/>
            <w:hideMark/>
          </w:tcPr>
          <w:p w14:paraId="6B954D86"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10.40%</w:t>
            </w:r>
          </w:p>
        </w:tc>
        <w:tc>
          <w:tcPr>
            <w:tcW w:w="1162" w:type="dxa"/>
            <w:tcBorders>
              <w:top w:val="nil"/>
              <w:left w:val="nil"/>
              <w:bottom w:val="nil"/>
              <w:right w:val="nil"/>
            </w:tcBorders>
            <w:vAlign w:val="center"/>
          </w:tcPr>
          <w:p w14:paraId="59CBFE4C"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1,521</w:t>
            </w:r>
          </w:p>
        </w:tc>
        <w:tc>
          <w:tcPr>
            <w:tcW w:w="1158" w:type="dxa"/>
            <w:tcBorders>
              <w:top w:val="nil"/>
              <w:left w:val="nil"/>
              <w:bottom w:val="nil"/>
            </w:tcBorders>
            <w:vAlign w:val="center"/>
          </w:tcPr>
          <w:p w14:paraId="01E79AAE"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9.9%</w:t>
            </w:r>
          </w:p>
        </w:tc>
      </w:tr>
      <w:tr w:rsidR="002B37FE" w:rsidRPr="009749B5" w14:paraId="6026B868" w14:textId="77777777" w:rsidTr="00CC7628">
        <w:trPr>
          <w:cantSplit/>
          <w:trHeight w:val="300"/>
          <w:jc w:val="center"/>
        </w:trPr>
        <w:tc>
          <w:tcPr>
            <w:tcW w:w="2124" w:type="dxa"/>
            <w:tcBorders>
              <w:top w:val="nil"/>
              <w:bottom w:val="nil"/>
              <w:right w:val="nil"/>
            </w:tcBorders>
            <w:shd w:val="clear" w:color="000000" w:fill="C5D9F1"/>
            <w:noWrap/>
            <w:vAlign w:val="center"/>
            <w:hideMark/>
          </w:tcPr>
          <w:p w14:paraId="1BB7E347" w14:textId="77777777" w:rsidR="002B37FE" w:rsidRPr="00E42B8C" w:rsidRDefault="002B37FE" w:rsidP="002B37FE">
            <w:pPr>
              <w:spacing w:after="0" w:line="240" w:lineRule="auto"/>
              <w:rPr>
                <w:rFonts w:asciiTheme="minorHAnsi" w:eastAsia="Times New Roman" w:hAnsiTheme="minorHAnsi" w:cstheme="minorHAnsi"/>
                <w:b/>
                <w:bCs/>
                <w:color w:val="000000"/>
                <w:sz w:val="20"/>
                <w:szCs w:val="20"/>
              </w:rPr>
            </w:pPr>
            <w:r w:rsidRPr="00E42B8C">
              <w:rPr>
                <w:rFonts w:asciiTheme="minorHAnsi" w:eastAsia="Times New Roman" w:hAnsiTheme="minorHAnsi" w:cstheme="minorHAnsi"/>
                <w:b/>
                <w:bCs/>
                <w:color w:val="000000"/>
                <w:sz w:val="20"/>
                <w:szCs w:val="20"/>
              </w:rPr>
              <w:t>Race / Ethnicity</w:t>
            </w:r>
          </w:p>
        </w:tc>
        <w:tc>
          <w:tcPr>
            <w:tcW w:w="1079" w:type="dxa"/>
            <w:tcBorders>
              <w:top w:val="nil"/>
              <w:bottom w:val="nil"/>
              <w:right w:val="nil"/>
            </w:tcBorders>
            <w:shd w:val="clear" w:color="000000" w:fill="C5D9F1"/>
            <w:vAlign w:val="center"/>
          </w:tcPr>
          <w:p w14:paraId="7896DAB4" w14:textId="77777777" w:rsidR="002B37FE" w:rsidRPr="00E42B8C" w:rsidRDefault="002B37FE" w:rsidP="002B37FE">
            <w:pPr>
              <w:spacing w:after="0" w:line="240" w:lineRule="auto"/>
              <w:rPr>
                <w:rFonts w:asciiTheme="minorHAnsi" w:eastAsia="Times New Roman" w:hAnsiTheme="minorHAnsi" w:cstheme="minorHAnsi"/>
                <w:b/>
                <w:bCs/>
                <w:color w:val="000000"/>
                <w:sz w:val="20"/>
                <w:szCs w:val="20"/>
              </w:rPr>
            </w:pPr>
            <w:r w:rsidRPr="00E42B8C">
              <w:rPr>
                <w:rFonts w:asciiTheme="minorHAnsi" w:hAnsiTheme="minorHAnsi" w:cstheme="minorHAnsi"/>
                <w:b/>
                <w:bCs/>
                <w:color w:val="000000"/>
                <w:sz w:val="20"/>
                <w:szCs w:val="20"/>
              </w:rPr>
              <w:t> </w:t>
            </w:r>
          </w:p>
        </w:tc>
        <w:tc>
          <w:tcPr>
            <w:tcW w:w="1093" w:type="dxa"/>
            <w:gridSpan w:val="2"/>
            <w:tcBorders>
              <w:top w:val="nil"/>
              <w:left w:val="nil"/>
              <w:bottom w:val="nil"/>
              <w:right w:val="nil"/>
            </w:tcBorders>
            <w:shd w:val="clear" w:color="000000" w:fill="C5D9F1"/>
            <w:noWrap/>
            <w:vAlign w:val="center"/>
            <w:hideMark/>
          </w:tcPr>
          <w:p w14:paraId="4E512945" w14:textId="77777777" w:rsidR="002B37FE" w:rsidRPr="00E42B8C" w:rsidRDefault="002B37FE" w:rsidP="002B37FE">
            <w:pPr>
              <w:spacing w:after="0" w:line="240" w:lineRule="auto"/>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 </w:t>
            </w:r>
          </w:p>
        </w:tc>
        <w:tc>
          <w:tcPr>
            <w:tcW w:w="1079" w:type="dxa"/>
            <w:tcBorders>
              <w:top w:val="nil"/>
              <w:left w:val="nil"/>
              <w:bottom w:val="nil"/>
              <w:right w:val="nil"/>
            </w:tcBorders>
            <w:shd w:val="clear" w:color="000000" w:fill="C5D9F1"/>
            <w:noWrap/>
            <w:vAlign w:val="center"/>
            <w:hideMark/>
          </w:tcPr>
          <w:p w14:paraId="1AA91BE7"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 </w:t>
            </w:r>
          </w:p>
        </w:tc>
        <w:tc>
          <w:tcPr>
            <w:tcW w:w="1093" w:type="dxa"/>
            <w:tcBorders>
              <w:top w:val="nil"/>
              <w:left w:val="nil"/>
              <w:bottom w:val="nil"/>
              <w:right w:val="nil"/>
            </w:tcBorders>
            <w:shd w:val="clear" w:color="000000" w:fill="C5D9F1"/>
            <w:noWrap/>
            <w:vAlign w:val="center"/>
            <w:hideMark/>
          </w:tcPr>
          <w:p w14:paraId="64A02C9B" w14:textId="77777777" w:rsidR="002B37FE" w:rsidRPr="00E42B8C" w:rsidRDefault="002B37FE" w:rsidP="002B37FE">
            <w:pPr>
              <w:spacing w:after="0" w:line="240" w:lineRule="auto"/>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 </w:t>
            </w:r>
          </w:p>
        </w:tc>
        <w:tc>
          <w:tcPr>
            <w:tcW w:w="1079" w:type="dxa"/>
            <w:tcBorders>
              <w:top w:val="nil"/>
              <w:left w:val="nil"/>
              <w:bottom w:val="nil"/>
              <w:right w:val="nil"/>
            </w:tcBorders>
            <w:shd w:val="clear" w:color="000000" w:fill="C5D9F1"/>
            <w:noWrap/>
            <w:vAlign w:val="center"/>
            <w:hideMark/>
          </w:tcPr>
          <w:p w14:paraId="6FDC1F48"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 </w:t>
            </w:r>
          </w:p>
        </w:tc>
        <w:tc>
          <w:tcPr>
            <w:tcW w:w="1093" w:type="dxa"/>
            <w:gridSpan w:val="2"/>
            <w:tcBorders>
              <w:top w:val="nil"/>
              <w:left w:val="nil"/>
              <w:bottom w:val="nil"/>
              <w:right w:val="nil"/>
            </w:tcBorders>
            <w:shd w:val="clear" w:color="000000" w:fill="C5D9F1"/>
            <w:noWrap/>
            <w:vAlign w:val="center"/>
            <w:hideMark/>
          </w:tcPr>
          <w:p w14:paraId="6AA8F95A" w14:textId="77777777" w:rsidR="002B37FE" w:rsidRPr="00E42B8C" w:rsidRDefault="002B37FE" w:rsidP="002B37FE">
            <w:pPr>
              <w:spacing w:after="0" w:line="240" w:lineRule="auto"/>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 </w:t>
            </w:r>
          </w:p>
        </w:tc>
        <w:tc>
          <w:tcPr>
            <w:tcW w:w="1162" w:type="dxa"/>
            <w:tcBorders>
              <w:top w:val="nil"/>
              <w:left w:val="nil"/>
              <w:bottom w:val="nil"/>
              <w:right w:val="nil"/>
            </w:tcBorders>
            <w:shd w:val="clear" w:color="000000" w:fill="C5D9F1"/>
            <w:vAlign w:val="center"/>
          </w:tcPr>
          <w:p w14:paraId="6F72D69F" w14:textId="77777777" w:rsidR="002B37FE" w:rsidRPr="00E42B8C" w:rsidRDefault="002B37FE" w:rsidP="002B37FE">
            <w:pPr>
              <w:spacing w:after="0" w:line="240" w:lineRule="auto"/>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 </w:t>
            </w:r>
          </w:p>
        </w:tc>
        <w:tc>
          <w:tcPr>
            <w:tcW w:w="1158" w:type="dxa"/>
            <w:tcBorders>
              <w:top w:val="nil"/>
              <w:left w:val="nil"/>
              <w:bottom w:val="nil"/>
            </w:tcBorders>
            <w:shd w:val="clear" w:color="000000" w:fill="C5D9F1"/>
            <w:vAlign w:val="center"/>
          </w:tcPr>
          <w:p w14:paraId="23A0854E" w14:textId="77777777" w:rsidR="002B37FE" w:rsidRPr="00E42B8C" w:rsidRDefault="002B37FE" w:rsidP="002B37FE">
            <w:pPr>
              <w:spacing w:after="0" w:line="240" w:lineRule="auto"/>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 </w:t>
            </w:r>
          </w:p>
        </w:tc>
      </w:tr>
      <w:tr w:rsidR="002B37FE" w:rsidRPr="009749B5" w14:paraId="7C8A230D" w14:textId="77777777" w:rsidTr="00CC7628">
        <w:trPr>
          <w:cantSplit/>
          <w:trHeight w:val="300"/>
          <w:jc w:val="center"/>
        </w:trPr>
        <w:tc>
          <w:tcPr>
            <w:tcW w:w="2124" w:type="dxa"/>
            <w:tcBorders>
              <w:top w:val="nil"/>
              <w:bottom w:val="nil"/>
              <w:right w:val="single" w:sz="4" w:space="0" w:color="auto"/>
            </w:tcBorders>
            <w:shd w:val="clear" w:color="auto" w:fill="auto"/>
            <w:noWrap/>
            <w:vAlign w:val="center"/>
            <w:hideMark/>
          </w:tcPr>
          <w:p w14:paraId="487D5B07" w14:textId="77777777" w:rsidR="002B37FE" w:rsidRPr="00E42B8C" w:rsidRDefault="002B37FE" w:rsidP="002B37FE">
            <w:pPr>
              <w:spacing w:after="0" w:line="240" w:lineRule="auto"/>
              <w:rPr>
                <w:rFonts w:asciiTheme="minorHAnsi" w:eastAsia="Times New Roman" w:hAnsiTheme="minorHAnsi" w:cstheme="minorHAnsi"/>
                <w:color w:val="000000"/>
                <w:sz w:val="20"/>
                <w:szCs w:val="20"/>
              </w:rPr>
            </w:pPr>
            <w:r w:rsidRPr="00E42B8C">
              <w:rPr>
                <w:rFonts w:asciiTheme="minorHAnsi" w:eastAsia="Times New Roman" w:hAnsiTheme="minorHAnsi" w:cstheme="minorHAnsi"/>
                <w:color w:val="000000"/>
                <w:sz w:val="20"/>
                <w:szCs w:val="20"/>
              </w:rPr>
              <w:t>Asian</w:t>
            </w:r>
          </w:p>
        </w:tc>
        <w:tc>
          <w:tcPr>
            <w:tcW w:w="1079" w:type="dxa"/>
            <w:tcBorders>
              <w:top w:val="nil"/>
              <w:left w:val="single" w:sz="4" w:space="0" w:color="auto"/>
              <w:bottom w:val="nil"/>
              <w:right w:val="nil"/>
            </w:tcBorders>
            <w:shd w:val="clear" w:color="auto" w:fill="auto"/>
            <w:noWrap/>
            <w:vAlign w:val="center"/>
            <w:hideMark/>
          </w:tcPr>
          <w:p w14:paraId="0C19EEF1"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415</w:t>
            </w:r>
          </w:p>
        </w:tc>
        <w:tc>
          <w:tcPr>
            <w:tcW w:w="1093" w:type="dxa"/>
            <w:gridSpan w:val="2"/>
            <w:tcBorders>
              <w:top w:val="nil"/>
              <w:left w:val="nil"/>
              <w:bottom w:val="nil"/>
              <w:right w:val="nil"/>
            </w:tcBorders>
            <w:shd w:val="clear" w:color="auto" w:fill="auto"/>
            <w:noWrap/>
            <w:vAlign w:val="center"/>
            <w:hideMark/>
          </w:tcPr>
          <w:p w14:paraId="59F04D65"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3.3%</w:t>
            </w:r>
          </w:p>
        </w:tc>
        <w:tc>
          <w:tcPr>
            <w:tcW w:w="1079" w:type="dxa"/>
            <w:tcBorders>
              <w:top w:val="nil"/>
              <w:left w:val="nil"/>
              <w:bottom w:val="nil"/>
              <w:right w:val="nil"/>
            </w:tcBorders>
            <w:shd w:val="clear" w:color="auto" w:fill="auto"/>
            <w:noWrap/>
            <w:vAlign w:val="center"/>
            <w:hideMark/>
          </w:tcPr>
          <w:p w14:paraId="72D5FE38"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487</w:t>
            </w:r>
          </w:p>
        </w:tc>
        <w:tc>
          <w:tcPr>
            <w:tcW w:w="1093" w:type="dxa"/>
            <w:tcBorders>
              <w:top w:val="nil"/>
              <w:left w:val="nil"/>
              <w:bottom w:val="nil"/>
              <w:right w:val="nil"/>
            </w:tcBorders>
            <w:shd w:val="clear" w:color="auto" w:fill="auto"/>
            <w:noWrap/>
            <w:vAlign w:val="center"/>
            <w:hideMark/>
          </w:tcPr>
          <w:p w14:paraId="1686A514"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3.7%</w:t>
            </w:r>
          </w:p>
        </w:tc>
        <w:tc>
          <w:tcPr>
            <w:tcW w:w="1079" w:type="dxa"/>
            <w:tcBorders>
              <w:top w:val="nil"/>
              <w:left w:val="nil"/>
              <w:bottom w:val="nil"/>
              <w:right w:val="nil"/>
            </w:tcBorders>
            <w:shd w:val="clear" w:color="auto" w:fill="auto"/>
            <w:noWrap/>
            <w:vAlign w:val="center"/>
            <w:hideMark/>
          </w:tcPr>
          <w:p w14:paraId="4677B81F"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629</w:t>
            </w:r>
          </w:p>
        </w:tc>
        <w:tc>
          <w:tcPr>
            <w:tcW w:w="1093" w:type="dxa"/>
            <w:gridSpan w:val="2"/>
            <w:tcBorders>
              <w:top w:val="nil"/>
              <w:left w:val="nil"/>
              <w:bottom w:val="nil"/>
              <w:right w:val="nil"/>
            </w:tcBorders>
            <w:shd w:val="clear" w:color="auto" w:fill="auto"/>
            <w:noWrap/>
            <w:vAlign w:val="center"/>
            <w:hideMark/>
          </w:tcPr>
          <w:p w14:paraId="79DF5E84"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4.40%</w:t>
            </w:r>
          </w:p>
        </w:tc>
        <w:tc>
          <w:tcPr>
            <w:tcW w:w="1162" w:type="dxa"/>
            <w:tcBorders>
              <w:top w:val="nil"/>
              <w:left w:val="nil"/>
              <w:bottom w:val="nil"/>
              <w:right w:val="nil"/>
            </w:tcBorders>
            <w:vAlign w:val="center"/>
          </w:tcPr>
          <w:p w14:paraId="0939E551"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645</w:t>
            </w:r>
          </w:p>
        </w:tc>
        <w:tc>
          <w:tcPr>
            <w:tcW w:w="1158" w:type="dxa"/>
            <w:tcBorders>
              <w:top w:val="nil"/>
              <w:left w:val="nil"/>
              <w:bottom w:val="nil"/>
            </w:tcBorders>
            <w:vAlign w:val="center"/>
          </w:tcPr>
          <w:p w14:paraId="0D1F158B"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4.2%</w:t>
            </w:r>
          </w:p>
        </w:tc>
      </w:tr>
      <w:tr w:rsidR="002B37FE" w:rsidRPr="009749B5" w14:paraId="688EE247" w14:textId="77777777" w:rsidTr="00CC7628">
        <w:trPr>
          <w:cantSplit/>
          <w:trHeight w:val="300"/>
          <w:jc w:val="center"/>
        </w:trPr>
        <w:tc>
          <w:tcPr>
            <w:tcW w:w="2124" w:type="dxa"/>
            <w:tcBorders>
              <w:top w:val="nil"/>
              <w:bottom w:val="nil"/>
              <w:right w:val="single" w:sz="4" w:space="0" w:color="auto"/>
            </w:tcBorders>
            <w:shd w:val="clear" w:color="auto" w:fill="auto"/>
            <w:noWrap/>
            <w:vAlign w:val="center"/>
            <w:hideMark/>
          </w:tcPr>
          <w:p w14:paraId="5A6F9458" w14:textId="77777777" w:rsidR="002B37FE" w:rsidRPr="00E42B8C" w:rsidRDefault="002B37FE" w:rsidP="002B37FE">
            <w:pPr>
              <w:spacing w:after="0" w:line="240" w:lineRule="auto"/>
              <w:rPr>
                <w:rFonts w:asciiTheme="minorHAnsi" w:eastAsia="Times New Roman" w:hAnsiTheme="minorHAnsi" w:cstheme="minorHAnsi"/>
                <w:color w:val="000000"/>
                <w:sz w:val="20"/>
                <w:szCs w:val="20"/>
              </w:rPr>
            </w:pPr>
            <w:r w:rsidRPr="00E42B8C">
              <w:rPr>
                <w:rFonts w:asciiTheme="minorHAnsi" w:eastAsia="Times New Roman" w:hAnsiTheme="minorHAnsi" w:cstheme="minorHAnsi"/>
                <w:color w:val="000000"/>
                <w:sz w:val="20"/>
                <w:szCs w:val="20"/>
              </w:rPr>
              <w:t>Black</w:t>
            </w:r>
          </w:p>
        </w:tc>
        <w:tc>
          <w:tcPr>
            <w:tcW w:w="1079" w:type="dxa"/>
            <w:tcBorders>
              <w:top w:val="nil"/>
              <w:left w:val="single" w:sz="4" w:space="0" w:color="auto"/>
              <w:bottom w:val="nil"/>
              <w:right w:val="nil"/>
            </w:tcBorders>
            <w:shd w:val="clear" w:color="auto" w:fill="auto"/>
            <w:noWrap/>
            <w:vAlign w:val="center"/>
            <w:hideMark/>
          </w:tcPr>
          <w:p w14:paraId="059AE018"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893</w:t>
            </w:r>
          </w:p>
        </w:tc>
        <w:tc>
          <w:tcPr>
            <w:tcW w:w="1093" w:type="dxa"/>
            <w:gridSpan w:val="2"/>
            <w:tcBorders>
              <w:top w:val="nil"/>
              <w:left w:val="nil"/>
              <w:bottom w:val="nil"/>
              <w:right w:val="nil"/>
            </w:tcBorders>
            <w:shd w:val="clear" w:color="auto" w:fill="auto"/>
            <w:noWrap/>
            <w:vAlign w:val="center"/>
            <w:hideMark/>
          </w:tcPr>
          <w:p w14:paraId="2193B051"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7.1%</w:t>
            </w:r>
          </w:p>
        </w:tc>
        <w:tc>
          <w:tcPr>
            <w:tcW w:w="1079" w:type="dxa"/>
            <w:tcBorders>
              <w:top w:val="nil"/>
              <w:left w:val="nil"/>
              <w:bottom w:val="nil"/>
              <w:right w:val="nil"/>
            </w:tcBorders>
            <w:shd w:val="clear" w:color="auto" w:fill="auto"/>
            <w:noWrap/>
            <w:vAlign w:val="center"/>
            <w:hideMark/>
          </w:tcPr>
          <w:p w14:paraId="39DFE4B9"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1,052</w:t>
            </w:r>
          </w:p>
        </w:tc>
        <w:tc>
          <w:tcPr>
            <w:tcW w:w="1093" w:type="dxa"/>
            <w:tcBorders>
              <w:top w:val="nil"/>
              <w:left w:val="nil"/>
              <w:bottom w:val="nil"/>
              <w:right w:val="nil"/>
            </w:tcBorders>
            <w:shd w:val="clear" w:color="auto" w:fill="auto"/>
            <w:noWrap/>
            <w:vAlign w:val="center"/>
            <w:hideMark/>
          </w:tcPr>
          <w:p w14:paraId="5D566A1E"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8.0%</w:t>
            </w:r>
          </w:p>
        </w:tc>
        <w:tc>
          <w:tcPr>
            <w:tcW w:w="1079" w:type="dxa"/>
            <w:tcBorders>
              <w:top w:val="nil"/>
              <w:left w:val="nil"/>
              <w:bottom w:val="nil"/>
              <w:right w:val="nil"/>
            </w:tcBorders>
            <w:shd w:val="clear" w:color="auto" w:fill="auto"/>
            <w:noWrap/>
            <w:vAlign w:val="center"/>
            <w:hideMark/>
          </w:tcPr>
          <w:p w14:paraId="5731E3BA"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1,072</w:t>
            </w:r>
          </w:p>
        </w:tc>
        <w:tc>
          <w:tcPr>
            <w:tcW w:w="1093" w:type="dxa"/>
            <w:gridSpan w:val="2"/>
            <w:tcBorders>
              <w:top w:val="nil"/>
              <w:left w:val="nil"/>
              <w:bottom w:val="nil"/>
              <w:right w:val="nil"/>
            </w:tcBorders>
            <w:shd w:val="clear" w:color="auto" w:fill="auto"/>
            <w:noWrap/>
            <w:vAlign w:val="center"/>
            <w:hideMark/>
          </w:tcPr>
          <w:p w14:paraId="2FFA46D0"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7.50%</w:t>
            </w:r>
          </w:p>
        </w:tc>
        <w:tc>
          <w:tcPr>
            <w:tcW w:w="1162" w:type="dxa"/>
            <w:tcBorders>
              <w:top w:val="nil"/>
              <w:left w:val="nil"/>
              <w:bottom w:val="nil"/>
              <w:right w:val="nil"/>
            </w:tcBorders>
            <w:vAlign w:val="center"/>
          </w:tcPr>
          <w:p w14:paraId="2F7B7726"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1,175</w:t>
            </w:r>
          </w:p>
        </w:tc>
        <w:tc>
          <w:tcPr>
            <w:tcW w:w="1158" w:type="dxa"/>
            <w:tcBorders>
              <w:top w:val="nil"/>
              <w:left w:val="nil"/>
              <w:bottom w:val="nil"/>
            </w:tcBorders>
            <w:vAlign w:val="center"/>
          </w:tcPr>
          <w:p w14:paraId="2E96C1A0"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7.6%</w:t>
            </w:r>
          </w:p>
        </w:tc>
      </w:tr>
      <w:tr w:rsidR="002B37FE" w:rsidRPr="009749B5" w14:paraId="0E566FF2" w14:textId="77777777" w:rsidTr="00CC7628">
        <w:trPr>
          <w:cantSplit/>
          <w:trHeight w:val="300"/>
          <w:jc w:val="center"/>
        </w:trPr>
        <w:tc>
          <w:tcPr>
            <w:tcW w:w="2124" w:type="dxa"/>
            <w:tcBorders>
              <w:top w:val="nil"/>
              <w:bottom w:val="nil"/>
              <w:right w:val="single" w:sz="4" w:space="0" w:color="auto"/>
            </w:tcBorders>
            <w:shd w:val="clear" w:color="auto" w:fill="auto"/>
            <w:noWrap/>
            <w:vAlign w:val="center"/>
            <w:hideMark/>
          </w:tcPr>
          <w:p w14:paraId="4C8B9EC0" w14:textId="77777777" w:rsidR="002B37FE" w:rsidRPr="00E42B8C" w:rsidRDefault="002B37FE" w:rsidP="002B37FE">
            <w:pPr>
              <w:spacing w:after="0" w:line="240" w:lineRule="auto"/>
              <w:rPr>
                <w:rFonts w:asciiTheme="minorHAnsi" w:eastAsia="Times New Roman" w:hAnsiTheme="minorHAnsi" w:cstheme="minorHAnsi"/>
                <w:color w:val="000000"/>
                <w:sz w:val="20"/>
                <w:szCs w:val="20"/>
              </w:rPr>
            </w:pPr>
            <w:r w:rsidRPr="00E42B8C">
              <w:rPr>
                <w:rFonts w:asciiTheme="minorHAnsi" w:eastAsia="Times New Roman" w:hAnsiTheme="minorHAnsi" w:cstheme="minorHAnsi"/>
                <w:color w:val="000000"/>
                <w:sz w:val="20"/>
                <w:szCs w:val="20"/>
              </w:rPr>
              <w:t>Caucasian</w:t>
            </w:r>
          </w:p>
        </w:tc>
        <w:tc>
          <w:tcPr>
            <w:tcW w:w="1079" w:type="dxa"/>
            <w:tcBorders>
              <w:top w:val="nil"/>
              <w:left w:val="single" w:sz="4" w:space="0" w:color="auto"/>
              <w:bottom w:val="nil"/>
              <w:right w:val="nil"/>
            </w:tcBorders>
            <w:shd w:val="clear" w:color="auto" w:fill="auto"/>
            <w:noWrap/>
            <w:vAlign w:val="center"/>
            <w:hideMark/>
          </w:tcPr>
          <w:p w14:paraId="2356073D"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9,128</w:t>
            </w:r>
          </w:p>
        </w:tc>
        <w:tc>
          <w:tcPr>
            <w:tcW w:w="1093" w:type="dxa"/>
            <w:gridSpan w:val="2"/>
            <w:tcBorders>
              <w:top w:val="nil"/>
              <w:left w:val="nil"/>
              <w:bottom w:val="nil"/>
              <w:right w:val="nil"/>
            </w:tcBorders>
            <w:shd w:val="clear" w:color="auto" w:fill="auto"/>
            <w:noWrap/>
            <w:vAlign w:val="center"/>
            <w:hideMark/>
          </w:tcPr>
          <w:p w14:paraId="366080AF"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72.6%</w:t>
            </w:r>
          </w:p>
        </w:tc>
        <w:tc>
          <w:tcPr>
            <w:tcW w:w="1079" w:type="dxa"/>
            <w:tcBorders>
              <w:top w:val="nil"/>
              <w:left w:val="nil"/>
              <w:bottom w:val="nil"/>
              <w:right w:val="nil"/>
            </w:tcBorders>
            <w:shd w:val="clear" w:color="auto" w:fill="auto"/>
            <w:noWrap/>
            <w:vAlign w:val="center"/>
            <w:hideMark/>
          </w:tcPr>
          <w:p w14:paraId="2F358507"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9,362</w:t>
            </w:r>
          </w:p>
        </w:tc>
        <w:tc>
          <w:tcPr>
            <w:tcW w:w="1093" w:type="dxa"/>
            <w:tcBorders>
              <w:top w:val="nil"/>
              <w:left w:val="nil"/>
              <w:bottom w:val="nil"/>
              <w:right w:val="nil"/>
            </w:tcBorders>
            <w:shd w:val="clear" w:color="auto" w:fill="auto"/>
            <w:noWrap/>
            <w:vAlign w:val="center"/>
            <w:hideMark/>
          </w:tcPr>
          <w:p w14:paraId="333D3403"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71.1%</w:t>
            </w:r>
          </w:p>
        </w:tc>
        <w:tc>
          <w:tcPr>
            <w:tcW w:w="1079" w:type="dxa"/>
            <w:tcBorders>
              <w:top w:val="nil"/>
              <w:left w:val="nil"/>
              <w:bottom w:val="nil"/>
              <w:right w:val="nil"/>
            </w:tcBorders>
            <w:shd w:val="clear" w:color="auto" w:fill="auto"/>
            <w:noWrap/>
            <w:vAlign w:val="center"/>
            <w:hideMark/>
          </w:tcPr>
          <w:p w14:paraId="4E012218"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10,545</w:t>
            </w:r>
          </w:p>
        </w:tc>
        <w:tc>
          <w:tcPr>
            <w:tcW w:w="1093" w:type="dxa"/>
            <w:gridSpan w:val="2"/>
            <w:tcBorders>
              <w:top w:val="nil"/>
              <w:left w:val="nil"/>
              <w:bottom w:val="nil"/>
              <w:right w:val="nil"/>
            </w:tcBorders>
            <w:shd w:val="clear" w:color="auto" w:fill="auto"/>
            <w:noWrap/>
            <w:vAlign w:val="center"/>
            <w:hideMark/>
          </w:tcPr>
          <w:p w14:paraId="1C85C5BE"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73.80%</w:t>
            </w:r>
          </w:p>
        </w:tc>
        <w:tc>
          <w:tcPr>
            <w:tcW w:w="1162" w:type="dxa"/>
            <w:tcBorders>
              <w:top w:val="nil"/>
              <w:left w:val="nil"/>
              <w:bottom w:val="nil"/>
              <w:right w:val="nil"/>
            </w:tcBorders>
            <w:vAlign w:val="center"/>
          </w:tcPr>
          <w:p w14:paraId="52FFC764"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11,327</w:t>
            </w:r>
          </w:p>
        </w:tc>
        <w:tc>
          <w:tcPr>
            <w:tcW w:w="1158" w:type="dxa"/>
            <w:tcBorders>
              <w:top w:val="nil"/>
              <w:left w:val="nil"/>
              <w:bottom w:val="nil"/>
            </w:tcBorders>
            <w:vAlign w:val="center"/>
          </w:tcPr>
          <w:p w14:paraId="3991181A"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73.6%</w:t>
            </w:r>
          </w:p>
        </w:tc>
      </w:tr>
      <w:tr w:rsidR="002B37FE" w:rsidRPr="009749B5" w14:paraId="5204702D" w14:textId="77777777" w:rsidTr="00CC7628">
        <w:trPr>
          <w:cantSplit/>
          <w:trHeight w:val="300"/>
          <w:jc w:val="center"/>
        </w:trPr>
        <w:tc>
          <w:tcPr>
            <w:tcW w:w="2124" w:type="dxa"/>
            <w:tcBorders>
              <w:top w:val="nil"/>
              <w:bottom w:val="nil"/>
              <w:right w:val="single" w:sz="4" w:space="0" w:color="auto"/>
            </w:tcBorders>
            <w:shd w:val="clear" w:color="auto" w:fill="auto"/>
            <w:noWrap/>
            <w:vAlign w:val="center"/>
            <w:hideMark/>
          </w:tcPr>
          <w:p w14:paraId="251149DE" w14:textId="77777777" w:rsidR="002B37FE" w:rsidRPr="00E42B8C" w:rsidRDefault="002B37FE" w:rsidP="002B37FE">
            <w:pPr>
              <w:spacing w:after="0" w:line="240" w:lineRule="auto"/>
              <w:rPr>
                <w:rFonts w:asciiTheme="minorHAnsi" w:eastAsia="Times New Roman" w:hAnsiTheme="minorHAnsi" w:cstheme="minorHAnsi"/>
                <w:color w:val="000000"/>
                <w:sz w:val="20"/>
                <w:szCs w:val="20"/>
              </w:rPr>
            </w:pPr>
            <w:r w:rsidRPr="00E42B8C">
              <w:rPr>
                <w:rFonts w:asciiTheme="minorHAnsi" w:eastAsia="Times New Roman" w:hAnsiTheme="minorHAnsi" w:cstheme="minorHAnsi"/>
                <w:color w:val="000000"/>
                <w:sz w:val="20"/>
                <w:szCs w:val="20"/>
              </w:rPr>
              <w:t>Hispanic</w:t>
            </w:r>
          </w:p>
        </w:tc>
        <w:tc>
          <w:tcPr>
            <w:tcW w:w="1079" w:type="dxa"/>
            <w:tcBorders>
              <w:top w:val="nil"/>
              <w:left w:val="single" w:sz="4" w:space="0" w:color="auto"/>
              <w:bottom w:val="nil"/>
              <w:right w:val="nil"/>
            </w:tcBorders>
            <w:shd w:val="clear" w:color="auto" w:fill="auto"/>
            <w:noWrap/>
            <w:vAlign w:val="center"/>
            <w:hideMark/>
          </w:tcPr>
          <w:p w14:paraId="234B90E8"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377</w:t>
            </w:r>
          </w:p>
        </w:tc>
        <w:tc>
          <w:tcPr>
            <w:tcW w:w="1093" w:type="dxa"/>
            <w:gridSpan w:val="2"/>
            <w:tcBorders>
              <w:top w:val="nil"/>
              <w:left w:val="nil"/>
              <w:bottom w:val="nil"/>
              <w:right w:val="nil"/>
            </w:tcBorders>
            <w:shd w:val="clear" w:color="auto" w:fill="auto"/>
            <w:noWrap/>
            <w:vAlign w:val="center"/>
            <w:hideMark/>
          </w:tcPr>
          <w:p w14:paraId="2502E428"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3.0%</w:t>
            </w:r>
          </w:p>
        </w:tc>
        <w:tc>
          <w:tcPr>
            <w:tcW w:w="1079" w:type="dxa"/>
            <w:tcBorders>
              <w:top w:val="nil"/>
              <w:left w:val="nil"/>
              <w:bottom w:val="nil"/>
              <w:right w:val="nil"/>
            </w:tcBorders>
            <w:shd w:val="clear" w:color="auto" w:fill="auto"/>
            <w:noWrap/>
            <w:vAlign w:val="center"/>
            <w:hideMark/>
          </w:tcPr>
          <w:p w14:paraId="7AF79E21"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500</w:t>
            </w:r>
          </w:p>
        </w:tc>
        <w:tc>
          <w:tcPr>
            <w:tcW w:w="1093" w:type="dxa"/>
            <w:tcBorders>
              <w:top w:val="nil"/>
              <w:left w:val="nil"/>
              <w:bottom w:val="nil"/>
              <w:right w:val="nil"/>
            </w:tcBorders>
            <w:shd w:val="clear" w:color="auto" w:fill="auto"/>
            <w:noWrap/>
            <w:vAlign w:val="center"/>
            <w:hideMark/>
          </w:tcPr>
          <w:p w14:paraId="087A62C2"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3.8%</w:t>
            </w:r>
          </w:p>
        </w:tc>
        <w:tc>
          <w:tcPr>
            <w:tcW w:w="1079" w:type="dxa"/>
            <w:tcBorders>
              <w:top w:val="nil"/>
              <w:left w:val="nil"/>
              <w:bottom w:val="nil"/>
              <w:right w:val="nil"/>
            </w:tcBorders>
            <w:shd w:val="clear" w:color="auto" w:fill="auto"/>
            <w:noWrap/>
            <w:vAlign w:val="center"/>
            <w:hideMark/>
          </w:tcPr>
          <w:p w14:paraId="5A2B6F3D"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614</w:t>
            </w:r>
          </w:p>
        </w:tc>
        <w:tc>
          <w:tcPr>
            <w:tcW w:w="1093" w:type="dxa"/>
            <w:gridSpan w:val="2"/>
            <w:tcBorders>
              <w:top w:val="nil"/>
              <w:left w:val="nil"/>
              <w:bottom w:val="nil"/>
              <w:right w:val="nil"/>
            </w:tcBorders>
            <w:shd w:val="clear" w:color="auto" w:fill="auto"/>
            <w:noWrap/>
            <w:vAlign w:val="center"/>
            <w:hideMark/>
          </w:tcPr>
          <w:p w14:paraId="4F574AEE"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4.30%</w:t>
            </w:r>
          </w:p>
        </w:tc>
        <w:tc>
          <w:tcPr>
            <w:tcW w:w="1162" w:type="dxa"/>
            <w:tcBorders>
              <w:top w:val="nil"/>
              <w:left w:val="nil"/>
              <w:bottom w:val="nil"/>
              <w:right w:val="nil"/>
            </w:tcBorders>
            <w:vAlign w:val="center"/>
          </w:tcPr>
          <w:p w14:paraId="62E26925"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715</w:t>
            </w:r>
          </w:p>
        </w:tc>
        <w:tc>
          <w:tcPr>
            <w:tcW w:w="1158" w:type="dxa"/>
            <w:tcBorders>
              <w:top w:val="nil"/>
              <w:left w:val="nil"/>
              <w:bottom w:val="nil"/>
            </w:tcBorders>
            <w:vAlign w:val="center"/>
          </w:tcPr>
          <w:p w14:paraId="22E8A4BB"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4.6%</w:t>
            </w:r>
          </w:p>
        </w:tc>
      </w:tr>
      <w:tr w:rsidR="002B37FE" w:rsidRPr="009749B5" w14:paraId="66AEA432" w14:textId="77777777" w:rsidTr="00CC7628">
        <w:trPr>
          <w:cantSplit/>
          <w:trHeight w:val="300"/>
          <w:jc w:val="center"/>
        </w:trPr>
        <w:tc>
          <w:tcPr>
            <w:tcW w:w="2124" w:type="dxa"/>
            <w:tcBorders>
              <w:top w:val="nil"/>
              <w:bottom w:val="nil"/>
              <w:right w:val="single" w:sz="4" w:space="0" w:color="auto"/>
            </w:tcBorders>
            <w:shd w:val="clear" w:color="auto" w:fill="auto"/>
            <w:noWrap/>
            <w:vAlign w:val="center"/>
            <w:hideMark/>
          </w:tcPr>
          <w:p w14:paraId="0F504AD0" w14:textId="77777777" w:rsidR="002B37FE" w:rsidRPr="00E42B8C" w:rsidRDefault="002B37FE" w:rsidP="002B37FE">
            <w:pPr>
              <w:spacing w:after="0" w:line="240" w:lineRule="auto"/>
              <w:rPr>
                <w:rFonts w:asciiTheme="minorHAnsi" w:eastAsia="Times New Roman" w:hAnsiTheme="minorHAnsi" w:cstheme="minorHAnsi"/>
                <w:color w:val="000000"/>
                <w:sz w:val="20"/>
                <w:szCs w:val="20"/>
              </w:rPr>
            </w:pPr>
            <w:r w:rsidRPr="00E42B8C">
              <w:rPr>
                <w:rFonts w:asciiTheme="minorHAnsi" w:eastAsia="Times New Roman" w:hAnsiTheme="minorHAnsi" w:cstheme="minorHAnsi"/>
                <w:color w:val="000000"/>
                <w:sz w:val="20"/>
                <w:szCs w:val="20"/>
              </w:rPr>
              <w:t>Native American</w:t>
            </w:r>
          </w:p>
        </w:tc>
        <w:tc>
          <w:tcPr>
            <w:tcW w:w="1079" w:type="dxa"/>
            <w:tcBorders>
              <w:top w:val="nil"/>
              <w:left w:val="single" w:sz="4" w:space="0" w:color="auto"/>
              <w:bottom w:val="nil"/>
              <w:right w:val="nil"/>
            </w:tcBorders>
            <w:shd w:val="clear" w:color="auto" w:fill="auto"/>
            <w:noWrap/>
            <w:vAlign w:val="center"/>
            <w:hideMark/>
          </w:tcPr>
          <w:p w14:paraId="1652C696"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25</w:t>
            </w:r>
          </w:p>
        </w:tc>
        <w:tc>
          <w:tcPr>
            <w:tcW w:w="1093" w:type="dxa"/>
            <w:gridSpan w:val="2"/>
            <w:tcBorders>
              <w:top w:val="nil"/>
              <w:left w:val="nil"/>
              <w:bottom w:val="nil"/>
              <w:right w:val="nil"/>
            </w:tcBorders>
            <w:shd w:val="clear" w:color="auto" w:fill="auto"/>
            <w:noWrap/>
            <w:vAlign w:val="center"/>
            <w:hideMark/>
          </w:tcPr>
          <w:p w14:paraId="009924BD"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0.2%</w:t>
            </w:r>
          </w:p>
        </w:tc>
        <w:tc>
          <w:tcPr>
            <w:tcW w:w="1079" w:type="dxa"/>
            <w:tcBorders>
              <w:top w:val="nil"/>
              <w:left w:val="nil"/>
              <w:bottom w:val="nil"/>
              <w:right w:val="nil"/>
            </w:tcBorders>
            <w:shd w:val="clear" w:color="auto" w:fill="auto"/>
            <w:noWrap/>
            <w:vAlign w:val="center"/>
            <w:hideMark/>
          </w:tcPr>
          <w:p w14:paraId="0E231BA3"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39</w:t>
            </w:r>
          </w:p>
        </w:tc>
        <w:tc>
          <w:tcPr>
            <w:tcW w:w="1093" w:type="dxa"/>
            <w:tcBorders>
              <w:top w:val="nil"/>
              <w:left w:val="nil"/>
              <w:bottom w:val="nil"/>
              <w:right w:val="nil"/>
            </w:tcBorders>
            <w:shd w:val="clear" w:color="auto" w:fill="auto"/>
            <w:noWrap/>
            <w:vAlign w:val="center"/>
            <w:hideMark/>
          </w:tcPr>
          <w:p w14:paraId="73E7FFCC"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0.3%</w:t>
            </w:r>
          </w:p>
        </w:tc>
        <w:tc>
          <w:tcPr>
            <w:tcW w:w="1079" w:type="dxa"/>
            <w:tcBorders>
              <w:top w:val="nil"/>
              <w:left w:val="nil"/>
              <w:bottom w:val="nil"/>
              <w:right w:val="nil"/>
            </w:tcBorders>
            <w:shd w:val="clear" w:color="auto" w:fill="auto"/>
            <w:noWrap/>
            <w:vAlign w:val="center"/>
            <w:hideMark/>
          </w:tcPr>
          <w:p w14:paraId="264D3AAC"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43</w:t>
            </w:r>
          </w:p>
        </w:tc>
        <w:tc>
          <w:tcPr>
            <w:tcW w:w="1093" w:type="dxa"/>
            <w:gridSpan w:val="2"/>
            <w:tcBorders>
              <w:top w:val="nil"/>
              <w:left w:val="nil"/>
              <w:bottom w:val="nil"/>
              <w:right w:val="nil"/>
            </w:tcBorders>
            <w:shd w:val="clear" w:color="auto" w:fill="auto"/>
            <w:noWrap/>
            <w:vAlign w:val="center"/>
            <w:hideMark/>
          </w:tcPr>
          <w:p w14:paraId="7BD09699"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0.30%</w:t>
            </w:r>
          </w:p>
        </w:tc>
        <w:tc>
          <w:tcPr>
            <w:tcW w:w="1162" w:type="dxa"/>
            <w:tcBorders>
              <w:top w:val="nil"/>
              <w:left w:val="nil"/>
              <w:bottom w:val="nil"/>
              <w:right w:val="nil"/>
            </w:tcBorders>
            <w:vAlign w:val="center"/>
          </w:tcPr>
          <w:p w14:paraId="0C2E5BAE"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42</w:t>
            </w:r>
          </w:p>
        </w:tc>
        <w:tc>
          <w:tcPr>
            <w:tcW w:w="1158" w:type="dxa"/>
            <w:tcBorders>
              <w:top w:val="nil"/>
              <w:left w:val="nil"/>
              <w:bottom w:val="nil"/>
            </w:tcBorders>
            <w:vAlign w:val="center"/>
          </w:tcPr>
          <w:p w14:paraId="697FCB7F"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0.3%</w:t>
            </w:r>
          </w:p>
        </w:tc>
      </w:tr>
      <w:tr w:rsidR="002B37FE" w:rsidRPr="009749B5" w14:paraId="1D2092A4" w14:textId="77777777" w:rsidTr="00CC7628">
        <w:trPr>
          <w:cantSplit/>
          <w:trHeight w:val="300"/>
          <w:jc w:val="center"/>
        </w:trPr>
        <w:tc>
          <w:tcPr>
            <w:tcW w:w="2124" w:type="dxa"/>
            <w:tcBorders>
              <w:top w:val="nil"/>
              <w:bottom w:val="nil"/>
              <w:right w:val="single" w:sz="4" w:space="0" w:color="auto"/>
            </w:tcBorders>
            <w:shd w:val="clear" w:color="auto" w:fill="auto"/>
            <w:noWrap/>
            <w:vAlign w:val="center"/>
            <w:hideMark/>
          </w:tcPr>
          <w:p w14:paraId="54DE02EE" w14:textId="77777777" w:rsidR="002B37FE" w:rsidRPr="00E42B8C" w:rsidRDefault="002B37FE" w:rsidP="002B37FE">
            <w:pPr>
              <w:spacing w:after="0" w:line="240" w:lineRule="auto"/>
              <w:rPr>
                <w:rFonts w:asciiTheme="minorHAnsi" w:eastAsia="Times New Roman" w:hAnsiTheme="minorHAnsi" w:cstheme="minorHAnsi"/>
                <w:color w:val="000000"/>
                <w:sz w:val="20"/>
                <w:szCs w:val="20"/>
              </w:rPr>
            </w:pPr>
            <w:r w:rsidRPr="00E42B8C">
              <w:rPr>
                <w:rFonts w:asciiTheme="minorHAnsi" w:eastAsia="Times New Roman" w:hAnsiTheme="minorHAnsi" w:cstheme="minorHAnsi"/>
                <w:color w:val="000000"/>
                <w:sz w:val="20"/>
                <w:szCs w:val="20"/>
              </w:rPr>
              <w:t>Other</w:t>
            </w:r>
          </w:p>
        </w:tc>
        <w:tc>
          <w:tcPr>
            <w:tcW w:w="1079" w:type="dxa"/>
            <w:tcBorders>
              <w:top w:val="nil"/>
              <w:left w:val="single" w:sz="4" w:space="0" w:color="auto"/>
              <w:bottom w:val="nil"/>
              <w:right w:val="nil"/>
            </w:tcBorders>
            <w:shd w:val="clear" w:color="auto" w:fill="auto"/>
            <w:noWrap/>
            <w:vAlign w:val="center"/>
            <w:hideMark/>
          </w:tcPr>
          <w:p w14:paraId="64234C76"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1,358</w:t>
            </w:r>
          </w:p>
        </w:tc>
        <w:tc>
          <w:tcPr>
            <w:tcW w:w="1093" w:type="dxa"/>
            <w:gridSpan w:val="2"/>
            <w:tcBorders>
              <w:top w:val="nil"/>
              <w:left w:val="nil"/>
              <w:bottom w:val="nil"/>
              <w:right w:val="nil"/>
            </w:tcBorders>
            <w:shd w:val="clear" w:color="auto" w:fill="auto"/>
            <w:noWrap/>
            <w:vAlign w:val="center"/>
            <w:hideMark/>
          </w:tcPr>
          <w:p w14:paraId="39392934"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10.8%</w:t>
            </w:r>
          </w:p>
        </w:tc>
        <w:tc>
          <w:tcPr>
            <w:tcW w:w="1079" w:type="dxa"/>
            <w:tcBorders>
              <w:top w:val="nil"/>
              <w:left w:val="nil"/>
              <w:bottom w:val="nil"/>
              <w:right w:val="nil"/>
            </w:tcBorders>
            <w:shd w:val="clear" w:color="auto" w:fill="auto"/>
            <w:noWrap/>
            <w:vAlign w:val="center"/>
            <w:hideMark/>
          </w:tcPr>
          <w:p w14:paraId="60EE7DAA"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1,328</w:t>
            </w:r>
          </w:p>
        </w:tc>
        <w:tc>
          <w:tcPr>
            <w:tcW w:w="1093" w:type="dxa"/>
            <w:tcBorders>
              <w:top w:val="nil"/>
              <w:left w:val="nil"/>
              <w:bottom w:val="nil"/>
              <w:right w:val="nil"/>
            </w:tcBorders>
            <w:shd w:val="clear" w:color="auto" w:fill="auto"/>
            <w:noWrap/>
            <w:vAlign w:val="center"/>
            <w:hideMark/>
          </w:tcPr>
          <w:p w14:paraId="3857D16D"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10.1%</w:t>
            </w:r>
          </w:p>
        </w:tc>
        <w:tc>
          <w:tcPr>
            <w:tcW w:w="1079" w:type="dxa"/>
            <w:tcBorders>
              <w:top w:val="nil"/>
              <w:left w:val="nil"/>
              <w:bottom w:val="nil"/>
              <w:right w:val="nil"/>
            </w:tcBorders>
            <w:shd w:val="clear" w:color="auto" w:fill="auto"/>
            <w:noWrap/>
            <w:vAlign w:val="center"/>
            <w:hideMark/>
          </w:tcPr>
          <w:p w14:paraId="1C0A274E"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929</w:t>
            </w:r>
          </w:p>
        </w:tc>
        <w:tc>
          <w:tcPr>
            <w:tcW w:w="1093" w:type="dxa"/>
            <w:gridSpan w:val="2"/>
            <w:tcBorders>
              <w:top w:val="nil"/>
              <w:left w:val="nil"/>
              <w:bottom w:val="nil"/>
              <w:right w:val="nil"/>
            </w:tcBorders>
            <w:shd w:val="clear" w:color="auto" w:fill="auto"/>
            <w:noWrap/>
            <w:vAlign w:val="center"/>
            <w:hideMark/>
          </w:tcPr>
          <w:p w14:paraId="4C92939B"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6.50%</w:t>
            </w:r>
          </w:p>
        </w:tc>
        <w:tc>
          <w:tcPr>
            <w:tcW w:w="1162" w:type="dxa"/>
            <w:tcBorders>
              <w:top w:val="nil"/>
              <w:left w:val="nil"/>
              <w:bottom w:val="nil"/>
              <w:right w:val="nil"/>
            </w:tcBorders>
            <w:vAlign w:val="center"/>
          </w:tcPr>
          <w:p w14:paraId="2E358AF5"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745</w:t>
            </w:r>
          </w:p>
        </w:tc>
        <w:tc>
          <w:tcPr>
            <w:tcW w:w="1158" w:type="dxa"/>
            <w:tcBorders>
              <w:top w:val="nil"/>
              <w:left w:val="nil"/>
              <w:bottom w:val="nil"/>
            </w:tcBorders>
            <w:vAlign w:val="center"/>
          </w:tcPr>
          <w:p w14:paraId="5720B730"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4.8%</w:t>
            </w:r>
          </w:p>
        </w:tc>
      </w:tr>
      <w:tr w:rsidR="002B37FE" w:rsidRPr="009749B5" w14:paraId="6DB020F8" w14:textId="77777777" w:rsidTr="00CC7628">
        <w:trPr>
          <w:cantSplit/>
          <w:trHeight w:val="300"/>
          <w:jc w:val="center"/>
        </w:trPr>
        <w:tc>
          <w:tcPr>
            <w:tcW w:w="2124" w:type="dxa"/>
            <w:tcBorders>
              <w:top w:val="nil"/>
              <w:right w:val="single" w:sz="4" w:space="0" w:color="auto"/>
            </w:tcBorders>
            <w:shd w:val="clear" w:color="auto" w:fill="auto"/>
            <w:noWrap/>
            <w:vAlign w:val="center"/>
            <w:hideMark/>
          </w:tcPr>
          <w:p w14:paraId="05A66E21" w14:textId="77777777" w:rsidR="002B37FE" w:rsidRPr="00E42B8C" w:rsidRDefault="002B37FE" w:rsidP="002B37FE">
            <w:pPr>
              <w:spacing w:after="0" w:line="240" w:lineRule="auto"/>
              <w:rPr>
                <w:rFonts w:asciiTheme="minorHAnsi" w:eastAsia="Times New Roman" w:hAnsiTheme="minorHAnsi" w:cstheme="minorHAnsi"/>
                <w:color w:val="000000"/>
                <w:sz w:val="20"/>
                <w:szCs w:val="20"/>
              </w:rPr>
            </w:pPr>
            <w:r w:rsidRPr="00E42B8C">
              <w:rPr>
                <w:rFonts w:asciiTheme="minorHAnsi" w:eastAsia="Times New Roman" w:hAnsiTheme="minorHAnsi" w:cstheme="minorHAnsi"/>
                <w:color w:val="000000"/>
                <w:sz w:val="20"/>
                <w:szCs w:val="20"/>
              </w:rPr>
              <w:t>Declined</w:t>
            </w:r>
          </w:p>
        </w:tc>
        <w:tc>
          <w:tcPr>
            <w:tcW w:w="1079" w:type="dxa"/>
            <w:tcBorders>
              <w:top w:val="nil"/>
              <w:left w:val="single" w:sz="4" w:space="0" w:color="auto"/>
              <w:right w:val="nil"/>
            </w:tcBorders>
            <w:shd w:val="clear" w:color="auto" w:fill="auto"/>
            <w:noWrap/>
            <w:vAlign w:val="center"/>
            <w:hideMark/>
          </w:tcPr>
          <w:p w14:paraId="5CDBA594"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377</w:t>
            </w:r>
          </w:p>
        </w:tc>
        <w:tc>
          <w:tcPr>
            <w:tcW w:w="1093" w:type="dxa"/>
            <w:gridSpan w:val="2"/>
            <w:tcBorders>
              <w:top w:val="nil"/>
              <w:left w:val="nil"/>
              <w:right w:val="nil"/>
            </w:tcBorders>
            <w:shd w:val="clear" w:color="auto" w:fill="auto"/>
            <w:noWrap/>
            <w:vAlign w:val="center"/>
            <w:hideMark/>
          </w:tcPr>
          <w:p w14:paraId="716C0471"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3.0%</w:t>
            </w:r>
          </w:p>
        </w:tc>
        <w:tc>
          <w:tcPr>
            <w:tcW w:w="1079" w:type="dxa"/>
            <w:tcBorders>
              <w:top w:val="nil"/>
              <w:left w:val="nil"/>
              <w:right w:val="nil"/>
            </w:tcBorders>
            <w:shd w:val="clear" w:color="auto" w:fill="auto"/>
            <w:noWrap/>
            <w:vAlign w:val="center"/>
            <w:hideMark/>
          </w:tcPr>
          <w:p w14:paraId="57F34F8C"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394</w:t>
            </w:r>
          </w:p>
        </w:tc>
        <w:tc>
          <w:tcPr>
            <w:tcW w:w="1093" w:type="dxa"/>
            <w:tcBorders>
              <w:top w:val="nil"/>
              <w:left w:val="nil"/>
              <w:right w:val="nil"/>
            </w:tcBorders>
            <w:shd w:val="clear" w:color="auto" w:fill="auto"/>
            <w:noWrap/>
            <w:vAlign w:val="center"/>
            <w:hideMark/>
          </w:tcPr>
          <w:p w14:paraId="2C3F884D"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3.0%</w:t>
            </w:r>
          </w:p>
        </w:tc>
        <w:tc>
          <w:tcPr>
            <w:tcW w:w="1079" w:type="dxa"/>
            <w:tcBorders>
              <w:top w:val="nil"/>
              <w:left w:val="nil"/>
              <w:right w:val="nil"/>
            </w:tcBorders>
            <w:shd w:val="clear" w:color="auto" w:fill="auto"/>
            <w:noWrap/>
            <w:vAlign w:val="center"/>
            <w:hideMark/>
          </w:tcPr>
          <w:p w14:paraId="1C5CAEAB"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472</w:t>
            </w:r>
          </w:p>
        </w:tc>
        <w:tc>
          <w:tcPr>
            <w:tcW w:w="1093" w:type="dxa"/>
            <w:gridSpan w:val="2"/>
            <w:tcBorders>
              <w:top w:val="nil"/>
              <w:left w:val="nil"/>
              <w:right w:val="nil"/>
            </w:tcBorders>
            <w:shd w:val="clear" w:color="auto" w:fill="auto"/>
            <w:noWrap/>
            <w:vAlign w:val="center"/>
            <w:hideMark/>
          </w:tcPr>
          <w:p w14:paraId="2AA58E8B"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3.30%</w:t>
            </w:r>
          </w:p>
        </w:tc>
        <w:tc>
          <w:tcPr>
            <w:tcW w:w="1162" w:type="dxa"/>
            <w:tcBorders>
              <w:top w:val="nil"/>
              <w:left w:val="nil"/>
              <w:right w:val="nil"/>
            </w:tcBorders>
            <w:vAlign w:val="center"/>
          </w:tcPr>
          <w:p w14:paraId="2C5A3BB8"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747</w:t>
            </w:r>
          </w:p>
        </w:tc>
        <w:tc>
          <w:tcPr>
            <w:tcW w:w="1158" w:type="dxa"/>
            <w:tcBorders>
              <w:top w:val="nil"/>
              <w:left w:val="nil"/>
            </w:tcBorders>
            <w:vAlign w:val="center"/>
          </w:tcPr>
          <w:p w14:paraId="1CB1D7CA" w14:textId="77777777" w:rsidR="002B37FE" w:rsidRPr="00E42B8C" w:rsidRDefault="002B37FE" w:rsidP="002B37FE">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4.9%</w:t>
            </w:r>
          </w:p>
        </w:tc>
      </w:tr>
    </w:tbl>
    <w:p w14:paraId="18EDB9F7" w14:textId="77777777" w:rsidR="00F20199" w:rsidRDefault="00F20199" w:rsidP="00F20199">
      <w:pPr>
        <w:rPr>
          <w:rFonts w:cstheme="minorHAnsi"/>
          <w:szCs w:val="24"/>
        </w:rPr>
      </w:pPr>
    </w:p>
    <w:p w14:paraId="7303F38C" w14:textId="77777777" w:rsidR="00F20199" w:rsidRDefault="00F20199" w:rsidP="00F20199">
      <w:pPr>
        <w:rPr>
          <w:rFonts w:cstheme="minorHAnsi"/>
          <w:szCs w:val="24"/>
        </w:rPr>
      </w:pPr>
    </w:p>
    <w:p w14:paraId="04CBACC7" w14:textId="77777777" w:rsidR="00F20199" w:rsidRDefault="00F20199" w:rsidP="00F20199">
      <w:pPr>
        <w:rPr>
          <w:rFonts w:cstheme="minorHAnsi"/>
          <w:szCs w:val="24"/>
        </w:rPr>
      </w:pPr>
    </w:p>
    <w:p w14:paraId="0F25C164" w14:textId="77777777" w:rsidR="00E42B8C" w:rsidRDefault="00E42B8C" w:rsidP="00F20199">
      <w:pPr>
        <w:rPr>
          <w:rFonts w:cstheme="minorHAnsi"/>
          <w:szCs w:val="24"/>
        </w:rPr>
      </w:pPr>
    </w:p>
    <w:p w14:paraId="1088FC08" w14:textId="77777777" w:rsidR="00E42B8C" w:rsidRDefault="00E42B8C" w:rsidP="00F20199">
      <w:pPr>
        <w:rPr>
          <w:rFonts w:cstheme="minorHAnsi"/>
          <w:szCs w:val="24"/>
        </w:rPr>
      </w:pPr>
    </w:p>
    <w:p w14:paraId="23C00A6D" w14:textId="77777777" w:rsidR="00E42B8C" w:rsidRDefault="00E42B8C" w:rsidP="00F20199">
      <w:pPr>
        <w:rPr>
          <w:rFonts w:cstheme="minorHAnsi"/>
          <w:szCs w:val="24"/>
        </w:rPr>
      </w:pPr>
    </w:p>
    <w:p w14:paraId="2BE708C3" w14:textId="55D4D525" w:rsidR="00F20199" w:rsidRDefault="00F20199" w:rsidP="00F20199">
      <w:pPr>
        <w:pStyle w:val="ListParagraph"/>
        <w:jc w:val="center"/>
        <w:rPr>
          <w:rFonts w:cstheme="minorHAnsi"/>
          <w:b/>
          <w:sz w:val="24"/>
          <w:szCs w:val="24"/>
        </w:rPr>
      </w:pPr>
      <w:r w:rsidRPr="00834B76">
        <w:rPr>
          <w:rFonts w:cstheme="minorHAnsi"/>
          <w:b/>
          <w:sz w:val="24"/>
          <w:szCs w:val="24"/>
        </w:rPr>
        <w:t xml:space="preserve">Table </w:t>
      </w:r>
      <w:r>
        <w:rPr>
          <w:rFonts w:cstheme="minorHAnsi"/>
          <w:b/>
          <w:sz w:val="24"/>
          <w:szCs w:val="24"/>
        </w:rPr>
        <w:t>5</w:t>
      </w:r>
      <w:r w:rsidRPr="00834B76">
        <w:rPr>
          <w:rFonts w:cstheme="minorHAnsi"/>
          <w:b/>
          <w:sz w:val="24"/>
          <w:szCs w:val="24"/>
        </w:rPr>
        <w:t xml:space="preserve">. </w:t>
      </w:r>
      <w:r>
        <w:rPr>
          <w:rFonts w:cstheme="minorHAnsi"/>
          <w:b/>
          <w:sz w:val="24"/>
          <w:szCs w:val="24"/>
        </w:rPr>
        <w:t>Surgical Patients – Counties</w:t>
      </w:r>
      <w:r w:rsidR="00943C78">
        <w:rPr>
          <w:rStyle w:val="FootnoteReference"/>
          <w:rFonts w:cstheme="minorHAnsi"/>
          <w:b/>
          <w:sz w:val="24"/>
          <w:szCs w:val="24"/>
        </w:rPr>
        <w:footnoteReference w:id="41"/>
      </w:r>
      <w:r w:rsidR="00943C78" w:rsidRPr="00C41EEC">
        <w:rPr>
          <w:rFonts w:cstheme="minorHAnsi"/>
          <w:b/>
          <w:sz w:val="24"/>
          <w:szCs w:val="24"/>
          <w:vertAlign w:val="superscript"/>
        </w:rPr>
        <w:t>,</w:t>
      </w:r>
      <w:r>
        <w:rPr>
          <w:rStyle w:val="FootnoteReference"/>
          <w:rFonts w:cstheme="minorHAnsi"/>
          <w:b/>
          <w:sz w:val="24"/>
          <w:szCs w:val="24"/>
        </w:rPr>
        <w:footnoteReference w:id="42"/>
      </w:r>
    </w:p>
    <w:p w14:paraId="5947F296" w14:textId="77777777" w:rsidR="00F20199" w:rsidRPr="00834B76" w:rsidRDefault="00F20199" w:rsidP="00F20199">
      <w:pPr>
        <w:pStyle w:val="ListParagraph"/>
        <w:jc w:val="center"/>
        <w:rPr>
          <w:rFonts w:cstheme="minorHAnsi"/>
          <w:b/>
          <w:sz w:val="24"/>
          <w:szCs w:val="24"/>
        </w:rPr>
      </w:pPr>
    </w:p>
    <w:tbl>
      <w:tblPr>
        <w:tblW w:w="11605" w:type="dxa"/>
        <w:jc w:val="center"/>
        <w:tblLook w:val="04A0" w:firstRow="1" w:lastRow="0" w:firstColumn="1" w:lastColumn="0" w:noHBand="0" w:noVBand="1"/>
      </w:tblPr>
      <w:tblGrid>
        <w:gridCol w:w="1885"/>
        <w:gridCol w:w="1170"/>
        <w:gridCol w:w="1260"/>
        <w:gridCol w:w="1273"/>
        <w:gridCol w:w="1337"/>
        <w:gridCol w:w="1080"/>
        <w:gridCol w:w="1260"/>
        <w:gridCol w:w="1080"/>
        <w:gridCol w:w="1260"/>
      </w:tblGrid>
      <w:tr w:rsidR="006B0D6D" w:rsidRPr="00A77BD5" w14:paraId="572CD28E" w14:textId="77777777" w:rsidTr="006B0D6D">
        <w:trPr>
          <w:cantSplit/>
          <w:trHeight w:val="143"/>
          <w:tblHeader/>
          <w:jc w:val="center"/>
        </w:trPr>
        <w:tc>
          <w:tcPr>
            <w:tcW w:w="188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383244DA" w14:textId="10572A36" w:rsidR="006B0D6D" w:rsidRPr="00E42B8C" w:rsidRDefault="006B0D6D" w:rsidP="006B0D6D">
            <w:pPr>
              <w:spacing w:after="0" w:line="240" w:lineRule="auto"/>
              <w:rPr>
                <w:rFonts w:ascii="Calibri" w:eastAsia="Times New Roman" w:hAnsi="Calibri" w:cs="Calibri"/>
                <w:b/>
                <w:bCs/>
                <w:color w:val="000000"/>
                <w:sz w:val="22"/>
              </w:rPr>
            </w:pPr>
          </w:p>
        </w:tc>
        <w:tc>
          <w:tcPr>
            <w:tcW w:w="1170" w:type="dxa"/>
            <w:tcBorders>
              <w:top w:val="single" w:sz="4" w:space="0" w:color="auto"/>
              <w:left w:val="nil"/>
              <w:bottom w:val="single" w:sz="4" w:space="0" w:color="auto"/>
            </w:tcBorders>
            <w:shd w:val="clear" w:color="auto" w:fill="BDD6EE" w:themeFill="accent1" w:themeFillTint="66"/>
            <w:noWrap/>
            <w:vAlign w:val="bottom"/>
            <w:hideMark/>
          </w:tcPr>
          <w:p w14:paraId="0340387C" w14:textId="77777777" w:rsidR="006B0D6D" w:rsidRPr="00E42B8C" w:rsidRDefault="006B0D6D" w:rsidP="006B0D6D">
            <w:pPr>
              <w:spacing w:after="0" w:line="240" w:lineRule="auto"/>
              <w:jc w:val="center"/>
              <w:rPr>
                <w:rFonts w:ascii="Calibri" w:eastAsia="Times New Roman" w:hAnsi="Calibri" w:cs="Calibri"/>
                <w:b/>
                <w:bCs/>
                <w:color w:val="000000"/>
                <w:sz w:val="22"/>
              </w:rPr>
            </w:pPr>
            <w:r w:rsidRPr="00E42B8C">
              <w:rPr>
                <w:rFonts w:ascii="Calibri" w:eastAsia="Times New Roman" w:hAnsi="Calibri" w:cs="Calibri"/>
                <w:b/>
                <w:bCs/>
                <w:color w:val="000000"/>
                <w:sz w:val="22"/>
              </w:rPr>
              <w:t>CY 2020</w:t>
            </w:r>
          </w:p>
        </w:tc>
        <w:tc>
          <w:tcPr>
            <w:tcW w:w="1260" w:type="dxa"/>
            <w:tcBorders>
              <w:top w:val="single" w:sz="4" w:space="0" w:color="auto"/>
              <w:left w:val="nil"/>
              <w:bottom w:val="single" w:sz="4" w:space="0" w:color="auto"/>
              <w:right w:val="single" w:sz="4" w:space="0" w:color="auto"/>
            </w:tcBorders>
            <w:shd w:val="clear" w:color="auto" w:fill="BDD6EE" w:themeFill="accent1" w:themeFillTint="66"/>
            <w:vAlign w:val="bottom"/>
          </w:tcPr>
          <w:p w14:paraId="7B88294C" w14:textId="163A62B8" w:rsidR="006B0D6D" w:rsidRPr="00E42B8C" w:rsidRDefault="006B0D6D" w:rsidP="006B0D6D">
            <w:pPr>
              <w:spacing w:after="0" w:line="240" w:lineRule="auto"/>
              <w:jc w:val="center"/>
              <w:rPr>
                <w:rFonts w:ascii="Calibri" w:eastAsia="Times New Roman" w:hAnsi="Calibri" w:cs="Calibri"/>
                <w:b/>
                <w:bCs/>
                <w:color w:val="000000"/>
                <w:sz w:val="22"/>
              </w:rPr>
            </w:pPr>
            <w:r w:rsidRPr="00E42B8C">
              <w:rPr>
                <w:rFonts w:ascii="Calibri" w:eastAsia="Times New Roman" w:hAnsi="Calibri" w:cs="Calibri"/>
                <w:b/>
                <w:bCs/>
                <w:color w:val="000000"/>
                <w:sz w:val="22"/>
              </w:rPr>
              <w:t>CY 2020</w:t>
            </w:r>
          </w:p>
        </w:tc>
        <w:tc>
          <w:tcPr>
            <w:tcW w:w="1273" w:type="dxa"/>
            <w:tcBorders>
              <w:top w:val="single" w:sz="4" w:space="0" w:color="auto"/>
              <w:left w:val="nil"/>
              <w:bottom w:val="single" w:sz="4" w:space="0" w:color="auto"/>
            </w:tcBorders>
            <w:shd w:val="clear" w:color="auto" w:fill="BDD6EE" w:themeFill="accent1" w:themeFillTint="66"/>
            <w:noWrap/>
            <w:vAlign w:val="bottom"/>
            <w:hideMark/>
          </w:tcPr>
          <w:p w14:paraId="43726BDE" w14:textId="77777777" w:rsidR="006B0D6D" w:rsidRPr="00E42B8C" w:rsidRDefault="006B0D6D" w:rsidP="006B0D6D">
            <w:pPr>
              <w:spacing w:after="0" w:line="240" w:lineRule="auto"/>
              <w:jc w:val="center"/>
              <w:rPr>
                <w:rFonts w:ascii="Calibri" w:eastAsia="Times New Roman" w:hAnsi="Calibri" w:cs="Calibri"/>
                <w:b/>
                <w:bCs/>
                <w:color w:val="000000"/>
                <w:sz w:val="22"/>
              </w:rPr>
            </w:pPr>
            <w:r w:rsidRPr="00E42B8C">
              <w:rPr>
                <w:rFonts w:ascii="Calibri" w:eastAsia="Times New Roman" w:hAnsi="Calibri" w:cs="Calibri"/>
                <w:b/>
                <w:bCs/>
                <w:color w:val="000000"/>
                <w:sz w:val="22"/>
              </w:rPr>
              <w:t>CY 2021</w:t>
            </w:r>
          </w:p>
        </w:tc>
        <w:tc>
          <w:tcPr>
            <w:tcW w:w="1337" w:type="dxa"/>
            <w:tcBorders>
              <w:top w:val="single" w:sz="4" w:space="0" w:color="auto"/>
              <w:left w:val="nil"/>
              <w:bottom w:val="single" w:sz="4" w:space="0" w:color="auto"/>
              <w:right w:val="single" w:sz="4" w:space="0" w:color="auto"/>
            </w:tcBorders>
            <w:shd w:val="clear" w:color="auto" w:fill="BDD6EE" w:themeFill="accent1" w:themeFillTint="66"/>
            <w:vAlign w:val="bottom"/>
          </w:tcPr>
          <w:p w14:paraId="31A53B1A" w14:textId="3FC1B5F9" w:rsidR="006B0D6D" w:rsidRPr="00E42B8C" w:rsidRDefault="006B0D6D" w:rsidP="006B0D6D">
            <w:pPr>
              <w:spacing w:after="0" w:line="240" w:lineRule="auto"/>
              <w:jc w:val="center"/>
              <w:rPr>
                <w:rFonts w:ascii="Calibri" w:eastAsia="Times New Roman" w:hAnsi="Calibri" w:cs="Calibri"/>
                <w:b/>
                <w:bCs/>
                <w:color w:val="000000"/>
                <w:sz w:val="22"/>
              </w:rPr>
            </w:pPr>
            <w:r w:rsidRPr="00E42B8C">
              <w:rPr>
                <w:rFonts w:ascii="Calibri" w:eastAsia="Times New Roman" w:hAnsi="Calibri" w:cs="Calibri"/>
                <w:b/>
                <w:bCs/>
                <w:color w:val="000000"/>
                <w:sz w:val="22"/>
              </w:rPr>
              <w:t>CY 2021</w:t>
            </w:r>
          </w:p>
        </w:tc>
        <w:tc>
          <w:tcPr>
            <w:tcW w:w="1080" w:type="dxa"/>
            <w:tcBorders>
              <w:top w:val="single" w:sz="4" w:space="0" w:color="auto"/>
              <w:left w:val="nil"/>
              <w:bottom w:val="single" w:sz="4" w:space="0" w:color="auto"/>
            </w:tcBorders>
            <w:shd w:val="clear" w:color="auto" w:fill="BDD6EE" w:themeFill="accent1" w:themeFillTint="66"/>
            <w:noWrap/>
            <w:vAlign w:val="bottom"/>
            <w:hideMark/>
          </w:tcPr>
          <w:p w14:paraId="0473F653" w14:textId="77777777" w:rsidR="006B0D6D" w:rsidRPr="00E42B8C" w:rsidRDefault="006B0D6D" w:rsidP="006B0D6D">
            <w:pPr>
              <w:spacing w:after="0" w:line="240" w:lineRule="auto"/>
              <w:jc w:val="center"/>
              <w:rPr>
                <w:rFonts w:ascii="Calibri" w:eastAsia="Times New Roman" w:hAnsi="Calibri" w:cs="Calibri"/>
                <w:b/>
                <w:bCs/>
                <w:color w:val="000000"/>
                <w:sz w:val="22"/>
              </w:rPr>
            </w:pPr>
            <w:r w:rsidRPr="00E42B8C">
              <w:rPr>
                <w:rFonts w:ascii="Calibri" w:eastAsia="Times New Roman" w:hAnsi="Calibri" w:cs="Calibri"/>
                <w:b/>
                <w:bCs/>
                <w:color w:val="000000"/>
                <w:sz w:val="22"/>
              </w:rPr>
              <w:t>CY 2022</w:t>
            </w:r>
          </w:p>
        </w:tc>
        <w:tc>
          <w:tcPr>
            <w:tcW w:w="1260" w:type="dxa"/>
            <w:tcBorders>
              <w:top w:val="single" w:sz="4" w:space="0" w:color="auto"/>
              <w:left w:val="nil"/>
              <w:bottom w:val="single" w:sz="4" w:space="0" w:color="auto"/>
              <w:right w:val="single" w:sz="4" w:space="0" w:color="auto"/>
            </w:tcBorders>
            <w:shd w:val="clear" w:color="auto" w:fill="BDD6EE" w:themeFill="accent1" w:themeFillTint="66"/>
            <w:vAlign w:val="bottom"/>
          </w:tcPr>
          <w:p w14:paraId="2AD91CE7" w14:textId="0151416E" w:rsidR="006B0D6D" w:rsidRPr="00E42B8C" w:rsidRDefault="006B0D6D" w:rsidP="006B0D6D">
            <w:pPr>
              <w:spacing w:after="0" w:line="240" w:lineRule="auto"/>
              <w:jc w:val="center"/>
              <w:rPr>
                <w:rFonts w:ascii="Calibri" w:eastAsia="Times New Roman" w:hAnsi="Calibri" w:cs="Calibri"/>
                <w:b/>
                <w:bCs/>
                <w:color w:val="000000"/>
                <w:sz w:val="22"/>
              </w:rPr>
            </w:pPr>
            <w:r w:rsidRPr="00E42B8C">
              <w:rPr>
                <w:rFonts w:ascii="Calibri" w:eastAsia="Times New Roman" w:hAnsi="Calibri" w:cs="Calibri"/>
                <w:b/>
                <w:bCs/>
                <w:color w:val="000000"/>
                <w:sz w:val="22"/>
              </w:rPr>
              <w:t>CY 2022</w:t>
            </w:r>
          </w:p>
        </w:tc>
        <w:tc>
          <w:tcPr>
            <w:tcW w:w="1080" w:type="dxa"/>
            <w:tcBorders>
              <w:top w:val="single" w:sz="4" w:space="0" w:color="auto"/>
              <w:left w:val="nil"/>
              <w:bottom w:val="single" w:sz="4" w:space="0" w:color="auto"/>
            </w:tcBorders>
            <w:shd w:val="clear" w:color="auto" w:fill="BDD6EE" w:themeFill="accent1" w:themeFillTint="66"/>
          </w:tcPr>
          <w:p w14:paraId="293CCDF1" w14:textId="77777777" w:rsidR="006B0D6D" w:rsidRPr="00E42B8C" w:rsidRDefault="006B0D6D" w:rsidP="006B0D6D">
            <w:pPr>
              <w:spacing w:after="0" w:line="240" w:lineRule="auto"/>
              <w:jc w:val="center"/>
              <w:rPr>
                <w:rFonts w:ascii="Calibri" w:eastAsia="Times New Roman" w:hAnsi="Calibri" w:cs="Calibri"/>
                <w:b/>
                <w:bCs/>
                <w:color w:val="000000"/>
                <w:sz w:val="22"/>
              </w:rPr>
            </w:pPr>
            <w:r w:rsidRPr="00E42B8C">
              <w:rPr>
                <w:rFonts w:ascii="Calibri" w:eastAsia="Times New Roman" w:hAnsi="Calibri" w:cs="Calibri"/>
                <w:b/>
                <w:bCs/>
                <w:color w:val="000000"/>
                <w:sz w:val="22"/>
              </w:rPr>
              <w:t>CY 2023</w:t>
            </w:r>
          </w:p>
        </w:tc>
        <w:tc>
          <w:tcPr>
            <w:tcW w:w="1260" w:type="dxa"/>
            <w:tcBorders>
              <w:top w:val="single" w:sz="4" w:space="0" w:color="auto"/>
              <w:left w:val="nil"/>
              <w:bottom w:val="single" w:sz="4" w:space="0" w:color="auto"/>
              <w:right w:val="single" w:sz="4" w:space="0" w:color="auto"/>
            </w:tcBorders>
            <w:shd w:val="clear" w:color="auto" w:fill="BDD6EE" w:themeFill="accent1" w:themeFillTint="66"/>
          </w:tcPr>
          <w:p w14:paraId="66369631" w14:textId="515A97B2" w:rsidR="006B0D6D" w:rsidRPr="00E42B8C" w:rsidRDefault="006B0D6D" w:rsidP="006B0D6D">
            <w:pPr>
              <w:spacing w:after="0" w:line="240" w:lineRule="auto"/>
              <w:jc w:val="center"/>
              <w:rPr>
                <w:rFonts w:ascii="Calibri" w:eastAsia="Times New Roman" w:hAnsi="Calibri" w:cs="Calibri"/>
                <w:b/>
                <w:bCs/>
                <w:color w:val="000000"/>
                <w:sz w:val="22"/>
              </w:rPr>
            </w:pPr>
            <w:r w:rsidRPr="00E42B8C">
              <w:rPr>
                <w:rFonts w:ascii="Calibri" w:eastAsia="Times New Roman" w:hAnsi="Calibri" w:cs="Calibri"/>
                <w:b/>
                <w:bCs/>
                <w:color w:val="000000"/>
                <w:sz w:val="22"/>
              </w:rPr>
              <w:t>CY 2023</w:t>
            </w:r>
          </w:p>
        </w:tc>
      </w:tr>
      <w:tr w:rsidR="006B0D6D" w:rsidRPr="00A77BD5" w14:paraId="3B388A68" w14:textId="77777777" w:rsidTr="006B0D6D">
        <w:trPr>
          <w:cantSplit/>
          <w:trHeight w:val="260"/>
          <w:tblHeader/>
          <w:jc w:val="center"/>
        </w:trPr>
        <w:tc>
          <w:tcPr>
            <w:tcW w:w="1885"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6D967BFB" w14:textId="70CC59D9" w:rsidR="006B0D6D" w:rsidRPr="00E42B8C" w:rsidRDefault="006B0D6D" w:rsidP="006B0D6D">
            <w:pPr>
              <w:spacing w:after="0" w:line="240" w:lineRule="auto"/>
              <w:rPr>
                <w:rFonts w:ascii="Calibri" w:eastAsia="Times New Roman" w:hAnsi="Calibri" w:cs="Calibri"/>
                <w:b/>
                <w:bCs/>
                <w:color w:val="000000"/>
                <w:sz w:val="22"/>
              </w:rPr>
            </w:pPr>
            <w:r w:rsidRPr="00E42B8C">
              <w:rPr>
                <w:rFonts w:ascii="Calibri" w:eastAsia="Times New Roman" w:hAnsi="Calibri" w:cs="Calibri"/>
                <w:b/>
                <w:bCs/>
                <w:color w:val="000000"/>
                <w:sz w:val="22"/>
              </w:rPr>
              <w:t> County</w:t>
            </w:r>
          </w:p>
        </w:tc>
        <w:tc>
          <w:tcPr>
            <w:tcW w:w="1170" w:type="dxa"/>
            <w:tcBorders>
              <w:top w:val="nil"/>
              <w:left w:val="nil"/>
              <w:bottom w:val="single" w:sz="4" w:space="0" w:color="auto"/>
              <w:right w:val="single" w:sz="4" w:space="0" w:color="auto"/>
            </w:tcBorders>
            <w:shd w:val="clear" w:color="auto" w:fill="BDD6EE" w:themeFill="accent1" w:themeFillTint="66"/>
            <w:noWrap/>
            <w:vAlign w:val="center"/>
            <w:hideMark/>
          </w:tcPr>
          <w:p w14:paraId="411F49B0" w14:textId="77777777" w:rsidR="006B0D6D" w:rsidRPr="00E42B8C" w:rsidRDefault="006B0D6D" w:rsidP="006B0D6D">
            <w:pPr>
              <w:spacing w:after="0" w:line="240" w:lineRule="auto"/>
              <w:jc w:val="center"/>
              <w:rPr>
                <w:rFonts w:ascii="Calibri" w:eastAsia="Times New Roman" w:hAnsi="Calibri" w:cs="Calibri"/>
                <w:b/>
                <w:bCs/>
                <w:color w:val="000000"/>
                <w:sz w:val="22"/>
              </w:rPr>
            </w:pPr>
            <w:r w:rsidRPr="00E42B8C">
              <w:rPr>
                <w:rFonts w:ascii="Calibri" w:hAnsi="Calibri" w:cs="Calibri"/>
                <w:b/>
                <w:bCs/>
                <w:color w:val="000000"/>
                <w:sz w:val="22"/>
              </w:rPr>
              <w:t>Patients</w:t>
            </w:r>
          </w:p>
        </w:tc>
        <w:tc>
          <w:tcPr>
            <w:tcW w:w="1260" w:type="dxa"/>
            <w:tcBorders>
              <w:top w:val="nil"/>
              <w:left w:val="nil"/>
              <w:bottom w:val="single" w:sz="4" w:space="0" w:color="auto"/>
              <w:right w:val="single" w:sz="4" w:space="0" w:color="auto"/>
            </w:tcBorders>
            <w:shd w:val="clear" w:color="auto" w:fill="BDD6EE" w:themeFill="accent1" w:themeFillTint="66"/>
            <w:noWrap/>
            <w:vAlign w:val="center"/>
            <w:hideMark/>
          </w:tcPr>
          <w:p w14:paraId="685AC85D" w14:textId="77777777" w:rsidR="006B0D6D" w:rsidRPr="00E42B8C" w:rsidRDefault="006B0D6D" w:rsidP="006B0D6D">
            <w:pPr>
              <w:spacing w:after="0" w:line="240" w:lineRule="auto"/>
              <w:jc w:val="center"/>
              <w:rPr>
                <w:rFonts w:ascii="Calibri" w:eastAsia="Times New Roman" w:hAnsi="Calibri" w:cs="Calibri"/>
                <w:b/>
                <w:bCs/>
                <w:color w:val="000000"/>
                <w:sz w:val="22"/>
              </w:rPr>
            </w:pPr>
            <w:r w:rsidRPr="00E42B8C">
              <w:rPr>
                <w:rFonts w:ascii="Calibri" w:hAnsi="Calibri" w:cs="Calibri"/>
                <w:b/>
                <w:bCs/>
                <w:color w:val="000000"/>
                <w:sz w:val="22"/>
              </w:rPr>
              <w:t>% Patients</w:t>
            </w:r>
          </w:p>
        </w:tc>
        <w:tc>
          <w:tcPr>
            <w:tcW w:w="1273" w:type="dxa"/>
            <w:tcBorders>
              <w:top w:val="nil"/>
              <w:left w:val="nil"/>
              <w:bottom w:val="single" w:sz="4" w:space="0" w:color="auto"/>
              <w:right w:val="single" w:sz="4" w:space="0" w:color="auto"/>
            </w:tcBorders>
            <w:shd w:val="clear" w:color="auto" w:fill="BDD6EE" w:themeFill="accent1" w:themeFillTint="66"/>
            <w:noWrap/>
            <w:vAlign w:val="center"/>
            <w:hideMark/>
          </w:tcPr>
          <w:p w14:paraId="7DC59968" w14:textId="77777777" w:rsidR="006B0D6D" w:rsidRPr="00E42B8C" w:rsidRDefault="006B0D6D" w:rsidP="006B0D6D">
            <w:pPr>
              <w:spacing w:after="0" w:line="240" w:lineRule="auto"/>
              <w:jc w:val="center"/>
              <w:rPr>
                <w:rFonts w:ascii="Calibri" w:eastAsia="Times New Roman" w:hAnsi="Calibri" w:cs="Calibri"/>
                <w:b/>
                <w:bCs/>
                <w:color w:val="000000"/>
                <w:sz w:val="22"/>
              </w:rPr>
            </w:pPr>
            <w:r w:rsidRPr="00E42B8C">
              <w:rPr>
                <w:rFonts w:ascii="Calibri" w:hAnsi="Calibri" w:cs="Calibri"/>
                <w:b/>
                <w:bCs/>
                <w:color w:val="000000"/>
                <w:sz w:val="22"/>
              </w:rPr>
              <w:t>Patients</w:t>
            </w:r>
          </w:p>
        </w:tc>
        <w:tc>
          <w:tcPr>
            <w:tcW w:w="1337" w:type="dxa"/>
            <w:tcBorders>
              <w:top w:val="nil"/>
              <w:left w:val="nil"/>
              <w:bottom w:val="single" w:sz="4" w:space="0" w:color="auto"/>
              <w:right w:val="single" w:sz="4" w:space="0" w:color="auto"/>
            </w:tcBorders>
            <w:shd w:val="clear" w:color="auto" w:fill="BDD6EE" w:themeFill="accent1" w:themeFillTint="66"/>
            <w:noWrap/>
            <w:vAlign w:val="center"/>
            <w:hideMark/>
          </w:tcPr>
          <w:p w14:paraId="209B3421" w14:textId="77777777" w:rsidR="006B0D6D" w:rsidRPr="00E42B8C" w:rsidRDefault="006B0D6D" w:rsidP="006B0D6D">
            <w:pPr>
              <w:spacing w:after="0" w:line="240" w:lineRule="auto"/>
              <w:jc w:val="center"/>
              <w:rPr>
                <w:rFonts w:ascii="Calibri" w:eastAsia="Times New Roman" w:hAnsi="Calibri" w:cs="Calibri"/>
                <w:b/>
                <w:bCs/>
                <w:color w:val="000000"/>
                <w:sz w:val="22"/>
              </w:rPr>
            </w:pPr>
            <w:r w:rsidRPr="00E42B8C">
              <w:rPr>
                <w:rFonts w:ascii="Calibri" w:hAnsi="Calibri" w:cs="Calibri"/>
                <w:b/>
                <w:bCs/>
                <w:color w:val="000000"/>
                <w:sz w:val="22"/>
              </w:rPr>
              <w:t>% Patients</w:t>
            </w:r>
          </w:p>
        </w:tc>
        <w:tc>
          <w:tcPr>
            <w:tcW w:w="1080" w:type="dxa"/>
            <w:tcBorders>
              <w:top w:val="nil"/>
              <w:left w:val="nil"/>
              <w:bottom w:val="single" w:sz="4" w:space="0" w:color="auto"/>
              <w:right w:val="single" w:sz="4" w:space="0" w:color="auto"/>
            </w:tcBorders>
            <w:shd w:val="clear" w:color="auto" w:fill="BDD6EE" w:themeFill="accent1" w:themeFillTint="66"/>
            <w:noWrap/>
            <w:vAlign w:val="center"/>
            <w:hideMark/>
          </w:tcPr>
          <w:p w14:paraId="7D2B8783" w14:textId="77777777" w:rsidR="006B0D6D" w:rsidRPr="00E42B8C" w:rsidRDefault="006B0D6D" w:rsidP="006B0D6D">
            <w:pPr>
              <w:spacing w:after="0" w:line="240" w:lineRule="auto"/>
              <w:jc w:val="center"/>
              <w:rPr>
                <w:rFonts w:ascii="Calibri" w:eastAsia="Times New Roman" w:hAnsi="Calibri" w:cs="Calibri"/>
                <w:b/>
                <w:bCs/>
                <w:color w:val="000000"/>
                <w:sz w:val="22"/>
              </w:rPr>
            </w:pPr>
            <w:r w:rsidRPr="00E42B8C">
              <w:rPr>
                <w:rFonts w:ascii="Calibri" w:hAnsi="Calibri" w:cs="Calibri"/>
                <w:b/>
                <w:bCs/>
                <w:color w:val="000000"/>
                <w:sz w:val="22"/>
              </w:rPr>
              <w:t>Patients</w:t>
            </w:r>
          </w:p>
        </w:tc>
        <w:tc>
          <w:tcPr>
            <w:tcW w:w="1260" w:type="dxa"/>
            <w:tcBorders>
              <w:top w:val="nil"/>
              <w:left w:val="nil"/>
              <w:bottom w:val="single" w:sz="4" w:space="0" w:color="auto"/>
              <w:right w:val="single" w:sz="4" w:space="0" w:color="auto"/>
            </w:tcBorders>
            <w:shd w:val="clear" w:color="auto" w:fill="BDD6EE" w:themeFill="accent1" w:themeFillTint="66"/>
            <w:noWrap/>
            <w:vAlign w:val="center"/>
            <w:hideMark/>
          </w:tcPr>
          <w:p w14:paraId="09FAAF45" w14:textId="77777777" w:rsidR="006B0D6D" w:rsidRPr="00E42B8C" w:rsidRDefault="006B0D6D" w:rsidP="006B0D6D">
            <w:pPr>
              <w:spacing w:after="0" w:line="240" w:lineRule="auto"/>
              <w:jc w:val="center"/>
              <w:rPr>
                <w:rFonts w:ascii="Calibri" w:eastAsia="Times New Roman" w:hAnsi="Calibri" w:cs="Calibri"/>
                <w:b/>
                <w:bCs/>
                <w:color w:val="000000"/>
                <w:sz w:val="22"/>
              </w:rPr>
            </w:pPr>
            <w:r w:rsidRPr="00E42B8C">
              <w:rPr>
                <w:rFonts w:ascii="Calibri" w:hAnsi="Calibri" w:cs="Calibri"/>
                <w:b/>
                <w:bCs/>
                <w:color w:val="000000"/>
                <w:sz w:val="22"/>
              </w:rPr>
              <w:t>% Patients</w:t>
            </w:r>
          </w:p>
        </w:tc>
        <w:tc>
          <w:tcPr>
            <w:tcW w:w="1080" w:type="dxa"/>
            <w:tcBorders>
              <w:top w:val="nil"/>
              <w:left w:val="nil"/>
              <w:bottom w:val="single" w:sz="4" w:space="0" w:color="auto"/>
              <w:right w:val="single" w:sz="4" w:space="0" w:color="auto"/>
            </w:tcBorders>
            <w:shd w:val="clear" w:color="auto" w:fill="BDD6EE" w:themeFill="accent1" w:themeFillTint="66"/>
            <w:vAlign w:val="center"/>
          </w:tcPr>
          <w:p w14:paraId="71229526" w14:textId="77777777" w:rsidR="006B0D6D" w:rsidRPr="00E42B8C" w:rsidRDefault="006B0D6D" w:rsidP="006B0D6D">
            <w:pPr>
              <w:spacing w:after="0" w:line="240" w:lineRule="auto"/>
              <w:jc w:val="center"/>
              <w:rPr>
                <w:rFonts w:ascii="Calibri" w:eastAsia="Times New Roman" w:hAnsi="Calibri" w:cs="Calibri"/>
                <w:b/>
                <w:bCs/>
                <w:color w:val="000000"/>
                <w:sz w:val="22"/>
              </w:rPr>
            </w:pPr>
            <w:r w:rsidRPr="00E42B8C">
              <w:rPr>
                <w:rFonts w:ascii="Calibri" w:hAnsi="Calibri" w:cs="Calibri"/>
                <w:b/>
                <w:bCs/>
                <w:color w:val="000000"/>
                <w:sz w:val="22"/>
              </w:rPr>
              <w:t>Patients</w:t>
            </w:r>
          </w:p>
        </w:tc>
        <w:tc>
          <w:tcPr>
            <w:tcW w:w="1260" w:type="dxa"/>
            <w:tcBorders>
              <w:top w:val="nil"/>
              <w:left w:val="nil"/>
              <w:bottom w:val="single" w:sz="4" w:space="0" w:color="auto"/>
              <w:right w:val="single" w:sz="4" w:space="0" w:color="auto"/>
            </w:tcBorders>
            <w:shd w:val="clear" w:color="auto" w:fill="BDD6EE" w:themeFill="accent1" w:themeFillTint="66"/>
            <w:vAlign w:val="center"/>
          </w:tcPr>
          <w:p w14:paraId="56C0BDA7" w14:textId="77777777" w:rsidR="006B0D6D" w:rsidRPr="00E42B8C" w:rsidRDefault="006B0D6D" w:rsidP="006B0D6D">
            <w:pPr>
              <w:spacing w:after="0" w:line="240" w:lineRule="auto"/>
              <w:jc w:val="center"/>
              <w:rPr>
                <w:rFonts w:ascii="Calibri" w:eastAsia="Times New Roman" w:hAnsi="Calibri" w:cs="Calibri"/>
                <w:b/>
                <w:bCs/>
                <w:color w:val="000000"/>
                <w:sz w:val="22"/>
              </w:rPr>
            </w:pPr>
            <w:r w:rsidRPr="00E42B8C">
              <w:rPr>
                <w:rFonts w:ascii="Calibri" w:hAnsi="Calibri" w:cs="Calibri"/>
                <w:b/>
                <w:bCs/>
                <w:color w:val="000000"/>
                <w:sz w:val="22"/>
              </w:rPr>
              <w:t>% Patients</w:t>
            </w:r>
          </w:p>
        </w:tc>
      </w:tr>
      <w:tr w:rsidR="006B0D6D" w:rsidRPr="00A77BD5" w14:paraId="431B1C8A" w14:textId="77777777" w:rsidTr="006B0D6D">
        <w:trPr>
          <w:cantSplit/>
          <w:trHeight w:val="260"/>
          <w:jc w:val="center"/>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14:paraId="0322905A" w14:textId="77777777" w:rsidR="006B0D6D" w:rsidRPr="00E42B8C" w:rsidRDefault="006B0D6D" w:rsidP="006B0D6D">
            <w:pPr>
              <w:spacing w:after="0" w:line="240" w:lineRule="auto"/>
              <w:rPr>
                <w:rFonts w:ascii="Calibri" w:eastAsia="Times New Roman" w:hAnsi="Calibri" w:cs="Calibri"/>
                <w:color w:val="000000"/>
                <w:sz w:val="22"/>
              </w:rPr>
            </w:pPr>
            <w:r w:rsidRPr="00E42B8C">
              <w:rPr>
                <w:rFonts w:ascii="Calibri" w:eastAsia="Times New Roman" w:hAnsi="Calibri" w:cs="Calibri"/>
                <w:color w:val="000000"/>
                <w:sz w:val="22"/>
              </w:rPr>
              <w:t>Middlesex County</w:t>
            </w:r>
          </w:p>
        </w:tc>
        <w:tc>
          <w:tcPr>
            <w:tcW w:w="1170" w:type="dxa"/>
            <w:tcBorders>
              <w:top w:val="nil"/>
              <w:left w:val="nil"/>
              <w:bottom w:val="single" w:sz="4" w:space="0" w:color="auto"/>
              <w:right w:val="single" w:sz="4" w:space="0" w:color="auto"/>
            </w:tcBorders>
            <w:shd w:val="clear" w:color="auto" w:fill="auto"/>
            <w:noWrap/>
            <w:vAlign w:val="center"/>
            <w:hideMark/>
          </w:tcPr>
          <w:p w14:paraId="600874A1"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3,845</w:t>
            </w:r>
          </w:p>
        </w:tc>
        <w:tc>
          <w:tcPr>
            <w:tcW w:w="1260" w:type="dxa"/>
            <w:tcBorders>
              <w:top w:val="nil"/>
              <w:left w:val="nil"/>
              <w:bottom w:val="single" w:sz="4" w:space="0" w:color="auto"/>
              <w:right w:val="single" w:sz="4" w:space="0" w:color="auto"/>
            </w:tcBorders>
            <w:shd w:val="clear" w:color="auto" w:fill="auto"/>
            <w:noWrap/>
            <w:vAlign w:val="center"/>
            <w:hideMark/>
          </w:tcPr>
          <w:p w14:paraId="3F6F3D93"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31.1%</w:t>
            </w:r>
          </w:p>
        </w:tc>
        <w:tc>
          <w:tcPr>
            <w:tcW w:w="1273" w:type="dxa"/>
            <w:tcBorders>
              <w:top w:val="nil"/>
              <w:left w:val="nil"/>
              <w:bottom w:val="single" w:sz="4" w:space="0" w:color="auto"/>
              <w:right w:val="single" w:sz="4" w:space="0" w:color="auto"/>
            </w:tcBorders>
            <w:shd w:val="clear" w:color="auto" w:fill="auto"/>
            <w:noWrap/>
            <w:vAlign w:val="center"/>
            <w:hideMark/>
          </w:tcPr>
          <w:p w14:paraId="299A0F43"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4,496</w:t>
            </w:r>
          </w:p>
        </w:tc>
        <w:tc>
          <w:tcPr>
            <w:tcW w:w="1337" w:type="dxa"/>
            <w:tcBorders>
              <w:top w:val="nil"/>
              <w:left w:val="nil"/>
              <w:bottom w:val="single" w:sz="4" w:space="0" w:color="auto"/>
              <w:right w:val="single" w:sz="4" w:space="0" w:color="auto"/>
            </w:tcBorders>
            <w:shd w:val="clear" w:color="auto" w:fill="auto"/>
            <w:noWrap/>
            <w:vAlign w:val="center"/>
            <w:hideMark/>
          </w:tcPr>
          <w:p w14:paraId="16485589"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34.9%</w:t>
            </w:r>
          </w:p>
        </w:tc>
        <w:tc>
          <w:tcPr>
            <w:tcW w:w="1080" w:type="dxa"/>
            <w:tcBorders>
              <w:top w:val="nil"/>
              <w:left w:val="nil"/>
              <w:bottom w:val="single" w:sz="4" w:space="0" w:color="auto"/>
              <w:right w:val="single" w:sz="4" w:space="0" w:color="auto"/>
            </w:tcBorders>
            <w:shd w:val="clear" w:color="auto" w:fill="auto"/>
            <w:noWrap/>
            <w:vAlign w:val="center"/>
            <w:hideMark/>
          </w:tcPr>
          <w:p w14:paraId="7006143A"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4,874</w:t>
            </w:r>
          </w:p>
        </w:tc>
        <w:tc>
          <w:tcPr>
            <w:tcW w:w="1260" w:type="dxa"/>
            <w:tcBorders>
              <w:top w:val="nil"/>
              <w:left w:val="nil"/>
              <w:bottom w:val="single" w:sz="4" w:space="0" w:color="auto"/>
              <w:right w:val="single" w:sz="4" w:space="0" w:color="auto"/>
            </w:tcBorders>
            <w:shd w:val="clear" w:color="auto" w:fill="auto"/>
            <w:noWrap/>
            <w:vAlign w:val="center"/>
            <w:hideMark/>
          </w:tcPr>
          <w:p w14:paraId="3442DC66"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34.9%</w:t>
            </w:r>
          </w:p>
        </w:tc>
        <w:tc>
          <w:tcPr>
            <w:tcW w:w="1080" w:type="dxa"/>
            <w:tcBorders>
              <w:top w:val="nil"/>
              <w:left w:val="nil"/>
              <w:bottom w:val="single" w:sz="4" w:space="0" w:color="auto"/>
              <w:right w:val="single" w:sz="4" w:space="0" w:color="auto"/>
            </w:tcBorders>
            <w:vAlign w:val="center"/>
          </w:tcPr>
          <w:p w14:paraId="040DFB1E"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5,200</w:t>
            </w:r>
          </w:p>
        </w:tc>
        <w:tc>
          <w:tcPr>
            <w:tcW w:w="1260" w:type="dxa"/>
            <w:tcBorders>
              <w:top w:val="nil"/>
              <w:left w:val="nil"/>
              <w:bottom w:val="single" w:sz="4" w:space="0" w:color="auto"/>
              <w:right w:val="single" w:sz="4" w:space="0" w:color="auto"/>
            </w:tcBorders>
            <w:vAlign w:val="center"/>
          </w:tcPr>
          <w:p w14:paraId="27675B02"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36.1%</w:t>
            </w:r>
          </w:p>
        </w:tc>
      </w:tr>
      <w:tr w:rsidR="006B0D6D" w:rsidRPr="00A77BD5" w14:paraId="32159873" w14:textId="77777777" w:rsidTr="006B0D6D">
        <w:trPr>
          <w:cantSplit/>
          <w:trHeight w:val="260"/>
          <w:jc w:val="center"/>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14:paraId="0222B88C" w14:textId="77777777" w:rsidR="006B0D6D" w:rsidRPr="00E42B8C" w:rsidRDefault="006B0D6D" w:rsidP="006B0D6D">
            <w:pPr>
              <w:spacing w:after="0" w:line="240" w:lineRule="auto"/>
              <w:rPr>
                <w:rFonts w:ascii="Calibri" w:eastAsia="Times New Roman" w:hAnsi="Calibri" w:cs="Calibri"/>
                <w:color w:val="000000"/>
                <w:sz w:val="22"/>
              </w:rPr>
            </w:pPr>
            <w:r w:rsidRPr="00E42B8C">
              <w:rPr>
                <w:rFonts w:ascii="Calibri" w:eastAsia="Times New Roman" w:hAnsi="Calibri" w:cs="Calibri"/>
                <w:color w:val="000000"/>
                <w:sz w:val="22"/>
              </w:rPr>
              <w:t>Norfolk County</w:t>
            </w:r>
          </w:p>
        </w:tc>
        <w:tc>
          <w:tcPr>
            <w:tcW w:w="1170" w:type="dxa"/>
            <w:tcBorders>
              <w:top w:val="nil"/>
              <w:left w:val="nil"/>
              <w:bottom w:val="single" w:sz="4" w:space="0" w:color="auto"/>
              <w:right w:val="single" w:sz="4" w:space="0" w:color="auto"/>
            </w:tcBorders>
            <w:shd w:val="clear" w:color="auto" w:fill="auto"/>
            <w:noWrap/>
            <w:vAlign w:val="center"/>
            <w:hideMark/>
          </w:tcPr>
          <w:p w14:paraId="090E813E"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3,174</w:t>
            </w:r>
          </w:p>
        </w:tc>
        <w:tc>
          <w:tcPr>
            <w:tcW w:w="1260" w:type="dxa"/>
            <w:tcBorders>
              <w:top w:val="nil"/>
              <w:left w:val="nil"/>
              <w:bottom w:val="single" w:sz="4" w:space="0" w:color="auto"/>
              <w:right w:val="single" w:sz="4" w:space="0" w:color="auto"/>
            </w:tcBorders>
            <w:shd w:val="clear" w:color="auto" w:fill="auto"/>
            <w:noWrap/>
            <w:vAlign w:val="center"/>
            <w:hideMark/>
          </w:tcPr>
          <w:p w14:paraId="0C80EBB7"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25.7%</w:t>
            </w:r>
          </w:p>
        </w:tc>
        <w:tc>
          <w:tcPr>
            <w:tcW w:w="1273" w:type="dxa"/>
            <w:tcBorders>
              <w:top w:val="nil"/>
              <w:left w:val="nil"/>
              <w:bottom w:val="single" w:sz="4" w:space="0" w:color="auto"/>
              <w:right w:val="single" w:sz="4" w:space="0" w:color="auto"/>
            </w:tcBorders>
            <w:shd w:val="clear" w:color="auto" w:fill="auto"/>
            <w:noWrap/>
            <w:vAlign w:val="center"/>
            <w:hideMark/>
          </w:tcPr>
          <w:p w14:paraId="48DF7AD3"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3,287</w:t>
            </w:r>
          </w:p>
        </w:tc>
        <w:tc>
          <w:tcPr>
            <w:tcW w:w="1337" w:type="dxa"/>
            <w:tcBorders>
              <w:top w:val="nil"/>
              <w:left w:val="nil"/>
              <w:bottom w:val="single" w:sz="4" w:space="0" w:color="auto"/>
              <w:right w:val="single" w:sz="4" w:space="0" w:color="auto"/>
            </w:tcBorders>
            <w:shd w:val="clear" w:color="auto" w:fill="auto"/>
            <w:noWrap/>
            <w:vAlign w:val="center"/>
            <w:hideMark/>
          </w:tcPr>
          <w:p w14:paraId="4077D9CE"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25.5%</w:t>
            </w:r>
          </w:p>
        </w:tc>
        <w:tc>
          <w:tcPr>
            <w:tcW w:w="1080" w:type="dxa"/>
            <w:tcBorders>
              <w:top w:val="nil"/>
              <w:left w:val="nil"/>
              <w:bottom w:val="single" w:sz="4" w:space="0" w:color="auto"/>
              <w:right w:val="single" w:sz="4" w:space="0" w:color="auto"/>
            </w:tcBorders>
            <w:shd w:val="clear" w:color="auto" w:fill="auto"/>
            <w:noWrap/>
            <w:vAlign w:val="center"/>
            <w:hideMark/>
          </w:tcPr>
          <w:p w14:paraId="50EB8F06"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3,362</w:t>
            </w:r>
          </w:p>
        </w:tc>
        <w:tc>
          <w:tcPr>
            <w:tcW w:w="1260" w:type="dxa"/>
            <w:tcBorders>
              <w:top w:val="nil"/>
              <w:left w:val="nil"/>
              <w:bottom w:val="single" w:sz="4" w:space="0" w:color="auto"/>
              <w:right w:val="single" w:sz="4" w:space="0" w:color="auto"/>
            </w:tcBorders>
            <w:shd w:val="clear" w:color="auto" w:fill="auto"/>
            <w:noWrap/>
            <w:vAlign w:val="center"/>
            <w:hideMark/>
          </w:tcPr>
          <w:p w14:paraId="77DAB530"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24.1%</w:t>
            </w:r>
          </w:p>
        </w:tc>
        <w:tc>
          <w:tcPr>
            <w:tcW w:w="1080" w:type="dxa"/>
            <w:tcBorders>
              <w:top w:val="nil"/>
              <w:left w:val="nil"/>
              <w:bottom w:val="single" w:sz="4" w:space="0" w:color="auto"/>
              <w:right w:val="single" w:sz="4" w:space="0" w:color="auto"/>
            </w:tcBorders>
            <w:vAlign w:val="center"/>
          </w:tcPr>
          <w:p w14:paraId="1C65F4BE"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3,191</w:t>
            </w:r>
          </w:p>
        </w:tc>
        <w:tc>
          <w:tcPr>
            <w:tcW w:w="1260" w:type="dxa"/>
            <w:tcBorders>
              <w:top w:val="nil"/>
              <w:left w:val="nil"/>
              <w:bottom w:val="single" w:sz="4" w:space="0" w:color="auto"/>
              <w:right w:val="single" w:sz="4" w:space="0" w:color="auto"/>
            </w:tcBorders>
            <w:vAlign w:val="center"/>
          </w:tcPr>
          <w:p w14:paraId="0E6ACBB5"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22.2%</w:t>
            </w:r>
          </w:p>
        </w:tc>
      </w:tr>
      <w:tr w:rsidR="006B0D6D" w:rsidRPr="00A77BD5" w14:paraId="6DD26558" w14:textId="77777777" w:rsidTr="006B0D6D">
        <w:trPr>
          <w:cantSplit/>
          <w:trHeight w:val="260"/>
          <w:jc w:val="center"/>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14:paraId="01864860" w14:textId="77777777" w:rsidR="006B0D6D" w:rsidRPr="00E42B8C" w:rsidRDefault="006B0D6D" w:rsidP="006B0D6D">
            <w:pPr>
              <w:spacing w:after="0" w:line="240" w:lineRule="auto"/>
              <w:rPr>
                <w:rFonts w:ascii="Calibri" w:eastAsia="Times New Roman" w:hAnsi="Calibri" w:cs="Calibri"/>
                <w:color w:val="000000"/>
                <w:sz w:val="22"/>
              </w:rPr>
            </w:pPr>
            <w:r w:rsidRPr="00E42B8C">
              <w:rPr>
                <w:rFonts w:ascii="Calibri" w:eastAsia="Times New Roman" w:hAnsi="Calibri" w:cs="Calibri"/>
                <w:color w:val="000000"/>
                <w:sz w:val="22"/>
              </w:rPr>
              <w:t>Plymouth County</w:t>
            </w:r>
          </w:p>
        </w:tc>
        <w:tc>
          <w:tcPr>
            <w:tcW w:w="1170" w:type="dxa"/>
            <w:tcBorders>
              <w:top w:val="nil"/>
              <w:left w:val="nil"/>
              <w:bottom w:val="single" w:sz="4" w:space="0" w:color="auto"/>
              <w:right w:val="single" w:sz="4" w:space="0" w:color="auto"/>
            </w:tcBorders>
            <w:shd w:val="clear" w:color="auto" w:fill="auto"/>
            <w:noWrap/>
            <w:vAlign w:val="center"/>
            <w:hideMark/>
          </w:tcPr>
          <w:p w14:paraId="17934120"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1,763</w:t>
            </w:r>
          </w:p>
        </w:tc>
        <w:tc>
          <w:tcPr>
            <w:tcW w:w="1260" w:type="dxa"/>
            <w:tcBorders>
              <w:top w:val="nil"/>
              <w:left w:val="nil"/>
              <w:bottom w:val="single" w:sz="4" w:space="0" w:color="auto"/>
              <w:right w:val="single" w:sz="4" w:space="0" w:color="auto"/>
            </w:tcBorders>
            <w:shd w:val="clear" w:color="auto" w:fill="auto"/>
            <w:noWrap/>
            <w:vAlign w:val="center"/>
            <w:hideMark/>
          </w:tcPr>
          <w:p w14:paraId="07362F96"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14.3%</w:t>
            </w:r>
          </w:p>
        </w:tc>
        <w:tc>
          <w:tcPr>
            <w:tcW w:w="1273" w:type="dxa"/>
            <w:tcBorders>
              <w:top w:val="nil"/>
              <w:left w:val="nil"/>
              <w:bottom w:val="single" w:sz="4" w:space="0" w:color="auto"/>
              <w:right w:val="single" w:sz="4" w:space="0" w:color="auto"/>
            </w:tcBorders>
            <w:shd w:val="clear" w:color="auto" w:fill="auto"/>
            <w:noWrap/>
            <w:vAlign w:val="center"/>
            <w:hideMark/>
          </w:tcPr>
          <w:p w14:paraId="44CC4CFE"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1,384</w:t>
            </w:r>
          </w:p>
        </w:tc>
        <w:tc>
          <w:tcPr>
            <w:tcW w:w="1337" w:type="dxa"/>
            <w:tcBorders>
              <w:top w:val="nil"/>
              <w:left w:val="nil"/>
              <w:bottom w:val="single" w:sz="4" w:space="0" w:color="auto"/>
              <w:right w:val="single" w:sz="4" w:space="0" w:color="auto"/>
            </w:tcBorders>
            <w:shd w:val="clear" w:color="auto" w:fill="auto"/>
            <w:noWrap/>
            <w:vAlign w:val="center"/>
            <w:hideMark/>
          </w:tcPr>
          <w:p w14:paraId="6CB29702"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10.7%</w:t>
            </w:r>
          </w:p>
        </w:tc>
        <w:tc>
          <w:tcPr>
            <w:tcW w:w="1080" w:type="dxa"/>
            <w:tcBorders>
              <w:top w:val="nil"/>
              <w:left w:val="nil"/>
              <w:bottom w:val="single" w:sz="4" w:space="0" w:color="auto"/>
              <w:right w:val="single" w:sz="4" w:space="0" w:color="auto"/>
            </w:tcBorders>
            <w:shd w:val="clear" w:color="auto" w:fill="auto"/>
            <w:noWrap/>
            <w:vAlign w:val="center"/>
            <w:hideMark/>
          </w:tcPr>
          <w:p w14:paraId="1A580B16"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1,729</w:t>
            </w:r>
          </w:p>
        </w:tc>
        <w:tc>
          <w:tcPr>
            <w:tcW w:w="1260" w:type="dxa"/>
            <w:tcBorders>
              <w:top w:val="nil"/>
              <w:left w:val="nil"/>
              <w:bottom w:val="single" w:sz="4" w:space="0" w:color="auto"/>
              <w:right w:val="single" w:sz="4" w:space="0" w:color="auto"/>
            </w:tcBorders>
            <w:shd w:val="clear" w:color="auto" w:fill="auto"/>
            <w:noWrap/>
            <w:vAlign w:val="center"/>
            <w:hideMark/>
          </w:tcPr>
          <w:p w14:paraId="3EADF913"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12.4%</w:t>
            </w:r>
          </w:p>
        </w:tc>
        <w:tc>
          <w:tcPr>
            <w:tcW w:w="1080" w:type="dxa"/>
            <w:tcBorders>
              <w:top w:val="nil"/>
              <w:left w:val="nil"/>
              <w:bottom w:val="single" w:sz="4" w:space="0" w:color="auto"/>
              <w:right w:val="single" w:sz="4" w:space="0" w:color="auto"/>
            </w:tcBorders>
            <w:vAlign w:val="center"/>
          </w:tcPr>
          <w:p w14:paraId="33391C94"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1,832</w:t>
            </w:r>
          </w:p>
        </w:tc>
        <w:tc>
          <w:tcPr>
            <w:tcW w:w="1260" w:type="dxa"/>
            <w:tcBorders>
              <w:top w:val="nil"/>
              <w:left w:val="nil"/>
              <w:bottom w:val="single" w:sz="4" w:space="0" w:color="auto"/>
              <w:right w:val="single" w:sz="4" w:space="0" w:color="auto"/>
            </w:tcBorders>
            <w:vAlign w:val="center"/>
          </w:tcPr>
          <w:p w14:paraId="310A28F7"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12.7%</w:t>
            </w:r>
          </w:p>
        </w:tc>
      </w:tr>
      <w:tr w:rsidR="006B0D6D" w:rsidRPr="00A77BD5" w14:paraId="6DCB647F" w14:textId="77777777" w:rsidTr="006B0D6D">
        <w:trPr>
          <w:cantSplit/>
          <w:trHeight w:val="260"/>
          <w:jc w:val="center"/>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14:paraId="3B86C419" w14:textId="77777777" w:rsidR="006B0D6D" w:rsidRPr="00E42B8C" w:rsidRDefault="006B0D6D" w:rsidP="006B0D6D">
            <w:pPr>
              <w:spacing w:after="0" w:line="240" w:lineRule="auto"/>
              <w:rPr>
                <w:rFonts w:ascii="Calibri" w:eastAsia="Times New Roman" w:hAnsi="Calibri" w:cs="Calibri"/>
                <w:color w:val="000000"/>
                <w:sz w:val="22"/>
              </w:rPr>
            </w:pPr>
            <w:r w:rsidRPr="00E42B8C">
              <w:rPr>
                <w:rFonts w:ascii="Calibri" w:eastAsia="Times New Roman" w:hAnsi="Calibri" w:cs="Calibri"/>
                <w:color w:val="000000"/>
                <w:sz w:val="22"/>
              </w:rPr>
              <w:t>Suffolk County</w:t>
            </w:r>
          </w:p>
        </w:tc>
        <w:tc>
          <w:tcPr>
            <w:tcW w:w="1170" w:type="dxa"/>
            <w:tcBorders>
              <w:top w:val="nil"/>
              <w:left w:val="nil"/>
              <w:bottom w:val="single" w:sz="4" w:space="0" w:color="auto"/>
              <w:right w:val="single" w:sz="4" w:space="0" w:color="auto"/>
            </w:tcBorders>
            <w:shd w:val="clear" w:color="auto" w:fill="auto"/>
            <w:noWrap/>
            <w:vAlign w:val="center"/>
            <w:hideMark/>
          </w:tcPr>
          <w:p w14:paraId="3C1DD8E9"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1,473</w:t>
            </w:r>
          </w:p>
        </w:tc>
        <w:tc>
          <w:tcPr>
            <w:tcW w:w="1260" w:type="dxa"/>
            <w:tcBorders>
              <w:top w:val="nil"/>
              <w:left w:val="nil"/>
              <w:bottom w:val="single" w:sz="4" w:space="0" w:color="auto"/>
              <w:right w:val="single" w:sz="4" w:space="0" w:color="auto"/>
            </w:tcBorders>
            <w:shd w:val="clear" w:color="auto" w:fill="auto"/>
            <w:noWrap/>
            <w:vAlign w:val="center"/>
            <w:hideMark/>
          </w:tcPr>
          <w:p w14:paraId="601736B6"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11.9%</w:t>
            </w:r>
          </w:p>
        </w:tc>
        <w:tc>
          <w:tcPr>
            <w:tcW w:w="1273" w:type="dxa"/>
            <w:tcBorders>
              <w:top w:val="nil"/>
              <w:left w:val="nil"/>
              <w:bottom w:val="single" w:sz="4" w:space="0" w:color="auto"/>
              <w:right w:val="single" w:sz="4" w:space="0" w:color="auto"/>
            </w:tcBorders>
            <w:shd w:val="clear" w:color="auto" w:fill="auto"/>
            <w:noWrap/>
            <w:vAlign w:val="center"/>
            <w:hideMark/>
          </w:tcPr>
          <w:p w14:paraId="759ADCAD"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1,687</w:t>
            </w:r>
          </w:p>
        </w:tc>
        <w:tc>
          <w:tcPr>
            <w:tcW w:w="1337" w:type="dxa"/>
            <w:tcBorders>
              <w:top w:val="nil"/>
              <w:left w:val="nil"/>
              <w:bottom w:val="single" w:sz="4" w:space="0" w:color="auto"/>
              <w:right w:val="single" w:sz="4" w:space="0" w:color="auto"/>
            </w:tcBorders>
            <w:shd w:val="clear" w:color="auto" w:fill="auto"/>
            <w:noWrap/>
            <w:vAlign w:val="center"/>
            <w:hideMark/>
          </w:tcPr>
          <w:p w14:paraId="5110BCA7"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13.1%</w:t>
            </w:r>
          </w:p>
        </w:tc>
        <w:tc>
          <w:tcPr>
            <w:tcW w:w="1080" w:type="dxa"/>
            <w:tcBorders>
              <w:top w:val="nil"/>
              <w:left w:val="nil"/>
              <w:bottom w:val="single" w:sz="4" w:space="0" w:color="auto"/>
              <w:right w:val="single" w:sz="4" w:space="0" w:color="auto"/>
            </w:tcBorders>
            <w:shd w:val="clear" w:color="auto" w:fill="auto"/>
            <w:noWrap/>
            <w:vAlign w:val="center"/>
            <w:hideMark/>
          </w:tcPr>
          <w:p w14:paraId="0A222A6A"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1,693</w:t>
            </w:r>
          </w:p>
        </w:tc>
        <w:tc>
          <w:tcPr>
            <w:tcW w:w="1260" w:type="dxa"/>
            <w:tcBorders>
              <w:top w:val="nil"/>
              <w:left w:val="nil"/>
              <w:bottom w:val="single" w:sz="4" w:space="0" w:color="auto"/>
              <w:right w:val="single" w:sz="4" w:space="0" w:color="auto"/>
            </w:tcBorders>
            <w:shd w:val="clear" w:color="auto" w:fill="auto"/>
            <w:noWrap/>
            <w:vAlign w:val="center"/>
            <w:hideMark/>
          </w:tcPr>
          <w:p w14:paraId="5BC1CC85"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12.1%</w:t>
            </w:r>
          </w:p>
        </w:tc>
        <w:tc>
          <w:tcPr>
            <w:tcW w:w="1080" w:type="dxa"/>
            <w:tcBorders>
              <w:top w:val="nil"/>
              <w:left w:val="nil"/>
              <w:bottom w:val="single" w:sz="4" w:space="0" w:color="auto"/>
              <w:right w:val="single" w:sz="4" w:space="0" w:color="auto"/>
            </w:tcBorders>
            <w:vAlign w:val="center"/>
          </w:tcPr>
          <w:p w14:paraId="34CFE402"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1,738</w:t>
            </w:r>
          </w:p>
        </w:tc>
        <w:tc>
          <w:tcPr>
            <w:tcW w:w="1260" w:type="dxa"/>
            <w:tcBorders>
              <w:top w:val="nil"/>
              <w:left w:val="nil"/>
              <w:bottom w:val="single" w:sz="4" w:space="0" w:color="auto"/>
              <w:right w:val="single" w:sz="4" w:space="0" w:color="auto"/>
            </w:tcBorders>
            <w:vAlign w:val="center"/>
          </w:tcPr>
          <w:p w14:paraId="266AE477"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12.1%</w:t>
            </w:r>
          </w:p>
        </w:tc>
      </w:tr>
      <w:tr w:rsidR="006B0D6D" w:rsidRPr="00A77BD5" w14:paraId="7A1A144E" w14:textId="77777777" w:rsidTr="006B0D6D">
        <w:trPr>
          <w:cantSplit/>
          <w:trHeight w:val="260"/>
          <w:jc w:val="center"/>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14:paraId="2EDB4FFA" w14:textId="77777777" w:rsidR="006B0D6D" w:rsidRPr="00E42B8C" w:rsidRDefault="006B0D6D" w:rsidP="006B0D6D">
            <w:pPr>
              <w:spacing w:after="0" w:line="240" w:lineRule="auto"/>
              <w:rPr>
                <w:rFonts w:ascii="Calibri" w:eastAsia="Times New Roman" w:hAnsi="Calibri" w:cs="Calibri"/>
                <w:color w:val="000000"/>
                <w:sz w:val="22"/>
              </w:rPr>
            </w:pPr>
            <w:r w:rsidRPr="00E42B8C">
              <w:rPr>
                <w:rFonts w:ascii="Calibri" w:eastAsia="Times New Roman" w:hAnsi="Calibri" w:cs="Calibri"/>
                <w:color w:val="000000"/>
                <w:sz w:val="22"/>
              </w:rPr>
              <w:t>Essex County</w:t>
            </w:r>
          </w:p>
        </w:tc>
        <w:tc>
          <w:tcPr>
            <w:tcW w:w="1170" w:type="dxa"/>
            <w:tcBorders>
              <w:top w:val="nil"/>
              <w:left w:val="nil"/>
              <w:bottom w:val="single" w:sz="4" w:space="0" w:color="auto"/>
              <w:right w:val="single" w:sz="4" w:space="0" w:color="auto"/>
            </w:tcBorders>
            <w:shd w:val="clear" w:color="auto" w:fill="auto"/>
            <w:noWrap/>
            <w:vAlign w:val="center"/>
            <w:hideMark/>
          </w:tcPr>
          <w:p w14:paraId="2E97FCC4"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1,313</w:t>
            </w:r>
          </w:p>
        </w:tc>
        <w:tc>
          <w:tcPr>
            <w:tcW w:w="1260" w:type="dxa"/>
            <w:tcBorders>
              <w:top w:val="nil"/>
              <w:left w:val="nil"/>
              <w:bottom w:val="single" w:sz="4" w:space="0" w:color="auto"/>
              <w:right w:val="single" w:sz="4" w:space="0" w:color="auto"/>
            </w:tcBorders>
            <w:shd w:val="clear" w:color="auto" w:fill="auto"/>
            <w:noWrap/>
            <w:vAlign w:val="center"/>
            <w:hideMark/>
          </w:tcPr>
          <w:p w14:paraId="17C8C7F8"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10.6%</w:t>
            </w:r>
          </w:p>
        </w:tc>
        <w:tc>
          <w:tcPr>
            <w:tcW w:w="1273" w:type="dxa"/>
            <w:tcBorders>
              <w:top w:val="nil"/>
              <w:left w:val="nil"/>
              <w:bottom w:val="single" w:sz="4" w:space="0" w:color="auto"/>
              <w:right w:val="single" w:sz="4" w:space="0" w:color="auto"/>
            </w:tcBorders>
            <w:shd w:val="clear" w:color="auto" w:fill="auto"/>
            <w:noWrap/>
            <w:vAlign w:val="center"/>
            <w:hideMark/>
          </w:tcPr>
          <w:p w14:paraId="0CAC23A1"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1,321</w:t>
            </w:r>
          </w:p>
        </w:tc>
        <w:tc>
          <w:tcPr>
            <w:tcW w:w="1337" w:type="dxa"/>
            <w:tcBorders>
              <w:top w:val="nil"/>
              <w:left w:val="nil"/>
              <w:bottom w:val="single" w:sz="4" w:space="0" w:color="auto"/>
              <w:right w:val="single" w:sz="4" w:space="0" w:color="auto"/>
            </w:tcBorders>
            <w:shd w:val="clear" w:color="auto" w:fill="auto"/>
            <w:noWrap/>
            <w:vAlign w:val="center"/>
            <w:hideMark/>
          </w:tcPr>
          <w:p w14:paraId="42DF833F"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10.2%</w:t>
            </w:r>
          </w:p>
        </w:tc>
        <w:tc>
          <w:tcPr>
            <w:tcW w:w="1080" w:type="dxa"/>
            <w:tcBorders>
              <w:top w:val="nil"/>
              <w:left w:val="nil"/>
              <w:bottom w:val="single" w:sz="4" w:space="0" w:color="auto"/>
              <w:right w:val="single" w:sz="4" w:space="0" w:color="auto"/>
            </w:tcBorders>
            <w:shd w:val="clear" w:color="auto" w:fill="auto"/>
            <w:noWrap/>
            <w:vAlign w:val="center"/>
            <w:hideMark/>
          </w:tcPr>
          <w:p w14:paraId="13BAE4BA"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1,376</w:t>
            </w:r>
          </w:p>
        </w:tc>
        <w:tc>
          <w:tcPr>
            <w:tcW w:w="1260" w:type="dxa"/>
            <w:tcBorders>
              <w:top w:val="nil"/>
              <w:left w:val="nil"/>
              <w:bottom w:val="single" w:sz="4" w:space="0" w:color="auto"/>
              <w:right w:val="single" w:sz="4" w:space="0" w:color="auto"/>
            </w:tcBorders>
            <w:shd w:val="clear" w:color="auto" w:fill="auto"/>
            <w:noWrap/>
            <w:vAlign w:val="center"/>
            <w:hideMark/>
          </w:tcPr>
          <w:p w14:paraId="03E56913"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9.9%</w:t>
            </w:r>
          </w:p>
        </w:tc>
        <w:tc>
          <w:tcPr>
            <w:tcW w:w="1080" w:type="dxa"/>
            <w:tcBorders>
              <w:top w:val="nil"/>
              <w:left w:val="nil"/>
              <w:bottom w:val="single" w:sz="4" w:space="0" w:color="auto"/>
              <w:right w:val="single" w:sz="4" w:space="0" w:color="auto"/>
            </w:tcBorders>
            <w:vAlign w:val="center"/>
          </w:tcPr>
          <w:p w14:paraId="12FCA58B"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1,432</w:t>
            </w:r>
          </w:p>
        </w:tc>
        <w:tc>
          <w:tcPr>
            <w:tcW w:w="1260" w:type="dxa"/>
            <w:tcBorders>
              <w:top w:val="nil"/>
              <w:left w:val="nil"/>
              <w:bottom w:val="single" w:sz="4" w:space="0" w:color="auto"/>
              <w:right w:val="single" w:sz="4" w:space="0" w:color="auto"/>
            </w:tcBorders>
            <w:vAlign w:val="center"/>
          </w:tcPr>
          <w:p w14:paraId="01677C59"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9.9%</w:t>
            </w:r>
          </w:p>
        </w:tc>
      </w:tr>
      <w:tr w:rsidR="006B0D6D" w:rsidRPr="00A77BD5" w14:paraId="145DD644" w14:textId="77777777" w:rsidTr="006B0D6D">
        <w:trPr>
          <w:cantSplit/>
          <w:trHeight w:val="260"/>
          <w:jc w:val="center"/>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14:paraId="5589FA75" w14:textId="77777777" w:rsidR="006B0D6D" w:rsidRPr="00E42B8C" w:rsidRDefault="006B0D6D" w:rsidP="006B0D6D">
            <w:pPr>
              <w:spacing w:after="0" w:line="240" w:lineRule="auto"/>
              <w:rPr>
                <w:rFonts w:ascii="Calibri" w:eastAsia="Times New Roman" w:hAnsi="Calibri" w:cs="Calibri"/>
                <w:color w:val="000000"/>
                <w:sz w:val="22"/>
              </w:rPr>
            </w:pPr>
            <w:r w:rsidRPr="00E42B8C">
              <w:rPr>
                <w:rFonts w:ascii="Calibri" w:eastAsia="Times New Roman" w:hAnsi="Calibri" w:cs="Calibri"/>
                <w:color w:val="000000"/>
                <w:sz w:val="22"/>
              </w:rPr>
              <w:t>Barnstable County</w:t>
            </w:r>
          </w:p>
        </w:tc>
        <w:tc>
          <w:tcPr>
            <w:tcW w:w="1170" w:type="dxa"/>
            <w:tcBorders>
              <w:top w:val="nil"/>
              <w:left w:val="nil"/>
              <w:bottom w:val="single" w:sz="4" w:space="0" w:color="auto"/>
              <w:right w:val="single" w:sz="4" w:space="0" w:color="auto"/>
            </w:tcBorders>
            <w:shd w:val="clear" w:color="auto" w:fill="auto"/>
            <w:noWrap/>
            <w:vAlign w:val="center"/>
            <w:hideMark/>
          </w:tcPr>
          <w:p w14:paraId="295A4521"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320</w:t>
            </w:r>
          </w:p>
        </w:tc>
        <w:tc>
          <w:tcPr>
            <w:tcW w:w="1260" w:type="dxa"/>
            <w:tcBorders>
              <w:top w:val="nil"/>
              <w:left w:val="nil"/>
              <w:bottom w:val="single" w:sz="4" w:space="0" w:color="auto"/>
              <w:right w:val="single" w:sz="4" w:space="0" w:color="auto"/>
            </w:tcBorders>
            <w:shd w:val="clear" w:color="auto" w:fill="auto"/>
            <w:noWrap/>
            <w:vAlign w:val="center"/>
            <w:hideMark/>
          </w:tcPr>
          <w:p w14:paraId="071AC8AD"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2.6%</w:t>
            </w:r>
          </w:p>
        </w:tc>
        <w:tc>
          <w:tcPr>
            <w:tcW w:w="1273" w:type="dxa"/>
            <w:tcBorders>
              <w:top w:val="nil"/>
              <w:left w:val="nil"/>
              <w:bottom w:val="single" w:sz="4" w:space="0" w:color="auto"/>
              <w:right w:val="single" w:sz="4" w:space="0" w:color="auto"/>
            </w:tcBorders>
            <w:shd w:val="clear" w:color="auto" w:fill="auto"/>
            <w:noWrap/>
            <w:vAlign w:val="center"/>
            <w:hideMark/>
          </w:tcPr>
          <w:p w14:paraId="2991457A"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224</w:t>
            </w:r>
          </w:p>
        </w:tc>
        <w:tc>
          <w:tcPr>
            <w:tcW w:w="1337" w:type="dxa"/>
            <w:tcBorders>
              <w:top w:val="nil"/>
              <w:left w:val="nil"/>
              <w:bottom w:val="single" w:sz="4" w:space="0" w:color="auto"/>
              <w:right w:val="single" w:sz="4" w:space="0" w:color="auto"/>
            </w:tcBorders>
            <w:shd w:val="clear" w:color="auto" w:fill="auto"/>
            <w:noWrap/>
            <w:vAlign w:val="center"/>
            <w:hideMark/>
          </w:tcPr>
          <w:p w14:paraId="45232EBD"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1.7%</w:t>
            </w:r>
          </w:p>
        </w:tc>
        <w:tc>
          <w:tcPr>
            <w:tcW w:w="1080" w:type="dxa"/>
            <w:tcBorders>
              <w:top w:val="nil"/>
              <w:left w:val="nil"/>
              <w:bottom w:val="single" w:sz="4" w:space="0" w:color="auto"/>
              <w:right w:val="single" w:sz="4" w:space="0" w:color="auto"/>
            </w:tcBorders>
            <w:shd w:val="clear" w:color="auto" w:fill="auto"/>
            <w:noWrap/>
            <w:vAlign w:val="center"/>
            <w:hideMark/>
          </w:tcPr>
          <w:p w14:paraId="71C4E532"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408</w:t>
            </w:r>
          </w:p>
        </w:tc>
        <w:tc>
          <w:tcPr>
            <w:tcW w:w="1260" w:type="dxa"/>
            <w:tcBorders>
              <w:top w:val="nil"/>
              <w:left w:val="nil"/>
              <w:bottom w:val="single" w:sz="4" w:space="0" w:color="auto"/>
              <w:right w:val="single" w:sz="4" w:space="0" w:color="auto"/>
            </w:tcBorders>
            <w:shd w:val="clear" w:color="auto" w:fill="auto"/>
            <w:noWrap/>
            <w:vAlign w:val="center"/>
            <w:hideMark/>
          </w:tcPr>
          <w:p w14:paraId="29999585"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2.9%</w:t>
            </w:r>
          </w:p>
        </w:tc>
        <w:tc>
          <w:tcPr>
            <w:tcW w:w="1080" w:type="dxa"/>
            <w:tcBorders>
              <w:top w:val="nil"/>
              <w:left w:val="nil"/>
              <w:bottom w:val="single" w:sz="4" w:space="0" w:color="auto"/>
              <w:right w:val="single" w:sz="4" w:space="0" w:color="auto"/>
            </w:tcBorders>
            <w:vAlign w:val="center"/>
          </w:tcPr>
          <w:p w14:paraId="0409C797"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393</w:t>
            </w:r>
          </w:p>
        </w:tc>
        <w:tc>
          <w:tcPr>
            <w:tcW w:w="1260" w:type="dxa"/>
            <w:tcBorders>
              <w:top w:val="nil"/>
              <w:left w:val="nil"/>
              <w:bottom w:val="single" w:sz="4" w:space="0" w:color="auto"/>
              <w:right w:val="single" w:sz="4" w:space="0" w:color="auto"/>
            </w:tcBorders>
            <w:vAlign w:val="center"/>
          </w:tcPr>
          <w:p w14:paraId="063AAF25"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2.7%</w:t>
            </w:r>
          </w:p>
        </w:tc>
      </w:tr>
      <w:tr w:rsidR="006B0D6D" w:rsidRPr="00A77BD5" w14:paraId="129A4C81" w14:textId="77777777" w:rsidTr="006B0D6D">
        <w:trPr>
          <w:cantSplit/>
          <w:trHeight w:val="260"/>
          <w:jc w:val="center"/>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14:paraId="6EF1AE8A" w14:textId="77777777" w:rsidR="006B0D6D" w:rsidRPr="00E42B8C" w:rsidRDefault="006B0D6D" w:rsidP="006B0D6D">
            <w:pPr>
              <w:spacing w:after="0" w:line="240" w:lineRule="auto"/>
              <w:rPr>
                <w:rFonts w:ascii="Calibri" w:eastAsia="Times New Roman" w:hAnsi="Calibri" w:cs="Calibri"/>
                <w:color w:val="000000"/>
                <w:sz w:val="22"/>
              </w:rPr>
            </w:pPr>
            <w:r w:rsidRPr="00E42B8C">
              <w:rPr>
                <w:rFonts w:ascii="Calibri" w:eastAsia="Times New Roman" w:hAnsi="Calibri" w:cs="Calibri"/>
                <w:color w:val="000000"/>
                <w:sz w:val="22"/>
              </w:rPr>
              <w:t>Bristol County</w:t>
            </w:r>
          </w:p>
        </w:tc>
        <w:tc>
          <w:tcPr>
            <w:tcW w:w="1170" w:type="dxa"/>
            <w:tcBorders>
              <w:top w:val="nil"/>
              <w:left w:val="nil"/>
              <w:bottom w:val="single" w:sz="4" w:space="0" w:color="auto"/>
              <w:right w:val="single" w:sz="4" w:space="0" w:color="auto"/>
            </w:tcBorders>
            <w:shd w:val="clear" w:color="auto" w:fill="auto"/>
            <w:noWrap/>
            <w:vAlign w:val="center"/>
            <w:hideMark/>
          </w:tcPr>
          <w:p w14:paraId="48C1DB0B"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263</w:t>
            </w:r>
          </w:p>
        </w:tc>
        <w:tc>
          <w:tcPr>
            <w:tcW w:w="1260" w:type="dxa"/>
            <w:tcBorders>
              <w:top w:val="nil"/>
              <w:left w:val="nil"/>
              <w:bottom w:val="single" w:sz="4" w:space="0" w:color="auto"/>
              <w:right w:val="single" w:sz="4" w:space="0" w:color="auto"/>
            </w:tcBorders>
            <w:shd w:val="clear" w:color="auto" w:fill="auto"/>
            <w:noWrap/>
            <w:vAlign w:val="center"/>
            <w:hideMark/>
          </w:tcPr>
          <w:p w14:paraId="4FFD1906"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2.1%</w:t>
            </w:r>
          </w:p>
        </w:tc>
        <w:tc>
          <w:tcPr>
            <w:tcW w:w="1273" w:type="dxa"/>
            <w:tcBorders>
              <w:top w:val="nil"/>
              <w:left w:val="nil"/>
              <w:bottom w:val="single" w:sz="4" w:space="0" w:color="auto"/>
              <w:right w:val="single" w:sz="4" w:space="0" w:color="auto"/>
            </w:tcBorders>
            <w:shd w:val="clear" w:color="auto" w:fill="auto"/>
            <w:noWrap/>
            <w:vAlign w:val="center"/>
            <w:hideMark/>
          </w:tcPr>
          <w:p w14:paraId="3BB5E7D4"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283</w:t>
            </w:r>
          </w:p>
        </w:tc>
        <w:tc>
          <w:tcPr>
            <w:tcW w:w="1337" w:type="dxa"/>
            <w:tcBorders>
              <w:top w:val="nil"/>
              <w:left w:val="nil"/>
              <w:bottom w:val="single" w:sz="4" w:space="0" w:color="auto"/>
              <w:right w:val="single" w:sz="4" w:space="0" w:color="auto"/>
            </w:tcBorders>
            <w:shd w:val="clear" w:color="auto" w:fill="auto"/>
            <w:noWrap/>
            <w:vAlign w:val="center"/>
            <w:hideMark/>
          </w:tcPr>
          <w:p w14:paraId="4C8B7207"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2.2%</w:t>
            </w:r>
          </w:p>
        </w:tc>
        <w:tc>
          <w:tcPr>
            <w:tcW w:w="1080" w:type="dxa"/>
            <w:tcBorders>
              <w:top w:val="nil"/>
              <w:left w:val="nil"/>
              <w:bottom w:val="single" w:sz="4" w:space="0" w:color="auto"/>
              <w:right w:val="single" w:sz="4" w:space="0" w:color="auto"/>
            </w:tcBorders>
            <w:shd w:val="clear" w:color="auto" w:fill="auto"/>
            <w:noWrap/>
            <w:vAlign w:val="center"/>
            <w:hideMark/>
          </w:tcPr>
          <w:p w14:paraId="1CA2515C"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267</w:t>
            </w:r>
          </w:p>
        </w:tc>
        <w:tc>
          <w:tcPr>
            <w:tcW w:w="1260" w:type="dxa"/>
            <w:tcBorders>
              <w:top w:val="nil"/>
              <w:left w:val="nil"/>
              <w:bottom w:val="single" w:sz="4" w:space="0" w:color="auto"/>
              <w:right w:val="single" w:sz="4" w:space="0" w:color="auto"/>
            </w:tcBorders>
            <w:shd w:val="clear" w:color="auto" w:fill="auto"/>
            <w:noWrap/>
            <w:vAlign w:val="center"/>
            <w:hideMark/>
          </w:tcPr>
          <w:p w14:paraId="1A17EF98"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1.9%</w:t>
            </w:r>
          </w:p>
        </w:tc>
        <w:tc>
          <w:tcPr>
            <w:tcW w:w="1080" w:type="dxa"/>
            <w:tcBorders>
              <w:top w:val="nil"/>
              <w:left w:val="nil"/>
              <w:bottom w:val="single" w:sz="4" w:space="0" w:color="auto"/>
              <w:right w:val="single" w:sz="4" w:space="0" w:color="auto"/>
            </w:tcBorders>
            <w:vAlign w:val="center"/>
          </w:tcPr>
          <w:p w14:paraId="234F6466"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327</w:t>
            </w:r>
          </w:p>
        </w:tc>
        <w:tc>
          <w:tcPr>
            <w:tcW w:w="1260" w:type="dxa"/>
            <w:tcBorders>
              <w:top w:val="nil"/>
              <w:left w:val="nil"/>
              <w:bottom w:val="single" w:sz="4" w:space="0" w:color="auto"/>
              <w:right w:val="single" w:sz="4" w:space="0" w:color="auto"/>
            </w:tcBorders>
            <w:vAlign w:val="center"/>
          </w:tcPr>
          <w:p w14:paraId="37CB7027"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2.3%</w:t>
            </w:r>
          </w:p>
        </w:tc>
      </w:tr>
      <w:tr w:rsidR="006B0D6D" w:rsidRPr="00A77BD5" w14:paraId="0304C588" w14:textId="77777777" w:rsidTr="006B0D6D">
        <w:trPr>
          <w:cantSplit/>
          <w:trHeight w:val="260"/>
          <w:jc w:val="center"/>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14:paraId="4475BD84" w14:textId="77777777" w:rsidR="006B0D6D" w:rsidRPr="00E42B8C" w:rsidRDefault="006B0D6D" w:rsidP="006B0D6D">
            <w:pPr>
              <w:spacing w:after="0" w:line="240" w:lineRule="auto"/>
              <w:rPr>
                <w:rFonts w:ascii="Calibri" w:eastAsia="Times New Roman" w:hAnsi="Calibri" w:cs="Calibri"/>
                <w:color w:val="000000"/>
                <w:sz w:val="22"/>
              </w:rPr>
            </w:pPr>
            <w:r w:rsidRPr="00E42B8C">
              <w:rPr>
                <w:rFonts w:ascii="Calibri" w:eastAsia="Times New Roman" w:hAnsi="Calibri" w:cs="Calibri"/>
                <w:color w:val="000000"/>
                <w:sz w:val="22"/>
              </w:rPr>
              <w:t>Worcester County</w:t>
            </w:r>
          </w:p>
        </w:tc>
        <w:tc>
          <w:tcPr>
            <w:tcW w:w="1170" w:type="dxa"/>
            <w:tcBorders>
              <w:top w:val="nil"/>
              <w:left w:val="nil"/>
              <w:bottom w:val="single" w:sz="4" w:space="0" w:color="auto"/>
              <w:right w:val="single" w:sz="4" w:space="0" w:color="auto"/>
            </w:tcBorders>
            <w:shd w:val="clear" w:color="auto" w:fill="auto"/>
            <w:noWrap/>
            <w:vAlign w:val="center"/>
            <w:hideMark/>
          </w:tcPr>
          <w:p w14:paraId="73F443D2"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180</w:t>
            </w:r>
          </w:p>
        </w:tc>
        <w:tc>
          <w:tcPr>
            <w:tcW w:w="1260" w:type="dxa"/>
            <w:tcBorders>
              <w:top w:val="nil"/>
              <w:left w:val="nil"/>
              <w:bottom w:val="single" w:sz="4" w:space="0" w:color="auto"/>
              <w:right w:val="single" w:sz="4" w:space="0" w:color="auto"/>
            </w:tcBorders>
            <w:shd w:val="clear" w:color="auto" w:fill="auto"/>
            <w:noWrap/>
            <w:vAlign w:val="center"/>
            <w:hideMark/>
          </w:tcPr>
          <w:p w14:paraId="7CDACB71"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1.5%</w:t>
            </w:r>
          </w:p>
        </w:tc>
        <w:tc>
          <w:tcPr>
            <w:tcW w:w="1273" w:type="dxa"/>
            <w:tcBorders>
              <w:top w:val="nil"/>
              <w:left w:val="nil"/>
              <w:bottom w:val="single" w:sz="4" w:space="0" w:color="auto"/>
              <w:right w:val="single" w:sz="4" w:space="0" w:color="auto"/>
            </w:tcBorders>
            <w:shd w:val="clear" w:color="auto" w:fill="auto"/>
            <w:noWrap/>
            <w:vAlign w:val="center"/>
            <w:hideMark/>
          </w:tcPr>
          <w:p w14:paraId="70BBAD80"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205</w:t>
            </w:r>
          </w:p>
        </w:tc>
        <w:tc>
          <w:tcPr>
            <w:tcW w:w="1337" w:type="dxa"/>
            <w:tcBorders>
              <w:top w:val="nil"/>
              <w:left w:val="nil"/>
              <w:bottom w:val="single" w:sz="4" w:space="0" w:color="auto"/>
              <w:right w:val="single" w:sz="4" w:space="0" w:color="auto"/>
            </w:tcBorders>
            <w:shd w:val="clear" w:color="auto" w:fill="auto"/>
            <w:noWrap/>
            <w:vAlign w:val="center"/>
            <w:hideMark/>
          </w:tcPr>
          <w:p w14:paraId="6AFC06A7"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1.6%</w:t>
            </w:r>
          </w:p>
        </w:tc>
        <w:tc>
          <w:tcPr>
            <w:tcW w:w="1080" w:type="dxa"/>
            <w:tcBorders>
              <w:top w:val="nil"/>
              <w:left w:val="nil"/>
              <w:bottom w:val="single" w:sz="4" w:space="0" w:color="auto"/>
              <w:right w:val="single" w:sz="4" w:space="0" w:color="auto"/>
            </w:tcBorders>
            <w:shd w:val="clear" w:color="auto" w:fill="auto"/>
            <w:noWrap/>
            <w:vAlign w:val="center"/>
            <w:hideMark/>
          </w:tcPr>
          <w:p w14:paraId="619817F2"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229</w:t>
            </w:r>
          </w:p>
        </w:tc>
        <w:tc>
          <w:tcPr>
            <w:tcW w:w="1260" w:type="dxa"/>
            <w:tcBorders>
              <w:top w:val="nil"/>
              <w:left w:val="nil"/>
              <w:bottom w:val="single" w:sz="4" w:space="0" w:color="auto"/>
              <w:right w:val="single" w:sz="4" w:space="0" w:color="auto"/>
            </w:tcBorders>
            <w:shd w:val="clear" w:color="auto" w:fill="auto"/>
            <w:noWrap/>
            <w:vAlign w:val="center"/>
            <w:hideMark/>
          </w:tcPr>
          <w:p w14:paraId="22DB92AE"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1.6%</w:t>
            </w:r>
          </w:p>
        </w:tc>
        <w:tc>
          <w:tcPr>
            <w:tcW w:w="1080" w:type="dxa"/>
            <w:tcBorders>
              <w:top w:val="nil"/>
              <w:left w:val="nil"/>
              <w:bottom w:val="single" w:sz="4" w:space="0" w:color="auto"/>
              <w:right w:val="single" w:sz="4" w:space="0" w:color="auto"/>
            </w:tcBorders>
            <w:vAlign w:val="center"/>
          </w:tcPr>
          <w:p w14:paraId="5C96E909"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246</w:t>
            </w:r>
          </w:p>
        </w:tc>
        <w:tc>
          <w:tcPr>
            <w:tcW w:w="1260" w:type="dxa"/>
            <w:tcBorders>
              <w:top w:val="nil"/>
              <w:left w:val="nil"/>
              <w:bottom w:val="single" w:sz="4" w:space="0" w:color="auto"/>
              <w:right w:val="single" w:sz="4" w:space="0" w:color="auto"/>
            </w:tcBorders>
            <w:vAlign w:val="center"/>
          </w:tcPr>
          <w:p w14:paraId="2476F795"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1.7%</w:t>
            </w:r>
          </w:p>
        </w:tc>
      </w:tr>
      <w:tr w:rsidR="006B0D6D" w:rsidRPr="00A77BD5" w14:paraId="73F72C0A" w14:textId="77777777" w:rsidTr="006B0D6D">
        <w:trPr>
          <w:cantSplit/>
          <w:trHeight w:val="260"/>
          <w:jc w:val="center"/>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14:paraId="691AA0EF" w14:textId="77777777" w:rsidR="006B0D6D" w:rsidRPr="00E42B8C" w:rsidRDefault="006B0D6D" w:rsidP="006B0D6D">
            <w:pPr>
              <w:spacing w:after="0" w:line="240" w:lineRule="auto"/>
              <w:rPr>
                <w:rFonts w:ascii="Calibri" w:eastAsia="Times New Roman" w:hAnsi="Calibri" w:cs="Calibri"/>
                <w:color w:val="000000"/>
                <w:sz w:val="22"/>
              </w:rPr>
            </w:pPr>
            <w:r w:rsidRPr="00E42B8C">
              <w:rPr>
                <w:rFonts w:ascii="Calibri" w:eastAsia="Times New Roman" w:hAnsi="Calibri" w:cs="Calibri"/>
                <w:color w:val="000000"/>
                <w:sz w:val="22"/>
              </w:rPr>
              <w:t>Hampden County</w:t>
            </w:r>
          </w:p>
        </w:tc>
        <w:tc>
          <w:tcPr>
            <w:tcW w:w="1170" w:type="dxa"/>
            <w:tcBorders>
              <w:top w:val="nil"/>
              <w:left w:val="nil"/>
              <w:bottom w:val="single" w:sz="4" w:space="0" w:color="auto"/>
              <w:right w:val="single" w:sz="4" w:space="0" w:color="auto"/>
            </w:tcBorders>
            <w:shd w:val="clear" w:color="auto" w:fill="auto"/>
            <w:noWrap/>
            <w:vAlign w:val="center"/>
            <w:hideMark/>
          </w:tcPr>
          <w:p w14:paraId="3D9CE950" w14:textId="0F951C12"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&lt;11</w:t>
            </w:r>
          </w:p>
        </w:tc>
        <w:tc>
          <w:tcPr>
            <w:tcW w:w="1260" w:type="dxa"/>
            <w:tcBorders>
              <w:top w:val="nil"/>
              <w:left w:val="nil"/>
              <w:bottom w:val="single" w:sz="4" w:space="0" w:color="auto"/>
              <w:right w:val="single" w:sz="4" w:space="0" w:color="auto"/>
            </w:tcBorders>
            <w:shd w:val="clear" w:color="auto" w:fill="auto"/>
            <w:noWrap/>
            <w:vAlign w:val="center"/>
            <w:hideMark/>
          </w:tcPr>
          <w:p w14:paraId="47AF6F8A"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0.0%</w:t>
            </w:r>
          </w:p>
        </w:tc>
        <w:tc>
          <w:tcPr>
            <w:tcW w:w="1273" w:type="dxa"/>
            <w:tcBorders>
              <w:top w:val="nil"/>
              <w:left w:val="nil"/>
              <w:bottom w:val="single" w:sz="4" w:space="0" w:color="auto"/>
              <w:right w:val="single" w:sz="4" w:space="0" w:color="auto"/>
            </w:tcBorders>
            <w:shd w:val="clear" w:color="auto" w:fill="auto"/>
            <w:noWrap/>
            <w:vAlign w:val="center"/>
            <w:hideMark/>
          </w:tcPr>
          <w:p w14:paraId="3056D3EE" w14:textId="666299CE"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&lt;11</w:t>
            </w:r>
          </w:p>
        </w:tc>
        <w:tc>
          <w:tcPr>
            <w:tcW w:w="1337" w:type="dxa"/>
            <w:tcBorders>
              <w:top w:val="nil"/>
              <w:left w:val="nil"/>
              <w:bottom w:val="single" w:sz="4" w:space="0" w:color="auto"/>
              <w:right w:val="single" w:sz="4" w:space="0" w:color="auto"/>
            </w:tcBorders>
            <w:shd w:val="clear" w:color="auto" w:fill="auto"/>
            <w:noWrap/>
            <w:vAlign w:val="center"/>
            <w:hideMark/>
          </w:tcPr>
          <w:p w14:paraId="0E0D204A"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0.0%</w:t>
            </w:r>
          </w:p>
        </w:tc>
        <w:tc>
          <w:tcPr>
            <w:tcW w:w="1080" w:type="dxa"/>
            <w:tcBorders>
              <w:top w:val="nil"/>
              <w:left w:val="nil"/>
              <w:bottom w:val="single" w:sz="4" w:space="0" w:color="auto"/>
              <w:right w:val="single" w:sz="4" w:space="0" w:color="auto"/>
            </w:tcBorders>
            <w:shd w:val="clear" w:color="auto" w:fill="auto"/>
            <w:noWrap/>
            <w:vAlign w:val="center"/>
            <w:hideMark/>
          </w:tcPr>
          <w:p w14:paraId="289C6DA8" w14:textId="6FB367AC"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&lt;11</w:t>
            </w:r>
          </w:p>
        </w:tc>
        <w:tc>
          <w:tcPr>
            <w:tcW w:w="1260" w:type="dxa"/>
            <w:tcBorders>
              <w:top w:val="nil"/>
              <w:left w:val="nil"/>
              <w:bottom w:val="single" w:sz="4" w:space="0" w:color="auto"/>
              <w:right w:val="single" w:sz="4" w:space="0" w:color="auto"/>
            </w:tcBorders>
            <w:shd w:val="clear" w:color="auto" w:fill="auto"/>
            <w:noWrap/>
            <w:vAlign w:val="center"/>
            <w:hideMark/>
          </w:tcPr>
          <w:p w14:paraId="14279768"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0.0%</w:t>
            </w:r>
          </w:p>
        </w:tc>
        <w:tc>
          <w:tcPr>
            <w:tcW w:w="1080" w:type="dxa"/>
            <w:tcBorders>
              <w:top w:val="nil"/>
              <w:left w:val="nil"/>
              <w:bottom w:val="single" w:sz="4" w:space="0" w:color="auto"/>
              <w:right w:val="single" w:sz="4" w:space="0" w:color="auto"/>
            </w:tcBorders>
            <w:vAlign w:val="center"/>
          </w:tcPr>
          <w:p w14:paraId="4DE82E4C" w14:textId="509D2AA5"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&lt;11</w:t>
            </w:r>
          </w:p>
        </w:tc>
        <w:tc>
          <w:tcPr>
            <w:tcW w:w="1260" w:type="dxa"/>
            <w:tcBorders>
              <w:top w:val="nil"/>
              <w:left w:val="nil"/>
              <w:bottom w:val="single" w:sz="4" w:space="0" w:color="auto"/>
              <w:right w:val="single" w:sz="4" w:space="0" w:color="auto"/>
            </w:tcBorders>
            <w:vAlign w:val="center"/>
          </w:tcPr>
          <w:p w14:paraId="5F44F851"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0.0%</w:t>
            </w:r>
          </w:p>
        </w:tc>
      </w:tr>
      <w:tr w:rsidR="006B0D6D" w:rsidRPr="00A77BD5" w14:paraId="36627A45" w14:textId="77777777" w:rsidTr="006B0D6D">
        <w:trPr>
          <w:cantSplit/>
          <w:trHeight w:val="296"/>
          <w:jc w:val="center"/>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14:paraId="6C617C0F" w14:textId="77777777" w:rsidR="006B0D6D" w:rsidRPr="00E42B8C" w:rsidRDefault="006B0D6D" w:rsidP="006B0D6D">
            <w:pPr>
              <w:spacing w:after="0" w:line="240" w:lineRule="auto"/>
              <w:rPr>
                <w:rFonts w:ascii="Calibri" w:eastAsia="Times New Roman" w:hAnsi="Calibri" w:cs="Calibri"/>
                <w:color w:val="000000"/>
                <w:sz w:val="22"/>
              </w:rPr>
            </w:pPr>
            <w:r w:rsidRPr="00E42B8C">
              <w:rPr>
                <w:rFonts w:ascii="Calibri" w:eastAsia="Times New Roman" w:hAnsi="Calibri" w:cs="Calibri"/>
                <w:color w:val="000000"/>
                <w:sz w:val="22"/>
              </w:rPr>
              <w:t>Berkshire County</w:t>
            </w:r>
          </w:p>
        </w:tc>
        <w:tc>
          <w:tcPr>
            <w:tcW w:w="1170" w:type="dxa"/>
            <w:tcBorders>
              <w:top w:val="nil"/>
              <w:left w:val="nil"/>
              <w:bottom w:val="single" w:sz="4" w:space="0" w:color="auto"/>
              <w:right w:val="single" w:sz="4" w:space="0" w:color="auto"/>
            </w:tcBorders>
            <w:shd w:val="clear" w:color="auto" w:fill="auto"/>
            <w:noWrap/>
            <w:vAlign w:val="center"/>
            <w:hideMark/>
          </w:tcPr>
          <w:p w14:paraId="72E1322C" w14:textId="3879CAD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&lt;11</w:t>
            </w:r>
          </w:p>
        </w:tc>
        <w:tc>
          <w:tcPr>
            <w:tcW w:w="1260" w:type="dxa"/>
            <w:tcBorders>
              <w:top w:val="nil"/>
              <w:left w:val="nil"/>
              <w:bottom w:val="single" w:sz="4" w:space="0" w:color="auto"/>
              <w:right w:val="single" w:sz="4" w:space="0" w:color="auto"/>
            </w:tcBorders>
            <w:shd w:val="clear" w:color="auto" w:fill="auto"/>
            <w:noWrap/>
            <w:vAlign w:val="center"/>
            <w:hideMark/>
          </w:tcPr>
          <w:p w14:paraId="444EC363"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0.0%</w:t>
            </w:r>
          </w:p>
        </w:tc>
        <w:tc>
          <w:tcPr>
            <w:tcW w:w="1273" w:type="dxa"/>
            <w:tcBorders>
              <w:top w:val="nil"/>
              <w:left w:val="nil"/>
              <w:bottom w:val="single" w:sz="4" w:space="0" w:color="auto"/>
              <w:right w:val="single" w:sz="4" w:space="0" w:color="auto"/>
            </w:tcBorders>
            <w:shd w:val="clear" w:color="auto" w:fill="auto"/>
            <w:noWrap/>
            <w:vAlign w:val="center"/>
            <w:hideMark/>
          </w:tcPr>
          <w:p w14:paraId="1CAA7B1E" w14:textId="33677E36"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&lt;11</w:t>
            </w:r>
          </w:p>
        </w:tc>
        <w:tc>
          <w:tcPr>
            <w:tcW w:w="1337" w:type="dxa"/>
            <w:tcBorders>
              <w:top w:val="nil"/>
              <w:left w:val="nil"/>
              <w:bottom w:val="single" w:sz="4" w:space="0" w:color="auto"/>
              <w:right w:val="single" w:sz="4" w:space="0" w:color="auto"/>
            </w:tcBorders>
            <w:shd w:val="clear" w:color="auto" w:fill="auto"/>
            <w:noWrap/>
            <w:vAlign w:val="center"/>
            <w:hideMark/>
          </w:tcPr>
          <w:p w14:paraId="5341F2AF"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0.0%</w:t>
            </w:r>
          </w:p>
        </w:tc>
        <w:tc>
          <w:tcPr>
            <w:tcW w:w="1080" w:type="dxa"/>
            <w:tcBorders>
              <w:top w:val="nil"/>
              <w:left w:val="nil"/>
              <w:bottom w:val="single" w:sz="4" w:space="0" w:color="auto"/>
              <w:right w:val="single" w:sz="4" w:space="0" w:color="auto"/>
            </w:tcBorders>
            <w:shd w:val="clear" w:color="auto" w:fill="auto"/>
            <w:noWrap/>
            <w:vAlign w:val="center"/>
            <w:hideMark/>
          </w:tcPr>
          <w:p w14:paraId="2407F3AD" w14:textId="2461AADF"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&lt;11</w:t>
            </w:r>
          </w:p>
        </w:tc>
        <w:tc>
          <w:tcPr>
            <w:tcW w:w="1260" w:type="dxa"/>
            <w:tcBorders>
              <w:top w:val="nil"/>
              <w:left w:val="nil"/>
              <w:bottom w:val="single" w:sz="4" w:space="0" w:color="auto"/>
              <w:right w:val="single" w:sz="4" w:space="0" w:color="auto"/>
            </w:tcBorders>
            <w:shd w:val="clear" w:color="auto" w:fill="auto"/>
            <w:noWrap/>
            <w:vAlign w:val="center"/>
            <w:hideMark/>
          </w:tcPr>
          <w:p w14:paraId="601BEDFE"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0.0%</w:t>
            </w:r>
          </w:p>
        </w:tc>
        <w:tc>
          <w:tcPr>
            <w:tcW w:w="1080" w:type="dxa"/>
            <w:tcBorders>
              <w:top w:val="nil"/>
              <w:left w:val="nil"/>
              <w:bottom w:val="single" w:sz="4" w:space="0" w:color="auto"/>
              <w:right w:val="single" w:sz="4" w:space="0" w:color="auto"/>
            </w:tcBorders>
            <w:vAlign w:val="center"/>
          </w:tcPr>
          <w:p w14:paraId="2A860151" w14:textId="51E4EAE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&lt;11</w:t>
            </w:r>
          </w:p>
        </w:tc>
        <w:tc>
          <w:tcPr>
            <w:tcW w:w="1260" w:type="dxa"/>
            <w:tcBorders>
              <w:top w:val="nil"/>
              <w:left w:val="nil"/>
              <w:bottom w:val="single" w:sz="4" w:space="0" w:color="auto"/>
              <w:right w:val="single" w:sz="4" w:space="0" w:color="auto"/>
            </w:tcBorders>
            <w:vAlign w:val="center"/>
          </w:tcPr>
          <w:p w14:paraId="71ED444F"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0.1%</w:t>
            </w:r>
          </w:p>
        </w:tc>
      </w:tr>
      <w:tr w:rsidR="006B0D6D" w:rsidRPr="00A77BD5" w14:paraId="746425B1" w14:textId="77777777" w:rsidTr="006B0D6D">
        <w:trPr>
          <w:cantSplit/>
          <w:trHeight w:val="260"/>
          <w:jc w:val="center"/>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14:paraId="7AF96E5F" w14:textId="77777777" w:rsidR="006B0D6D" w:rsidRPr="00E42B8C" w:rsidRDefault="006B0D6D" w:rsidP="006B0D6D">
            <w:pPr>
              <w:spacing w:after="0" w:line="240" w:lineRule="auto"/>
              <w:rPr>
                <w:rFonts w:ascii="Calibri" w:eastAsia="Times New Roman" w:hAnsi="Calibri" w:cs="Calibri"/>
                <w:color w:val="000000"/>
                <w:sz w:val="22"/>
              </w:rPr>
            </w:pPr>
            <w:r w:rsidRPr="00E42B8C">
              <w:rPr>
                <w:rFonts w:ascii="Calibri" w:eastAsia="Times New Roman" w:hAnsi="Calibri" w:cs="Calibri"/>
                <w:color w:val="000000"/>
                <w:sz w:val="22"/>
              </w:rPr>
              <w:t>Dukes County</w:t>
            </w:r>
          </w:p>
        </w:tc>
        <w:tc>
          <w:tcPr>
            <w:tcW w:w="1170" w:type="dxa"/>
            <w:tcBorders>
              <w:top w:val="nil"/>
              <w:left w:val="nil"/>
              <w:bottom w:val="single" w:sz="4" w:space="0" w:color="auto"/>
              <w:right w:val="single" w:sz="4" w:space="0" w:color="auto"/>
            </w:tcBorders>
            <w:shd w:val="clear" w:color="auto" w:fill="auto"/>
            <w:noWrap/>
            <w:vAlign w:val="center"/>
            <w:hideMark/>
          </w:tcPr>
          <w:p w14:paraId="4E0C3363" w14:textId="56147B1B"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&lt;11</w:t>
            </w:r>
          </w:p>
        </w:tc>
        <w:tc>
          <w:tcPr>
            <w:tcW w:w="1260" w:type="dxa"/>
            <w:tcBorders>
              <w:top w:val="nil"/>
              <w:left w:val="nil"/>
              <w:bottom w:val="single" w:sz="4" w:space="0" w:color="auto"/>
              <w:right w:val="single" w:sz="4" w:space="0" w:color="auto"/>
            </w:tcBorders>
            <w:shd w:val="clear" w:color="auto" w:fill="auto"/>
            <w:noWrap/>
            <w:vAlign w:val="center"/>
            <w:hideMark/>
          </w:tcPr>
          <w:p w14:paraId="451C46FD"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0.0%</w:t>
            </w:r>
          </w:p>
        </w:tc>
        <w:tc>
          <w:tcPr>
            <w:tcW w:w="1273" w:type="dxa"/>
            <w:tcBorders>
              <w:top w:val="nil"/>
              <w:left w:val="nil"/>
              <w:bottom w:val="single" w:sz="4" w:space="0" w:color="auto"/>
              <w:right w:val="single" w:sz="4" w:space="0" w:color="auto"/>
            </w:tcBorders>
            <w:shd w:val="clear" w:color="auto" w:fill="auto"/>
            <w:noWrap/>
            <w:vAlign w:val="center"/>
            <w:hideMark/>
          </w:tcPr>
          <w:p w14:paraId="68DC3292" w14:textId="6AC396D1"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&lt;11</w:t>
            </w:r>
          </w:p>
        </w:tc>
        <w:tc>
          <w:tcPr>
            <w:tcW w:w="1337" w:type="dxa"/>
            <w:tcBorders>
              <w:top w:val="nil"/>
              <w:left w:val="nil"/>
              <w:bottom w:val="single" w:sz="4" w:space="0" w:color="auto"/>
              <w:right w:val="single" w:sz="4" w:space="0" w:color="auto"/>
            </w:tcBorders>
            <w:shd w:val="clear" w:color="auto" w:fill="auto"/>
            <w:noWrap/>
            <w:vAlign w:val="center"/>
            <w:hideMark/>
          </w:tcPr>
          <w:p w14:paraId="628D02FF"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0.0%</w:t>
            </w:r>
          </w:p>
        </w:tc>
        <w:tc>
          <w:tcPr>
            <w:tcW w:w="1080" w:type="dxa"/>
            <w:tcBorders>
              <w:top w:val="nil"/>
              <w:left w:val="nil"/>
              <w:bottom w:val="single" w:sz="4" w:space="0" w:color="auto"/>
              <w:right w:val="single" w:sz="4" w:space="0" w:color="auto"/>
            </w:tcBorders>
            <w:shd w:val="clear" w:color="auto" w:fill="auto"/>
            <w:noWrap/>
            <w:vAlign w:val="center"/>
            <w:hideMark/>
          </w:tcPr>
          <w:p w14:paraId="56B8E96C" w14:textId="6C7DD239"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&lt;11</w:t>
            </w:r>
          </w:p>
        </w:tc>
        <w:tc>
          <w:tcPr>
            <w:tcW w:w="1260" w:type="dxa"/>
            <w:tcBorders>
              <w:top w:val="nil"/>
              <w:left w:val="nil"/>
              <w:bottom w:val="single" w:sz="4" w:space="0" w:color="auto"/>
              <w:right w:val="single" w:sz="4" w:space="0" w:color="auto"/>
            </w:tcBorders>
            <w:shd w:val="clear" w:color="auto" w:fill="auto"/>
            <w:noWrap/>
            <w:vAlign w:val="center"/>
            <w:hideMark/>
          </w:tcPr>
          <w:p w14:paraId="0EDFA695"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0.0%</w:t>
            </w:r>
          </w:p>
        </w:tc>
        <w:tc>
          <w:tcPr>
            <w:tcW w:w="1080" w:type="dxa"/>
            <w:tcBorders>
              <w:top w:val="nil"/>
              <w:left w:val="nil"/>
              <w:bottom w:val="single" w:sz="4" w:space="0" w:color="auto"/>
              <w:right w:val="single" w:sz="4" w:space="0" w:color="auto"/>
            </w:tcBorders>
            <w:vAlign w:val="center"/>
          </w:tcPr>
          <w:p w14:paraId="35066D82" w14:textId="31F6D00A"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&lt;11</w:t>
            </w:r>
          </w:p>
        </w:tc>
        <w:tc>
          <w:tcPr>
            <w:tcW w:w="1260" w:type="dxa"/>
            <w:tcBorders>
              <w:top w:val="nil"/>
              <w:left w:val="nil"/>
              <w:bottom w:val="single" w:sz="4" w:space="0" w:color="auto"/>
              <w:right w:val="single" w:sz="4" w:space="0" w:color="auto"/>
            </w:tcBorders>
            <w:vAlign w:val="center"/>
          </w:tcPr>
          <w:p w14:paraId="52A3E3BA"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0.0%</w:t>
            </w:r>
          </w:p>
        </w:tc>
      </w:tr>
      <w:tr w:rsidR="006B0D6D" w:rsidRPr="00A77BD5" w14:paraId="33B4FED3" w14:textId="77777777" w:rsidTr="006B0D6D">
        <w:trPr>
          <w:cantSplit/>
          <w:trHeight w:val="260"/>
          <w:jc w:val="center"/>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14:paraId="4106F04F" w14:textId="77777777" w:rsidR="006B0D6D" w:rsidRPr="00E42B8C" w:rsidRDefault="006B0D6D" w:rsidP="006B0D6D">
            <w:pPr>
              <w:spacing w:after="0" w:line="240" w:lineRule="auto"/>
              <w:rPr>
                <w:rFonts w:ascii="Calibri" w:eastAsia="Times New Roman" w:hAnsi="Calibri" w:cs="Calibri"/>
                <w:color w:val="000000"/>
                <w:sz w:val="22"/>
              </w:rPr>
            </w:pPr>
            <w:r w:rsidRPr="00E42B8C">
              <w:rPr>
                <w:rFonts w:ascii="Calibri" w:eastAsia="Times New Roman" w:hAnsi="Calibri" w:cs="Calibri"/>
                <w:color w:val="000000"/>
                <w:sz w:val="22"/>
              </w:rPr>
              <w:t>Franklin County</w:t>
            </w:r>
          </w:p>
        </w:tc>
        <w:tc>
          <w:tcPr>
            <w:tcW w:w="1170" w:type="dxa"/>
            <w:tcBorders>
              <w:top w:val="nil"/>
              <w:left w:val="nil"/>
              <w:bottom w:val="single" w:sz="4" w:space="0" w:color="auto"/>
              <w:right w:val="single" w:sz="4" w:space="0" w:color="auto"/>
            </w:tcBorders>
            <w:shd w:val="clear" w:color="auto" w:fill="auto"/>
            <w:noWrap/>
            <w:vAlign w:val="center"/>
            <w:hideMark/>
          </w:tcPr>
          <w:p w14:paraId="423DEE07" w14:textId="6497E8DF"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&lt;11</w:t>
            </w:r>
          </w:p>
        </w:tc>
        <w:tc>
          <w:tcPr>
            <w:tcW w:w="1260" w:type="dxa"/>
            <w:tcBorders>
              <w:top w:val="nil"/>
              <w:left w:val="nil"/>
              <w:bottom w:val="single" w:sz="4" w:space="0" w:color="auto"/>
              <w:right w:val="single" w:sz="4" w:space="0" w:color="auto"/>
            </w:tcBorders>
            <w:shd w:val="clear" w:color="auto" w:fill="auto"/>
            <w:noWrap/>
            <w:vAlign w:val="center"/>
            <w:hideMark/>
          </w:tcPr>
          <w:p w14:paraId="5CE14886"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0.0%</w:t>
            </w:r>
          </w:p>
        </w:tc>
        <w:tc>
          <w:tcPr>
            <w:tcW w:w="1273" w:type="dxa"/>
            <w:tcBorders>
              <w:top w:val="nil"/>
              <w:left w:val="nil"/>
              <w:bottom w:val="single" w:sz="4" w:space="0" w:color="auto"/>
              <w:right w:val="single" w:sz="4" w:space="0" w:color="auto"/>
            </w:tcBorders>
            <w:shd w:val="clear" w:color="auto" w:fill="auto"/>
            <w:noWrap/>
            <w:vAlign w:val="center"/>
            <w:hideMark/>
          </w:tcPr>
          <w:p w14:paraId="49A82F8B" w14:textId="32CD99AA"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&lt;11</w:t>
            </w:r>
          </w:p>
        </w:tc>
        <w:tc>
          <w:tcPr>
            <w:tcW w:w="1337" w:type="dxa"/>
            <w:tcBorders>
              <w:top w:val="nil"/>
              <w:left w:val="nil"/>
              <w:bottom w:val="single" w:sz="4" w:space="0" w:color="auto"/>
              <w:right w:val="single" w:sz="4" w:space="0" w:color="auto"/>
            </w:tcBorders>
            <w:shd w:val="clear" w:color="auto" w:fill="auto"/>
            <w:noWrap/>
            <w:vAlign w:val="center"/>
            <w:hideMark/>
          </w:tcPr>
          <w:p w14:paraId="5434D2CB"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0.0%</w:t>
            </w:r>
          </w:p>
        </w:tc>
        <w:tc>
          <w:tcPr>
            <w:tcW w:w="1080" w:type="dxa"/>
            <w:tcBorders>
              <w:top w:val="nil"/>
              <w:left w:val="nil"/>
              <w:bottom w:val="single" w:sz="4" w:space="0" w:color="auto"/>
              <w:right w:val="single" w:sz="4" w:space="0" w:color="auto"/>
            </w:tcBorders>
            <w:shd w:val="clear" w:color="auto" w:fill="auto"/>
            <w:noWrap/>
            <w:vAlign w:val="center"/>
            <w:hideMark/>
          </w:tcPr>
          <w:p w14:paraId="098793C9" w14:textId="148CE2C1"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&lt;11</w:t>
            </w:r>
          </w:p>
        </w:tc>
        <w:tc>
          <w:tcPr>
            <w:tcW w:w="1260" w:type="dxa"/>
            <w:tcBorders>
              <w:top w:val="nil"/>
              <w:left w:val="nil"/>
              <w:bottom w:val="single" w:sz="4" w:space="0" w:color="auto"/>
              <w:right w:val="single" w:sz="4" w:space="0" w:color="auto"/>
            </w:tcBorders>
            <w:shd w:val="clear" w:color="auto" w:fill="auto"/>
            <w:noWrap/>
            <w:vAlign w:val="center"/>
            <w:hideMark/>
          </w:tcPr>
          <w:p w14:paraId="313D37EC"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0.0%</w:t>
            </w:r>
          </w:p>
        </w:tc>
        <w:tc>
          <w:tcPr>
            <w:tcW w:w="1080" w:type="dxa"/>
            <w:tcBorders>
              <w:top w:val="nil"/>
              <w:left w:val="nil"/>
              <w:bottom w:val="single" w:sz="4" w:space="0" w:color="auto"/>
              <w:right w:val="single" w:sz="4" w:space="0" w:color="auto"/>
            </w:tcBorders>
            <w:vAlign w:val="center"/>
          </w:tcPr>
          <w:p w14:paraId="14973187" w14:textId="7BE3D15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&lt;11</w:t>
            </w:r>
          </w:p>
        </w:tc>
        <w:tc>
          <w:tcPr>
            <w:tcW w:w="1260" w:type="dxa"/>
            <w:tcBorders>
              <w:top w:val="nil"/>
              <w:left w:val="nil"/>
              <w:bottom w:val="single" w:sz="4" w:space="0" w:color="auto"/>
              <w:right w:val="single" w:sz="4" w:space="0" w:color="auto"/>
            </w:tcBorders>
            <w:vAlign w:val="center"/>
          </w:tcPr>
          <w:p w14:paraId="0753C4E3"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0.0%</w:t>
            </w:r>
          </w:p>
        </w:tc>
      </w:tr>
      <w:tr w:rsidR="006B0D6D" w:rsidRPr="00A77BD5" w14:paraId="47758DA6" w14:textId="77777777" w:rsidTr="006B0D6D">
        <w:trPr>
          <w:cantSplit/>
          <w:trHeight w:val="260"/>
          <w:jc w:val="center"/>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14:paraId="41A0ADA2" w14:textId="77777777" w:rsidR="006B0D6D" w:rsidRPr="00E42B8C" w:rsidRDefault="006B0D6D" w:rsidP="006B0D6D">
            <w:pPr>
              <w:spacing w:after="0" w:line="240" w:lineRule="auto"/>
              <w:rPr>
                <w:rFonts w:ascii="Calibri" w:eastAsia="Times New Roman" w:hAnsi="Calibri" w:cs="Calibri"/>
                <w:color w:val="000000"/>
                <w:sz w:val="22"/>
              </w:rPr>
            </w:pPr>
            <w:r w:rsidRPr="00E42B8C">
              <w:rPr>
                <w:rFonts w:ascii="Calibri" w:eastAsia="Times New Roman" w:hAnsi="Calibri" w:cs="Calibri"/>
                <w:color w:val="000000"/>
                <w:sz w:val="22"/>
              </w:rPr>
              <w:t>Hampshire County</w:t>
            </w:r>
          </w:p>
        </w:tc>
        <w:tc>
          <w:tcPr>
            <w:tcW w:w="1170" w:type="dxa"/>
            <w:tcBorders>
              <w:top w:val="nil"/>
              <w:left w:val="nil"/>
              <w:bottom w:val="single" w:sz="4" w:space="0" w:color="auto"/>
              <w:right w:val="single" w:sz="4" w:space="0" w:color="auto"/>
            </w:tcBorders>
            <w:shd w:val="clear" w:color="auto" w:fill="auto"/>
            <w:noWrap/>
            <w:vAlign w:val="center"/>
            <w:hideMark/>
          </w:tcPr>
          <w:p w14:paraId="4C31F68B" w14:textId="6DE2DE8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&lt;11</w:t>
            </w:r>
          </w:p>
        </w:tc>
        <w:tc>
          <w:tcPr>
            <w:tcW w:w="1260" w:type="dxa"/>
            <w:tcBorders>
              <w:top w:val="nil"/>
              <w:left w:val="nil"/>
              <w:bottom w:val="single" w:sz="4" w:space="0" w:color="auto"/>
              <w:right w:val="single" w:sz="4" w:space="0" w:color="auto"/>
            </w:tcBorders>
            <w:shd w:val="clear" w:color="auto" w:fill="auto"/>
            <w:noWrap/>
            <w:vAlign w:val="center"/>
            <w:hideMark/>
          </w:tcPr>
          <w:p w14:paraId="33CC1268"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0.0%</w:t>
            </w:r>
          </w:p>
        </w:tc>
        <w:tc>
          <w:tcPr>
            <w:tcW w:w="1273" w:type="dxa"/>
            <w:tcBorders>
              <w:top w:val="nil"/>
              <w:left w:val="nil"/>
              <w:bottom w:val="single" w:sz="4" w:space="0" w:color="auto"/>
              <w:right w:val="single" w:sz="4" w:space="0" w:color="auto"/>
            </w:tcBorders>
            <w:shd w:val="clear" w:color="auto" w:fill="auto"/>
            <w:noWrap/>
            <w:vAlign w:val="center"/>
            <w:hideMark/>
          </w:tcPr>
          <w:p w14:paraId="36EAE671" w14:textId="337FDED9"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&lt;11</w:t>
            </w:r>
          </w:p>
        </w:tc>
        <w:tc>
          <w:tcPr>
            <w:tcW w:w="1337" w:type="dxa"/>
            <w:tcBorders>
              <w:top w:val="nil"/>
              <w:left w:val="nil"/>
              <w:bottom w:val="single" w:sz="4" w:space="0" w:color="auto"/>
              <w:right w:val="single" w:sz="4" w:space="0" w:color="auto"/>
            </w:tcBorders>
            <w:shd w:val="clear" w:color="auto" w:fill="auto"/>
            <w:noWrap/>
            <w:vAlign w:val="center"/>
            <w:hideMark/>
          </w:tcPr>
          <w:p w14:paraId="6C973B8A"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0.0%</w:t>
            </w:r>
          </w:p>
        </w:tc>
        <w:tc>
          <w:tcPr>
            <w:tcW w:w="1080" w:type="dxa"/>
            <w:tcBorders>
              <w:top w:val="nil"/>
              <w:left w:val="nil"/>
              <w:bottom w:val="single" w:sz="4" w:space="0" w:color="auto"/>
              <w:right w:val="single" w:sz="4" w:space="0" w:color="auto"/>
            </w:tcBorders>
            <w:shd w:val="clear" w:color="auto" w:fill="auto"/>
            <w:noWrap/>
            <w:vAlign w:val="center"/>
            <w:hideMark/>
          </w:tcPr>
          <w:p w14:paraId="00D409B5" w14:textId="4B9503C6"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&lt;11</w:t>
            </w:r>
          </w:p>
        </w:tc>
        <w:tc>
          <w:tcPr>
            <w:tcW w:w="1260" w:type="dxa"/>
            <w:tcBorders>
              <w:top w:val="nil"/>
              <w:left w:val="nil"/>
              <w:bottom w:val="single" w:sz="4" w:space="0" w:color="auto"/>
              <w:right w:val="single" w:sz="4" w:space="0" w:color="auto"/>
            </w:tcBorders>
            <w:shd w:val="clear" w:color="auto" w:fill="auto"/>
            <w:noWrap/>
            <w:vAlign w:val="center"/>
            <w:hideMark/>
          </w:tcPr>
          <w:p w14:paraId="61851FDF"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0.0%</w:t>
            </w:r>
          </w:p>
        </w:tc>
        <w:tc>
          <w:tcPr>
            <w:tcW w:w="1080" w:type="dxa"/>
            <w:tcBorders>
              <w:top w:val="nil"/>
              <w:left w:val="nil"/>
              <w:bottom w:val="single" w:sz="4" w:space="0" w:color="auto"/>
              <w:right w:val="single" w:sz="4" w:space="0" w:color="auto"/>
            </w:tcBorders>
            <w:vAlign w:val="center"/>
          </w:tcPr>
          <w:p w14:paraId="4B2493EA"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12</w:t>
            </w:r>
          </w:p>
        </w:tc>
        <w:tc>
          <w:tcPr>
            <w:tcW w:w="1260" w:type="dxa"/>
            <w:tcBorders>
              <w:top w:val="nil"/>
              <w:left w:val="nil"/>
              <w:bottom w:val="single" w:sz="4" w:space="0" w:color="auto"/>
              <w:right w:val="single" w:sz="4" w:space="0" w:color="auto"/>
            </w:tcBorders>
            <w:vAlign w:val="center"/>
          </w:tcPr>
          <w:p w14:paraId="554B5E82"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0.1%</w:t>
            </w:r>
          </w:p>
        </w:tc>
      </w:tr>
      <w:tr w:rsidR="006B0D6D" w:rsidRPr="00A77BD5" w14:paraId="2AE06451" w14:textId="77777777" w:rsidTr="006B0D6D">
        <w:trPr>
          <w:cantSplit/>
          <w:trHeight w:val="260"/>
          <w:jc w:val="center"/>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14:paraId="03C7ECC7" w14:textId="77777777" w:rsidR="006B0D6D" w:rsidRPr="00E42B8C" w:rsidRDefault="006B0D6D" w:rsidP="006B0D6D">
            <w:pPr>
              <w:spacing w:after="0" w:line="240" w:lineRule="auto"/>
              <w:rPr>
                <w:rFonts w:ascii="Calibri" w:eastAsia="Times New Roman" w:hAnsi="Calibri" w:cs="Calibri"/>
                <w:color w:val="000000"/>
                <w:sz w:val="22"/>
              </w:rPr>
            </w:pPr>
            <w:r w:rsidRPr="00E42B8C">
              <w:rPr>
                <w:rFonts w:ascii="Calibri" w:eastAsia="Times New Roman" w:hAnsi="Calibri" w:cs="Calibri"/>
                <w:color w:val="000000"/>
                <w:sz w:val="22"/>
              </w:rPr>
              <w:t>Nantucket County</w:t>
            </w:r>
          </w:p>
        </w:tc>
        <w:tc>
          <w:tcPr>
            <w:tcW w:w="1170" w:type="dxa"/>
            <w:tcBorders>
              <w:top w:val="nil"/>
              <w:left w:val="nil"/>
              <w:bottom w:val="single" w:sz="4" w:space="0" w:color="auto"/>
              <w:right w:val="single" w:sz="4" w:space="0" w:color="auto"/>
            </w:tcBorders>
            <w:shd w:val="clear" w:color="auto" w:fill="auto"/>
            <w:noWrap/>
            <w:vAlign w:val="center"/>
            <w:hideMark/>
          </w:tcPr>
          <w:p w14:paraId="27D34F1C" w14:textId="38EFFAA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 &lt;11</w:t>
            </w:r>
          </w:p>
        </w:tc>
        <w:tc>
          <w:tcPr>
            <w:tcW w:w="1260" w:type="dxa"/>
            <w:tcBorders>
              <w:top w:val="nil"/>
              <w:left w:val="nil"/>
              <w:bottom w:val="single" w:sz="4" w:space="0" w:color="auto"/>
              <w:right w:val="single" w:sz="4" w:space="0" w:color="auto"/>
            </w:tcBorders>
            <w:shd w:val="clear" w:color="auto" w:fill="auto"/>
            <w:noWrap/>
            <w:vAlign w:val="center"/>
            <w:hideMark/>
          </w:tcPr>
          <w:p w14:paraId="708E9D37"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0.0%</w:t>
            </w:r>
          </w:p>
        </w:tc>
        <w:tc>
          <w:tcPr>
            <w:tcW w:w="1273" w:type="dxa"/>
            <w:tcBorders>
              <w:top w:val="nil"/>
              <w:left w:val="nil"/>
              <w:bottom w:val="single" w:sz="4" w:space="0" w:color="auto"/>
              <w:right w:val="single" w:sz="4" w:space="0" w:color="auto"/>
            </w:tcBorders>
            <w:shd w:val="clear" w:color="auto" w:fill="auto"/>
            <w:noWrap/>
            <w:vAlign w:val="center"/>
            <w:hideMark/>
          </w:tcPr>
          <w:p w14:paraId="2A324217" w14:textId="2EBE8DB6"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&lt;11</w:t>
            </w:r>
          </w:p>
        </w:tc>
        <w:tc>
          <w:tcPr>
            <w:tcW w:w="1337" w:type="dxa"/>
            <w:tcBorders>
              <w:top w:val="nil"/>
              <w:left w:val="nil"/>
              <w:bottom w:val="single" w:sz="4" w:space="0" w:color="auto"/>
              <w:right w:val="single" w:sz="4" w:space="0" w:color="auto"/>
            </w:tcBorders>
            <w:shd w:val="clear" w:color="auto" w:fill="auto"/>
            <w:noWrap/>
            <w:vAlign w:val="center"/>
            <w:hideMark/>
          </w:tcPr>
          <w:p w14:paraId="651E309D"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0.0%</w:t>
            </w:r>
          </w:p>
        </w:tc>
        <w:tc>
          <w:tcPr>
            <w:tcW w:w="1080" w:type="dxa"/>
            <w:tcBorders>
              <w:top w:val="nil"/>
              <w:left w:val="nil"/>
              <w:bottom w:val="single" w:sz="4" w:space="0" w:color="auto"/>
              <w:right w:val="single" w:sz="4" w:space="0" w:color="auto"/>
            </w:tcBorders>
            <w:shd w:val="clear" w:color="auto" w:fill="auto"/>
            <w:noWrap/>
            <w:vAlign w:val="center"/>
            <w:hideMark/>
          </w:tcPr>
          <w:p w14:paraId="523BE315" w14:textId="5F4F3D3B"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&lt;11</w:t>
            </w:r>
          </w:p>
        </w:tc>
        <w:tc>
          <w:tcPr>
            <w:tcW w:w="1260" w:type="dxa"/>
            <w:tcBorders>
              <w:top w:val="nil"/>
              <w:left w:val="nil"/>
              <w:bottom w:val="single" w:sz="4" w:space="0" w:color="auto"/>
              <w:right w:val="single" w:sz="4" w:space="0" w:color="auto"/>
            </w:tcBorders>
            <w:shd w:val="clear" w:color="auto" w:fill="auto"/>
            <w:noWrap/>
            <w:vAlign w:val="center"/>
            <w:hideMark/>
          </w:tcPr>
          <w:p w14:paraId="5E83739E"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0.0%</w:t>
            </w:r>
          </w:p>
        </w:tc>
        <w:tc>
          <w:tcPr>
            <w:tcW w:w="1080" w:type="dxa"/>
            <w:tcBorders>
              <w:top w:val="nil"/>
              <w:left w:val="nil"/>
              <w:bottom w:val="single" w:sz="4" w:space="0" w:color="auto"/>
              <w:right w:val="single" w:sz="4" w:space="0" w:color="auto"/>
            </w:tcBorders>
            <w:vAlign w:val="center"/>
          </w:tcPr>
          <w:p w14:paraId="73F7702D" w14:textId="7DECF086"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&lt;11</w:t>
            </w:r>
          </w:p>
        </w:tc>
        <w:tc>
          <w:tcPr>
            <w:tcW w:w="1260" w:type="dxa"/>
            <w:tcBorders>
              <w:top w:val="nil"/>
              <w:left w:val="nil"/>
              <w:bottom w:val="single" w:sz="4" w:space="0" w:color="auto"/>
              <w:right w:val="single" w:sz="4" w:space="0" w:color="auto"/>
            </w:tcBorders>
            <w:vAlign w:val="center"/>
          </w:tcPr>
          <w:p w14:paraId="7697713F" w14:textId="77777777" w:rsidR="006B0D6D" w:rsidRPr="00E42B8C" w:rsidRDefault="006B0D6D" w:rsidP="006B0D6D">
            <w:pPr>
              <w:spacing w:after="0" w:line="240" w:lineRule="auto"/>
              <w:jc w:val="center"/>
              <w:rPr>
                <w:rFonts w:ascii="Calibri" w:eastAsia="Times New Roman" w:hAnsi="Calibri" w:cs="Calibri"/>
                <w:color w:val="000000"/>
                <w:sz w:val="22"/>
              </w:rPr>
            </w:pPr>
            <w:r w:rsidRPr="00E42B8C">
              <w:rPr>
                <w:rFonts w:ascii="Calibri" w:hAnsi="Calibri" w:cs="Calibri"/>
                <w:color w:val="000000"/>
                <w:sz w:val="22"/>
              </w:rPr>
              <w:t>0.0%</w:t>
            </w:r>
          </w:p>
        </w:tc>
      </w:tr>
      <w:tr w:rsidR="006B0D6D" w:rsidRPr="00A77BD5" w14:paraId="697C7FCD" w14:textId="77777777" w:rsidTr="006B0D6D">
        <w:trPr>
          <w:cantSplit/>
          <w:trHeight w:val="260"/>
          <w:jc w:val="center"/>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14:paraId="7D753696" w14:textId="77777777" w:rsidR="006B0D6D" w:rsidRPr="00E42B8C" w:rsidRDefault="006B0D6D" w:rsidP="006B0D6D">
            <w:pPr>
              <w:spacing w:after="0" w:line="240" w:lineRule="auto"/>
              <w:rPr>
                <w:rFonts w:ascii="Calibri" w:eastAsia="Times New Roman" w:hAnsi="Calibri" w:cs="Calibri"/>
                <w:b/>
                <w:bCs/>
                <w:color w:val="000000"/>
                <w:sz w:val="22"/>
              </w:rPr>
            </w:pPr>
            <w:r w:rsidRPr="00E42B8C">
              <w:rPr>
                <w:rFonts w:ascii="Calibri" w:eastAsia="Times New Roman" w:hAnsi="Calibri" w:cs="Calibri"/>
                <w:b/>
                <w:bCs/>
                <w:color w:val="000000"/>
                <w:sz w:val="22"/>
              </w:rPr>
              <w:t>Grand Total</w:t>
            </w:r>
          </w:p>
        </w:tc>
        <w:tc>
          <w:tcPr>
            <w:tcW w:w="1170" w:type="dxa"/>
            <w:tcBorders>
              <w:top w:val="nil"/>
              <w:left w:val="nil"/>
              <w:bottom w:val="single" w:sz="4" w:space="0" w:color="auto"/>
              <w:right w:val="single" w:sz="4" w:space="0" w:color="auto"/>
            </w:tcBorders>
            <w:shd w:val="clear" w:color="auto" w:fill="auto"/>
            <w:noWrap/>
            <w:vAlign w:val="center"/>
            <w:hideMark/>
          </w:tcPr>
          <w:p w14:paraId="14BC1D6B" w14:textId="77777777" w:rsidR="006B0D6D" w:rsidRPr="00E42B8C" w:rsidRDefault="006B0D6D" w:rsidP="006B0D6D">
            <w:pPr>
              <w:spacing w:after="0" w:line="240" w:lineRule="auto"/>
              <w:jc w:val="right"/>
              <w:rPr>
                <w:rFonts w:ascii="Calibri" w:eastAsia="Times New Roman" w:hAnsi="Calibri" w:cs="Calibri"/>
                <w:b/>
                <w:bCs/>
                <w:color w:val="000000"/>
                <w:sz w:val="22"/>
              </w:rPr>
            </w:pPr>
            <w:r w:rsidRPr="00E42B8C">
              <w:rPr>
                <w:rFonts w:ascii="Calibri" w:hAnsi="Calibri" w:cs="Calibri"/>
                <w:b/>
                <w:bCs/>
                <w:color w:val="000000"/>
                <w:sz w:val="22"/>
              </w:rPr>
              <w:t>12,348</w:t>
            </w:r>
          </w:p>
        </w:tc>
        <w:tc>
          <w:tcPr>
            <w:tcW w:w="1260" w:type="dxa"/>
            <w:tcBorders>
              <w:top w:val="nil"/>
              <w:left w:val="nil"/>
              <w:bottom w:val="single" w:sz="4" w:space="0" w:color="auto"/>
              <w:right w:val="single" w:sz="4" w:space="0" w:color="auto"/>
            </w:tcBorders>
            <w:shd w:val="clear" w:color="auto" w:fill="auto"/>
            <w:noWrap/>
            <w:vAlign w:val="center"/>
            <w:hideMark/>
          </w:tcPr>
          <w:p w14:paraId="0FC14E57" w14:textId="77777777" w:rsidR="006B0D6D" w:rsidRPr="00E42B8C" w:rsidRDefault="006B0D6D" w:rsidP="006B0D6D">
            <w:pPr>
              <w:spacing w:after="0" w:line="240" w:lineRule="auto"/>
              <w:jc w:val="center"/>
              <w:rPr>
                <w:rFonts w:ascii="Calibri" w:eastAsia="Times New Roman" w:hAnsi="Calibri" w:cs="Calibri"/>
                <w:b/>
                <w:bCs/>
                <w:color w:val="000000"/>
                <w:sz w:val="22"/>
              </w:rPr>
            </w:pPr>
            <w:r w:rsidRPr="00E42B8C">
              <w:rPr>
                <w:rFonts w:ascii="Calibri" w:hAnsi="Calibri" w:cs="Calibri"/>
                <w:b/>
                <w:bCs/>
                <w:color w:val="000000"/>
                <w:sz w:val="22"/>
              </w:rPr>
              <w:t>100.00%</w:t>
            </w:r>
          </w:p>
        </w:tc>
        <w:tc>
          <w:tcPr>
            <w:tcW w:w="1273" w:type="dxa"/>
            <w:tcBorders>
              <w:top w:val="nil"/>
              <w:left w:val="nil"/>
              <w:bottom w:val="single" w:sz="4" w:space="0" w:color="auto"/>
              <w:right w:val="single" w:sz="4" w:space="0" w:color="auto"/>
            </w:tcBorders>
            <w:shd w:val="clear" w:color="auto" w:fill="auto"/>
            <w:noWrap/>
            <w:vAlign w:val="center"/>
            <w:hideMark/>
          </w:tcPr>
          <w:p w14:paraId="05E7297D" w14:textId="77777777" w:rsidR="006B0D6D" w:rsidRPr="00E42B8C" w:rsidRDefault="006B0D6D" w:rsidP="006B0D6D">
            <w:pPr>
              <w:spacing w:after="0" w:line="240" w:lineRule="auto"/>
              <w:ind w:firstLineChars="200" w:firstLine="442"/>
              <w:rPr>
                <w:rFonts w:ascii="Calibri" w:eastAsia="Times New Roman" w:hAnsi="Calibri" w:cs="Calibri"/>
                <w:b/>
                <w:bCs/>
                <w:color w:val="000000"/>
                <w:sz w:val="22"/>
              </w:rPr>
            </w:pPr>
            <w:r w:rsidRPr="00E42B8C">
              <w:rPr>
                <w:rFonts w:ascii="Calibri" w:hAnsi="Calibri" w:cs="Calibri"/>
                <w:b/>
                <w:bCs/>
                <w:color w:val="000000"/>
                <w:sz w:val="22"/>
              </w:rPr>
              <w:t>12,899</w:t>
            </w:r>
          </w:p>
        </w:tc>
        <w:tc>
          <w:tcPr>
            <w:tcW w:w="1337" w:type="dxa"/>
            <w:tcBorders>
              <w:top w:val="nil"/>
              <w:left w:val="nil"/>
              <w:bottom w:val="single" w:sz="4" w:space="0" w:color="auto"/>
              <w:right w:val="single" w:sz="4" w:space="0" w:color="auto"/>
            </w:tcBorders>
            <w:shd w:val="clear" w:color="auto" w:fill="auto"/>
            <w:noWrap/>
            <w:vAlign w:val="center"/>
            <w:hideMark/>
          </w:tcPr>
          <w:p w14:paraId="102F57A3" w14:textId="77777777" w:rsidR="006B0D6D" w:rsidRPr="00E42B8C" w:rsidRDefault="006B0D6D" w:rsidP="006B0D6D">
            <w:pPr>
              <w:spacing w:after="0" w:line="240" w:lineRule="auto"/>
              <w:jc w:val="center"/>
              <w:rPr>
                <w:rFonts w:ascii="Calibri" w:eastAsia="Times New Roman" w:hAnsi="Calibri" w:cs="Calibri"/>
                <w:b/>
                <w:bCs/>
                <w:color w:val="000000"/>
                <w:sz w:val="22"/>
              </w:rPr>
            </w:pPr>
            <w:r w:rsidRPr="00E42B8C">
              <w:rPr>
                <w:rFonts w:ascii="Calibri" w:hAnsi="Calibri" w:cs="Calibri"/>
                <w:b/>
                <w:bCs/>
                <w:color w:val="000000"/>
                <w:sz w:val="22"/>
              </w:rPr>
              <w:t>100.00%</w:t>
            </w:r>
          </w:p>
        </w:tc>
        <w:tc>
          <w:tcPr>
            <w:tcW w:w="1080" w:type="dxa"/>
            <w:tcBorders>
              <w:top w:val="nil"/>
              <w:left w:val="nil"/>
              <w:bottom w:val="single" w:sz="4" w:space="0" w:color="auto"/>
              <w:right w:val="single" w:sz="4" w:space="0" w:color="auto"/>
            </w:tcBorders>
            <w:shd w:val="clear" w:color="auto" w:fill="auto"/>
            <w:noWrap/>
            <w:vAlign w:val="center"/>
            <w:hideMark/>
          </w:tcPr>
          <w:p w14:paraId="0341B6AD" w14:textId="77777777" w:rsidR="006B0D6D" w:rsidRPr="00E42B8C" w:rsidRDefault="006B0D6D" w:rsidP="006B0D6D">
            <w:pPr>
              <w:spacing w:after="0" w:line="240" w:lineRule="auto"/>
              <w:jc w:val="center"/>
              <w:rPr>
                <w:rFonts w:ascii="Calibri" w:eastAsia="Times New Roman" w:hAnsi="Calibri" w:cs="Calibri"/>
                <w:b/>
                <w:bCs/>
                <w:color w:val="000000"/>
                <w:sz w:val="22"/>
              </w:rPr>
            </w:pPr>
            <w:r w:rsidRPr="00E42B8C">
              <w:rPr>
                <w:rFonts w:ascii="Calibri" w:hAnsi="Calibri" w:cs="Calibri"/>
                <w:b/>
                <w:bCs/>
                <w:color w:val="000000"/>
                <w:sz w:val="22"/>
              </w:rPr>
              <w:t>13,964</w:t>
            </w:r>
          </w:p>
        </w:tc>
        <w:tc>
          <w:tcPr>
            <w:tcW w:w="1260" w:type="dxa"/>
            <w:tcBorders>
              <w:top w:val="nil"/>
              <w:left w:val="nil"/>
              <w:bottom w:val="single" w:sz="4" w:space="0" w:color="auto"/>
              <w:right w:val="single" w:sz="4" w:space="0" w:color="auto"/>
            </w:tcBorders>
            <w:shd w:val="clear" w:color="auto" w:fill="auto"/>
            <w:noWrap/>
            <w:vAlign w:val="center"/>
            <w:hideMark/>
          </w:tcPr>
          <w:p w14:paraId="0B09AFA4" w14:textId="77777777" w:rsidR="006B0D6D" w:rsidRPr="00E42B8C" w:rsidRDefault="006B0D6D" w:rsidP="006B0D6D">
            <w:pPr>
              <w:spacing w:after="0" w:line="240" w:lineRule="auto"/>
              <w:jc w:val="center"/>
              <w:rPr>
                <w:rFonts w:ascii="Calibri" w:eastAsia="Times New Roman" w:hAnsi="Calibri" w:cs="Calibri"/>
                <w:b/>
                <w:bCs/>
                <w:color w:val="000000"/>
                <w:sz w:val="22"/>
              </w:rPr>
            </w:pPr>
            <w:r w:rsidRPr="00E42B8C">
              <w:rPr>
                <w:rFonts w:ascii="Calibri" w:hAnsi="Calibri" w:cs="Calibri"/>
                <w:b/>
                <w:bCs/>
                <w:color w:val="000000"/>
                <w:sz w:val="22"/>
              </w:rPr>
              <w:t>100.00%</w:t>
            </w:r>
          </w:p>
        </w:tc>
        <w:tc>
          <w:tcPr>
            <w:tcW w:w="1080" w:type="dxa"/>
            <w:tcBorders>
              <w:top w:val="nil"/>
              <w:left w:val="nil"/>
              <w:bottom w:val="single" w:sz="4" w:space="0" w:color="auto"/>
              <w:right w:val="single" w:sz="4" w:space="0" w:color="auto"/>
            </w:tcBorders>
            <w:vAlign w:val="center"/>
          </w:tcPr>
          <w:p w14:paraId="0DA3E12E" w14:textId="77777777" w:rsidR="006B0D6D" w:rsidRPr="00E42B8C" w:rsidRDefault="006B0D6D" w:rsidP="006B0D6D">
            <w:pPr>
              <w:spacing w:after="0" w:line="240" w:lineRule="auto"/>
              <w:jc w:val="center"/>
              <w:rPr>
                <w:rFonts w:ascii="Calibri" w:eastAsia="Times New Roman" w:hAnsi="Calibri" w:cs="Calibri"/>
                <w:b/>
                <w:bCs/>
                <w:color w:val="000000"/>
                <w:sz w:val="22"/>
              </w:rPr>
            </w:pPr>
            <w:r w:rsidRPr="00E42B8C">
              <w:rPr>
                <w:rFonts w:ascii="Calibri" w:hAnsi="Calibri" w:cs="Calibri"/>
                <w:b/>
                <w:bCs/>
                <w:color w:val="000000"/>
                <w:sz w:val="22"/>
              </w:rPr>
              <w:t>14,393</w:t>
            </w:r>
          </w:p>
        </w:tc>
        <w:tc>
          <w:tcPr>
            <w:tcW w:w="1260" w:type="dxa"/>
            <w:tcBorders>
              <w:top w:val="nil"/>
              <w:left w:val="nil"/>
              <w:bottom w:val="single" w:sz="4" w:space="0" w:color="auto"/>
              <w:right w:val="single" w:sz="4" w:space="0" w:color="auto"/>
            </w:tcBorders>
            <w:vAlign w:val="center"/>
          </w:tcPr>
          <w:p w14:paraId="63024777" w14:textId="77777777" w:rsidR="006B0D6D" w:rsidRPr="00E42B8C" w:rsidRDefault="006B0D6D" w:rsidP="006B0D6D">
            <w:pPr>
              <w:spacing w:after="0" w:line="240" w:lineRule="auto"/>
              <w:jc w:val="center"/>
              <w:rPr>
                <w:rFonts w:ascii="Calibri" w:eastAsia="Times New Roman" w:hAnsi="Calibri" w:cs="Calibri"/>
                <w:b/>
                <w:bCs/>
                <w:color w:val="000000"/>
                <w:sz w:val="22"/>
              </w:rPr>
            </w:pPr>
            <w:r w:rsidRPr="00E42B8C">
              <w:rPr>
                <w:rFonts w:ascii="Calibri" w:hAnsi="Calibri" w:cs="Calibri"/>
                <w:b/>
                <w:bCs/>
                <w:color w:val="000000"/>
                <w:sz w:val="22"/>
              </w:rPr>
              <w:t>100.00%</w:t>
            </w:r>
          </w:p>
        </w:tc>
      </w:tr>
    </w:tbl>
    <w:p w14:paraId="683FBC47" w14:textId="77777777" w:rsidR="00F20199" w:rsidRDefault="00F20199" w:rsidP="00F20199"/>
    <w:p w14:paraId="7026E3B4" w14:textId="4CAF0818" w:rsidR="00F20199" w:rsidRPr="00C41EEC" w:rsidRDefault="00F20199" w:rsidP="00F20199">
      <w:pPr>
        <w:jc w:val="center"/>
        <w:rPr>
          <w:rFonts w:asciiTheme="minorHAnsi" w:hAnsiTheme="minorHAnsi" w:cstheme="minorHAnsi"/>
          <w:b/>
          <w:bCs/>
          <w:vertAlign w:val="superscript"/>
        </w:rPr>
      </w:pPr>
      <w:r w:rsidRPr="00037AA0">
        <w:rPr>
          <w:rFonts w:asciiTheme="minorHAnsi" w:hAnsiTheme="minorHAnsi" w:cstheme="minorHAnsi"/>
          <w:b/>
          <w:bCs/>
        </w:rPr>
        <w:t xml:space="preserve">Table </w:t>
      </w:r>
      <w:r>
        <w:rPr>
          <w:rFonts w:asciiTheme="minorHAnsi" w:hAnsiTheme="minorHAnsi" w:cstheme="minorHAnsi"/>
          <w:b/>
          <w:bCs/>
        </w:rPr>
        <w:t>6</w:t>
      </w:r>
      <w:r w:rsidRPr="00037AA0">
        <w:rPr>
          <w:rFonts w:asciiTheme="minorHAnsi" w:hAnsiTheme="minorHAnsi" w:cstheme="minorHAnsi"/>
          <w:b/>
          <w:bCs/>
        </w:rPr>
        <w:t xml:space="preserve">. </w:t>
      </w:r>
      <w:r>
        <w:rPr>
          <w:rFonts w:asciiTheme="minorHAnsi" w:hAnsiTheme="minorHAnsi" w:cstheme="minorHAnsi"/>
          <w:b/>
          <w:bCs/>
        </w:rPr>
        <w:t xml:space="preserve">Surgical Patients - </w:t>
      </w:r>
      <w:r>
        <w:rPr>
          <w:rFonts w:asciiTheme="minorHAnsi" w:hAnsiTheme="minorHAnsi" w:cstheme="minorHAnsi"/>
          <w:b/>
          <w:szCs w:val="24"/>
        </w:rPr>
        <w:t xml:space="preserve">- </w:t>
      </w:r>
      <w:r w:rsidRPr="00A3314D">
        <w:rPr>
          <w:rFonts w:asciiTheme="minorHAnsi" w:hAnsiTheme="minorHAnsi" w:cstheme="minorHAnsi"/>
          <w:b/>
          <w:szCs w:val="24"/>
        </w:rPr>
        <w:t>Under and Over 50 Years of Age</w:t>
      </w:r>
      <w:r w:rsidR="00943C78" w:rsidRPr="00C41EEC">
        <w:rPr>
          <w:rFonts w:asciiTheme="minorHAnsi" w:hAnsiTheme="minorHAnsi" w:cstheme="minorHAnsi"/>
          <w:b/>
          <w:szCs w:val="24"/>
          <w:vertAlign w:val="superscript"/>
        </w:rPr>
        <w:t>37</w:t>
      </w:r>
    </w:p>
    <w:tbl>
      <w:tblPr>
        <w:tblW w:w="6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969"/>
        <w:gridCol w:w="1122"/>
        <w:gridCol w:w="1122"/>
      </w:tblGrid>
      <w:tr w:rsidR="00F20199" w:rsidRPr="00037AA0" w14:paraId="4D0F2BD4" w14:textId="77777777" w:rsidTr="006B0D6D">
        <w:trPr>
          <w:cantSplit/>
          <w:trHeight w:val="313"/>
          <w:tblHeader/>
          <w:jc w:val="center"/>
        </w:trPr>
        <w:tc>
          <w:tcPr>
            <w:tcW w:w="2835" w:type="dxa"/>
            <w:shd w:val="clear" w:color="auto" w:fill="BDD6EE" w:themeFill="accent1" w:themeFillTint="66"/>
            <w:noWrap/>
            <w:vAlign w:val="bottom"/>
            <w:hideMark/>
          </w:tcPr>
          <w:p w14:paraId="1EFA7085" w14:textId="77777777" w:rsidR="00F20199" w:rsidRPr="00E42B8C" w:rsidRDefault="00F20199" w:rsidP="00DD634E">
            <w:pPr>
              <w:spacing w:after="0" w:line="240" w:lineRule="auto"/>
              <w:rPr>
                <w:rFonts w:eastAsia="Times New Roman" w:cs="Times New Roman"/>
                <w:sz w:val="20"/>
                <w:szCs w:val="20"/>
              </w:rPr>
            </w:pPr>
          </w:p>
        </w:tc>
        <w:tc>
          <w:tcPr>
            <w:tcW w:w="969" w:type="dxa"/>
            <w:shd w:val="clear" w:color="auto" w:fill="BDD6EE" w:themeFill="accent1" w:themeFillTint="66"/>
            <w:vAlign w:val="bottom"/>
            <w:hideMark/>
          </w:tcPr>
          <w:p w14:paraId="08BB692C" w14:textId="77777777" w:rsidR="00F20199" w:rsidRPr="00E42B8C" w:rsidRDefault="00F20199" w:rsidP="00DD634E">
            <w:pPr>
              <w:spacing w:after="0" w:line="240" w:lineRule="auto"/>
              <w:jc w:val="center"/>
              <w:rPr>
                <w:rFonts w:ascii="Calibri" w:eastAsia="Times New Roman" w:hAnsi="Calibri" w:cs="Calibri"/>
                <w:b/>
                <w:bCs/>
                <w:color w:val="000000"/>
                <w:sz w:val="20"/>
                <w:szCs w:val="20"/>
              </w:rPr>
            </w:pPr>
            <w:r w:rsidRPr="00E42B8C">
              <w:rPr>
                <w:rFonts w:ascii="Calibri" w:eastAsia="Times New Roman" w:hAnsi="Calibri" w:cs="Calibri"/>
                <w:b/>
                <w:bCs/>
                <w:color w:val="000000"/>
                <w:sz w:val="20"/>
                <w:szCs w:val="20"/>
              </w:rPr>
              <w:t>Total</w:t>
            </w:r>
          </w:p>
        </w:tc>
        <w:tc>
          <w:tcPr>
            <w:tcW w:w="1122" w:type="dxa"/>
            <w:shd w:val="clear" w:color="auto" w:fill="BDD6EE" w:themeFill="accent1" w:themeFillTint="66"/>
            <w:vAlign w:val="bottom"/>
            <w:hideMark/>
          </w:tcPr>
          <w:p w14:paraId="18BE8212" w14:textId="77777777" w:rsidR="00F20199" w:rsidRPr="00E42B8C" w:rsidRDefault="00F20199" w:rsidP="00DD634E">
            <w:pPr>
              <w:spacing w:after="0" w:line="240" w:lineRule="auto"/>
              <w:jc w:val="center"/>
              <w:rPr>
                <w:rFonts w:ascii="Calibri" w:eastAsia="Times New Roman" w:hAnsi="Calibri" w:cs="Calibri"/>
                <w:b/>
                <w:bCs/>
                <w:color w:val="000000"/>
                <w:sz w:val="20"/>
                <w:szCs w:val="20"/>
              </w:rPr>
            </w:pPr>
            <w:r w:rsidRPr="00E42B8C">
              <w:rPr>
                <w:rFonts w:ascii="Calibri" w:eastAsia="Times New Roman" w:hAnsi="Calibri" w:cs="Calibri"/>
                <w:b/>
                <w:bCs/>
                <w:color w:val="000000"/>
                <w:sz w:val="20"/>
                <w:szCs w:val="20"/>
              </w:rPr>
              <w:t>Under 50</w:t>
            </w:r>
          </w:p>
        </w:tc>
        <w:tc>
          <w:tcPr>
            <w:tcW w:w="1122" w:type="dxa"/>
            <w:shd w:val="clear" w:color="auto" w:fill="BDD6EE" w:themeFill="accent1" w:themeFillTint="66"/>
            <w:vAlign w:val="bottom"/>
            <w:hideMark/>
          </w:tcPr>
          <w:p w14:paraId="5F90B225" w14:textId="77777777" w:rsidR="00F20199" w:rsidRPr="00E42B8C" w:rsidRDefault="00F20199" w:rsidP="00DD634E">
            <w:pPr>
              <w:spacing w:after="0" w:line="240" w:lineRule="auto"/>
              <w:jc w:val="center"/>
              <w:rPr>
                <w:rFonts w:ascii="Calibri" w:eastAsia="Times New Roman" w:hAnsi="Calibri" w:cs="Calibri"/>
                <w:b/>
                <w:bCs/>
                <w:color w:val="000000"/>
                <w:sz w:val="20"/>
                <w:szCs w:val="20"/>
              </w:rPr>
            </w:pPr>
            <w:r w:rsidRPr="00E42B8C">
              <w:rPr>
                <w:rFonts w:ascii="Calibri" w:eastAsia="Times New Roman" w:hAnsi="Calibri" w:cs="Calibri"/>
                <w:b/>
                <w:bCs/>
                <w:color w:val="000000"/>
                <w:sz w:val="20"/>
                <w:szCs w:val="20"/>
              </w:rPr>
              <w:t>Over 50</w:t>
            </w:r>
          </w:p>
        </w:tc>
      </w:tr>
      <w:tr w:rsidR="00F20199" w:rsidRPr="00037AA0" w14:paraId="2EA78E04" w14:textId="77777777" w:rsidTr="006B0D6D">
        <w:trPr>
          <w:cantSplit/>
          <w:trHeight w:val="313"/>
          <w:jc w:val="center"/>
        </w:trPr>
        <w:tc>
          <w:tcPr>
            <w:tcW w:w="2835" w:type="dxa"/>
            <w:shd w:val="clear" w:color="auto" w:fill="auto"/>
            <w:noWrap/>
            <w:vAlign w:val="center"/>
            <w:hideMark/>
          </w:tcPr>
          <w:p w14:paraId="5A113D8E" w14:textId="76B8292E" w:rsidR="00F20199" w:rsidRPr="00E42B8C" w:rsidRDefault="000114A1" w:rsidP="00DD634E">
            <w:pPr>
              <w:spacing w:after="0" w:line="240" w:lineRule="auto"/>
              <w:rPr>
                <w:rFonts w:ascii="Calibri" w:eastAsia="Times New Roman" w:hAnsi="Calibri" w:cs="Calibri"/>
                <w:color w:val="000000"/>
                <w:sz w:val="20"/>
                <w:szCs w:val="20"/>
              </w:rPr>
            </w:pPr>
            <w:r w:rsidRPr="00E42B8C">
              <w:rPr>
                <w:rFonts w:ascii="Calibri" w:hAnsi="Calibri" w:cs="Calibri"/>
                <w:color w:val="000000"/>
                <w:sz w:val="20"/>
                <w:szCs w:val="20"/>
              </w:rPr>
              <w:t xml:space="preserve">CY </w:t>
            </w:r>
            <w:r w:rsidR="00F20199" w:rsidRPr="00E42B8C">
              <w:rPr>
                <w:rFonts w:ascii="Calibri" w:hAnsi="Calibri" w:cs="Calibri"/>
                <w:color w:val="000000"/>
                <w:sz w:val="20"/>
                <w:szCs w:val="20"/>
              </w:rPr>
              <w:t>2020</w:t>
            </w:r>
          </w:p>
        </w:tc>
        <w:tc>
          <w:tcPr>
            <w:tcW w:w="969" w:type="dxa"/>
            <w:shd w:val="clear" w:color="auto" w:fill="auto"/>
            <w:noWrap/>
            <w:vAlign w:val="center"/>
            <w:hideMark/>
          </w:tcPr>
          <w:p w14:paraId="62734CBF" w14:textId="77777777" w:rsidR="00F20199" w:rsidRPr="00E42B8C" w:rsidRDefault="00F20199" w:rsidP="00DD634E">
            <w:pPr>
              <w:spacing w:after="0" w:line="240" w:lineRule="auto"/>
              <w:jc w:val="center"/>
              <w:rPr>
                <w:rFonts w:ascii="Calibri" w:eastAsia="Times New Roman" w:hAnsi="Calibri" w:cs="Calibri"/>
                <w:color w:val="000000"/>
                <w:sz w:val="20"/>
                <w:szCs w:val="20"/>
              </w:rPr>
            </w:pPr>
            <w:r w:rsidRPr="00E42B8C">
              <w:rPr>
                <w:rFonts w:ascii="Calibri" w:hAnsi="Calibri" w:cs="Calibri"/>
                <w:color w:val="000000"/>
                <w:sz w:val="20"/>
                <w:szCs w:val="20"/>
              </w:rPr>
              <w:t>12,573</w:t>
            </w:r>
          </w:p>
        </w:tc>
        <w:tc>
          <w:tcPr>
            <w:tcW w:w="1122" w:type="dxa"/>
            <w:shd w:val="clear" w:color="auto" w:fill="auto"/>
            <w:noWrap/>
            <w:vAlign w:val="center"/>
            <w:hideMark/>
          </w:tcPr>
          <w:p w14:paraId="7C542542" w14:textId="77777777" w:rsidR="00F20199" w:rsidRPr="00E42B8C" w:rsidRDefault="00F20199" w:rsidP="00DD634E">
            <w:pPr>
              <w:spacing w:after="0" w:line="240" w:lineRule="auto"/>
              <w:jc w:val="center"/>
              <w:rPr>
                <w:rFonts w:ascii="Calibri" w:eastAsia="Times New Roman" w:hAnsi="Calibri" w:cs="Calibri"/>
                <w:color w:val="000000"/>
                <w:sz w:val="20"/>
                <w:szCs w:val="20"/>
              </w:rPr>
            </w:pPr>
            <w:r w:rsidRPr="00E42B8C">
              <w:rPr>
                <w:rFonts w:ascii="Calibri" w:hAnsi="Calibri" w:cs="Calibri"/>
                <w:color w:val="000000"/>
                <w:sz w:val="20"/>
                <w:szCs w:val="20"/>
              </w:rPr>
              <w:t>4,611</w:t>
            </w:r>
          </w:p>
        </w:tc>
        <w:tc>
          <w:tcPr>
            <w:tcW w:w="1122" w:type="dxa"/>
            <w:shd w:val="clear" w:color="auto" w:fill="auto"/>
            <w:noWrap/>
            <w:vAlign w:val="center"/>
            <w:hideMark/>
          </w:tcPr>
          <w:p w14:paraId="43264811" w14:textId="77777777" w:rsidR="00F20199" w:rsidRPr="00E42B8C" w:rsidRDefault="00F20199" w:rsidP="00DD634E">
            <w:pPr>
              <w:spacing w:after="0" w:line="240" w:lineRule="auto"/>
              <w:jc w:val="center"/>
              <w:rPr>
                <w:rFonts w:ascii="Calibri" w:eastAsia="Times New Roman" w:hAnsi="Calibri" w:cs="Calibri"/>
                <w:color w:val="000000"/>
                <w:sz w:val="20"/>
                <w:szCs w:val="20"/>
              </w:rPr>
            </w:pPr>
            <w:r w:rsidRPr="00E42B8C">
              <w:rPr>
                <w:rFonts w:ascii="Calibri" w:hAnsi="Calibri" w:cs="Calibri"/>
                <w:color w:val="000000"/>
                <w:sz w:val="20"/>
                <w:szCs w:val="20"/>
              </w:rPr>
              <w:t>7,962</w:t>
            </w:r>
          </w:p>
        </w:tc>
      </w:tr>
      <w:tr w:rsidR="00F20199" w:rsidRPr="00037AA0" w14:paraId="13C3C89A" w14:textId="77777777" w:rsidTr="006B0D6D">
        <w:trPr>
          <w:cantSplit/>
          <w:trHeight w:val="313"/>
          <w:jc w:val="center"/>
        </w:trPr>
        <w:tc>
          <w:tcPr>
            <w:tcW w:w="2835" w:type="dxa"/>
            <w:shd w:val="clear" w:color="auto" w:fill="auto"/>
            <w:noWrap/>
            <w:vAlign w:val="center"/>
            <w:hideMark/>
          </w:tcPr>
          <w:p w14:paraId="6D00011F" w14:textId="59C1B520" w:rsidR="00F20199" w:rsidRPr="00E42B8C" w:rsidRDefault="000114A1" w:rsidP="00DD634E">
            <w:pPr>
              <w:spacing w:after="0" w:line="240" w:lineRule="auto"/>
              <w:rPr>
                <w:rFonts w:ascii="Calibri" w:eastAsia="Times New Roman" w:hAnsi="Calibri" w:cs="Calibri"/>
                <w:color w:val="000000"/>
                <w:sz w:val="20"/>
                <w:szCs w:val="20"/>
              </w:rPr>
            </w:pPr>
            <w:r w:rsidRPr="00E42B8C">
              <w:rPr>
                <w:rFonts w:ascii="Calibri" w:hAnsi="Calibri" w:cs="Calibri"/>
                <w:color w:val="000000"/>
                <w:sz w:val="20"/>
                <w:szCs w:val="20"/>
              </w:rPr>
              <w:t xml:space="preserve">CY </w:t>
            </w:r>
            <w:r w:rsidR="00F20199" w:rsidRPr="00E42B8C">
              <w:rPr>
                <w:rFonts w:ascii="Calibri" w:hAnsi="Calibri" w:cs="Calibri"/>
                <w:color w:val="000000"/>
                <w:sz w:val="20"/>
                <w:szCs w:val="20"/>
              </w:rPr>
              <w:t>2023</w:t>
            </w:r>
          </w:p>
        </w:tc>
        <w:tc>
          <w:tcPr>
            <w:tcW w:w="969" w:type="dxa"/>
            <w:shd w:val="clear" w:color="auto" w:fill="auto"/>
            <w:noWrap/>
            <w:vAlign w:val="center"/>
            <w:hideMark/>
          </w:tcPr>
          <w:p w14:paraId="34380204" w14:textId="77777777" w:rsidR="00F20199" w:rsidRPr="00E42B8C" w:rsidRDefault="00F20199" w:rsidP="00DD634E">
            <w:pPr>
              <w:spacing w:after="0" w:line="240" w:lineRule="auto"/>
              <w:jc w:val="center"/>
              <w:rPr>
                <w:rFonts w:ascii="Calibri" w:eastAsia="Times New Roman" w:hAnsi="Calibri" w:cs="Calibri"/>
                <w:color w:val="000000"/>
                <w:sz w:val="20"/>
                <w:szCs w:val="20"/>
              </w:rPr>
            </w:pPr>
            <w:r w:rsidRPr="00E42B8C">
              <w:rPr>
                <w:rFonts w:ascii="Calibri" w:hAnsi="Calibri" w:cs="Calibri"/>
                <w:color w:val="000000"/>
                <w:sz w:val="20"/>
                <w:szCs w:val="20"/>
              </w:rPr>
              <w:t>15,396</w:t>
            </w:r>
          </w:p>
        </w:tc>
        <w:tc>
          <w:tcPr>
            <w:tcW w:w="1122" w:type="dxa"/>
            <w:shd w:val="clear" w:color="auto" w:fill="auto"/>
            <w:noWrap/>
            <w:vAlign w:val="center"/>
            <w:hideMark/>
          </w:tcPr>
          <w:p w14:paraId="63B221C0"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Calibri" w:hAnsi="Calibri" w:cs="Calibri"/>
                <w:color w:val="000000"/>
                <w:sz w:val="20"/>
                <w:szCs w:val="20"/>
              </w:rPr>
              <w:t>5,783</w:t>
            </w:r>
          </w:p>
        </w:tc>
        <w:tc>
          <w:tcPr>
            <w:tcW w:w="1122" w:type="dxa"/>
            <w:shd w:val="clear" w:color="auto" w:fill="auto"/>
            <w:noWrap/>
            <w:vAlign w:val="center"/>
            <w:hideMark/>
          </w:tcPr>
          <w:p w14:paraId="43C5BBD6" w14:textId="77777777" w:rsidR="00F20199" w:rsidRPr="00E42B8C" w:rsidRDefault="00F20199" w:rsidP="00DD634E">
            <w:pPr>
              <w:spacing w:after="0" w:line="240" w:lineRule="auto"/>
              <w:jc w:val="center"/>
              <w:rPr>
                <w:rFonts w:asciiTheme="minorHAnsi" w:eastAsia="Times New Roman" w:hAnsiTheme="minorHAnsi" w:cstheme="minorHAnsi"/>
                <w:color w:val="000000"/>
                <w:sz w:val="20"/>
                <w:szCs w:val="20"/>
              </w:rPr>
            </w:pPr>
            <w:r w:rsidRPr="00E42B8C">
              <w:rPr>
                <w:rFonts w:ascii="Calibri" w:hAnsi="Calibri" w:cs="Calibri"/>
                <w:color w:val="000000"/>
                <w:sz w:val="20"/>
                <w:szCs w:val="20"/>
              </w:rPr>
              <w:t>9,613</w:t>
            </w:r>
          </w:p>
        </w:tc>
      </w:tr>
      <w:tr w:rsidR="00F20199" w:rsidRPr="00037AA0" w14:paraId="049A0367" w14:textId="77777777" w:rsidTr="006B0D6D">
        <w:trPr>
          <w:cantSplit/>
          <w:trHeight w:val="313"/>
          <w:jc w:val="center"/>
        </w:trPr>
        <w:tc>
          <w:tcPr>
            <w:tcW w:w="2835" w:type="dxa"/>
            <w:shd w:val="clear" w:color="auto" w:fill="auto"/>
            <w:noWrap/>
            <w:vAlign w:val="center"/>
            <w:hideMark/>
          </w:tcPr>
          <w:p w14:paraId="58F376D6" w14:textId="7699F1A6" w:rsidR="00F20199" w:rsidRPr="00E42B8C" w:rsidRDefault="00F20199" w:rsidP="00DD634E">
            <w:pPr>
              <w:spacing w:after="0" w:line="240" w:lineRule="auto"/>
              <w:rPr>
                <w:rFonts w:ascii="Calibri" w:eastAsia="Times New Roman" w:hAnsi="Calibri" w:cs="Calibri"/>
                <w:color w:val="000000"/>
                <w:sz w:val="20"/>
                <w:szCs w:val="20"/>
              </w:rPr>
            </w:pPr>
            <w:r w:rsidRPr="00E42B8C">
              <w:rPr>
                <w:rFonts w:ascii="Calibri" w:hAnsi="Calibri" w:cs="Calibri"/>
                <w:color w:val="000000"/>
                <w:sz w:val="20"/>
                <w:szCs w:val="20"/>
              </w:rPr>
              <w:t xml:space="preserve">Change </w:t>
            </w:r>
            <w:r w:rsidR="00AC58EF" w:rsidRPr="00E42B8C">
              <w:rPr>
                <w:rFonts w:ascii="Calibri" w:hAnsi="Calibri" w:cs="Calibri"/>
                <w:color w:val="000000"/>
                <w:sz w:val="20"/>
                <w:szCs w:val="20"/>
              </w:rPr>
              <w:t xml:space="preserve">CY </w:t>
            </w:r>
            <w:r w:rsidRPr="00E42B8C">
              <w:rPr>
                <w:rFonts w:ascii="Calibri" w:hAnsi="Calibri" w:cs="Calibri"/>
                <w:color w:val="000000"/>
                <w:sz w:val="20"/>
                <w:szCs w:val="20"/>
              </w:rPr>
              <w:t>2020 - 2023</w:t>
            </w:r>
          </w:p>
        </w:tc>
        <w:tc>
          <w:tcPr>
            <w:tcW w:w="969" w:type="dxa"/>
            <w:shd w:val="clear" w:color="auto" w:fill="auto"/>
            <w:noWrap/>
            <w:vAlign w:val="center"/>
            <w:hideMark/>
          </w:tcPr>
          <w:p w14:paraId="0F22E71B" w14:textId="77777777" w:rsidR="00F20199" w:rsidRPr="00E42B8C" w:rsidRDefault="00F20199" w:rsidP="00DD634E">
            <w:pPr>
              <w:spacing w:after="0" w:line="240" w:lineRule="auto"/>
              <w:jc w:val="center"/>
              <w:rPr>
                <w:rFonts w:ascii="Calibri" w:hAnsi="Calibri" w:cs="Calibri"/>
                <w:color w:val="000000"/>
                <w:sz w:val="20"/>
                <w:szCs w:val="20"/>
              </w:rPr>
            </w:pPr>
            <w:r w:rsidRPr="00E42B8C">
              <w:rPr>
                <w:rFonts w:ascii="Calibri" w:hAnsi="Calibri" w:cs="Calibri"/>
                <w:color w:val="000000"/>
                <w:sz w:val="20"/>
                <w:szCs w:val="20"/>
              </w:rPr>
              <w:t>2,823</w:t>
            </w:r>
          </w:p>
        </w:tc>
        <w:tc>
          <w:tcPr>
            <w:tcW w:w="1122" w:type="dxa"/>
            <w:shd w:val="clear" w:color="auto" w:fill="auto"/>
            <w:noWrap/>
            <w:vAlign w:val="center"/>
            <w:hideMark/>
          </w:tcPr>
          <w:p w14:paraId="4908B7D9" w14:textId="77777777" w:rsidR="00F20199" w:rsidRPr="00E42B8C" w:rsidRDefault="00F20199" w:rsidP="00DD634E">
            <w:pPr>
              <w:spacing w:after="0" w:line="240" w:lineRule="auto"/>
              <w:jc w:val="center"/>
              <w:rPr>
                <w:rFonts w:ascii="Calibri" w:eastAsia="Times New Roman" w:hAnsi="Calibri" w:cs="Calibri"/>
                <w:color w:val="000000"/>
                <w:sz w:val="20"/>
                <w:szCs w:val="20"/>
              </w:rPr>
            </w:pPr>
            <w:r w:rsidRPr="00E42B8C">
              <w:rPr>
                <w:rFonts w:ascii="Calibri" w:hAnsi="Calibri" w:cs="Calibri"/>
                <w:color w:val="000000"/>
                <w:sz w:val="20"/>
                <w:szCs w:val="20"/>
              </w:rPr>
              <w:t>1,172</w:t>
            </w:r>
          </w:p>
        </w:tc>
        <w:tc>
          <w:tcPr>
            <w:tcW w:w="1122" w:type="dxa"/>
            <w:shd w:val="clear" w:color="auto" w:fill="auto"/>
            <w:noWrap/>
            <w:vAlign w:val="center"/>
            <w:hideMark/>
          </w:tcPr>
          <w:p w14:paraId="6E81CCC8" w14:textId="77777777" w:rsidR="00F20199" w:rsidRPr="00E42B8C" w:rsidRDefault="00F20199" w:rsidP="00DD634E">
            <w:pPr>
              <w:spacing w:after="0" w:line="240" w:lineRule="auto"/>
              <w:jc w:val="center"/>
              <w:rPr>
                <w:rFonts w:ascii="Calibri" w:eastAsia="Times New Roman" w:hAnsi="Calibri" w:cs="Calibri"/>
                <w:color w:val="000000"/>
                <w:sz w:val="20"/>
                <w:szCs w:val="20"/>
              </w:rPr>
            </w:pPr>
            <w:r w:rsidRPr="00E42B8C">
              <w:rPr>
                <w:rFonts w:ascii="Calibri" w:hAnsi="Calibri" w:cs="Calibri"/>
                <w:color w:val="000000"/>
                <w:sz w:val="20"/>
                <w:szCs w:val="20"/>
              </w:rPr>
              <w:t>1,651</w:t>
            </w:r>
          </w:p>
        </w:tc>
      </w:tr>
      <w:tr w:rsidR="00F20199" w:rsidRPr="00037AA0" w14:paraId="79099E36" w14:textId="77777777" w:rsidTr="006B0D6D">
        <w:trPr>
          <w:cantSplit/>
          <w:trHeight w:val="313"/>
          <w:jc w:val="center"/>
        </w:trPr>
        <w:tc>
          <w:tcPr>
            <w:tcW w:w="2835" w:type="dxa"/>
            <w:shd w:val="clear" w:color="auto" w:fill="auto"/>
            <w:noWrap/>
            <w:vAlign w:val="center"/>
            <w:hideMark/>
          </w:tcPr>
          <w:p w14:paraId="23814BE1" w14:textId="6B26DA8A" w:rsidR="00F20199" w:rsidRPr="00E42B8C" w:rsidRDefault="00F20199" w:rsidP="00DD634E">
            <w:pPr>
              <w:spacing w:after="0" w:line="240" w:lineRule="auto"/>
              <w:rPr>
                <w:rFonts w:ascii="Calibri" w:eastAsia="Times New Roman" w:hAnsi="Calibri" w:cs="Calibri"/>
                <w:color w:val="000000"/>
                <w:sz w:val="20"/>
                <w:szCs w:val="20"/>
              </w:rPr>
            </w:pPr>
            <w:r w:rsidRPr="00E42B8C">
              <w:rPr>
                <w:rFonts w:ascii="Calibri" w:hAnsi="Calibri" w:cs="Calibri"/>
                <w:color w:val="000000"/>
                <w:sz w:val="20"/>
                <w:szCs w:val="20"/>
              </w:rPr>
              <w:t xml:space="preserve">% Change </w:t>
            </w:r>
            <w:r w:rsidR="00AC58EF" w:rsidRPr="00E42B8C">
              <w:rPr>
                <w:rFonts w:ascii="Calibri" w:hAnsi="Calibri" w:cs="Calibri"/>
                <w:color w:val="000000"/>
                <w:sz w:val="20"/>
                <w:szCs w:val="20"/>
              </w:rPr>
              <w:t xml:space="preserve">CY </w:t>
            </w:r>
            <w:r w:rsidRPr="00E42B8C">
              <w:rPr>
                <w:rFonts w:ascii="Calibri" w:hAnsi="Calibri" w:cs="Calibri"/>
                <w:color w:val="000000"/>
                <w:sz w:val="20"/>
                <w:szCs w:val="20"/>
              </w:rPr>
              <w:t>2020 - 2023</w:t>
            </w:r>
          </w:p>
        </w:tc>
        <w:tc>
          <w:tcPr>
            <w:tcW w:w="969" w:type="dxa"/>
            <w:shd w:val="clear" w:color="auto" w:fill="auto"/>
            <w:noWrap/>
            <w:vAlign w:val="center"/>
            <w:hideMark/>
          </w:tcPr>
          <w:p w14:paraId="3248B8D4" w14:textId="77777777" w:rsidR="00F20199" w:rsidRPr="00E42B8C" w:rsidRDefault="00F20199" w:rsidP="00DD634E">
            <w:pPr>
              <w:spacing w:after="0" w:line="240" w:lineRule="auto"/>
              <w:jc w:val="center"/>
              <w:rPr>
                <w:rFonts w:ascii="Calibri" w:eastAsia="Times New Roman" w:hAnsi="Calibri" w:cs="Calibri"/>
                <w:color w:val="000000"/>
                <w:sz w:val="20"/>
                <w:szCs w:val="20"/>
              </w:rPr>
            </w:pPr>
            <w:r w:rsidRPr="00E42B8C">
              <w:rPr>
                <w:rFonts w:ascii="Calibri" w:hAnsi="Calibri" w:cs="Calibri"/>
                <w:color w:val="000000"/>
                <w:sz w:val="20"/>
                <w:szCs w:val="20"/>
              </w:rPr>
              <w:t>22%</w:t>
            </w:r>
          </w:p>
        </w:tc>
        <w:tc>
          <w:tcPr>
            <w:tcW w:w="1122" w:type="dxa"/>
            <w:shd w:val="clear" w:color="auto" w:fill="auto"/>
            <w:noWrap/>
            <w:vAlign w:val="center"/>
            <w:hideMark/>
          </w:tcPr>
          <w:p w14:paraId="2AE7586F" w14:textId="77777777" w:rsidR="00F20199" w:rsidRPr="00E42B8C" w:rsidRDefault="00F20199" w:rsidP="00DD634E">
            <w:pPr>
              <w:spacing w:after="0" w:line="240" w:lineRule="auto"/>
              <w:jc w:val="center"/>
              <w:rPr>
                <w:rFonts w:ascii="Calibri" w:eastAsia="Times New Roman" w:hAnsi="Calibri" w:cs="Calibri"/>
                <w:color w:val="000000"/>
                <w:sz w:val="20"/>
                <w:szCs w:val="20"/>
              </w:rPr>
            </w:pPr>
            <w:r w:rsidRPr="00E42B8C">
              <w:rPr>
                <w:rFonts w:ascii="Calibri" w:hAnsi="Calibri" w:cs="Calibri"/>
                <w:color w:val="000000"/>
                <w:sz w:val="20"/>
                <w:szCs w:val="20"/>
              </w:rPr>
              <w:t>25%</w:t>
            </w:r>
          </w:p>
        </w:tc>
        <w:tc>
          <w:tcPr>
            <w:tcW w:w="1122" w:type="dxa"/>
            <w:shd w:val="clear" w:color="auto" w:fill="auto"/>
            <w:noWrap/>
            <w:vAlign w:val="center"/>
            <w:hideMark/>
          </w:tcPr>
          <w:p w14:paraId="083875BE" w14:textId="77777777" w:rsidR="00F20199" w:rsidRPr="00E42B8C" w:rsidRDefault="00F20199" w:rsidP="00DD634E">
            <w:pPr>
              <w:spacing w:after="0" w:line="240" w:lineRule="auto"/>
              <w:jc w:val="center"/>
              <w:rPr>
                <w:rFonts w:ascii="Calibri" w:eastAsia="Times New Roman" w:hAnsi="Calibri" w:cs="Calibri"/>
                <w:color w:val="000000"/>
                <w:sz w:val="20"/>
                <w:szCs w:val="20"/>
              </w:rPr>
            </w:pPr>
            <w:r w:rsidRPr="00E42B8C">
              <w:rPr>
                <w:rFonts w:ascii="Calibri" w:hAnsi="Calibri" w:cs="Calibri"/>
                <w:color w:val="000000"/>
                <w:sz w:val="20"/>
                <w:szCs w:val="20"/>
              </w:rPr>
              <w:t>21%</w:t>
            </w:r>
          </w:p>
        </w:tc>
      </w:tr>
    </w:tbl>
    <w:p w14:paraId="79BFEA99" w14:textId="77777777" w:rsidR="00596B7F" w:rsidRDefault="00596B7F" w:rsidP="00F20199">
      <w:pPr>
        <w:rPr>
          <w:rFonts w:asciiTheme="minorHAnsi" w:hAnsiTheme="minorHAnsi" w:cstheme="minorHAnsi"/>
        </w:rPr>
      </w:pPr>
    </w:p>
    <w:p w14:paraId="15E8E4D5" w14:textId="05D43AB2" w:rsidR="00F20199" w:rsidRPr="00AA1C30" w:rsidRDefault="00F20199" w:rsidP="00F20199">
      <w:pPr>
        <w:jc w:val="center"/>
        <w:rPr>
          <w:rFonts w:cstheme="minorHAnsi"/>
          <w:b/>
          <w:szCs w:val="24"/>
        </w:rPr>
      </w:pPr>
      <w:r>
        <w:rPr>
          <w:rFonts w:asciiTheme="minorHAnsi" w:hAnsiTheme="minorHAnsi" w:cstheme="minorHAnsi"/>
          <w:b/>
        </w:rPr>
        <w:t xml:space="preserve">Table 7. </w:t>
      </w:r>
      <w:r w:rsidR="005C79BA">
        <w:rPr>
          <w:rFonts w:asciiTheme="minorHAnsi" w:hAnsiTheme="minorHAnsi" w:cstheme="minorHAnsi"/>
          <w:b/>
        </w:rPr>
        <w:t>Surgical Cases</w:t>
      </w:r>
      <w:r w:rsidRPr="00AA1C30">
        <w:rPr>
          <w:rFonts w:asciiTheme="minorHAnsi" w:hAnsiTheme="minorHAnsi" w:cstheme="minorHAnsi"/>
          <w:b/>
        </w:rPr>
        <w:t xml:space="preserve"> by Surgical Services Specialty</w:t>
      </w:r>
      <w:r w:rsidR="00943C78" w:rsidRPr="00E63DFB">
        <w:rPr>
          <w:rFonts w:asciiTheme="minorHAnsi" w:hAnsiTheme="minorHAnsi" w:cstheme="minorHAnsi"/>
          <w:b/>
          <w:szCs w:val="24"/>
          <w:vertAlign w:val="superscript"/>
        </w:rPr>
        <w:t>37</w:t>
      </w:r>
    </w:p>
    <w:tbl>
      <w:tblPr>
        <w:tblW w:w="9482" w:type="dxa"/>
        <w:tblLayout w:type="fixed"/>
        <w:tblLook w:val="04A0" w:firstRow="1" w:lastRow="0" w:firstColumn="1" w:lastColumn="0" w:noHBand="0" w:noVBand="1"/>
      </w:tblPr>
      <w:tblGrid>
        <w:gridCol w:w="1624"/>
        <w:gridCol w:w="1124"/>
        <w:gridCol w:w="1124"/>
        <w:gridCol w:w="1122"/>
        <w:gridCol w:w="1122"/>
        <w:gridCol w:w="1122"/>
        <w:gridCol w:w="1122"/>
        <w:gridCol w:w="1122"/>
      </w:tblGrid>
      <w:tr w:rsidR="00C41EEC" w:rsidRPr="00C17F27" w14:paraId="630F3C59" w14:textId="77777777" w:rsidTr="00994107">
        <w:trPr>
          <w:cantSplit/>
          <w:trHeight w:val="355"/>
          <w:tblHeader/>
        </w:trPr>
        <w:tc>
          <w:tcPr>
            <w:tcW w:w="1624"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hideMark/>
          </w:tcPr>
          <w:p w14:paraId="3C15A2D3" w14:textId="39DC7570" w:rsidR="00C17F27" w:rsidRPr="00E42B8C" w:rsidRDefault="00C17F27" w:rsidP="00C17F27">
            <w:pPr>
              <w:spacing w:after="0" w:line="240" w:lineRule="auto"/>
              <w:rPr>
                <w:rFonts w:asciiTheme="minorHAnsi" w:eastAsia="Times New Roman" w:hAnsiTheme="minorHAnsi" w:cstheme="minorHAnsi"/>
                <w:b/>
                <w:bCs/>
                <w:color w:val="242424"/>
                <w:sz w:val="20"/>
                <w:szCs w:val="20"/>
              </w:rPr>
            </w:pPr>
            <w:r w:rsidRPr="00E42B8C">
              <w:rPr>
                <w:rFonts w:asciiTheme="minorHAnsi" w:eastAsia="Times New Roman" w:hAnsiTheme="minorHAnsi" w:cstheme="minorHAnsi"/>
                <w:b/>
                <w:bCs/>
                <w:color w:val="242424"/>
                <w:sz w:val="20"/>
                <w:szCs w:val="20"/>
              </w:rPr>
              <w:t>Specialty</w:t>
            </w:r>
          </w:p>
        </w:tc>
        <w:tc>
          <w:tcPr>
            <w:tcW w:w="1124"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25143C77" w14:textId="77777777" w:rsidR="00C17F27" w:rsidRPr="00E42B8C" w:rsidRDefault="00C17F27" w:rsidP="00596B7F">
            <w:pPr>
              <w:spacing w:after="0" w:line="240" w:lineRule="auto"/>
              <w:jc w:val="center"/>
              <w:rPr>
                <w:rFonts w:asciiTheme="minorHAnsi" w:eastAsia="Times New Roman" w:hAnsiTheme="minorHAnsi" w:cstheme="minorHAnsi"/>
                <w:b/>
                <w:bCs/>
                <w:color w:val="242424"/>
                <w:sz w:val="20"/>
                <w:szCs w:val="20"/>
              </w:rPr>
            </w:pPr>
            <w:r w:rsidRPr="00E42B8C">
              <w:rPr>
                <w:rFonts w:asciiTheme="minorHAnsi" w:eastAsia="Times New Roman" w:hAnsiTheme="minorHAnsi" w:cstheme="minorHAnsi"/>
                <w:b/>
                <w:bCs/>
                <w:color w:val="242424"/>
                <w:sz w:val="20"/>
                <w:szCs w:val="20"/>
              </w:rPr>
              <w:t>CY 2018</w:t>
            </w:r>
          </w:p>
        </w:tc>
        <w:tc>
          <w:tcPr>
            <w:tcW w:w="1124"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14606378" w14:textId="77777777" w:rsidR="00C17F27" w:rsidRPr="00E42B8C" w:rsidRDefault="00C17F27" w:rsidP="00596B7F">
            <w:pPr>
              <w:spacing w:after="0" w:line="240" w:lineRule="auto"/>
              <w:jc w:val="center"/>
              <w:rPr>
                <w:rFonts w:asciiTheme="minorHAnsi" w:eastAsia="Times New Roman" w:hAnsiTheme="minorHAnsi" w:cstheme="minorHAnsi"/>
                <w:b/>
                <w:bCs/>
                <w:color w:val="242424"/>
                <w:sz w:val="20"/>
                <w:szCs w:val="20"/>
              </w:rPr>
            </w:pPr>
            <w:r w:rsidRPr="00E42B8C">
              <w:rPr>
                <w:rFonts w:asciiTheme="minorHAnsi" w:eastAsia="Times New Roman" w:hAnsiTheme="minorHAnsi" w:cstheme="minorHAnsi"/>
                <w:b/>
                <w:bCs/>
                <w:color w:val="242424"/>
                <w:sz w:val="20"/>
                <w:szCs w:val="20"/>
              </w:rPr>
              <w:t>CY 2019</w:t>
            </w:r>
          </w:p>
        </w:tc>
        <w:tc>
          <w:tcPr>
            <w:tcW w:w="1122"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50D4BBF3" w14:textId="77777777" w:rsidR="00C17F27" w:rsidRPr="00E42B8C" w:rsidRDefault="00C17F27" w:rsidP="00596B7F">
            <w:pPr>
              <w:spacing w:after="0" w:line="240" w:lineRule="auto"/>
              <w:jc w:val="center"/>
              <w:rPr>
                <w:rFonts w:asciiTheme="minorHAnsi" w:eastAsia="Times New Roman" w:hAnsiTheme="minorHAnsi" w:cstheme="minorHAnsi"/>
                <w:b/>
                <w:bCs/>
                <w:color w:val="242424"/>
                <w:sz w:val="20"/>
                <w:szCs w:val="20"/>
              </w:rPr>
            </w:pPr>
            <w:r w:rsidRPr="00E42B8C">
              <w:rPr>
                <w:rFonts w:asciiTheme="minorHAnsi" w:eastAsia="Times New Roman" w:hAnsiTheme="minorHAnsi" w:cstheme="minorHAnsi"/>
                <w:b/>
                <w:bCs/>
                <w:color w:val="242424"/>
                <w:sz w:val="20"/>
                <w:szCs w:val="20"/>
              </w:rPr>
              <w:t>CY 2020</w:t>
            </w:r>
          </w:p>
        </w:tc>
        <w:tc>
          <w:tcPr>
            <w:tcW w:w="1122"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0C3B2C74" w14:textId="77777777" w:rsidR="00C17F27" w:rsidRPr="00E42B8C" w:rsidRDefault="00C17F27" w:rsidP="00596B7F">
            <w:pPr>
              <w:spacing w:after="0" w:line="240" w:lineRule="auto"/>
              <w:jc w:val="center"/>
              <w:rPr>
                <w:rFonts w:asciiTheme="minorHAnsi" w:eastAsia="Times New Roman" w:hAnsiTheme="minorHAnsi" w:cstheme="minorHAnsi"/>
                <w:b/>
                <w:bCs/>
                <w:color w:val="242424"/>
                <w:sz w:val="20"/>
                <w:szCs w:val="20"/>
              </w:rPr>
            </w:pPr>
            <w:r w:rsidRPr="00E42B8C">
              <w:rPr>
                <w:rFonts w:asciiTheme="minorHAnsi" w:eastAsia="Times New Roman" w:hAnsiTheme="minorHAnsi" w:cstheme="minorHAnsi"/>
                <w:b/>
                <w:bCs/>
                <w:color w:val="242424"/>
                <w:sz w:val="20"/>
                <w:szCs w:val="20"/>
              </w:rPr>
              <w:t>CY 2021</w:t>
            </w:r>
          </w:p>
        </w:tc>
        <w:tc>
          <w:tcPr>
            <w:tcW w:w="1122"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55250314" w14:textId="77777777" w:rsidR="00C17F27" w:rsidRPr="00E42B8C" w:rsidRDefault="00C17F27" w:rsidP="00596B7F">
            <w:pPr>
              <w:spacing w:after="0" w:line="240" w:lineRule="auto"/>
              <w:jc w:val="center"/>
              <w:rPr>
                <w:rFonts w:asciiTheme="minorHAnsi" w:eastAsia="Times New Roman" w:hAnsiTheme="minorHAnsi" w:cstheme="minorHAnsi"/>
                <w:b/>
                <w:bCs/>
                <w:color w:val="242424"/>
                <w:sz w:val="20"/>
                <w:szCs w:val="20"/>
              </w:rPr>
            </w:pPr>
            <w:r w:rsidRPr="00E42B8C">
              <w:rPr>
                <w:rFonts w:asciiTheme="minorHAnsi" w:eastAsia="Times New Roman" w:hAnsiTheme="minorHAnsi" w:cstheme="minorHAnsi"/>
                <w:b/>
                <w:bCs/>
                <w:color w:val="242424"/>
                <w:sz w:val="20"/>
                <w:szCs w:val="20"/>
              </w:rPr>
              <w:t>CY 2022</w:t>
            </w:r>
          </w:p>
        </w:tc>
        <w:tc>
          <w:tcPr>
            <w:tcW w:w="1122"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07F4052A" w14:textId="77777777" w:rsidR="00C17F27" w:rsidRPr="00E42B8C" w:rsidRDefault="00C17F27" w:rsidP="00596B7F">
            <w:pPr>
              <w:spacing w:after="0" w:line="240" w:lineRule="auto"/>
              <w:jc w:val="center"/>
              <w:rPr>
                <w:rFonts w:asciiTheme="minorHAnsi" w:eastAsia="Times New Roman" w:hAnsiTheme="minorHAnsi" w:cstheme="minorHAnsi"/>
                <w:b/>
                <w:bCs/>
                <w:color w:val="242424"/>
                <w:sz w:val="20"/>
                <w:szCs w:val="20"/>
              </w:rPr>
            </w:pPr>
            <w:r w:rsidRPr="00E42B8C">
              <w:rPr>
                <w:rFonts w:asciiTheme="minorHAnsi" w:eastAsia="Times New Roman" w:hAnsiTheme="minorHAnsi" w:cstheme="minorHAnsi"/>
                <w:b/>
                <w:bCs/>
                <w:color w:val="242424"/>
                <w:sz w:val="20"/>
                <w:szCs w:val="20"/>
              </w:rPr>
              <w:t>CY 2023</w:t>
            </w:r>
          </w:p>
        </w:tc>
        <w:tc>
          <w:tcPr>
            <w:tcW w:w="1122"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3776C924" w14:textId="77777777" w:rsidR="00C17F27" w:rsidRPr="00E42B8C" w:rsidRDefault="00C17F27" w:rsidP="00596B7F">
            <w:pPr>
              <w:spacing w:after="0" w:line="240" w:lineRule="auto"/>
              <w:jc w:val="center"/>
              <w:rPr>
                <w:rFonts w:asciiTheme="minorHAnsi" w:eastAsia="Times New Roman" w:hAnsiTheme="minorHAnsi" w:cstheme="minorHAnsi"/>
                <w:b/>
                <w:bCs/>
                <w:color w:val="242424"/>
                <w:sz w:val="20"/>
                <w:szCs w:val="20"/>
              </w:rPr>
            </w:pPr>
            <w:r w:rsidRPr="00E42B8C">
              <w:rPr>
                <w:rFonts w:asciiTheme="minorHAnsi" w:eastAsia="Times New Roman" w:hAnsiTheme="minorHAnsi" w:cstheme="minorHAnsi"/>
                <w:b/>
                <w:bCs/>
                <w:color w:val="242424"/>
                <w:sz w:val="20"/>
                <w:szCs w:val="20"/>
              </w:rPr>
              <w:t>Jan-Mar 2024</w:t>
            </w:r>
          </w:p>
        </w:tc>
      </w:tr>
      <w:tr w:rsidR="00596B7F" w:rsidRPr="00C17F27" w14:paraId="44C1488F" w14:textId="77777777" w:rsidTr="00994107">
        <w:trPr>
          <w:cantSplit/>
          <w:trHeight w:val="556"/>
        </w:trPr>
        <w:tc>
          <w:tcPr>
            <w:tcW w:w="1624" w:type="dxa"/>
            <w:tcBorders>
              <w:top w:val="nil"/>
              <w:left w:val="single" w:sz="8" w:space="0" w:color="auto"/>
              <w:bottom w:val="single" w:sz="8" w:space="0" w:color="auto"/>
              <w:right w:val="single" w:sz="8" w:space="0" w:color="auto"/>
            </w:tcBorders>
            <w:shd w:val="clear" w:color="000000" w:fill="FFFFFF"/>
            <w:vAlign w:val="center"/>
            <w:hideMark/>
          </w:tcPr>
          <w:p w14:paraId="5A8B0D1B" w14:textId="77777777" w:rsidR="00596B7F" w:rsidRPr="00E42B8C" w:rsidRDefault="00596B7F" w:rsidP="00596B7F">
            <w:pPr>
              <w:spacing w:after="0" w:line="240" w:lineRule="auto"/>
              <w:rPr>
                <w:rFonts w:asciiTheme="minorHAnsi" w:eastAsia="Times New Roman" w:hAnsiTheme="minorHAnsi" w:cstheme="minorHAnsi"/>
                <w:color w:val="242424"/>
                <w:sz w:val="20"/>
                <w:szCs w:val="20"/>
              </w:rPr>
            </w:pPr>
            <w:r w:rsidRPr="00E42B8C">
              <w:rPr>
                <w:rFonts w:asciiTheme="minorHAnsi" w:eastAsia="Times New Roman" w:hAnsiTheme="minorHAnsi" w:cstheme="minorHAnsi"/>
                <w:color w:val="242424"/>
                <w:sz w:val="20"/>
                <w:szCs w:val="20"/>
              </w:rPr>
              <w:t>Ear, Nose, and Throat</w:t>
            </w:r>
          </w:p>
        </w:tc>
        <w:tc>
          <w:tcPr>
            <w:tcW w:w="1124" w:type="dxa"/>
            <w:tcBorders>
              <w:top w:val="nil"/>
              <w:left w:val="nil"/>
              <w:bottom w:val="single" w:sz="8" w:space="0" w:color="auto"/>
              <w:right w:val="single" w:sz="8" w:space="0" w:color="auto"/>
            </w:tcBorders>
            <w:shd w:val="clear" w:color="000000" w:fill="FFFFFF"/>
            <w:vAlign w:val="center"/>
            <w:hideMark/>
          </w:tcPr>
          <w:p w14:paraId="2382986E" w14:textId="54F95B2D" w:rsidR="00596B7F" w:rsidRPr="00E42B8C" w:rsidRDefault="00596B7F" w:rsidP="00596B7F">
            <w:pPr>
              <w:spacing w:after="0" w:line="240" w:lineRule="auto"/>
              <w:jc w:val="center"/>
              <w:rPr>
                <w:rFonts w:asciiTheme="minorHAnsi" w:eastAsia="Times New Roman" w:hAnsiTheme="minorHAnsi" w:cstheme="minorHAnsi"/>
                <w:color w:val="242424"/>
                <w:sz w:val="20"/>
                <w:szCs w:val="20"/>
              </w:rPr>
            </w:pPr>
            <w:r w:rsidRPr="00E42B8C">
              <w:rPr>
                <w:rFonts w:asciiTheme="minorHAnsi" w:hAnsiTheme="minorHAnsi" w:cstheme="minorHAnsi"/>
                <w:color w:val="242424"/>
                <w:sz w:val="20"/>
                <w:szCs w:val="20"/>
              </w:rPr>
              <w:t>2,267</w:t>
            </w:r>
          </w:p>
        </w:tc>
        <w:tc>
          <w:tcPr>
            <w:tcW w:w="1124" w:type="dxa"/>
            <w:tcBorders>
              <w:top w:val="nil"/>
              <w:left w:val="nil"/>
              <w:bottom w:val="single" w:sz="8" w:space="0" w:color="auto"/>
              <w:right w:val="single" w:sz="8" w:space="0" w:color="auto"/>
            </w:tcBorders>
            <w:shd w:val="clear" w:color="000000" w:fill="FFFFFF"/>
            <w:vAlign w:val="center"/>
            <w:hideMark/>
          </w:tcPr>
          <w:p w14:paraId="641E82B5" w14:textId="0E1B953A" w:rsidR="00596B7F" w:rsidRPr="00E42B8C" w:rsidRDefault="00596B7F" w:rsidP="00596B7F">
            <w:pPr>
              <w:spacing w:after="0" w:line="240" w:lineRule="auto"/>
              <w:jc w:val="center"/>
              <w:rPr>
                <w:rFonts w:asciiTheme="minorHAnsi" w:eastAsia="Times New Roman" w:hAnsiTheme="minorHAnsi" w:cstheme="minorHAnsi"/>
                <w:color w:val="242424"/>
                <w:sz w:val="20"/>
                <w:szCs w:val="20"/>
              </w:rPr>
            </w:pPr>
            <w:r w:rsidRPr="00E42B8C">
              <w:rPr>
                <w:rFonts w:asciiTheme="minorHAnsi" w:hAnsiTheme="minorHAnsi" w:cstheme="minorHAnsi"/>
                <w:color w:val="242424"/>
                <w:sz w:val="20"/>
                <w:szCs w:val="20"/>
              </w:rPr>
              <w:t>2,319</w:t>
            </w:r>
          </w:p>
        </w:tc>
        <w:tc>
          <w:tcPr>
            <w:tcW w:w="1122" w:type="dxa"/>
            <w:tcBorders>
              <w:top w:val="nil"/>
              <w:left w:val="nil"/>
              <w:bottom w:val="single" w:sz="8" w:space="0" w:color="auto"/>
              <w:right w:val="single" w:sz="8" w:space="0" w:color="auto"/>
            </w:tcBorders>
            <w:shd w:val="clear" w:color="000000" w:fill="FFFFFF"/>
            <w:vAlign w:val="center"/>
            <w:hideMark/>
          </w:tcPr>
          <w:p w14:paraId="0189564A" w14:textId="39D2A442" w:rsidR="00596B7F" w:rsidRPr="00E42B8C" w:rsidRDefault="00596B7F" w:rsidP="00596B7F">
            <w:pPr>
              <w:spacing w:after="0" w:line="240" w:lineRule="auto"/>
              <w:jc w:val="center"/>
              <w:rPr>
                <w:rFonts w:asciiTheme="minorHAnsi" w:eastAsia="Times New Roman" w:hAnsiTheme="minorHAnsi" w:cstheme="minorHAnsi"/>
                <w:color w:val="242424"/>
                <w:sz w:val="20"/>
                <w:szCs w:val="20"/>
              </w:rPr>
            </w:pPr>
            <w:r w:rsidRPr="00E42B8C">
              <w:rPr>
                <w:rFonts w:asciiTheme="minorHAnsi" w:hAnsiTheme="minorHAnsi" w:cstheme="minorHAnsi"/>
                <w:color w:val="242424"/>
                <w:sz w:val="20"/>
                <w:szCs w:val="20"/>
              </w:rPr>
              <w:t>1517</w:t>
            </w:r>
          </w:p>
        </w:tc>
        <w:tc>
          <w:tcPr>
            <w:tcW w:w="1122" w:type="dxa"/>
            <w:tcBorders>
              <w:top w:val="nil"/>
              <w:left w:val="nil"/>
              <w:bottom w:val="single" w:sz="8" w:space="0" w:color="auto"/>
              <w:right w:val="single" w:sz="8" w:space="0" w:color="auto"/>
            </w:tcBorders>
            <w:shd w:val="clear" w:color="000000" w:fill="FFFFFF"/>
            <w:vAlign w:val="center"/>
            <w:hideMark/>
          </w:tcPr>
          <w:p w14:paraId="0CC00404" w14:textId="1580ECCB" w:rsidR="00596B7F" w:rsidRPr="00E42B8C" w:rsidRDefault="00596B7F" w:rsidP="00596B7F">
            <w:pPr>
              <w:spacing w:after="0" w:line="240" w:lineRule="auto"/>
              <w:jc w:val="center"/>
              <w:rPr>
                <w:rFonts w:asciiTheme="minorHAnsi" w:eastAsia="Times New Roman" w:hAnsiTheme="minorHAnsi" w:cstheme="minorHAnsi"/>
                <w:color w:val="242424"/>
                <w:sz w:val="20"/>
                <w:szCs w:val="20"/>
              </w:rPr>
            </w:pPr>
            <w:r w:rsidRPr="00E42B8C">
              <w:rPr>
                <w:rFonts w:asciiTheme="minorHAnsi" w:hAnsiTheme="minorHAnsi" w:cstheme="minorHAnsi"/>
                <w:color w:val="242424"/>
                <w:sz w:val="20"/>
                <w:szCs w:val="20"/>
              </w:rPr>
              <w:t>1628</w:t>
            </w:r>
          </w:p>
        </w:tc>
        <w:tc>
          <w:tcPr>
            <w:tcW w:w="1122" w:type="dxa"/>
            <w:tcBorders>
              <w:top w:val="nil"/>
              <w:left w:val="nil"/>
              <w:bottom w:val="single" w:sz="8" w:space="0" w:color="auto"/>
              <w:right w:val="single" w:sz="8" w:space="0" w:color="auto"/>
            </w:tcBorders>
            <w:shd w:val="clear" w:color="000000" w:fill="FFFFFF"/>
            <w:vAlign w:val="center"/>
            <w:hideMark/>
          </w:tcPr>
          <w:p w14:paraId="3D66CA99" w14:textId="0724D07C" w:rsidR="00596B7F" w:rsidRPr="00E42B8C" w:rsidRDefault="00596B7F" w:rsidP="00596B7F">
            <w:pPr>
              <w:spacing w:after="0" w:line="240" w:lineRule="auto"/>
              <w:jc w:val="center"/>
              <w:rPr>
                <w:rFonts w:asciiTheme="minorHAnsi" w:eastAsia="Times New Roman" w:hAnsiTheme="minorHAnsi" w:cstheme="minorHAnsi"/>
                <w:color w:val="242424"/>
                <w:sz w:val="20"/>
                <w:szCs w:val="20"/>
              </w:rPr>
            </w:pPr>
            <w:r w:rsidRPr="00E42B8C">
              <w:rPr>
                <w:rFonts w:asciiTheme="minorHAnsi" w:hAnsiTheme="minorHAnsi" w:cstheme="minorHAnsi"/>
                <w:color w:val="242424"/>
                <w:sz w:val="20"/>
                <w:szCs w:val="20"/>
              </w:rPr>
              <w:t>2,067</w:t>
            </w:r>
          </w:p>
        </w:tc>
        <w:tc>
          <w:tcPr>
            <w:tcW w:w="1122" w:type="dxa"/>
            <w:tcBorders>
              <w:top w:val="nil"/>
              <w:left w:val="nil"/>
              <w:bottom w:val="single" w:sz="8" w:space="0" w:color="auto"/>
              <w:right w:val="single" w:sz="8" w:space="0" w:color="auto"/>
            </w:tcBorders>
            <w:shd w:val="clear" w:color="000000" w:fill="FFFFFF"/>
            <w:vAlign w:val="center"/>
            <w:hideMark/>
          </w:tcPr>
          <w:p w14:paraId="2B7716F4" w14:textId="119A35E4" w:rsidR="00596B7F" w:rsidRPr="00E42B8C" w:rsidRDefault="00596B7F" w:rsidP="00596B7F">
            <w:pPr>
              <w:spacing w:after="0" w:line="240" w:lineRule="auto"/>
              <w:jc w:val="center"/>
              <w:rPr>
                <w:rFonts w:asciiTheme="minorHAnsi" w:eastAsia="Times New Roman" w:hAnsiTheme="minorHAnsi" w:cstheme="minorHAnsi"/>
                <w:color w:val="242424"/>
                <w:sz w:val="20"/>
                <w:szCs w:val="20"/>
              </w:rPr>
            </w:pPr>
            <w:r w:rsidRPr="00E42B8C">
              <w:rPr>
                <w:rFonts w:asciiTheme="minorHAnsi" w:hAnsiTheme="minorHAnsi" w:cstheme="minorHAnsi"/>
                <w:color w:val="242424"/>
                <w:sz w:val="20"/>
                <w:szCs w:val="20"/>
              </w:rPr>
              <w:t>2,475</w:t>
            </w:r>
          </w:p>
        </w:tc>
        <w:tc>
          <w:tcPr>
            <w:tcW w:w="1122" w:type="dxa"/>
            <w:tcBorders>
              <w:top w:val="nil"/>
              <w:left w:val="nil"/>
              <w:bottom w:val="single" w:sz="8" w:space="0" w:color="auto"/>
              <w:right w:val="single" w:sz="8" w:space="0" w:color="auto"/>
            </w:tcBorders>
            <w:shd w:val="clear" w:color="000000" w:fill="FFFFFF"/>
            <w:vAlign w:val="center"/>
            <w:hideMark/>
          </w:tcPr>
          <w:p w14:paraId="12B855D3" w14:textId="29612151" w:rsidR="00596B7F" w:rsidRPr="00E42B8C" w:rsidRDefault="00596B7F" w:rsidP="00596B7F">
            <w:pPr>
              <w:spacing w:after="0" w:line="240" w:lineRule="auto"/>
              <w:jc w:val="center"/>
              <w:rPr>
                <w:rFonts w:asciiTheme="minorHAnsi" w:eastAsia="Times New Roman" w:hAnsiTheme="minorHAnsi" w:cstheme="minorHAnsi"/>
                <w:color w:val="242424"/>
                <w:sz w:val="20"/>
                <w:szCs w:val="20"/>
              </w:rPr>
            </w:pPr>
            <w:r w:rsidRPr="00E42B8C">
              <w:rPr>
                <w:rFonts w:asciiTheme="minorHAnsi" w:hAnsiTheme="minorHAnsi" w:cstheme="minorHAnsi"/>
                <w:color w:val="242424"/>
                <w:sz w:val="20"/>
                <w:szCs w:val="20"/>
              </w:rPr>
              <w:t>649</w:t>
            </w:r>
          </w:p>
        </w:tc>
      </w:tr>
      <w:tr w:rsidR="00596B7F" w:rsidRPr="00C17F27" w14:paraId="05430125" w14:textId="77777777" w:rsidTr="00994107">
        <w:trPr>
          <w:cantSplit/>
          <w:trHeight w:val="355"/>
        </w:trPr>
        <w:tc>
          <w:tcPr>
            <w:tcW w:w="1624" w:type="dxa"/>
            <w:tcBorders>
              <w:top w:val="nil"/>
              <w:left w:val="single" w:sz="8" w:space="0" w:color="auto"/>
              <w:bottom w:val="single" w:sz="8" w:space="0" w:color="auto"/>
              <w:right w:val="single" w:sz="8" w:space="0" w:color="auto"/>
            </w:tcBorders>
            <w:shd w:val="clear" w:color="000000" w:fill="FFFFFF"/>
            <w:vAlign w:val="center"/>
            <w:hideMark/>
          </w:tcPr>
          <w:p w14:paraId="460965AC" w14:textId="77777777" w:rsidR="00596B7F" w:rsidRPr="00E42B8C" w:rsidRDefault="00596B7F" w:rsidP="00596B7F">
            <w:pPr>
              <w:spacing w:after="0" w:line="240" w:lineRule="auto"/>
              <w:rPr>
                <w:rFonts w:asciiTheme="minorHAnsi" w:eastAsia="Times New Roman" w:hAnsiTheme="minorHAnsi" w:cstheme="minorHAnsi"/>
                <w:color w:val="242424"/>
                <w:sz w:val="20"/>
                <w:szCs w:val="20"/>
              </w:rPr>
            </w:pPr>
            <w:r w:rsidRPr="00E42B8C">
              <w:rPr>
                <w:rFonts w:asciiTheme="minorHAnsi" w:eastAsia="Times New Roman" w:hAnsiTheme="minorHAnsi" w:cstheme="minorHAnsi"/>
                <w:color w:val="242424"/>
                <w:sz w:val="20"/>
                <w:szCs w:val="20"/>
              </w:rPr>
              <w:t>Surgery, General</w:t>
            </w:r>
          </w:p>
        </w:tc>
        <w:tc>
          <w:tcPr>
            <w:tcW w:w="1124" w:type="dxa"/>
            <w:tcBorders>
              <w:top w:val="nil"/>
              <w:left w:val="nil"/>
              <w:bottom w:val="single" w:sz="8" w:space="0" w:color="auto"/>
              <w:right w:val="single" w:sz="8" w:space="0" w:color="auto"/>
            </w:tcBorders>
            <w:shd w:val="clear" w:color="000000" w:fill="FFFFFF"/>
            <w:vAlign w:val="center"/>
            <w:hideMark/>
          </w:tcPr>
          <w:p w14:paraId="718E5B83" w14:textId="768D4016" w:rsidR="00596B7F" w:rsidRPr="00E42B8C" w:rsidRDefault="00596B7F" w:rsidP="00596B7F">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4,576</w:t>
            </w:r>
          </w:p>
        </w:tc>
        <w:tc>
          <w:tcPr>
            <w:tcW w:w="1124" w:type="dxa"/>
            <w:tcBorders>
              <w:top w:val="nil"/>
              <w:left w:val="nil"/>
              <w:bottom w:val="single" w:sz="8" w:space="0" w:color="auto"/>
              <w:right w:val="single" w:sz="8" w:space="0" w:color="auto"/>
            </w:tcBorders>
            <w:shd w:val="clear" w:color="000000" w:fill="FFFFFF"/>
            <w:vAlign w:val="center"/>
            <w:hideMark/>
          </w:tcPr>
          <w:p w14:paraId="7D599D3C" w14:textId="74645A77" w:rsidR="00596B7F" w:rsidRPr="00E42B8C" w:rsidRDefault="00596B7F" w:rsidP="00596B7F">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4,379</w:t>
            </w:r>
          </w:p>
        </w:tc>
        <w:tc>
          <w:tcPr>
            <w:tcW w:w="1122" w:type="dxa"/>
            <w:tcBorders>
              <w:top w:val="nil"/>
              <w:left w:val="nil"/>
              <w:bottom w:val="single" w:sz="8" w:space="0" w:color="auto"/>
              <w:right w:val="single" w:sz="8" w:space="0" w:color="auto"/>
            </w:tcBorders>
            <w:shd w:val="clear" w:color="000000" w:fill="FFFFFF"/>
            <w:vAlign w:val="center"/>
            <w:hideMark/>
          </w:tcPr>
          <w:p w14:paraId="71F1EF52" w14:textId="2742A9A0" w:rsidR="00596B7F" w:rsidRPr="00E42B8C" w:rsidRDefault="00596B7F" w:rsidP="00596B7F">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3650</w:t>
            </w:r>
          </w:p>
        </w:tc>
        <w:tc>
          <w:tcPr>
            <w:tcW w:w="1122" w:type="dxa"/>
            <w:tcBorders>
              <w:top w:val="nil"/>
              <w:left w:val="nil"/>
              <w:bottom w:val="single" w:sz="8" w:space="0" w:color="auto"/>
              <w:right w:val="single" w:sz="8" w:space="0" w:color="auto"/>
            </w:tcBorders>
            <w:shd w:val="clear" w:color="000000" w:fill="FFFFFF"/>
            <w:vAlign w:val="center"/>
            <w:hideMark/>
          </w:tcPr>
          <w:p w14:paraId="6977059D" w14:textId="0A8E0C21" w:rsidR="00596B7F" w:rsidRPr="00E42B8C" w:rsidRDefault="00596B7F" w:rsidP="00596B7F">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3715</w:t>
            </w:r>
          </w:p>
        </w:tc>
        <w:tc>
          <w:tcPr>
            <w:tcW w:w="1122" w:type="dxa"/>
            <w:tcBorders>
              <w:top w:val="nil"/>
              <w:left w:val="nil"/>
              <w:bottom w:val="single" w:sz="8" w:space="0" w:color="auto"/>
              <w:right w:val="single" w:sz="8" w:space="0" w:color="auto"/>
            </w:tcBorders>
            <w:shd w:val="clear" w:color="000000" w:fill="FFFFFF"/>
            <w:vAlign w:val="center"/>
            <w:hideMark/>
          </w:tcPr>
          <w:p w14:paraId="161F365F" w14:textId="2BEA5E16" w:rsidR="00596B7F" w:rsidRPr="00E42B8C" w:rsidRDefault="00596B7F" w:rsidP="00596B7F">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3,866</w:t>
            </w:r>
          </w:p>
        </w:tc>
        <w:tc>
          <w:tcPr>
            <w:tcW w:w="1122" w:type="dxa"/>
            <w:tcBorders>
              <w:top w:val="nil"/>
              <w:left w:val="nil"/>
              <w:bottom w:val="single" w:sz="8" w:space="0" w:color="auto"/>
              <w:right w:val="single" w:sz="8" w:space="0" w:color="auto"/>
            </w:tcBorders>
            <w:shd w:val="clear" w:color="000000" w:fill="FFFFFF"/>
            <w:vAlign w:val="center"/>
            <w:hideMark/>
          </w:tcPr>
          <w:p w14:paraId="4675A84A" w14:textId="7515540C" w:rsidR="00596B7F" w:rsidRPr="00E42B8C" w:rsidRDefault="00596B7F" w:rsidP="00596B7F">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4,178</w:t>
            </w:r>
          </w:p>
        </w:tc>
        <w:tc>
          <w:tcPr>
            <w:tcW w:w="1122" w:type="dxa"/>
            <w:tcBorders>
              <w:top w:val="nil"/>
              <w:left w:val="nil"/>
              <w:bottom w:val="single" w:sz="8" w:space="0" w:color="auto"/>
              <w:right w:val="single" w:sz="8" w:space="0" w:color="auto"/>
            </w:tcBorders>
            <w:shd w:val="clear" w:color="000000" w:fill="FFFFFF"/>
            <w:vAlign w:val="center"/>
            <w:hideMark/>
          </w:tcPr>
          <w:p w14:paraId="2AC5E731" w14:textId="77B076F6" w:rsidR="00596B7F" w:rsidRPr="00E42B8C" w:rsidRDefault="00596B7F" w:rsidP="00596B7F">
            <w:pPr>
              <w:spacing w:after="0" w:line="240" w:lineRule="auto"/>
              <w:jc w:val="center"/>
              <w:rPr>
                <w:rFonts w:asciiTheme="minorHAnsi" w:eastAsia="Times New Roman" w:hAnsiTheme="minorHAnsi" w:cstheme="minorHAnsi"/>
                <w:color w:val="000000"/>
                <w:sz w:val="20"/>
                <w:szCs w:val="20"/>
              </w:rPr>
            </w:pPr>
            <w:r w:rsidRPr="00E42B8C">
              <w:rPr>
                <w:rFonts w:asciiTheme="minorHAnsi" w:hAnsiTheme="minorHAnsi" w:cstheme="minorHAnsi"/>
                <w:color w:val="000000"/>
                <w:sz w:val="20"/>
                <w:szCs w:val="20"/>
              </w:rPr>
              <w:t>1157</w:t>
            </w:r>
          </w:p>
        </w:tc>
      </w:tr>
      <w:tr w:rsidR="00596B7F" w:rsidRPr="00C17F27" w14:paraId="300728DD" w14:textId="77777777" w:rsidTr="00994107">
        <w:trPr>
          <w:cantSplit/>
          <w:trHeight w:val="355"/>
        </w:trPr>
        <w:tc>
          <w:tcPr>
            <w:tcW w:w="1624" w:type="dxa"/>
            <w:tcBorders>
              <w:top w:val="nil"/>
              <w:left w:val="single" w:sz="8" w:space="0" w:color="auto"/>
              <w:bottom w:val="single" w:sz="8" w:space="0" w:color="auto"/>
              <w:right w:val="single" w:sz="8" w:space="0" w:color="auto"/>
            </w:tcBorders>
            <w:shd w:val="clear" w:color="000000" w:fill="FFFFFF"/>
            <w:vAlign w:val="center"/>
            <w:hideMark/>
          </w:tcPr>
          <w:p w14:paraId="768FA0B6" w14:textId="77777777" w:rsidR="00596B7F" w:rsidRPr="00E42B8C" w:rsidRDefault="00596B7F" w:rsidP="00596B7F">
            <w:pPr>
              <w:spacing w:after="0" w:line="240" w:lineRule="auto"/>
              <w:rPr>
                <w:rFonts w:asciiTheme="minorHAnsi" w:eastAsia="Times New Roman" w:hAnsiTheme="minorHAnsi" w:cstheme="minorHAnsi"/>
                <w:color w:val="242424"/>
                <w:sz w:val="20"/>
                <w:szCs w:val="20"/>
              </w:rPr>
            </w:pPr>
            <w:r w:rsidRPr="00E42B8C">
              <w:rPr>
                <w:rFonts w:asciiTheme="minorHAnsi" w:eastAsia="Times New Roman" w:hAnsiTheme="minorHAnsi" w:cstheme="minorHAnsi"/>
                <w:color w:val="242424"/>
                <w:sz w:val="20"/>
                <w:szCs w:val="20"/>
              </w:rPr>
              <w:t>Orthopedics</w:t>
            </w:r>
          </w:p>
        </w:tc>
        <w:tc>
          <w:tcPr>
            <w:tcW w:w="1124" w:type="dxa"/>
            <w:tcBorders>
              <w:top w:val="nil"/>
              <w:left w:val="nil"/>
              <w:bottom w:val="single" w:sz="8" w:space="0" w:color="auto"/>
              <w:right w:val="single" w:sz="8" w:space="0" w:color="auto"/>
            </w:tcBorders>
            <w:shd w:val="clear" w:color="000000" w:fill="FFFFFF"/>
            <w:vAlign w:val="center"/>
            <w:hideMark/>
          </w:tcPr>
          <w:p w14:paraId="7F154FC3" w14:textId="2A296ADC" w:rsidR="00596B7F" w:rsidRPr="00E42B8C" w:rsidRDefault="00596B7F" w:rsidP="00596B7F">
            <w:pPr>
              <w:spacing w:after="0" w:line="240" w:lineRule="auto"/>
              <w:jc w:val="center"/>
              <w:rPr>
                <w:rFonts w:asciiTheme="minorHAnsi" w:eastAsia="Times New Roman" w:hAnsiTheme="minorHAnsi" w:cstheme="minorHAnsi"/>
                <w:color w:val="242424"/>
                <w:sz w:val="20"/>
                <w:szCs w:val="20"/>
              </w:rPr>
            </w:pPr>
            <w:r w:rsidRPr="00E42B8C">
              <w:rPr>
                <w:rFonts w:asciiTheme="minorHAnsi" w:hAnsiTheme="minorHAnsi" w:cstheme="minorHAnsi"/>
                <w:color w:val="242424"/>
                <w:sz w:val="20"/>
                <w:szCs w:val="20"/>
              </w:rPr>
              <w:t>7,486</w:t>
            </w:r>
          </w:p>
        </w:tc>
        <w:tc>
          <w:tcPr>
            <w:tcW w:w="1124" w:type="dxa"/>
            <w:tcBorders>
              <w:top w:val="nil"/>
              <w:left w:val="nil"/>
              <w:bottom w:val="single" w:sz="8" w:space="0" w:color="auto"/>
              <w:right w:val="single" w:sz="8" w:space="0" w:color="auto"/>
            </w:tcBorders>
            <w:shd w:val="clear" w:color="000000" w:fill="FFFFFF"/>
            <w:vAlign w:val="center"/>
            <w:hideMark/>
          </w:tcPr>
          <w:p w14:paraId="6FA1F089" w14:textId="082E78F6" w:rsidR="00596B7F" w:rsidRPr="00E42B8C" w:rsidRDefault="00596B7F" w:rsidP="00596B7F">
            <w:pPr>
              <w:spacing w:after="0" w:line="240" w:lineRule="auto"/>
              <w:jc w:val="center"/>
              <w:rPr>
                <w:rFonts w:asciiTheme="minorHAnsi" w:eastAsia="Times New Roman" w:hAnsiTheme="minorHAnsi" w:cstheme="minorHAnsi"/>
                <w:color w:val="242424"/>
                <w:sz w:val="20"/>
                <w:szCs w:val="20"/>
              </w:rPr>
            </w:pPr>
            <w:r w:rsidRPr="00E42B8C">
              <w:rPr>
                <w:rFonts w:asciiTheme="minorHAnsi" w:hAnsiTheme="minorHAnsi" w:cstheme="minorHAnsi"/>
                <w:color w:val="242424"/>
                <w:sz w:val="20"/>
                <w:szCs w:val="20"/>
              </w:rPr>
              <w:t>7,026</w:t>
            </w:r>
          </w:p>
        </w:tc>
        <w:tc>
          <w:tcPr>
            <w:tcW w:w="1122" w:type="dxa"/>
            <w:tcBorders>
              <w:top w:val="nil"/>
              <w:left w:val="nil"/>
              <w:bottom w:val="single" w:sz="8" w:space="0" w:color="auto"/>
              <w:right w:val="single" w:sz="8" w:space="0" w:color="auto"/>
            </w:tcBorders>
            <w:shd w:val="clear" w:color="000000" w:fill="FFFFFF"/>
            <w:vAlign w:val="center"/>
            <w:hideMark/>
          </w:tcPr>
          <w:p w14:paraId="3295ABFC" w14:textId="1935A891" w:rsidR="00596B7F" w:rsidRPr="00E42B8C" w:rsidRDefault="00596B7F" w:rsidP="00596B7F">
            <w:pPr>
              <w:spacing w:after="0" w:line="240" w:lineRule="auto"/>
              <w:jc w:val="center"/>
              <w:rPr>
                <w:rFonts w:asciiTheme="minorHAnsi" w:eastAsia="Times New Roman" w:hAnsiTheme="minorHAnsi" w:cstheme="minorHAnsi"/>
                <w:color w:val="242424"/>
                <w:sz w:val="20"/>
                <w:szCs w:val="20"/>
              </w:rPr>
            </w:pPr>
            <w:r w:rsidRPr="00E42B8C">
              <w:rPr>
                <w:rFonts w:asciiTheme="minorHAnsi" w:hAnsiTheme="minorHAnsi" w:cstheme="minorHAnsi"/>
                <w:color w:val="242424"/>
                <w:sz w:val="20"/>
                <w:szCs w:val="20"/>
              </w:rPr>
              <w:t>5,960</w:t>
            </w:r>
          </w:p>
        </w:tc>
        <w:tc>
          <w:tcPr>
            <w:tcW w:w="1122" w:type="dxa"/>
            <w:tcBorders>
              <w:top w:val="nil"/>
              <w:left w:val="nil"/>
              <w:bottom w:val="single" w:sz="8" w:space="0" w:color="auto"/>
              <w:right w:val="single" w:sz="8" w:space="0" w:color="auto"/>
            </w:tcBorders>
            <w:shd w:val="clear" w:color="000000" w:fill="FFFFFF"/>
            <w:vAlign w:val="center"/>
            <w:hideMark/>
          </w:tcPr>
          <w:p w14:paraId="32F3B1E6" w14:textId="56B4DDF0" w:rsidR="00596B7F" w:rsidRPr="00E42B8C" w:rsidRDefault="00596B7F" w:rsidP="00596B7F">
            <w:pPr>
              <w:spacing w:after="0" w:line="240" w:lineRule="auto"/>
              <w:jc w:val="center"/>
              <w:rPr>
                <w:rFonts w:asciiTheme="minorHAnsi" w:eastAsia="Times New Roman" w:hAnsiTheme="minorHAnsi" w:cstheme="minorHAnsi"/>
                <w:color w:val="242424"/>
                <w:sz w:val="20"/>
                <w:szCs w:val="20"/>
              </w:rPr>
            </w:pPr>
            <w:r w:rsidRPr="00E42B8C">
              <w:rPr>
                <w:rFonts w:asciiTheme="minorHAnsi" w:hAnsiTheme="minorHAnsi" w:cstheme="minorHAnsi"/>
                <w:color w:val="242424"/>
                <w:sz w:val="20"/>
                <w:szCs w:val="20"/>
              </w:rPr>
              <w:t>6,201</w:t>
            </w:r>
          </w:p>
        </w:tc>
        <w:tc>
          <w:tcPr>
            <w:tcW w:w="1122" w:type="dxa"/>
            <w:tcBorders>
              <w:top w:val="nil"/>
              <w:left w:val="nil"/>
              <w:bottom w:val="single" w:sz="8" w:space="0" w:color="auto"/>
              <w:right w:val="single" w:sz="8" w:space="0" w:color="auto"/>
            </w:tcBorders>
            <w:shd w:val="clear" w:color="000000" w:fill="FFFFFF"/>
            <w:vAlign w:val="center"/>
            <w:hideMark/>
          </w:tcPr>
          <w:p w14:paraId="49FC85BE" w14:textId="3A08840F" w:rsidR="00596B7F" w:rsidRPr="00E42B8C" w:rsidRDefault="00596B7F" w:rsidP="00596B7F">
            <w:pPr>
              <w:spacing w:after="0" w:line="240" w:lineRule="auto"/>
              <w:jc w:val="center"/>
              <w:rPr>
                <w:rFonts w:asciiTheme="minorHAnsi" w:eastAsia="Times New Roman" w:hAnsiTheme="minorHAnsi" w:cstheme="minorHAnsi"/>
                <w:color w:val="242424"/>
                <w:sz w:val="20"/>
                <w:szCs w:val="20"/>
              </w:rPr>
            </w:pPr>
            <w:r w:rsidRPr="00E42B8C">
              <w:rPr>
                <w:rFonts w:asciiTheme="minorHAnsi" w:hAnsiTheme="minorHAnsi" w:cstheme="minorHAnsi"/>
                <w:color w:val="242424"/>
                <w:sz w:val="20"/>
                <w:szCs w:val="20"/>
              </w:rPr>
              <w:t>6,827</w:t>
            </w:r>
          </w:p>
        </w:tc>
        <w:tc>
          <w:tcPr>
            <w:tcW w:w="1122" w:type="dxa"/>
            <w:tcBorders>
              <w:top w:val="nil"/>
              <w:left w:val="nil"/>
              <w:bottom w:val="single" w:sz="8" w:space="0" w:color="auto"/>
              <w:right w:val="single" w:sz="8" w:space="0" w:color="auto"/>
            </w:tcBorders>
            <w:shd w:val="clear" w:color="000000" w:fill="FFFFFF"/>
            <w:vAlign w:val="center"/>
            <w:hideMark/>
          </w:tcPr>
          <w:p w14:paraId="77A3A4E9" w14:textId="02CCA8CD" w:rsidR="00596B7F" w:rsidRPr="00E42B8C" w:rsidRDefault="00596B7F" w:rsidP="00596B7F">
            <w:pPr>
              <w:spacing w:after="0" w:line="240" w:lineRule="auto"/>
              <w:jc w:val="center"/>
              <w:rPr>
                <w:rFonts w:asciiTheme="minorHAnsi" w:eastAsia="Times New Roman" w:hAnsiTheme="minorHAnsi" w:cstheme="minorHAnsi"/>
                <w:color w:val="242424"/>
                <w:sz w:val="20"/>
                <w:szCs w:val="20"/>
              </w:rPr>
            </w:pPr>
            <w:r w:rsidRPr="00E42B8C">
              <w:rPr>
                <w:rFonts w:asciiTheme="minorHAnsi" w:hAnsiTheme="minorHAnsi" w:cstheme="minorHAnsi"/>
                <w:color w:val="242424"/>
                <w:sz w:val="20"/>
                <w:szCs w:val="20"/>
              </w:rPr>
              <w:t>6,800</w:t>
            </w:r>
          </w:p>
        </w:tc>
        <w:tc>
          <w:tcPr>
            <w:tcW w:w="1122" w:type="dxa"/>
            <w:tcBorders>
              <w:top w:val="nil"/>
              <w:left w:val="nil"/>
              <w:bottom w:val="single" w:sz="8" w:space="0" w:color="auto"/>
              <w:right w:val="single" w:sz="8" w:space="0" w:color="auto"/>
            </w:tcBorders>
            <w:shd w:val="clear" w:color="000000" w:fill="FFFFFF"/>
            <w:vAlign w:val="center"/>
            <w:hideMark/>
          </w:tcPr>
          <w:p w14:paraId="5BFA6525" w14:textId="0E9C8270" w:rsidR="00596B7F" w:rsidRPr="00E42B8C" w:rsidRDefault="00596B7F" w:rsidP="00596B7F">
            <w:pPr>
              <w:spacing w:after="0" w:line="240" w:lineRule="auto"/>
              <w:jc w:val="center"/>
              <w:rPr>
                <w:rFonts w:asciiTheme="minorHAnsi" w:eastAsia="Times New Roman" w:hAnsiTheme="minorHAnsi" w:cstheme="minorHAnsi"/>
                <w:color w:val="242424"/>
                <w:sz w:val="20"/>
                <w:szCs w:val="20"/>
              </w:rPr>
            </w:pPr>
            <w:r w:rsidRPr="00E42B8C">
              <w:rPr>
                <w:rFonts w:asciiTheme="minorHAnsi" w:hAnsiTheme="minorHAnsi" w:cstheme="minorHAnsi"/>
                <w:color w:val="242424"/>
                <w:sz w:val="20"/>
                <w:szCs w:val="20"/>
              </w:rPr>
              <w:t>1851</w:t>
            </w:r>
          </w:p>
        </w:tc>
      </w:tr>
      <w:tr w:rsidR="00596B7F" w:rsidRPr="00C17F27" w14:paraId="46D50BBC" w14:textId="77777777" w:rsidTr="00994107">
        <w:trPr>
          <w:cantSplit/>
          <w:trHeight w:val="340"/>
        </w:trPr>
        <w:tc>
          <w:tcPr>
            <w:tcW w:w="1624" w:type="dxa"/>
            <w:tcBorders>
              <w:top w:val="nil"/>
              <w:left w:val="single" w:sz="8" w:space="0" w:color="auto"/>
              <w:bottom w:val="single" w:sz="8" w:space="0" w:color="auto"/>
              <w:right w:val="single" w:sz="8" w:space="0" w:color="auto"/>
            </w:tcBorders>
            <w:shd w:val="clear" w:color="000000" w:fill="FFFFFF"/>
            <w:vAlign w:val="center"/>
            <w:hideMark/>
          </w:tcPr>
          <w:p w14:paraId="1DB779C2" w14:textId="77777777" w:rsidR="00596B7F" w:rsidRPr="00E42B8C" w:rsidRDefault="00596B7F" w:rsidP="00596B7F">
            <w:pPr>
              <w:spacing w:after="0" w:line="240" w:lineRule="auto"/>
              <w:rPr>
                <w:rFonts w:asciiTheme="minorHAnsi" w:eastAsia="Times New Roman" w:hAnsiTheme="minorHAnsi" w:cstheme="minorHAnsi"/>
                <w:color w:val="242424"/>
                <w:sz w:val="20"/>
                <w:szCs w:val="20"/>
              </w:rPr>
            </w:pPr>
            <w:r w:rsidRPr="00E42B8C">
              <w:rPr>
                <w:rFonts w:asciiTheme="minorHAnsi" w:eastAsia="Times New Roman" w:hAnsiTheme="minorHAnsi" w:cstheme="minorHAnsi"/>
                <w:color w:val="242424"/>
                <w:sz w:val="20"/>
                <w:szCs w:val="20"/>
              </w:rPr>
              <w:t>Podiatry</w:t>
            </w:r>
          </w:p>
        </w:tc>
        <w:tc>
          <w:tcPr>
            <w:tcW w:w="1124" w:type="dxa"/>
            <w:tcBorders>
              <w:top w:val="nil"/>
              <w:left w:val="nil"/>
              <w:bottom w:val="single" w:sz="8" w:space="0" w:color="auto"/>
              <w:right w:val="single" w:sz="8" w:space="0" w:color="auto"/>
            </w:tcBorders>
            <w:shd w:val="clear" w:color="000000" w:fill="FFFFFF"/>
            <w:vAlign w:val="center"/>
            <w:hideMark/>
          </w:tcPr>
          <w:p w14:paraId="22C6C84B" w14:textId="58F5D6F7" w:rsidR="00596B7F" w:rsidRPr="00E42B8C" w:rsidRDefault="00596B7F" w:rsidP="00596B7F">
            <w:pPr>
              <w:spacing w:after="0" w:line="240" w:lineRule="auto"/>
              <w:jc w:val="center"/>
              <w:rPr>
                <w:rFonts w:asciiTheme="minorHAnsi" w:eastAsia="Times New Roman" w:hAnsiTheme="minorHAnsi" w:cstheme="minorHAnsi"/>
                <w:color w:val="242424"/>
                <w:sz w:val="20"/>
                <w:szCs w:val="20"/>
              </w:rPr>
            </w:pPr>
            <w:r w:rsidRPr="00E42B8C">
              <w:rPr>
                <w:rFonts w:asciiTheme="minorHAnsi" w:hAnsiTheme="minorHAnsi" w:cstheme="minorHAnsi"/>
                <w:color w:val="242424"/>
                <w:sz w:val="20"/>
                <w:szCs w:val="20"/>
              </w:rPr>
              <w:t>746</w:t>
            </w:r>
          </w:p>
        </w:tc>
        <w:tc>
          <w:tcPr>
            <w:tcW w:w="1124" w:type="dxa"/>
            <w:tcBorders>
              <w:top w:val="nil"/>
              <w:left w:val="nil"/>
              <w:bottom w:val="single" w:sz="8" w:space="0" w:color="auto"/>
              <w:right w:val="single" w:sz="8" w:space="0" w:color="auto"/>
            </w:tcBorders>
            <w:shd w:val="clear" w:color="000000" w:fill="FFFFFF"/>
            <w:vAlign w:val="center"/>
            <w:hideMark/>
          </w:tcPr>
          <w:p w14:paraId="3EFE9D4B" w14:textId="6610D633" w:rsidR="00596B7F" w:rsidRPr="00E42B8C" w:rsidRDefault="00596B7F" w:rsidP="00596B7F">
            <w:pPr>
              <w:spacing w:after="0" w:line="240" w:lineRule="auto"/>
              <w:jc w:val="center"/>
              <w:rPr>
                <w:rFonts w:asciiTheme="minorHAnsi" w:eastAsia="Times New Roman" w:hAnsiTheme="minorHAnsi" w:cstheme="minorHAnsi"/>
                <w:color w:val="242424"/>
                <w:sz w:val="20"/>
                <w:szCs w:val="20"/>
              </w:rPr>
            </w:pPr>
            <w:r w:rsidRPr="00E42B8C">
              <w:rPr>
                <w:rFonts w:asciiTheme="minorHAnsi" w:hAnsiTheme="minorHAnsi" w:cstheme="minorHAnsi"/>
                <w:color w:val="242424"/>
                <w:sz w:val="20"/>
                <w:szCs w:val="20"/>
              </w:rPr>
              <w:t>757</w:t>
            </w:r>
          </w:p>
        </w:tc>
        <w:tc>
          <w:tcPr>
            <w:tcW w:w="1122" w:type="dxa"/>
            <w:tcBorders>
              <w:top w:val="nil"/>
              <w:left w:val="nil"/>
              <w:bottom w:val="single" w:sz="8" w:space="0" w:color="auto"/>
              <w:right w:val="single" w:sz="8" w:space="0" w:color="auto"/>
            </w:tcBorders>
            <w:shd w:val="clear" w:color="000000" w:fill="FFFFFF"/>
            <w:vAlign w:val="center"/>
            <w:hideMark/>
          </w:tcPr>
          <w:p w14:paraId="48E51AFD" w14:textId="39EC3780" w:rsidR="00596B7F" w:rsidRPr="00E42B8C" w:rsidRDefault="00596B7F" w:rsidP="00596B7F">
            <w:pPr>
              <w:spacing w:after="0" w:line="240" w:lineRule="auto"/>
              <w:jc w:val="center"/>
              <w:rPr>
                <w:rFonts w:asciiTheme="minorHAnsi" w:eastAsia="Times New Roman" w:hAnsiTheme="minorHAnsi" w:cstheme="minorHAnsi"/>
                <w:color w:val="242424"/>
                <w:sz w:val="20"/>
                <w:szCs w:val="20"/>
              </w:rPr>
            </w:pPr>
            <w:r w:rsidRPr="00E42B8C">
              <w:rPr>
                <w:rFonts w:asciiTheme="minorHAnsi" w:hAnsiTheme="minorHAnsi" w:cstheme="minorHAnsi"/>
                <w:color w:val="242424"/>
                <w:sz w:val="20"/>
                <w:szCs w:val="20"/>
              </w:rPr>
              <w:t>484</w:t>
            </w:r>
          </w:p>
        </w:tc>
        <w:tc>
          <w:tcPr>
            <w:tcW w:w="1122" w:type="dxa"/>
            <w:tcBorders>
              <w:top w:val="nil"/>
              <w:left w:val="nil"/>
              <w:bottom w:val="single" w:sz="8" w:space="0" w:color="auto"/>
              <w:right w:val="single" w:sz="8" w:space="0" w:color="auto"/>
            </w:tcBorders>
            <w:shd w:val="clear" w:color="000000" w:fill="FFFFFF"/>
            <w:vAlign w:val="center"/>
            <w:hideMark/>
          </w:tcPr>
          <w:p w14:paraId="18494676" w14:textId="1BE875D8" w:rsidR="00596B7F" w:rsidRPr="00E42B8C" w:rsidRDefault="00596B7F" w:rsidP="00596B7F">
            <w:pPr>
              <w:spacing w:after="0" w:line="240" w:lineRule="auto"/>
              <w:jc w:val="center"/>
              <w:rPr>
                <w:rFonts w:asciiTheme="minorHAnsi" w:eastAsia="Times New Roman" w:hAnsiTheme="minorHAnsi" w:cstheme="minorHAnsi"/>
                <w:color w:val="242424"/>
                <w:sz w:val="20"/>
                <w:szCs w:val="20"/>
              </w:rPr>
            </w:pPr>
            <w:r w:rsidRPr="00E42B8C">
              <w:rPr>
                <w:rFonts w:asciiTheme="minorHAnsi" w:hAnsiTheme="minorHAnsi" w:cstheme="minorHAnsi"/>
                <w:color w:val="242424"/>
                <w:sz w:val="20"/>
                <w:szCs w:val="20"/>
              </w:rPr>
              <w:t>572</w:t>
            </w:r>
          </w:p>
        </w:tc>
        <w:tc>
          <w:tcPr>
            <w:tcW w:w="1122" w:type="dxa"/>
            <w:tcBorders>
              <w:top w:val="nil"/>
              <w:left w:val="nil"/>
              <w:bottom w:val="single" w:sz="8" w:space="0" w:color="auto"/>
              <w:right w:val="single" w:sz="8" w:space="0" w:color="auto"/>
            </w:tcBorders>
            <w:shd w:val="clear" w:color="000000" w:fill="FFFFFF"/>
            <w:vAlign w:val="center"/>
            <w:hideMark/>
          </w:tcPr>
          <w:p w14:paraId="4E20DB95" w14:textId="01061C8B" w:rsidR="00596B7F" w:rsidRPr="00E42B8C" w:rsidRDefault="00596B7F" w:rsidP="00596B7F">
            <w:pPr>
              <w:spacing w:after="0" w:line="240" w:lineRule="auto"/>
              <w:jc w:val="center"/>
              <w:rPr>
                <w:rFonts w:asciiTheme="minorHAnsi" w:eastAsia="Times New Roman" w:hAnsiTheme="minorHAnsi" w:cstheme="minorHAnsi"/>
                <w:color w:val="242424"/>
                <w:sz w:val="20"/>
                <w:szCs w:val="20"/>
              </w:rPr>
            </w:pPr>
            <w:r w:rsidRPr="00E42B8C">
              <w:rPr>
                <w:rFonts w:asciiTheme="minorHAnsi" w:hAnsiTheme="minorHAnsi" w:cstheme="minorHAnsi"/>
                <w:color w:val="242424"/>
                <w:sz w:val="20"/>
                <w:szCs w:val="20"/>
              </w:rPr>
              <w:t>556</w:t>
            </w:r>
          </w:p>
        </w:tc>
        <w:tc>
          <w:tcPr>
            <w:tcW w:w="1122" w:type="dxa"/>
            <w:tcBorders>
              <w:top w:val="nil"/>
              <w:left w:val="nil"/>
              <w:bottom w:val="single" w:sz="8" w:space="0" w:color="auto"/>
              <w:right w:val="single" w:sz="8" w:space="0" w:color="auto"/>
            </w:tcBorders>
            <w:shd w:val="clear" w:color="000000" w:fill="FFFFFF"/>
            <w:vAlign w:val="center"/>
            <w:hideMark/>
          </w:tcPr>
          <w:p w14:paraId="5D94BE3D" w14:textId="242D1148" w:rsidR="00596B7F" w:rsidRPr="00E42B8C" w:rsidRDefault="00596B7F" w:rsidP="00596B7F">
            <w:pPr>
              <w:spacing w:after="0" w:line="240" w:lineRule="auto"/>
              <w:jc w:val="center"/>
              <w:rPr>
                <w:rFonts w:asciiTheme="minorHAnsi" w:eastAsia="Times New Roman" w:hAnsiTheme="minorHAnsi" w:cstheme="minorHAnsi"/>
                <w:color w:val="242424"/>
                <w:sz w:val="20"/>
                <w:szCs w:val="20"/>
              </w:rPr>
            </w:pPr>
            <w:r w:rsidRPr="00E42B8C">
              <w:rPr>
                <w:rFonts w:asciiTheme="minorHAnsi" w:hAnsiTheme="minorHAnsi" w:cstheme="minorHAnsi"/>
                <w:color w:val="242424"/>
                <w:sz w:val="20"/>
                <w:szCs w:val="20"/>
              </w:rPr>
              <w:t>568</w:t>
            </w:r>
          </w:p>
        </w:tc>
        <w:tc>
          <w:tcPr>
            <w:tcW w:w="1122" w:type="dxa"/>
            <w:tcBorders>
              <w:top w:val="nil"/>
              <w:left w:val="nil"/>
              <w:bottom w:val="single" w:sz="8" w:space="0" w:color="auto"/>
              <w:right w:val="single" w:sz="8" w:space="0" w:color="auto"/>
            </w:tcBorders>
            <w:shd w:val="clear" w:color="000000" w:fill="FFFFFF"/>
            <w:vAlign w:val="center"/>
            <w:hideMark/>
          </w:tcPr>
          <w:p w14:paraId="2E532592" w14:textId="4B7B56E7" w:rsidR="00596B7F" w:rsidRPr="00E42B8C" w:rsidRDefault="00596B7F" w:rsidP="00596B7F">
            <w:pPr>
              <w:spacing w:after="0" w:line="240" w:lineRule="auto"/>
              <w:jc w:val="center"/>
              <w:rPr>
                <w:rFonts w:asciiTheme="minorHAnsi" w:eastAsia="Times New Roman" w:hAnsiTheme="minorHAnsi" w:cstheme="minorHAnsi"/>
                <w:color w:val="242424"/>
                <w:sz w:val="20"/>
                <w:szCs w:val="20"/>
              </w:rPr>
            </w:pPr>
            <w:r w:rsidRPr="00E42B8C">
              <w:rPr>
                <w:rFonts w:asciiTheme="minorHAnsi" w:hAnsiTheme="minorHAnsi" w:cstheme="minorHAnsi"/>
                <w:color w:val="242424"/>
                <w:sz w:val="20"/>
                <w:szCs w:val="20"/>
              </w:rPr>
              <w:t>172</w:t>
            </w:r>
          </w:p>
        </w:tc>
      </w:tr>
      <w:tr w:rsidR="00596B7F" w:rsidRPr="00C17F27" w14:paraId="30996054" w14:textId="77777777" w:rsidTr="00994107">
        <w:trPr>
          <w:cantSplit/>
          <w:trHeight w:val="583"/>
        </w:trPr>
        <w:tc>
          <w:tcPr>
            <w:tcW w:w="1624" w:type="dxa"/>
            <w:tcBorders>
              <w:top w:val="nil"/>
              <w:left w:val="single" w:sz="8" w:space="0" w:color="auto"/>
              <w:bottom w:val="single" w:sz="8" w:space="0" w:color="auto"/>
              <w:right w:val="single" w:sz="8" w:space="0" w:color="auto"/>
            </w:tcBorders>
            <w:shd w:val="clear" w:color="000000" w:fill="FFFFFF"/>
            <w:vAlign w:val="center"/>
            <w:hideMark/>
          </w:tcPr>
          <w:p w14:paraId="762FFFE3" w14:textId="77777777" w:rsidR="00596B7F" w:rsidRPr="00E42B8C" w:rsidRDefault="00596B7F" w:rsidP="00596B7F">
            <w:pPr>
              <w:spacing w:after="0" w:line="240" w:lineRule="auto"/>
              <w:rPr>
                <w:rFonts w:asciiTheme="minorHAnsi" w:eastAsia="Times New Roman" w:hAnsiTheme="minorHAnsi" w:cstheme="minorHAnsi"/>
                <w:color w:val="242424"/>
                <w:sz w:val="20"/>
                <w:szCs w:val="20"/>
              </w:rPr>
            </w:pPr>
            <w:r w:rsidRPr="00E42B8C">
              <w:rPr>
                <w:rFonts w:asciiTheme="minorHAnsi" w:eastAsia="Times New Roman" w:hAnsiTheme="minorHAnsi" w:cstheme="minorHAnsi"/>
                <w:color w:val="242424"/>
                <w:sz w:val="20"/>
                <w:szCs w:val="20"/>
              </w:rPr>
              <w:t>Obstetrics and Gynecology</w:t>
            </w:r>
          </w:p>
        </w:tc>
        <w:tc>
          <w:tcPr>
            <w:tcW w:w="1124" w:type="dxa"/>
            <w:tcBorders>
              <w:top w:val="nil"/>
              <w:left w:val="nil"/>
              <w:bottom w:val="single" w:sz="8" w:space="0" w:color="auto"/>
              <w:right w:val="single" w:sz="8" w:space="0" w:color="auto"/>
            </w:tcBorders>
            <w:shd w:val="clear" w:color="000000" w:fill="FFFFFF"/>
            <w:vAlign w:val="center"/>
            <w:hideMark/>
          </w:tcPr>
          <w:p w14:paraId="2A78AA71" w14:textId="034FA630" w:rsidR="00596B7F" w:rsidRPr="00E42B8C" w:rsidRDefault="00596B7F" w:rsidP="00596B7F">
            <w:pPr>
              <w:spacing w:after="0" w:line="240" w:lineRule="auto"/>
              <w:jc w:val="center"/>
              <w:rPr>
                <w:rFonts w:asciiTheme="minorHAnsi" w:eastAsia="Times New Roman" w:hAnsiTheme="minorHAnsi" w:cstheme="minorHAnsi"/>
                <w:color w:val="242424"/>
                <w:sz w:val="20"/>
                <w:szCs w:val="20"/>
              </w:rPr>
            </w:pPr>
            <w:r w:rsidRPr="00E42B8C">
              <w:rPr>
                <w:rFonts w:asciiTheme="minorHAnsi" w:hAnsiTheme="minorHAnsi" w:cstheme="minorHAnsi"/>
                <w:color w:val="242424"/>
                <w:sz w:val="20"/>
                <w:szCs w:val="20"/>
              </w:rPr>
              <w:t>2,223</w:t>
            </w:r>
          </w:p>
        </w:tc>
        <w:tc>
          <w:tcPr>
            <w:tcW w:w="1124" w:type="dxa"/>
            <w:tcBorders>
              <w:top w:val="nil"/>
              <w:left w:val="nil"/>
              <w:bottom w:val="single" w:sz="8" w:space="0" w:color="auto"/>
              <w:right w:val="single" w:sz="8" w:space="0" w:color="auto"/>
            </w:tcBorders>
            <w:shd w:val="clear" w:color="000000" w:fill="FFFFFF"/>
            <w:vAlign w:val="center"/>
            <w:hideMark/>
          </w:tcPr>
          <w:p w14:paraId="722F7801" w14:textId="2578D6C5" w:rsidR="00596B7F" w:rsidRPr="00E42B8C" w:rsidRDefault="00596B7F" w:rsidP="00596B7F">
            <w:pPr>
              <w:spacing w:after="0" w:line="240" w:lineRule="auto"/>
              <w:jc w:val="center"/>
              <w:rPr>
                <w:rFonts w:asciiTheme="minorHAnsi" w:eastAsia="Times New Roman" w:hAnsiTheme="minorHAnsi" w:cstheme="minorHAnsi"/>
                <w:color w:val="242424"/>
                <w:sz w:val="20"/>
                <w:szCs w:val="20"/>
              </w:rPr>
            </w:pPr>
            <w:r w:rsidRPr="00E42B8C">
              <w:rPr>
                <w:rFonts w:asciiTheme="minorHAnsi" w:hAnsiTheme="minorHAnsi" w:cstheme="minorHAnsi"/>
                <w:color w:val="242424"/>
                <w:sz w:val="20"/>
                <w:szCs w:val="20"/>
              </w:rPr>
              <w:t>2,211</w:t>
            </w:r>
          </w:p>
        </w:tc>
        <w:tc>
          <w:tcPr>
            <w:tcW w:w="1122" w:type="dxa"/>
            <w:tcBorders>
              <w:top w:val="nil"/>
              <w:left w:val="nil"/>
              <w:bottom w:val="single" w:sz="8" w:space="0" w:color="auto"/>
              <w:right w:val="single" w:sz="8" w:space="0" w:color="auto"/>
            </w:tcBorders>
            <w:shd w:val="clear" w:color="000000" w:fill="FFFFFF"/>
            <w:vAlign w:val="center"/>
            <w:hideMark/>
          </w:tcPr>
          <w:p w14:paraId="221BBF18" w14:textId="0F4812A8" w:rsidR="00596B7F" w:rsidRPr="00E42B8C" w:rsidRDefault="00596B7F" w:rsidP="00596B7F">
            <w:pPr>
              <w:spacing w:after="0" w:line="240" w:lineRule="auto"/>
              <w:jc w:val="center"/>
              <w:rPr>
                <w:rFonts w:asciiTheme="minorHAnsi" w:eastAsia="Times New Roman" w:hAnsiTheme="minorHAnsi" w:cstheme="minorHAnsi"/>
                <w:color w:val="242424"/>
                <w:sz w:val="20"/>
                <w:szCs w:val="20"/>
              </w:rPr>
            </w:pPr>
            <w:r w:rsidRPr="00E42B8C">
              <w:rPr>
                <w:rFonts w:asciiTheme="minorHAnsi" w:hAnsiTheme="minorHAnsi" w:cstheme="minorHAnsi"/>
                <w:color w:val="242424"/>
                <w:sz w:val="20"/>
                <w:szCs w:val="20"/>
              </w:rPr>
              <w:t>1713</w:t>
            </w:r>
          </w:p>
        </w:tc>
        <w:tc>
          <w:tcPr>
            <w:tcW w:w="1122" w:type="dxa"/>
            <w:tcBorders>
              <w:top w:val="nil"/>
              <w:left w:val="nil"/>
              <w:bottom w:val="single" w:sz="8" w:space="0" w:color="auto"/>
              <w:right w:val="single" w:sz="8" w:space="0" w:color="auto"/>
            </w:tcBorders>
            <w:shd w:val="clear" w:color="000000" w:fill="FFFFFF"/>
            <w:vAlign w:val="center"/>
            <w:hideMark/>
          </w:tcPr>
          <w:p w14:paraId="1D7EB198" w14:textId="38F1BB2F" w:rsidR="00596B7F" w:rsidRPr="00E42B8C" w:rsidRDefault="00596B7F" w:rsidP="00596B7F">
            <w:pPr>
              <w:spacing w:after="0" w:line="240" w:lineRule="auto"/>
              <w:jc w:val="center"/>
              <w:rPr>
                <w:rFonts w:asciiTheme="minorHAnsi" w:eastAsia="Times New Roman" w:hAnsiTheme="minorHAnsi" w:cstheme="minorHAnsi"/>
                <w:color w:val="242424"/>
                <w:sz w:val="20"/>
                <w:szCs w:val="20"/>
              </w:rPr>
            </w:pPr>
            <w:r w:rsidRPr="00E42B8C">
              <w:rPr>
                <w:rFonts w:asciiTheme="minorHAnsi" w:hAnsiTheme="minorHAnsi" w:cstheme="minorHAnsi"/>
                <w:color w:val="242424"/>
                <w:sz w:val="20"/>
                <w:szCs w:val="20"/>
              </w:rPr>
              <w:t>1,899</w:t>
            </w:r>
          </w:p>
        </w:tc>
        <w:tc>
          <w:tcPr>
            <w:tcW w:w="1122" w:type="dxa"/>
            <w:tcBorders>
              <w:top w:val="nil"/>
              <w:left w:val="nil"/>
              <w:bottom w:val="single" w:sz="8" w:space="0" w:color="auto"/>
              <w:right w:val="single" w:sz="8" w:space="0" w:color="auto"/>
            </w:tcBorders>
            <w:shd w:val="clear" w:color="000000" w:fill="FFFFFF"/>
            <w:vAlign w:val="center"/>
            <w:hideMark/>
          </w:tcPr>
          <w:p w14:paraId="206FDEB3" w14:textId="18391CE1" w:rsidR="00596B7F" w:rsidRPr="00E42B8C" w:rsidRDefault="00596B7F" w:rsidP="00596B7F">
            <w:pPr>
              <w:spacing w:after="0" w:line="240" w:lineRule="auto"/>
              <w:jc w:val="center"/>
              <w:rPr>
                <w:rFonts w:asciiTheme="minorHAnsi" w:eastAsia="Times New Roman" w:hAnsiTheme="minorHAnsi" w:cstheme="minorHAnsi"/>
                <w:color w:val="242424"/>
                <w:sz w:val="20"/>
                <w:szCs w:val="20"/>
              </w:rPr>
            </w:pPr>
            <w:r w:rsidRPr="00E42B8C">
              <w:rPr>
                <w:rFonts w:asciiTheme="minorHAnsi" w:hAnsiTheme="minorHAnsi" w:cstheme="minorHAnsi"/>
                <w:color w:val="242424"/>
                <w:sz w:val="20"/>
                <w:szCs w:val="20"/>
              </w:rPr>
              <w:t>2,153</w:t>
            </w:r>
          </w:p>
        </w:tc>
        <w:tc>
          <w:tcPr>
            <w:tcW w:w="1122" w:type="dxa"/>
            <w:tcBorders>
              <w:top w:val="nil"/>
              <w:left w:val="nil"/>
              <w:bottom w:val="single" w:sz="8" w:space="0" w:color="auto"/>
              <w:right w:val="single" w:sz="8" w:space="0" w:color="auto"/>
            </w:tcBorders>
            <w:shd w:val="clear" w:color="000000" w:fill="FFFFFF"/>
            <w:vAlign w:val="center"/>
            <w:hideMark/>
          </w:tcPr>
          <w:p w14:paraId="7EBF41A1" w14:textId="735F333E" w:rsidR="00596B7F" w:rsidRPr="00E42B8C" w:rsidRDefault="00596B7F" w:rsidP="00596B7F">
            <w:pPr>
              <w:spacing w:after="0" w:line="240" w:lineRule="auto"/>
              <w:jc w:val="center"/>
              <w:rPr>
                <w:rFonts w:asciiTheme="minorHAnsi" w:eastAsia="Times New Roman" w:hAnsiTheme="minorHAnsi" w:cstheme="minorHAnsi"/>
                <w:color w:val="242424"/>
                <w:sz w:val="20"/>
                <w:szCs w:val="20"/>
              </w:rPr>
            </w:pPr>
            <w:r w:rsidRPr="00E42B8C">
              <w:rPr>
                <w:rFonts w:asciiTheme="minorHAnsi" w:hAnsiTheme="minorHAnsi" w:cstheme="minorHAnsi"/>
                <w:color w:val="242424"/>
                <w:sz w:val="20"/>
                <w:szCs w:val="20"/>
              </w:rPr>
              <w:t>2,218</w:t>
            </w:r>
          </w:p>
        </w:tc>
        <w:tc>
          <w:tcPr>
            <w:tcW w:w="1122" w:type="dxa"/>
            <w:tcBorders>
              <w:top w:val="nil"/>
              <w:left w:val="nil"/>
              <w:bottom w:val="single" w:sz="8" w:space="0" w:color="auto"/>
              <w:right w:val="single" w:sz="8" w:space="0" w:color="auto"/>
            </w:tcBorders>
            <w:shd w:val="clear" w:color="000000" w:fill="FFFFFF"/>
            <w:vAlign w:val="center"/>
            <w:hideMark/>
          </w:tcPr>
          <w:p w14:paraId="0A45BE12" w14:textId="2A05DC87" w:rsidR="00596B7F" w:rsidRPr="00E42B8C" w:rsidRDefault="00596B7F" w:rsidP="00596B7F">
            <w:pPr>
              <w:spacing w:after="0" w:line="240" w:lineRule="auto"/>
              <w:jc w:val="center"/>
              <w:rPr>
                <w:rFonts w:asciiTheme="minorHAnsi" w:eastAsia="Times New Roman" w:hAnsiTheme="minorHAnsi" w:cstheme="minorHAnsi"/>
                <w:color w:val="242424"/>
                <w:sz w:val="20"/>
                <w:szCs w:val="20"/>
              </w:rPr>
            </w:pPr>
            <w:r w:rsidRPr="00E42B8C">
              <w:rPr>
                <w:rFonts w:asciiTheme="minorHAnsi" w:hAnsiTheme="minorHAnsi" w:cstheme="minorHAnsi"/>
                <w:color w:val="242424"/>
                <w:sz w:val="20"/>
                <w:szCs w:val="20"/>
              </w:rPr>
              <w:t>591</w:t>
            </w:r>
          </w:p>
        </w:tc>
      </w:tr>
      <w:tr w:rsidR="00596B7F" w:rsidRPr="00C17F27" w14:paraId="3265D877" w14:textId="77777777" w:rsidTr="00994107">
        <w:trPr>
          <w:cantSplit/>
          <w:trHeight w:val="182"/>
        </w:trPr>
        <w:tc>
          <w:tcPr>
            <w:tcW w:w="1624" w:type="dxa"/>
            <w:tcBorders>
              <w:top w:val="nil"/>
              <w:left w:val="single" w:sz="8" w:space="0" w:color="auto"/>
              <w:bottom w:val="single" w:sz="8" w:space="0" w:color="auto"/>
              <w:right w:val="single" w:sz="8" w:space="0" w:color="auto"/>
            </w:tcBorders>
            <w:shd w:val="clear" w:color="000000" w:fill="FFFFFF"/>
            <w:vAlign w:val="center"/>
            <w:hideMark/>
          </w:tcPr>
          <w:p w14:paraId="07113B4E" w14:textId="77777777" w:rsidR="00596B7F" w:rsidRPr="00E42B8C" w:rsidRDefault="00596B7F" w:rsidP="00596B7F">
            <w:pPr>
              <w:spacing w:after="0" w:line="240" w:lineRule="auto"/>
              <w:rPr>
                <w:rFonts w:asciiTheme="minorHAnsi" w:eastAsia="Times New Roman" w:hAnsiTheme="minorHAnsi" w:cstheme="minorHAnsi"/>
                <w:b/>
                <w:bCs/>
                <w:color w:val="242424"/>
                <w:sz w:val="20"/>
                <w:szCs w:val="20"/>
              </w:rPr>
            </w:pPr>
            <w:r w:rsidRPr="00E42B8C">
              <w:rPr>
                <w:rFonts w:asciiTheme="minorHAnsi" w:eastAsia="Times New Roman" w:hAnsiTheme="minorHAnsi" w:cstheme="minorHAnsi"/>
                <w:b/>
                <w:bCs/>
                <w:color w:val="242424"/>
                <w:sz w:val="20"/>
                <w:szCs w:val="20"/>
              </w:rPr>
              <w:t>Total</w:t>
            </w:r>
          </w:p>
        </w:tc>
        <w:tc>
          <w:tcPr>
            <w:tcW w:w="1124" w:type="dxa"/>
            <w:tcBorders>
              <w:top w:val="nil"/>
              <w:left w:val="nil"/>
              <w:bottom w:val="single" w:sz="8" w:space="0" w:color="auto"/>
              <w:right w:val="single" w:sz="8" w:space="0" w:color="auto"/>
            </w:tcBorders>
            <w:shd w:val="clear" w:color="000000" w:fill="FFFFFF"/>
            <w:vAlign w:val="center"/>
            <w:hideMark/>
          </w:tcPr>
          <w:p w14:paraId="3B1CC912" w14:textId="51A178C5" w:rsidR="00596B7F" w:rsidRPr="00E42B8C" w:rsidRDefault="00596B7F" w:rsidP="00596B7F">
            <w:pPr>
              <w:spacing w:after="0" w:line="240" w:lineRule="auto"/>
              <w:jc w:val="center"/>
              <w:rPr>
                <w:rFonts w:asciiTheme="minorHAnsi" w:eastAsia="Times New Roman" w:hAnsiTheme="minorHAnsi" w:cstheme="minorHAnsi"/>
                <w:b/>
                <w:bCs/>
                <w:color w:val="242424"/>
                <w:sz w:val="20"/>
                <w:szCs w:val="20"/>
              </w:rPr>
            </w:pPr>
            <w:r w:rsidRPr="00E42B8C">
              <w:rPr>
                <w:rFonts w:asciiTheme="minorHAnsi" w:hAnsiTheme="minorHAnsi" w:cstheme="minorHAnsi"/>
                <w:b/>
                <w:bCs/>
                <w:color w:val="242424"/>
                <w:sz w:val="20"/>
                <w:szCs w:val="20"/>
              </w:rPr>
              <w:t>17,298</w:t>
            </w:r>
          </w:p>
        </w:tc>
        <w:tc>
          <w:tcPr>
            <w:tcW w:w="1124" w:type="dxa"/>
            <w:tcBorders>
              <w:top w:val="nil"/>
              <w:left w:val="nil"/>
              <w:bottom w:val="single" w:sz="8" w:space="0" w:color="auto"/>
              <w:right w:val="single" w:sz="8" w:space="0" w:color="auto"/>
            </w:tcBorders>
            <w:shd w:val="clear" w:color="000000" w:fill="FFFFFF"/>
            <w:vAlign w:val="center"/>
            <w:hideMark/>
          </w:tcPr>
          <w:p w14:paraId="5A5A980C" w14:textId="19367FBD" w:rsidR="00596B7F" w:rsidRPr="00E42B8C" w:rsidRDefault="00596B7F" w:rsidP="00596B7F">
            <w:pPr>
              <w:spacing w:after="0" w:line="240" w:lineRule="auto"/>
              <w:jc w:val="center"/>
              <w:rPr>
                <w:rFonts w:asciiTheme="minorHAnsi" w:eastAsia="Times New Roman" w:hAnsiTheme="minorHAnsi" w:cstheme="minorHAnsi"/>
                <w:b/>
                <w:bCs/>
                <w:color w:val="242424"/>
                <w:sz w:val="20"/>
                <w:szCs w:val="20"/>
              </w:rPr>
            </w:pPr>
            <w:r w:rsidRPr="00E42B8C">
              <w:rPr>
                <w:rFonts w:asciiTheme="minorHAnsi" w:hAnsiTheme="minorHAnsi" w:cstheme="minorHAnsi"/>
                <w:b/>
                <w:bCs/>
                <w:color w:val="242424"/>
                <w:sz w:val="20"/>
                <w:szCs w:val="20"/>
              </w:rPr>
              <w:t>16,692</w:t>
            </w:r>
          </w:p>
        </w:tc>
        <w:tc>
          <w:tcPr>
            <w:tcW w:w="1122" w:type="dxa"/>
            <w:tcBorders>
              <w:top w:val="nil"/>
              <w:left w:val="nil"/>
              <w:bottom w:val="single" w:sz="8" w:space="0" w:color="auto"/>
              <w:right w:val="single" w:sz="8" w:space="0" w:color="auto"/>
            </w:tcBorders>
            <w:shd w:val="clear" w:color="000000" w:fill="FFFFFF"/>
            <w:vAlign w:val="center"/>
            <w:hideMark/>
          </w:tcPr>
          <w:p w14:paraId="6087DC66" w14:textId="5C9FE4E3" w:rsidR="00596B7F" w:rsidRPr="00E42B8C" w:rsidRDefault="00596B7F" w:rsidP="00596B7F">
            <w:pPr>
              <w:spacing w:after="0" w:line="240" w:lineRule="auto"/>
              <w:jc w:val="center"/>
              <w:rPr>
                <w:rFonts w:asciiTheme="minorHAnsi" w:eastAsia="Times New Roman" w:hAnsiTheme="minorHAnsi" w:cstheme="minorHAnsi"/>
                <w:b/>
                <w:bCs/>
                <w:color w:val="242424"/>
                <w:sz w:val="20"/>
                <w:szCs w:val="20"/>
              </w:rPr>
            </w:pPr>
            <w:r w:rsidRPr="00E42B8C">
              <w:rPr>
                <w:rFonts w:asciiTheme="minorHAnsi" w:hAnsiTheme="minorHAnsi" w:cstheme="minorHAnsi"/>
                <w:b/>
                <w:bCs/>
                <w:color w:val="242424"/>
                <w:sz w:val="20"/>
                <w:szCs w:val="20"/>
              </w:rPr>
              <w:t>13,324</w:t>
            </w:r>
          </w:p>
        </w:tc>
        <w:tc>
          <w:tcPr>
            <w:tcW w:w="1122" w:type="dxa"/>
            <w:tcBorders>
              <w:top w:val="nil"/>
              <w:left w:val="nil"/>
              <w:bottom w:val="single" w:sz="8" w:space="0" w:color="auto"/>
              <w:right w:val="single" w:sz="8" w:space="0" w:color="auto"/>
            </w:tcBorders>
            <w:shd w:val="clear" w:color="000000" w:fill="FFFFFF"/>
            <w:vAlign w:val="center"/>
            <w:hideMark/>
          </w:tcPr>
          <w:p w14:paraId="571F1F4D" w14:textId="54FEDD52" w:rsidR="00596B7F" w:rsidRPr="00E42B8C" w:rsidRDefault="00596B7F" w:rsidP="00596B7F">
            <w:pPr>
              <w:spacing w:after="0" w:line="240" w:lineRule="auto"/>
              <w:jc w:val="center"/>
              <w:rPr>
                <w:rFonts w:asciiTheme="minorHAnsi" w:eastAsia="Times New Roman" w:hAnsiTheme="minorHAnsi" w:cstheme="minorHAnsi"/>
                <w:b/>
                <w:bCs/>
                <w:color w:val="242424"/>
                <w:sz w:val="20"/>
                <w:szCs w:val="20"/>
              </w:rPr>
            </w:pPr>
            <w:r w:rsidRPr="00E42B8C">
              <w:rPr>
                <w:rFonts w:asciiTheme="minorHAnsi" w:hAnsiTheme="minorHAnsi" w:cstheme="minorHAnsi"/>
                <w:b/>
                <w:bCs/>
                <w:color w:val="242424"/>
                <w:sz w:val="20"/>
                <w:szCs w:val="20"/>
              </w:rPr>
              <w:t>14,015</w:t>
            </w:r>
          </w:p>
        </w:tc>
        <w:tc>
          <w:tcPr>
            <w:tcW w:w="1122" w:type="dxa"/>
            <w:tcBorders>
              <w:top w:val="nil"/>
              <w:left w:val="nil"/>
              <w:bottom w:val="single" w:sz="8" w:space="0" w:color="auto"/>
              <w:right w:val="single" w:sz="8" w:space="0" w:color="auto"/>
            </w:tcBorders>
            <w:shd w:val="clear" w:color="000000" w:fill="FFFFFF"/>
            <w:vAlign w:val="center"/>
            <w:hideMark/>
          </w:tcPr>
          <w:p w14:paraId="6000BC8A" w14:textId="77F3A031" w:rsidR="00596B7F" w:rsidRPr="00E42B8C" w:rsidRDefault="00596B7F" w:rsidP="00596B7F">
            <w:pPr>
              <w:spacing w:after="0" w:line="240" w:lineRule="auto"/>
              <w:jc w:val="center"/>
              <w:rPr>
                <w:rFonts w:asciiTheme="minorHAnsi" w:eastAsia="Times New Roman" w:hAnsiTheme="minorHAnsi" w:cstheme="minorHAnsi"/>
                <w:b/>
                <w:bCs/>
                <w:color w:val="242424"/>
                <w:sz w:val="20"/>
                <w:szCs w:val="20"/>
              </w:rPr>
            </w:pPr>
            <w:r w:rsidRPr="00E42B8C">
              <w:rPr>
                <w:rFonts w:asciiTheme="minorHAnsi" w:hAnsiTheme="minorHAnsi" w:cstheme="minorHAnsi"/>
                <w:b/>
                <w:bCs/>
                <w:color w:val="242424"/>
                <w:sz w:val="20"/>
                <w:szCs w:val="20"/>
              </w:rPr>
              <w:t>15,469</w:t>
            </w:r>
          </w:p>
        </w:tc>
        <w:tc>
          <w:tcPr>
            <w:tcW w:w="1122" w:type="dxa"/>
            <w:tcBorders>
              <w:top w:val="nil"/>
              <w:left w:val="nil"/>
              <w:bottom w:val="single" w:sz="8" w:space="0" w:color="auto"/>
              <w:right w:val="single" w:sz="8" w:space="0" w:color="auto"/>
            </w:tcBorders>
            <w:shd w:val="clear" w:color="000000" w:fill="FFFFFF"/>
            <w:vAlign w:val="center"/>
            <w:hideMark/>
          </w:tcPr>
          <w:p w14:paraId="174DE5BC" w14:textId="5E62F8B8" w:rsidR="00596B7F" w:rsidRPr="00E42B8C" w:rsidRDefault="00596B7F" w:rsidP="00596B7F">
            <w:pPr>
              <w:spacing w:after="0" w:line="240" w:lineRule="auto"/>
              <w:jc w:val="center"/>
              <w:rPr>
                <w:rFonts w:asciiTheme="minorHAnsi" w:eastAsia="Times New Roman" w:hAnsiTheme="minorHAnsi" w:cstheme="minorHAnsi"/>
                <w:b/>
                <w:bCs/>
                <w:color w:val="242424"/>
                <w:sz w:val="20"/>
                <w:szCs w:val="20"/>
              </w:rPr>
            </w:pPr>
            <w:r w:rsidRPr="00E42B8C">
              <w:rPr>
                <w:rFonts w:asciiTheme="minorHAnsi" w:hAnsiTheme="minorHAnsi" w:cstheme="minorHAnsi"/>
                <w:b/>
                <w:bCs/>
                <w:color w:val="242424"/>
                <w:sz w:val="20"/>
                <w:szCs w:val="20"/>
              </w:rPr>
              <w:t>16,239</w:t>
            </w:r>
          </w:p>
        </w:tc>
        <w:tc>
          <w:tcPr>
            <w:tcW w:w="1122" w:type="dxa"/>
            <w:tcBorders>
              <w:top w:val="nil"/>
              <w:left w:val="nil"/>
              <w:bottom w:val="single" w:sz="8" w:space="0" w:color="auto"/>
              <w:right w:val="single" w:sz="8" w:space="0" w:color="auto"/>
            </w:tcBorders>
            <w:shd w:val="clear" w:color="000000" w:fill="FFFFFF"/>
            <w:vAlign w:val="center"/>
            <w:hideMark/>
          </w:tcPr>
          <w:p w14:paraId="22730A7B" w14:textId="2D1865D8" w:rsidR="00596B7F" w:rsidRPr="00E42B8C" w:rsidRDefault="00596B7F" w:rsidP="00596B7F">
            <w:pPr>
              <w:spacing w:after="0" w:line="240" w:lineRule="auto"/>
              <w:jc w:val="center"/>
              <w:rPr>
                <w:rFonts w:asciiTheme="minorHAnsi" w:eastAsia="Times New Roman" w:hAnsiTheme="minorHAnsi" w:cstheme="minorHAnsi"/>
                <w:b/>
                <w:bCs/>
                <w:color w:val="242424"/>
                <w:sz w:val="20"/>
                <w:szCs w:val="20"/>
              </w:rPr>
            </w:pPr>
            <w:r w:rsidRPr="00E42B8C">
              <w:rPr>
                <w:rFonts w:asciiTheme="minorHAnsi" w:hAnsiTheme="minorHAnsi" w:cstheme="minorHAnsi"/>
                <w:b/>
                <w:bCs/>
                <w:color w:val="242424"/>
                <w:sz w:val="20"/>
                <w:szCs w:val="20"/>
              </w:rPr>
              <w:t>4,420</w:t>
            </w:r>
          </w:p>
        </w:tc>
      </w:tr>
    </w:tbl>
    <w:p w14:paraId="268BC927" w14:textId="12FCE215" w:rsidR="00F20199" w:rsidRDefault="00B97474" w:rsidP="00B97474">
      <w:pPr>
        <w:jc w:val="center"/>
        <w:rPr>
          <w:rFonts w:asciiTheme="minorHAnsi" w:hAnsiTheme="minorHAnsi" w:cstheme="minorHAnsi"/>
          <w:b/>
          <w:bCs/>
          <w:szCs w:val="24"/>
        </w:rPr>
      </w:pPr>
      <w:r w:rsidRPr="00C41EEC">
        <w:rPr>
          <w:rFonts w:asciiTheme="minorHAnsi" w:hAnsiTheme="minorHAnsi" w:cstheme="minorHAnsi"/>
          <w:b/>
          <w:bCs/>
          <w:szCs w:val="24"/>
        </w:rPr>
        <w:t>Table 8.</w:t>
      </w:r>
      <w:r>
        <w:rPr>
          <w:rFonts w:asciiTheme="minorHAnsi" w:hAnsiTheme="minorHAnsi" w:cstheme="minorHAnsi"/>
          <w:b/>
          <w:bCs/>
          <w:szCs w:val="24"/>
        </w:rPr>
        <w:t xml:space="preserve"> Location of Surgical Cases</w:t>
      </w:r>
      <w:r w:rsidR="0028658C">
        <w:rPr>
          <w:rStyle w:val="FootnoteReference"/>
          <w:rFonts w:asciiTheme="minorHAnsi" w:hAnsiTheme="minorHAnsi" w:cstheme="minorHAnsi"/>
          <w:b/>
          <w:bCs/>
          <w:szCs w:val="24"/>
        </w:rPr>
        <w:footnoteReference w:id="43"/>
      </w:r>
    </w:p>
    <w:tbl>
      <w:tblPr>
        <w:tblW w:w="9547" w:type="dxa"/>
        <w:tblLook w:val="04A0" w:firstRow="1" w:lastRow="0" w:firstColumn="1" w:lastColumn="0" w:noHBand="0" w:noVBand="1"/>
      </w:tblPr>
      <w:tblGrid>
        <w:gridCol w:w="1615"/>
        <w:gridCol w:w="1170"/>
        <w:gridCol w:w="1080"/>
        <w:gridCol w:w="1170"/>
        <w:gridCol w:w="1080"/>
        <w:gridCol w:w="1170"/>
        <w:gridCol w:w="1234"/>
        <w:gridCol w:w="1028"/>
      </w:tblGrid>
      <w:tr w:rsidR="00C41EEC" w:rsidRPr="00B97474" w14:paraId="54509B79" w14:textId="77777777" w:rsidTr="00994107">
        <w:trPr>
          <w:cantSplit/>
          <w:trHeight w:val="587"/>
          <w:tblHeader/>
        </w:trPr>
        <w:tc>
          <w:tcPr>
            <w:tcW w:w="161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9B2C3F8" w14:textId="77777777" w:rsidR="00B97474" w:rsidRPr="00E42B8C" w:rsidRDefault="00B97474" w:rsidP="00B97474">
            <w:pPr>
              <w:spacing w:after="0" w:line="240" w:lineRule="auto"/>
              <w:rPr>
                <w:rFonts w:ascii="Calibri" w:eastAsia="Times New Roman" w:hAnsi="Calibri" w:cs="Calibri"/>
                <w:b/>
                <w:bCs/>
                <w:color w:val="242424"/>
                <w:sz w:val="20"/>
                <w:szCs w:val="20"/>
              </w:rPr>
            </w:pPr>
            <w:r w:rsidRPr="00E42B8C">
              <w:rPr>
                <w:rFonts w:ascii="Calibri" w:eastAsia="Times New Roman" w:hAnsi="Calibri" w:cs="Calibri"/>
                <w:b/>
                <w:bCs/>
                <w:color w:val="242424"/>
                <w:sz w:val="20"/>
                <w:szCs w:val="20"/>
              </w:rPr>
              <w:t xml:space="preserve">Location of surgical cases </w:t>
            </w:r>
          </w:p>
        </w:tc>
        <w:tc>
          <w:tcPr>
            <w:tcW w:w="1170"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2A14C3C8" w14:textId="77777777" w:rsidR="00B97474" w:rsidRPr="00E42B8C" w:rsidRDefault="00B97474" w:rsidP="00596B7F">
            <w:pPr>
              <w:spacing w:after="0" w:line="240" w:lineRule="auto"/>
              <w:jc w:val="center"/>
              <w:rPr>
                <w:rFonts w:ascii="Calibri" w:eastAsia="Times New Roman" w:hAnsi="Calibri" w:cs="Calibri"/>
                <w:b/>
                <w:bCs/>
                <w:color w:val="000000"/>
                <w:sz w:val="20"/>
                <w:szCs w:val="20"/>
              </w:rPr>
            </w:pPr>
            <w:r w:rsidRPr="00E42B8C">
              <w:rPr>
                <w:rFonts w:ascii="Calibri" w:eastAsia="Times New Roman" w:hAnsi="Calibri" w:cs="Calibri"/>
                <w:b/>
                <w:bCs/>
                <w:color w:val="000000"/>
                <w:sz w:val="20"/>
                <w:szCs w:val="20"/>
              </w:rPr>
              <w:t>CY 2018</w:t>
            </w:r>
          </w:p>
        </w:tc>
        <w:tc>
          <w:tcPr>
            <w:tcW w:w="1080"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79A79C74" w14:textId="77777777" w:rsidR="00B97474" w:rsidRPr="00E42B8C" w:rsidRDefault="00B97474" w:rsidP="00596B7F">
            <w:pPr>
              <w:spacing w:after="0" w:line="240" w:lineRule="auto"/>
              <w:jc w:val="center"/>
              <w:rPr>
                <w:rFonts w:ascii="Calibri" w:eastAsia="Times New Roman" w:hAnsi="Calibri" w:cs="Calibri"/>
                <w:b/>
                <w:bCs/>
                <w:color w:val="000000"/>
                <w:sz w:val="20"/>
                <w:szCs w:val="20"/>
              </w:rPr>
            </w:pPr>
            <w:r w:rsidRPr="00E42B8C">
              <w:rPr>
                <w:rFonts w:ascii="Calibri" w:eastAsia="Times New Roman" w:hAnsi="Calibri" w:cs="Calibri"/>
                <w:b/>
                <w:bCs/>
                <w:color w:val="000000"/>
                <w:sz w:val="20"/>
                <w:szCs w:val="20"/>
              </w:rPr>
              <w:t>CY 2019</w:t>
            </w:r>
          </w:p>
        </w:tc>
        <w:tc>
          <w:tcPr>
            <w:tcW w:w="1170"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2E2A1550" w14:textId="77777777" w:rsidR="00B97474" w:rsidRPr="00E42B8C" w:rsidRDefault="00B97474" w:rsidP="00596B7F">
            <w:pPr>
              <w:spacing w:after="0" w:line="240" w:lineRule="auto"/>
              <w:jc w:val="center"/>
              <w:rPr>
                <w:rFonts w:ascii="Calibri" w:eastAsia="Times New Roman" w:hAnsi="Calibri" w:cs="Calibri"/>
                <w:b/>
                <w:bCs/>
                <w:color w:val="000000"/>
                <w:sz w:val="20"/>
                <w:szCs w:val="20"/>
              </w:rPr>
            </w:pPr>
            <w:r w:rsidRPr="00E42B8C">
              <w:rPr>
                <w:rFonts w:ascii="Calibri" w:eastAsia="Times New Roman" w:hAnsi="Calibri" w:cs="Calibri"/>
                <w:b/>
                <w:bCs/>
                <w:color w:val="000000"/>
                <w:sz w:val="20"/>
                <w:szCs w:val="20"/>
              </w:rPr>
              <w:t>CY 2020</w:t>
            </w:r>
          </w:p>
        </w:tc>
        <w:tc>
          <w:tcPr>
            <w:tcW w:w="1080"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1F806B9E" w14:textId="77777777" w:rsidR="00B97474" w:rsidRPr="00E42B8C" w:rsidRDefault="00B97474" w:rsidP="00596B7F">
            <w:pPr>
              <w:spacing w:after="0" w:line="240" w:lineRule="auto"/>
              <w:jc w:val="center"/>
              <w:rPr>
                <w:rFonts w:ascii="Calibri" w:eastAsia="Times New Roman" w:hAnsi="Calibri" w:cs="Calibri"/>
                <w:b/>
                <w:bCs/>
                <w:color w:val="000000"/>
                <w:sz w:val="20"/>
                <w:szCs w:val="20"/>
              </w:rPr>
            </w:pPr>
            <w:r w:rsidRPr="00E42B8C">
              <w:rPr>
                <w:rFonts w:ascii="Calibri" w:eastAsia="Times New Roman" w:hAnsi="Calibri" w:cs="Calibri"/>
                <w:b/>
                <w:bCs/>
                <w:color w:val="000000"/>
                <w:sz w:val="20"/>
                <w:szCs w:val="20"/>
              </w:rPr>
              <w:t>CY 2021</w:t>
            </w:r>
          </w:p>
        </w:tc>
        <w:tc>
          <w:tcPr>
            <w:tcW w:w="1170"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1CAD3FCD" w14:textId="77777777" w:rsidR="00B97474" w:rsidRPr="00E42B8C" w:rsidRDefault="00B97474" w:rsidP="00596B7F">
            <w:pPr>
              <w:spacing w:after="0" w:line="240" w:lineRule="auto"/>
              <w:jc w:val="center"/>
              <w:rPr>
                <w:rFonts w:ascii="Calibri" w:eastAsia="Times New Roman" w:hAnsi="Calibri" w:cs="Calibri"/>
                <w:b/>
                <w:bCs/>
                <w:color w:val="000000"/>
                <w:sz w:val="20"/>
                <w:szCs w:val="20"/>
              </w:rPr>
            </w:pPr>
            <w:r w:rsidRPr="00E42B8C">
              <w:rPr>
                <w:rFonts w:ascii="Calibri" w:eastAsia="Times New Roman" w:hAnsi="Calibri" w:cs="Calibri"/>
                <w:b/>
                <w:bCs/>
                <w:color w:val="000000"/>
                <w:sz w:val="20"/>
                <w:szCs w:val="20"/>
              </w:rPr>
              <w:t>CY 2022</w:t>
            </w:r>
          </w:p>
        </w:tc>
        <w:tc>
          <w:tcPr>
            <w:tcW w:w="1234"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3D75662D" w14:textId="77777777" w:rsidR="00B97474" w:rsidRPr="00E42B8C" w:rsidRDefault="00B97474" w:rsidP="00596B7F">
            <w:pPr>
              <w:spacing w:after="0" w:line="240" w:lineRule="auto"/>
              <w:jc w:val="center"/>
              <w:rPr>
                <w:rFonts w:ascii="Calibri" w:eastAsia="Times New Roman" w:hAnsi="Calibri" w:cs="Calibri"/>
                <w:b/>
                <w:bCs/>
                <w:color w:val="000000"/>
                <w:sz w:val="20"/>
                <w:szCs w:val="20"/>
              </w:rPr>
            </w:pPr>
            <w:r w:rsidRPr="00E42B8C">
              <w:rPr>
                <w:rFonts w:ascii="Calibri" w:eastAsia="Times New Roman" w:hAnsi="Calibri" w:cs="Calibri"/>
                <w:b/>
                <w:bCs/>
                <w:color w:val="000000"/>
                <w:sz w:val="20"/>
                <w:szCs w:val="20"/>
              </w:rPr>
              <w:t>CY 2023</w:t>
            </w:r>
          </w:p>
        </w:tc>
        <w:tc>
          <w:tcPr>
            <w:tcW w:w="1028"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14:paraId="5BDDA9DB" w14:textId="77777777" w:rsidR="00B97474" w:rsidRPr="00E42B8C" w:rsidRDefault="00B97474" w:rsidP="00596B7F">
            <w:pPr>
              <w:spacing w:after="0" w:line="240" w:lineRule="auto"/>
              <w:jc w:val="center"/>
              <w:rPr>
                <w:rFonts w:ascii="Calibri" w:eastAsia="Times New Roman" w:hAnsi="Calibri" w:cs="Calibri"/>
                <w:b/>
                <w:bCs/>
                <w:color w:val="000000"/>
                <w:sz w:val="20"/>
                <w:szCs w:val="20"/>
              </w:rPr>
            </w:pPr>
            <w:r w:rsidRPr="00E42B8C">
              <w:rPr>
                <w:rFonts w:ascii="Calibri" w:eastAsia="Times New Roman" w:hAnsi="Calibri" w:cs="Calibri"/>
                <w:b/>
                <w:bCs/>
                <w:color w:val="000000"/>
                <w:sz w:val="20"/>
                <w:szCs w:val="20"/>
              </w:rPr>
              <w:t>Jan-Mar 2024</w:t>
            </w:r>
          </w:p>
        </w:tc>
      </w:tr>
      <w:tr w:rsidR="00596B7F" w:rsidRPr="00B97474" w14:paraId="7343C510" w14:textId="77777777" w:rsidTr="00994107">
        <w:trPr>
          <w:cantSplit/>
          <w:trHeight w:val="293"/>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23D7BD35" w14:textId="77777777" w:rsidR="00596B7F" w:rsidRPr="00E42B8C" w:rsidRDefault="00596B7F" w:rsidP="00596B7F">
            <w:pPr>
              <w:spacing w:after="0" w:line="240" w:lineRule="auto"/>
              <w:rPr>
                <w:rFonts w:ascii="Calibri" w:eastAsia="Times New Roman" w:hAnsi="Calibri" w:cs="Calibri"/>
                <w:color w:val="000000"/>
                <w:sz w:val="20"/>
                <w:szCs w:val="20"/>
              </w:rPr>
            </w:pPr>
            <w:r w:rsidRPr="00E42B8C">
              <w:rPr>
                <w:rFonts w:ascii="Calibri" w:eastAsia="Times New Roman" w:hAnsi="Calibri" w:cs="Calibri"/>
                <w:color w:val="000000"/>
                <w:sz w:val="20"/>
                <w:szCs w:val="20"/>
              </w:rPr>
              <w:t>ASC</w:t>
            </w:r>
          </w:p>
        </w:tc>
        <w:tc>
          <w:tcPr>
            <w:tcW w:w="1170" w:type="dxa"/>
            <w:tcBorders>
              <w:top w:val="nil"/>
              <w:left w:val="nil"/>
              <w:bottom w:val="single" w:sz="4" w:space="0" w:color="auto"/>
              <w:right w:val="single" w:sz="4" w:space="0" w:color="auto"/>
            </w:tcBorders>
            <w:shd w:val="clear" w:color="auto" w:fill="auto"/>
            <w:noWrap/>
            <w:vAlign w:val="bottom"/>
            <w:hideMark/>
          </w:tcPr>
          <w:p w14:paraId="2682547A" w14:textId="6F31AB22" w:rsidR="00596B7F" w:rsidRPr="00E42B8C" w:rsidRDefault="00596B7F" w:rsidP="00596B7F">
            <w:pPr>
              <w:spacing w:after="0" w:line="240" w:lineRule="auto"/>
              <w:jc w:val="center"/>
              <w:rPr>
                <w:rFonts w:ascii="Calibri" w:eastAsia="Times New Roman" w:hAnsi="Calibri" w:cs="Calibri"/>
                <w:color w:val="000000"/>
                <w:sz w:val="20"/>
                <w:szCs w:val="20"/>
              </w:rPr>
            </w:pPr>
            <w:r w:rsidRPr="00E42B8C">
              <w:rPr>
                <w:rFonts w:ascii="Calibri" w:hAnsi="Calibri" w:cs="Calibri"/>
                <w:color w:val="000000"/>
                <w:sz w:val="20"/>
                <w:szCs w:val="20"/>
              </w:rPr>
              <w:t>974</w:t>
            </w:r>
          </w:p>
        </w:tc>
        <w:tc>
          <w:tcPr>
            <w:tcW w:w="1080" w:type="dxa"/>
            <w:tcBorders>
              <w:top w:val="nil"/>
              <w:left w:val="nil"/>
              <w:bottom w:val="single" w:sz="4" w:space="0" w:color="auto"/>
              <w:right w:val="single" w:sz="4" w:space="0" w:color="auto"/>
            </w:tcBorders>
            <w:shd w:val="clear" w:color="auto" w:fill="auto"/>
            <w:noWrap/>
            <w:vAlign w:val="bottom"/>
            <w:hideMark/>
          </w:tcPr>
          <w:p w14:paraId="70EF84F7" w14:textId="2BE5528B" w:rsidR="00596B7F" w:rsidRPr="00E42B8C" w:rsidRDefault="00596B7F" w:rsidP="00596B7F">
            <w:pPr>
              <w:spacing w:after="0" w:line="240" w:lineRule="auto"/>
              <w:jc w:val="center"/>
              <w:rPr>
                <w:rFonts w:ascii="Calibri" w:eastAsia="Times New Roman" w:hAnsi="Calibri" w:cs="Calibri"/>
                <w:color w:val="000000"/>
                <w:sz w:val="20"/>
                <w:szCs w:val="20"/>
              </w:rPr>
            </w:pPr>
            <w:r w:rsidRPr="00E42B8C">
              <w:rPr>
                <w:rFonts w:ascii="Calibri" w:hAnsi="Calibri" w:cs="Calibri"/>
                <w:color w:val="000000"/>
                <w:sz w:val="20"/>
                <w:szCs w:val="20"/>
              </w:rPr>
              <w:t>1035</w:t>
            </w:r>
          </w:p>
        </w:tc>
        <w:tc>
          <w:tcPr>
            <w:tcW w:w="1170" w:type="dxa"/>
            <w:tcBorders>
              <w:top w:val="nil"/>
              <w:left w:val="nil"/>
              <w:bottom w:val="single" w:sz="4" w:space="0" w:color="auto"/>
              <w:right w:val="single" w:sz="4" w:space="0" w:color="auto"/>
            </w:tcBorders>
            <w:shd w:val="clear" w:color="auto" w:fill="auto"/>
            <w:noWrap/>
            <w:vAlign w:val="bottom"/>
            <w:hideMark/>
          </w:tcPr>
          <w:p w14:paraId="2FCCDDDC" w14:textId="653215E9" w:rsidR="00596B7F" w:rsidRPr="00E42B8C" w:rsidRDefault="00596B7F" w:rsidP="00596B7F">
            <w:pPr>
              <w:spacing w:after="0" w:line="240" w:lineRule="auto"/>
              <w:jc w:val="center"/>
              <w:rPr>
                <w:rFonts w:ascii="Calibri" w:eastAsia="Times New Roman" w:hAnsi="Calibri" w:cs="Calibri"/>
                <w:color w:val="000000"/>
                <w:sz w:val="20"/>
                <w:szCs w:val="20"/>
              </w:rPr>
            </w:pPr>
            <w:r w:rsidRPr="00E42B8C">
              <w:rPr>
                <w:rFonts w:ascii="Calibri" w:hAnsi="Calibri" w:cs="Calibri"/>
                <w:color w:val="000000"/>
                <w:sz w:val="20"/>
                <w:szCs w:val="20"/>
              </w:rPr>
              <w:t>863</w:t>
            </w:r>
          </w:p>
        </w:tc>
        <w:tc>
          <w:tcPr>
            <w:tcW w:w="1080" w:type="dxa"/>
            <w:tcBorders>
              <w:top w:val="nil"/>
              <w:left w:val="nil"/>
              <w:bottom w:val="single" w:sz="4" w:space="0" w:color="auto"/>
              <w:right w:val="single" w:sz="4" w:space="0" w:color="auto"/>
            </w:tcBorders>
            <w:shd w:val="clear" w:color="auto" w:fill="auto"/>
            <w:noWrap/>
            <w:vAlign w:val="bottom"/>
            <w:hideMark/>
          </w:tcPr>
          <w:p w14:paraId="61680A93" w14:textId="2BA17501" w:rsidR="00596B7F" w:rsidRPr="00E42B8C" w:rsidRDefault="00596B7F" w:rsidP="00596B7F">
            <w:pPr>
              <w:spacing w:after="0" w:line="240" w:lineRule="auto"/>
              <w:jc w:val="center"/>
              <w:rPr>
                <w:rFonts w:ascii="Calibri" w:eastAsia="Times New Roman" w:hAnsi="Calibri" w:cs="Calibri"/>
                <w:color w:val="000000"/>
                <w:sz w:val="20"/>
                <w:szCs w:val="20"/>
              </w:rPr>
            </w:pPr>
            <w:r w:rsidRPr="00E42B8C">
              <w:rPr>
                <w:rFonts w:ascii="Calibri" w:hAnsi="Calibri" w:cs="Calibri"/>
                <w:color w:val="000000"/>
                <w:sz w:val="20"/>
                <w:szCs w:val="20"/>
              </w:rPr>
              <w:t>1048</w:t>
            </w:r>
          </w:p>
        </w:tc>
        <w:tc>
          <w:tcPr>
            <w:tcW w:w="1170" w:type="dxa"/>
            <w:tcBorders>
              <w:top w:val="nil"/>
              <w:left w:val="nil"/>
              <w:bottom w:val="single" w:sz="4" w:space="0" w:color="auto"/>
              <w:right w:val="single" w:sz="4" w:space="0" w:color="auto"/>
            </w:tcBorders>
            <w:shd w:val="clear" w:color="auto" w:fill="auto"/>
            <w:noWrap/>
            <w:vAlign w:val="bottom"/>
            <w:hideMark/>
          </w:tcPr>
          <w:p w14:paraId="6F6A9872" w14:textId="1B69AB48" w:rsidR="00596B7F" w:rsidRPr="00E42B8C" w:rsidRDefault="00596B7F" w:rsidP="00596B7F">
            <w:pPr>
              <w:spacing w:after="0" w:line="240" w:lineRule="auto"/>
              <w:jc w:val="center"/>
              <w:rPr>
                <w:rFonts w:ascii="Calibri" w:eastAsia="Times New Roman" w:hAnsi="Calibri" w:cs="Calibri"/>
                <w:color w:val="000000"/>
                <w:sz w:val="20"/>
                <w:szCs w:val="20"/>
              </w:rPr>
            </w:pPr>
            <w:r w:rsidRPr="00E42B8C">
              <w:rPr>
                <w:rFonts w:ascii="Calibri" w:hAnsi="Calibri" w:cs="Calibri"/>
                <w:color w:val="000000"/>
                <w:sz w:val="20"/>
                <w:szCs w:val="20"/>
              </w:rPr>
              <w:t>1584</w:t>
            </w:r>
          </w:p>
        </w:tc>
        <w:tc>
          <w:tcPr>
            <w:tcW w:w="1234" w:type="dxa"/>
            <w:tcBorders>
              <w:top w:val="nil"/>
              <w:left w:val="nil"/>
              <w:bottom w:val="single" w:sz="4" w:space="0" w:color="auto"/>
              <w:right w:val="single" w:sz="4" w:space="0" w:color="auto"/>
            </w:tcBorders>
            <w:shd w:val="clear" w:color="auto" w:fill="auto"/>
            <w:noWrap/>
            <w:vAlign w:val="bottom"/>
            <w:hideMark/>
          </w:tcPr>
          <w:p w14:paraId="67672E98" w14:textId="118255B6" w:rsidR="00596B7F" w:rsidRPr="00E42B8C" w:rsidRDefault="00596B7F" w:rsidP="00596B7F">
            <w:pPr>
              <w:spacing w:after="0" w:line="240" w:lineRule="auto"/>
              <w:jc w:val="center"/>
              <w:rPr>
                <w:rFonts w:ascii="Calibri" w:eastAsia="Times New Roman" w:hAnsi="Calibri" w:cs="Calibri"/>
                <w:color w:val="000000"/>
                <w:sz w:val="20"/>
                <w:szCs w:val="20"/>
              </w:rPr>
            </w:pPr>
            <w:r w:rsidRPr="00E42B8C">
              <w:rPr>
                <w:rFonts w:ascii="Calibri" w:hAnsi="Calibri" w:cs="Calibri"/>
                <w:color w:val="000000"/>
                <w:sz w:val="20"/>
                <w:szCs w:val="20"/>
              </w:rPr>
              <w:t>1971</w:t>
            </w:r>
          </w:p>
        </w:tc>
        <w:tc>
          <w:tcPr>
            <w:tcW w:w="1028" w:type="dxa"/>
            <w:tcBorders>
              <w:top w:val="nil"/>
              <w:left w:val="nil"/>
              <w:bottom w:val="single" w:sz="4" w:space="0" w:color="auto"/>
              <w:right w:val="single" w:sz="4" w:space="0" w:color="auto"/>
            </w:tcBorders>
            <w:shd w:val="clear" w:color="auto" w:fill="auto"/>
            <w:noWrap/>
            <w:vAlign w:val="bottom"/>
            <w:hideMark/>
          </w:tcPr>
          <w:p w14:paraId="7C736DAF" w14:textId="4B4A442A" w:rsidR="00596B7F" w:rsidRPr="00E42B8C" w:rsidRDefault="00596B7F" w:rsidP="00596B7F">
            <w:pPr>
              <w:spacing w:after="0" w:line="240" w:lineRule="auto"/>
              <w:jc w:val="center"/>
              <w:rPr>
                <w:rFonts w:ascii="Calibri" w:eastAsia="Times New Roman" w:hAnsi="Calibri" w:cs="Calibri"/>
                <w:color w:val="000000"/>
                <w:sz w:val="20"/>
                <w:szCs w:val="20"/>
              </w:rPr>
            </w:pPr>
            <w:r w:rsidRPr="00E42B8C">
              <w:rPr>
                <w:rFonts w:ascii="Calibri" w:hAnsi="Calibri" w:cs="Calibri"/>
                <w:color w:val="000000"/>
                <w:sz w:val="20"/>
                <w:szCs w:val="20"/>
              </w:rPr>
              <w:t>508</w:t>
            </w:r>
          </w:p>
        </w:tc>
      </w:tr>
      <w:tr w:rsidR="00596B7F" w:rsidRPr="00B97474" w14:paraId="456653A8" w14:textId="77777777" w:rsidTr="00994107">
        <w:trPr>
          <w:cantSplit/>
          <w:trHeight w:val="293"/>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09EBE5A3" w14:textId="77777777" w:rsidR="00596B7F" w:rsidRPr="00E42B8C" w:rsidRDefault="00596B7F" w:rsidP="00596B7F">
            <w:pPr>
              <w:spacing w:after="0" w:line="240" w:lineRule="auto"/>
              <w:rPr>
                <w:rFonts w:ascii="Calibri" w:eastAsia="Times New Roman" w:hAnsi="Calibri" w:cs="Calibri"/>
                <w:color w:val="000000"/>
                <w:sz w:val="20"/>
                <w:szCs w:val="20"/>
              </w:rPr>
            </w:pPr>
            <w:r w:rsidRPr="00E42B8C">
              <w:rPr>
                <w:rFonts w:ascii="Calibri" w:eastAsia="Times New Roman" w:hAnsi="Calibri" w:cs="Calibri"/>
                <w:color w:val="000000"/>
                <w:sz w:val="20"/>
                <w:szCs w:val="20"/>
              </w:rPr>
              <w:t>IP Hospital</w:t>
            </w:r>
          </w:p>
        </w:tc>
        <w:tc>
          <w:tcPr>
            <w:tcW w:w="1170" w:type="dxa"/>
            <w:tcBorders>
              <w:top w:val="nil"/>
              <w:left w:val="nil"/>
              <w:bottom w:val="single" w:sz="4" w:space="0" w:color="auto"/>
              <w:right w:val="single" w:sz="4" w:space="0" w:color="auto"/>
            </w:tcBorders>
            <w:shd w:val="clear" w:color="auto" w:fill="auto"/>
            <w:noWrap/>
            <w:vAlign w:val="bottom"/>
            <w:hideMark/>
          </w:tcPr>
          <w:p w14:paraId="39D54434" w14:textId="78568B1C" w:rsidR="00596B7F" w:rsidRPr="00E42B8C" w:rsidRDefault="00596B7F" w:rsidP="00596B7F">
            <w:pPr>
              <w:spacing w:after="0" w:line="240" w:lineRule="auto"/>
              <w:jc w:val="center"/>
              <w:rPr>
                <w:rFonts w:ascii="Calibri" w:eastAsia="Times New Roman" w:hAnsi="Calibri" w:cs="Calibri"/>
                <w:color w:val="000000"/>
                <w:sz w:val="20"/>
                <w:szCs w:val="20"/>
              </w:rPr>
            </w:pPr>
            <w:r w:rsidRPr="00E42B8C">
              <w:rPr>
                <w:rFonts w:ascii="Calibri" w:hAnsi="Calibri" w:cs="Calibri"/>
                <w:color w:val="000000"/>
                <w:sz w:val="20"/>
                <w:szCs w:val="20"/>
              </w:rPr>
              <w:t>4820</w:t>
            </w:r>
          </w:p>
        </w:tc>
        <w:tc>
          <w:tcPr>
            <w:tcW w:w="1080" w:type="dxa"/>
            <w:tcBorders>
              <w:top w:val="nil"/>
              <w:left w:val="nil"/>
              <w:bottom w:val="single" w:sz="4" w:space="0" w:color="auto"/>
              <w:right w:val="single" w:sz="4" w:space="0" w:color="auto"/>
            </w:tcBorders>
            <w:shd w:val="clear" w:color="auto" w:fill="auto"/>
            <w:noWrap/>
            <w:vAlign w:val="bottom"/>
            <w:hideMark/>
          </w:tcPr>
          <w:p w14:paraId="45A65C40" w14:textId="12898AF0" w:rsidR="00596B7F" w:rsidRPr="00E42B8C" w:rsidRDefault="00596B7F" w:rsidP="00596B7F">
            <w:pPr>
              <w:spacing w:after="0" w:line="240" w:lineRule="auto"/>
              <w:jc w:val="center"/>
              <w:rPr>
                <w:rFonts w:ascii="Calibri" w:eastAsia="Times New Roman" w:hAnsi="Calibri" w:cs="Calibri"/>
                <w:color w:val="000000"/>
                <w:sz w:val="20"/>
                <w:szCs w:val="20"/>
              </w:rPr>
            </w:pPr>
            <w:r w:rsidRPr="00E42B8C">
              <w:rPr>
                <w:rFonts w:ascii="Calibri" w:hAnsi="Calibri" w:cs="Calibri"/>
                <w:color w:val="000000"/>
                <w:sz w:val="20"/>
                <w:szCs w:val="20"/>
              </w:rPr>
              <w:t>4386</w:t>
            </w:r>
          </w:p>
        </w:tc>
        <w:tc>
          <w:tcPr>
            <w:tcW w:w="1170" w:type="dxa"/>
            <w:tcBorders>
              <w:top w:val="nil"/>
              <w:left w:val="nil"/>
              <w:bottom w:val="single" w:sz="4" w:space="0" w:color="auto"/>
              <w:right w:val="single" w:sz="4" w:space="0" w:color="auto"/>
            </w:tcBorders>
            <w:shd w:val="clear" w:color="auto" w:fill="auto"/>
            <w:noWrap/>
            <w:vAlign w:val="bottom"/>
            <w:hideMark/>
          </w:tcPr>
          <w:p w14:paraId="1A2DE988" w14:textId="43628DC4" w:rsidR="00596B7F" w:rsidRPr="00E42B8C" w:rsidRDefault="00596B7F" w:rsidP="00596B7F">
            <w:pPr>
              <w:spacing w:after="0" w:line="240" w:lineRule="auto"/>
              <w:jc w:val="center"/>
              <w:rPr>
                <w:rFonts w:ascii="Calibri" w:eastAsia="Times New Roman" w:hAnsi="Calibri" w:cs="Calibri"/>
                <w:color w:val="000000"/>
                <w:sz w:val="20"/>
                <w:szCs w:val="20"/>
              </w:rPr>
            </w:pPr>
            <w:r w:rsidRPr="00E42B8C">
              <w:rPr>
                <w:rFonts w:ascii="Calibri" w:hAnsi="Calibri" w:cs="Calibri"/>
                <w:color w:val="000000"/>
                <w:sz w:val="20"/>
                <w:szCs w:val="20"/>
              </w:rPr>
              <w:t>3564</w:t>
            </w:r>
          </w:p>
        </w:tc>
        <w:tc>
          <w:tcPr>
            <w:tcW w:w="1080" w:type="dxa"/>
            <w:tcBorders>
              <w:top w:val="nil"/>
              <w:left w:val="nil"/>
              <w:bottom w:val="single" w:sz="4" w:space="0" w:color="auto"/>
              <w:right w:val="single" w:sz="4" w:space="0" w:color="auto"/>
            </w:tcBorders>
            <w:shd w:val="clear" w:color="auto" w:fill="auto"/>
            <w:noWrap/>
            <w:vAlign w:val="bottom"/>
            <w:hideMark/>
          </w:tcPr>
          <w:p w14:paraId="6E64B78F" w14:textId="1CC7B0FD" w:rsidR="00596B7F" w:rsidRPr="00E42B8C" w:rsidRDefault="00596B7F" w:rsidP="00596B7F">
            <w:pPr>
              <w:spacing w:after="0" w:line="240" w:lineRule="auto"/>
              <w:jc w:val="center"/>
              <w:rPr>
                <w:rFonts w:ascii="Calibri" w:eastAsia="Times New Roman" w:hAnsi="Calibri" w:cs="Calibri"/>
                <w:color w:val="000000"/>
                <w:sz w:val="20"/>
                <w:szCs w:val="20"/>
              </w:rPr>
            </w:pPr>
            <w:r w:rsidRPr="00E42B8C">
              <w:rPr>
                <w:rFonts w:ascii="Calibri" w:hAnsi="Calibri" w:cs="Calibri"/>
                <w:color w:val="000000"/>
                <w:sz w:val="20"/>
                <w:szCs w:val="20"/>
              </w:rPr>
              <w:t>2956</w:t>
            </w:r>
          </w:p>
        </w:tc>
        <w:tc>
          <w:tcPr>
            <w:tcW w:w="1170" w:type="dxa"/>
            <w:tcBorders>
              <w:top w:val="nil"/>
              <w:left w:val="nil"/>
              <w:bottom w:val="single" w:sz="4" w:space="0" w:color="auto"/>
              <w:right w:val="single" w:sz="4" w:space="0" w:color="auto"/>
            </w:tcBorders>
            <w:shd w:val="clear" w:color="auto" w:fill="auto"/>
            <w:noWrap/>
            <w:vAlign w:val="bottom"/>
            <w:hideMark/>
          </w:tcPr>
          <w:p w14:paraId="28E2C8C9" w14:textId="564677F9" w:rsidR="00596B7F" w:rsidRPr="00E42B8C" w:rsidRDefault="00596B7F" w:rsidP="00596B7F">
            <w:pPr>
              <w:spacing w:after="0" w:line="240" w:lineRule="auto"/>
              <w:jc w:val="center"/>
              <w:rPr>
                <w:rFonts w:ascii="Calibri" w:eastAsia="Times New Roman" w:hAnsi="Calibri" w:cs="Calibri"/>
                <w:color w:val="000000"/>
                <w:sz w:val="20"/>
                <w:szCs w:val="20"/>
              </w:rPr>
            </w:pPr>
            <w:r w:rsidRPr="00E42B8C">
              <w:rPr>
                <w:rFonts w:ascii="Calibri" w:hAnsi="Calibri" w:cs="Calibri"/>
                <w:color w:val="000000"/>
                <w:sz w:val="20"/>
                <w:szCs w:val="20"/>
              </w:rPr>
              <w:t>2432</w:t>
            </w:r>
          </w:p>
        </w:tc>
        <w:tc>
          <w:tcPr>
            <w:tcW w:w="1234" w:type="dxa"/>
            <w:tcBorders>
              <w:top w:val="nil"/>
              <w:left w:val="nil"/>
              <w:bottom w:val="single" w:sz="4" w:space="0" w:color="auto"/>
              <w:right w:val="single" w:sz="4" w:space="0" w:color="auto"/>
            </w:tcBorders>
            <w:shd w:val="clear" w:color="auto" w:fill="auto"/>
            <w:noWrap/>
            <w:vAlign w:val="bottom"/>
            <w:hideMark/>
          </w:tcPr>
          <w:p w14:paraId="1F3D86C9" w14:textId="7988541E" w:rsidR="00596B7F" w:rsidRPr="00E42B8C" w:rsidRDefault="00596B7F" w:rsidP="00596B7F">
            <w:pPr>
              <w:spacing w:after="0" w:line="240" w:lineRule="auto"/>
              <w:jc w:val="center"/>
              <w:rPr>
                <w:rFonts w:ascii="Calibri" w:eastAsia="Times New Roman" w:hAnsi="Calibri" w:cs="Calibri"/>
                <w:color w:val="000000"/>
                <w:sz w:val="20"/>
                <w:szCs w:val="20"/>
              </w:rPr>
            </w:pPr>
            <w:r w:rsidRPr="00E42B8C">
              <w:rPr>
                <w:rFonts w:ascii="Calibri" w:hAnsi="Calibri" w:cs="Calibri"/>
                <w:color w:val="000000"/>
                <w:sz w:val="20"/>
                <w:szCs w:val="20"/>
              </w:rPr>
              <w:t>2507</w:t>
            </w:r>
          </w:p>
        </w:tc>
        <w:tc>
          <w:tcPr>
            <w:tcW w:w="1028" w:type="dxa"/>
            <w:tcBorders>
              <w:top w:val="nil"/>
              <w:left w:val="nil"/>
              <w:bottom w:val="single" w:sz="4" w:space="0" w:color="auto"/>
              <w:right w:val="single" w:sz="4" w:space="0" w:color="auto"/>
            </w:tcBorders>
            <w:shd w:val="clear" w:color="auto" w:fill="auto"/>
            <w:noWrap/>
            <w:vAlign w:val="bottom"/>
            <w:hideMark/>
          </w:tcPr>
          <w:p w14:paraId="1668969A" w14:textId="445A108A" w:rsidR="00596B7F" w:rsidRPr="00E42B8C" w:rsidRDefault="00596B7F" w:rsidP="00596B7F">
            <w:pPr>
              <w:spacing w:after="0" w:line="240" w:lineRule="auto"/>
              <w:jc w:val="center"/>
              <w:rPr>
                <w:rFonts w:ascii="Calibri" w:eastAsia="Times New Roman" w:hAnsi="Calibri" w:cs="Calibri"/>
                <w:color w:val="000000"/>
                <w:sz w:val="20"/>
                <w:szCs w:val="20"/>
              </w:rPr>
            </w:pPr>
            <w:r w:rsidRPr="00E42B8C">
              <w:rPr>
                <w:rFonts w:ascii="Calibri" w:hAnsi="Calibri" w:cs="Calibri"/>
                <w:color w:val="000000"/>
                <w:sz w:val="20"/>
                <w:szCs w:val="20"/>
              </w:rPr>
              <w:t>645</w:t>
            </w:r>
          </w:p>
        </w:tc>
      </w:tr>
      <w:tr w:rsidR="00596B7F" w:rsidRPr="00B97474" w14:paraId="6CADA68F" w14:textId="77777777" w:rsidTr="00994107">
        <w:trPr>
          <w:cantSplit/>
          <w:trHeight w:val="293"/>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01A43957" w14:textId="77777777" w:rsidR="00596B7F" w:rsidRPr="00E42B8C" w:rsidRDefault="00596B7F" w:rsidP="00596B7F">
            <w:pPr>
              <w:spacing w:after="0" w:line="240" w:lineRule="auto"/>
              <w:rPr>
                <w:rFonts w:ascii="Calibri" w:eastAsia="Times New Roman" w:hAnsi="Calibri" w:cs="Calibri"/>
                <w:color w:val="000000"/>
                <w:sz w:val="20"/>
                <w:szCs w:val="20"/>
              </w:rPr>
            </w:pPr>
            <w:r w:rsidRPr="00E42B8C">
              <w:rPr>
                <w:rFonts w:ascii="Calibri" w:eastAsia="Times New Roman" w:hAnsi="Calibri" w:cs="Calibri"/>
                <w:color w:val="000000"/>
                <w:sz w:val="20"/>
                <w:szCs w:val="20"/>
              </w:rPr>
              <w:t>OP Hospital</w:t>
            </w:r>
          </w:p>
        </w:tc>
        <w:tc>
          <w:tcPr>
            <w:tcW w:w="1170" w:type="dxa"/>
            <w:tcBorders>
              <w:top w:val="nil"/>
              <w:left w:val="nil"/>
              <w:bottom w:val="single" w:sz="4" w:space="0" w:color="auto"/>
              <w:right w:val="single" w:sz="4" w:space="0" w:color="auto"/>
            </w:tcBorders>
            <w:shd w:val="clear" w:color="auto" w:fill="auto"/>
            <w:noWrap/>
            <w:vAlign w:val="bottom"/>
            <w:hideMark/>
          </w:tcPr>
          <w:p w14:paraId="143861E6" w14:textId="07E84908" w:rsidR="00596B7F" w:rsidRPr="00E42B8C" w:rsidRDefault="00596B7F" w:rsidP="00596B7F">
            <w:pPr>
              <w:spacing w:after="0" w:line="240" w:lineRule="auto"/>
              <w:jc w:val="center"/>
              <w:rPr>
                <w:rFonts w:ascii="Calibri" w:eastAsia="Times New Roman" w:hAnsi="Calibri" w:cs="Calibri"/>
                <w:color w:val="000000"/>
                <w:sz w:val="20"/>
                <w:szCs w:val="20"/>
              </w:rPr>
            </w:pPr>
            <w:r w:rsidRPr="00E42B8C">
              <w:rPr>
                <w:rFonts w:ascii="Calibri" w:hAnsi="Calibri" w:cs="Calibri"/>
                <w:color w:val="000000"/>
                <w:sz w:val="20"/>
                <w:szCs w:val="20"/>
              </w:rPr>
              <w:t>10212</w:t>
            </w:r>
          </w:p>
        </w:tc>
        <w:tc>
          <w:tcPr>
            <w:tcW w:w="1080" w:type="dxa"/>
            <w:tcBorders>
              <w:top w:val="nil"/>
              <w:left w:val="nil"/>
              <w:bottom w:val="single" w:sz="4" w:space="0" w:color="auto"/>
              <w:right w:val="single" w:sz="4" w:space="0" w:color="auto"/>
            </w:tcBorders>
            <w:shd w:val="clear" w:color="auto" w:fill="auto"/>
            <w:noWrap/>
            <w:vAlign w:val="bottom"/>
            <w:hideMark/>
          </w:tcPr>
          <w:p w14:paraId="52107D3C" w14:textId="28D4A8D0" w:rsidR="00596B7F" w:rsidRPr="00E42B8C" w:rsidRDefault="00596B7F" w:rsidP="00596B7F">
            <w:pPr>
              <w:spacing w:after="0" w:line="240" w:lineRule="auto"/>
              <w:jc w:val="center"/>
              <w:rPr>
                <w:rFonts w:ascii="Calibri" w:eastAsia="Times New Roman" w:hAnsi="Calibri" w:cs="Calibri"/>
                <w:color w:val="000000"/>
                <w:sz w:val="20"/>
                <w:szCs w:val="20"/>
              </w:rPr>
            </w:pPr>
            <w:r w:rsidRPr="00E42B8C">
              <w:rPr>
                <w:rFonts w:ascii="Calibri" w:hAnsi="Calibri" w:cs="Calibri"/>
                <w:color w:val="000000"/>
                <w:sz w:val="20"/>
                <w:szCs w:val="20"/>
              </w:rPr>
              <w:t>9905</w:t>
            </w:r>
          </w:p>
        </w:tc>
        <w:tc>
          <w:tcPr>
            <w:tcW w:w="1170" w:type="dxa"/>
            <w:tcBorders>
              <w:top w:val="nil"/>
              <w:left w:val="nil"/>
              <w:bottom w:val="single" w:sz="4" w:space="0" w:color="auto"/>
              <w:right w:val="single" w:sz="4" w:space="0" w:color="auto"/>
            </w:tcBorders>
            <w:shd w:val="clear" w:color="auto" w:fill="auto"/>
            <w:noWrap/>
            <w:vAlign w:val="bottom"/>
            <w:hideMark/>
          </w:tcPr>
          <w:p w14:paraId="5DA1537B" w14:textId="648B3721" w:rsidR="00596B7F" w:rsidRPr="00E42B8C" w:rsidRDefault="00596B7F" w:rsidP="00596B7F">
            <w:pPr>
              <w:spacing w:after="0" w:line="240" w:lineRule="auto"/>
              <w:jc w:val="center"/>
              <w:rPr>
                <w:rFonts w:ascii="Calibri" w:eastAsia="Times New Roman" w:hAnsi="Calibri" w:cs="Calibri"/>
                <w:color w:val="000000"/>
                <w:sz w:val="20"/>
                <w:szCs w:val="20"/>
              </w:rPr>
            </w:pPr>
            <w:r w:rsidRPr="00E42B8C">
              <w:rPr>
                <w:rFonts w:ascii="Calibri" w:hAnsi="Calibri" w:cs="Calibri"/>
                <w:color w:val="000000"/>
                <w:sz w:val="20"/>
                <w:szCs w:val="20"/>
              </w:rPr>
              <w:t>7744</w:t>
            </w:r>
          </w:p>
        </w:tc>
        <w:tc>
          <w:tcPr>
            <w:tcW w:w="1080" w:type="dxa"/>
            <w:tcBorders>
              <w:top w:val="nil"/>
              <w:left w:val="nil"/>
              <w:bottom w:val="single" w:sz="4" w:space="0" w:color="auto"/>
              <w:right w:val="single" w:sz="4" w:space="0" w:color="auto"/>
            </w:tcBorders>
            <w:shd w:val="clear" w:color="auto" w:fill="auto"/>
            <w:noWrap/>
            <w:vAlign w:val="bottom"/>
            <w:hideMark/>
          </w:tcPr>
          <w:p w14:paraId="110C6E67" w14:textId="5AA8225E" w:rsidR="00596B7F" w:rsidRPr="00E42B8C" w:rsidRDefault="00596B7F" w:rsidP="00596B7F">
            <w:pPr>
              <w:spacing w:after="0" w:line="240" w:lineRule="auto"/>
              <w:jc w:val="center"/>
              <w:rPr>
                <w:rFonts w:ascii="Calibri" w:eastAsia="Times New Roman" w:hAnsi="Calibri" w:cs="Calibri"/>
                <w:color w:val="000000"/>
                <w:sz w:val="20"/>
                <w:szCs w:val="20"/>
              </w:rPr>
            </w:pPr>
            <w:r w:rsidRPr="00E42B8C">
              <w:rPr>
                <w:rFonts w:ascii="Calibri" w:hAnsi="Calibri" w:cs="Calibri"/>
                <w:color w:val="000000"/>
                <w:sz w:val="20"/>
                <w:szCs w:val="20"/>
              </w:rPr>
              <w:t>8735</w:t>
            </w:r>
          </w:p>
        </w:tc>
        <w:tc>
          <w:tcPr>
            <w:tcW w:w="1170" w:type="dxa"/>
            <w:tcBorders>
              <w:top w:val="nil"/>
              <w:left w:val="nil"/>
              <w:bottom w:val="single" w:sz="4" w:space="0" w:color="auto"/>
              <w:right w:val="single" w:sz="4" w:space="0" w:color="auto"/>
            </w:tcBorders>
            <w:shd w:val="clear" w:color="auto" w:fill="auto"/>
            <w:noWrap/>
            <w:vAlign w:val="bottom"/>
            <w:hideMark/>
          </w:tcPr>
          <w:p w14:paraId="24F41B4B" w14:textId="24E4EECB" w:rsidR="00596B7F" w:rsidRPr="00E42B8C" w:rsidRDefault="00596B7F" w:rsidP="00596B7F">
            <w:pPr>
              <w:spacing w:after="0" w:line="240" w:lineRule="auto"/>
              <w:jc w:val="center"/>
              <w:rPr>
                <w:rFonts w:ascii="Calibri" w:eastAsia="Times New Roman" w:hAnsi="Calibri" w:cs="Calibri"/>
                <w:color w:val="000000"/>
                <w:sz w:val="20"/>
                <w:szCs w:val="20"/>
              </w:rPr>
            </w:pPr>
            <w:r w:rsidRPr="00E42B8C">
              <w:rPr>
                <w:rFonts w:ascii="Calibri" w:hAnsi="Calibri" w:cs="Calibri"/>
                <w:color w:val="000000"/>
                <w:sz w:val="20"/>
                <w:szCs w:val="20"/>
              </w:rPr>
              <w:t>9771</w:t>
            </w:r>
          </w:p>
        </w:tc>
        <w:tc>
          <w:tcPr>
            <w:tcW w:w="1234" w:type="dxa"/>
            <w:tcBorders>
              <w:top w:val="nil"/>
              <w:left w:val="nil"/>
              <w:bottom w:val="single" w:sz="4" w:space="0" w:color="auto"/>
              <w:right w:val="single" w:sz="4" w:space="0" w:color="auto"/>
            </w:tcBorders>
            <w:shd w:val="clear" w:color="auto" w:fill="auto"/>
            <w:noWrap/>
            <w:vAlign w:val="bottom"/>
            <w:hideMark/>
          </w:tcPr>
          <w:p w14:paraId="43C7D6BA" w14:textId="7171D37A" w:rsidR="00596B7F" w:rsidRPr="00E42B8C" w:rsidRDefault="00596B7F" w:rsidP="00596B7F">
            <w:pPr>
              <w:spacing w:after="0" w:line="240" w:lineRule="auto"/>
              <w:jc w:val="center"/>
              <w:rPr>
                <w:rFonts w:ascii="Calibri" w:eastAsia="Times New Roman" w:hAnsi="Calibri" w:cs="Calibri"/>
                <w:color w:val="000000"/>
                <w:sz w:val="20"/>
                <w:szCs w:val="20"/>
              </w:rPr>
            </w:pPr>
            <w:r w:rsidRPr="00E42B8C">
              <w:rPr>
                <w:rFonts w:ascii="Calibri" w:hAnsi="Calibri" w:cs="Calibri"/>
                <w:color w:val="000000"/>
                <w:sz w:val="20"/>
                <w:szCs w:val="20"/>
              </w:rPr>
              <w:t>10225</w:t>
            </w:r>
          </w:p>
        </w:tc>
        <w:tc>
          <w:tcPr>
            <w:tcW w:w="1028" w:type="dxa"/>
            <w:tcBorders>
              <w:top w:val="nil"/>
              <w:left w:val="nil"/>
              <w:bottom w:val="single" w:sz="4" w:space="0" w:color="auto"/>
              <w:right w:val="single" w:sz="4" w:space="0" w:color="auto"/>
            </w:tcBorders>
            <w:shd w:val="clear" w:color="auto" w:fill="auto"/>
            <w:noWrap/>
            <w:vAlign w:val="bottom"/>
            <w:hideMark/>
          </w:tcPr>
          <w:p w14:paraId="6485662D" w14:textId="1DA7EF3A" w:rsidR="00596B7F" w:rsidRPr="00E42B8C" w:rsidRDefault="00596B7F" w:rsidP="00596B7F">
            <w:pPr>
              <w:spacing w:after="0" w:line="240" w:lineRule="auto"/>
              <w:jc w:val="center"/>
              <w:rPr>
                <w:rFonts w:ascii="Calibri" w:eastAsia="Times New Roman" w:hAnsi="Calibri" w:cs="Calibri"/>
                <w:color w:val="000000"/>
                <w:sz w:val="20"/>
                <w:szCs w:val="20"/>
              </w:rPr>
            </w:pPr>
            <w:r w:rsidRPr="00E42B8C">
              <w:rPr>
                <w:rFonts w:ascii="Calibri" w:hAnsi="Calibri" w:cs="Calibri"/>
                <w:color w:val="000000"/>
                <w:sz w:val="20"/>
                <w:szCs w:val="20"/>
              </w:rPr>
              <w:t>2653</w:t>
            </w:r>
          </w:p>
        </w:tc>
      </w:tr>
      <w:tr w:rsidR="00596B7F" w:rsidRPr="00B97474" w14:paraId="60CC2B3A" w14:textId="77777777" w:rsidTr="00994107">
        <w:trPr>
          <w:cantSplit/>
          <w:trHeight w:val="308"/>
        </w:trPr>
        <w:tc>
          <w:tcPr>
            <w:tcW w:w="1615" w:type="dxa"/>
            <w:tcBorders>
              <w:top w:val="nil"/>
              <w:left w:val="single" w:sz="4" w:space="0" w:color="auto"/>
              <w:bottom w:val="single" w:sz="12" w:space="0" w:color="auto"/>
              <w:right w:val="single" w:sz="4" w:space="0" w:color="auto"/>
            </w:tcBorders>
            <w:shd w:val="clear" w:color="auto" w:fill="auto"/>
            <w:noWrap/>
            <w:vAlign w:val="bottom"/>
            <w:hideMark/>
          </w:tcPr>
          <w:p w14:paraId="5CDBB076" w14:textId="77777777" w:rsidR="00596B7F" w:rsidRPr="00E42B8C" w:rsidRDefault="00596B7F" w:rsidP="00596B7F">
            <w:pPr>
              <w:spacing w:after="0" w:line="240" w:lineRule="auto"/>
              <w:rPr>
                <w:rFonts w:ascii="Calibri" w:eastAsia="Times New Roman" w:hAnsi="Calibri" w:cs="Calibri"/>
                <w:color w:val="000000"/>
                <w:sz w:val="20"/>
                <w:szCs w:val="20"/>
              </w:rPr>
            </w:pPr>
            <w:r w:rsidRPr="00E42B8C">
              <w:rPr>
                <w:rFonts w:ascii="Calibri" w:eastAsia="Times New Roman" w:hAnsi="Calibri" w:cs="Calibri"/>
                <w:color w:val="000000"/>
                <w:sz w:val="20"/>
                <w:szCs w:val="20"/>
              </w:rPr>
              <w:t>Other</w:t>
            </w:r>
          </w:p>
        </w:tc>
        <w:tc>
          <w:tcPr>
            <w:tcW w:w="1170" w:type="dxa"/>
            <w:tcBorders>
              <w:top w:val="nil"/>
              <w:left w:val="nil"/>
              <w:bottom w:val="single" w:sz="12" w:space="0" w:color="auto"/>
              <w:right w:val="single" w:sz="4" w:space="0" w:color="auto"/>
            </w:tcBorders>
            <w:shd w:val="clear" w:color="auto" w:fill="auto"/>
            <w:noWrap/>
            <w:vAlign w:val="bottom"/>
            <w:hideMark/>
          </w:tcPr>
          <w:p w14:paraId="730D8A16" w14:textId="38FAAEC2" w:rsidR="00596B7F" w:rsidRPr="00E42B8C" w:rsidRDefault="00596B7F" w:rsidP="00596B7F">
            <w:pPr>
              <w:spacing w:after="0" w:line="240" w:lineRule="auto"/>
              <w:jc w:val="center"/>
              <w:rPr>
                <w:rFonts w:ascii="Calibri" w:eastAsia="Times New Roman" w:hAnsi="Calibri" w:cs="Calibri"/>
                <w:color w:val="000000"/>
                <w:sz w:val="20"/>
                <w:szCs w:val="20"/>
              </w:rPr>
            </w:pPr>
            <w:r w:rsidRPr="00E42B8C">
              <w:rPr>
                <w:rFonts w:ascii="Calibri" w:hAnsi="Calibri" w:cs="Calibri"/>
                <w:color w:val="000000"/>
                <w:sz w:val="20"/>
                <w:szCs w:val="20"/>
              </w:rPr>
              <w:t>1292</w:t>
            </w:r>
          </w:p>
        </w:tc>
        <w:tc>
          <w:tcPr>
            <w:tcW w:w="1080" w:type="dxa"/>
            <w:tcBorders>
              <w:top w:val="nil"/>
              <w:left w:val="nil"/>
              <w:bottom w:val="single" w:sz="12" w:space="0" w:color="auto"/>
              <w:right w:val="single" w:sz="4" w:space="0" w:color="auto"/>
            </w:tcBorders>
            <w:shd w:val="clear" w:color="auto" w:fill="auto"/>
            <w:noWrap/>
            <w:vAlign w:val="bottom"/>
            <w:hideMark/>
          </w:tcPr>
          <w:p w14:paraId="69776B6C" w14:textId="52AA3A59" w:rsidR="00596B7F" w:rsidRPr="00E42B8C" w:rsidRDefault="00596B7F" w:rsidP="00596B7F">
            <w:pPr>
              <w:spacing w:after="0" w:line="240" w:lineRule="auto"/>
              <w:jc w:val="center"/>
              <w:rPr>
                <w:rFonts w:ascii="Calibri" w:eastAsia="Times New Roman" w:hAnsi="Calibri" w:cs="Calibri"/>
                <w:color w:val="000000"/>
                <w:sz w:val="20"/>
                <w:szCs w:val="20"/>
              </w:rPr>
            </w:pPr>
            <w:r w:rsidRPr="00E42B8C">
              <w:rPr>
                <w:rFonts w:ascii="Calibri" w:hAnsi="Calibri" w:cs="Calibri"/>
                <w:color w:val="000000"/>
                <w:sz w:val="20"/>
                <w:szCs w:val="20"/>
              </w:rPr>
              <w:t>1366</w:t>
            </w:r>
          </w:p>
        </w:tc>
        <w:tc>
          <w:tcPr>
            <w:tcW w:w="1170" w:type="dxa"/>
            <w:tcBorders>
              <w:top w:val="nil"/>
              <w:left w:val="nil"/>
              <w:bottom w:val="single" w:sz="12" w:space="0" w:color="auto"/>
              <w:right w:val="single" w:sz="4" w:space="0" w:color="auto"/>
            </w:tcBorders>
            <w:shd w:val="clear" w:color="auto" w:fill="auto"/>
            <w:noWrap/>
            <w:vAlign w:val="bottom"/>
            <w:hideMark/>
          </w:tcPr>
          <w:p w14:paraId="2560EAC6" w14:textId="331BED8B" w:rsidR="00596B7F" w:rsidRPr="00E42B8C" w:rsidRDefault="00596B7F" w:rsidP="00596B7F">
            <w:pPr>
              <w:spacing w:after="0" w:line="240" w:lineRule="auto"/>
              <w:jc w:val="center"/>
              <w:rPr>
                <w:rFonts w:ascii="Calibri" w:eastAsia="Times New Roman" w:hAnsi="Calibri" w:cs="Calibri"/>
                <w:color w:val="000000"/>
                <w:sz w:val="20"/>
                <w:szCs w:val="20"/>
              </w:rPr>
            </w:pPr>
            <w:r w:rsidRPr="00E42B8C">
              <w:rPr>
                <w:rFonts w:ascii="Calibri" w:hAnsi="Calibri" w:cs="Calibri"/>
                <w:color w:val="000000"/>
                <w:sz w:val="20"/>
                <w:szCs w:val="20"/>
              </w:rPr>
              <w:t>1153</w:t>
            </w:r>
          </w:p>
        </w:tc>
        <w:tc>
          <w:tcPr>
            <w:tcW w:w="1080" w:type="dxa"/>
            <w:tcBorders>
              <w:top w:val="nil"/>
              <w:left w:val="nil"/>
              <w:bottom w:val="single" w:sz="12" w:space="0" w:color="auto"/>
              <w:right w:val="single" w:sz="4" w:space="0" w:color="auto"/>
            </w:tcBorders>
            <w:shd w:val="clear" w:color="auto" w:fill="auto"/>
            <w:noWrap/>
            <w:vAlign w:val="bottom"/>
            <w:hideMark/>
          </w:tcPr>
          <w:p w14:paraId="121B6DEC" w14:textId="05DF7923" w:rsidR="00596B7F" w:rsidRPr="00E42B8C" w:rsidRDefault="00596B7F" w:rsidP="00596B7F">
            <w:pPr>
              <w:spacing w:after="0" w:line="240" w:lineRule="auto"/>
              <w:jc w:val="center"/>
              <w:rPr>
                <w:rFonts w:ascii="Calibri" w:eastAsia="Times New Roman" w:hAnsi="Calibri" w:cs="Calibri"/>
                <w:color w:val="000000"/>
                <w:sz w:val="20"/>
                <w:szCs w:val="20"/>
              </w:rPr>
            </w:pPr>
            <w:r w:rsidRPr="00E42B8C">
              <w:rPr>
                <w:rFonts w:ascii="Calibri" w:hAnsi="Calibri" w:cs="Calibri"/>
                <w:color w:val="000000"/>
                <w:sz w:val="20"/>
                <w:szCs w:val="20"/>
              </w:rPr>
              <w:t>1276</w:t>
            </w:r>
          </w:p>
        </w:tc>
        <w:tc>
          <w:tcPr>
            <w:tcW w:w="1170" w:type="dxa"/>
            <w:tcBorders>
              <w:top w:val="nil"/>
              <w:left w:val="nil"/>
              <w:bottom w:val="single" w:sz="12" w:space="0" w:color="auto"/>
              <w:right w:val="single" w:sz="4" w:space="0" w:color="auto"/>
            </w:tcBorders>
            <w:shd w:val="clear" w:color="auto" w:fill="auto"/>
            <w:noWrap/>
            <w:vAlign w:val="bottom"/>
            <w:hideMark/>
          </w:tcPr>
          <w:p w14:paraId="4154AEDB" w14:textId="79F138BD" w:rsidR="00596B7F" w:rsidRPr="00E42B8C" w:rsidRDefault="00596B7F" w:rsidP="00596B7F">
            <w:pPr>
              <w:spacing w:after="0" w:line="240" w:lineRule="auto"/>
              <w:jc w:val="center"/>
              <w:rPr>
                <w:rFonts w:ascii="Calibri" w:eastAsia="Times New Roman" w:hAnsi="Calibri" w:cs="Calibri"/>
                <w:color w:val="000000"/>
                <w:sz w:val="20"/>
                <w:szCs w:val="20"/>
              </w:rPr>
            </w:pPr>
            <w:r w:rsidRPr="00E42B8C">
              <w:rPr>
                <w:rFonts w:ascii="Calibri" w:hAnsi="Calibri" w:cs="Calibri"/>
                <w:color w:val="000000"/>
                <w:sz w:val="20"/>
                <w:szCs w:val="20"/>
              </w:rPr>
              <w:t>1682</w:t>
            </w:r>
          </w:p>
        </w:tc>
        <w:tc>
          <w:tcPr>
            <w:tcW w:w="1234" w:type="dxa"/>
            <w:tcBorders>
              <w:top w:val="nil"/>
              <w:left w:val="nil"/>
              <w:bottom w:val="single" w:sz="12" w:space="0" w:color="auto"/>
              <w:right w:val="single" w:sz="4" w:space="0" w:color="auto"/>
            </w:tcBorders>
            <w:shd w:val="clear" w:color="auto" w:fill="auto"/>
            <w:noWrap/>
            <w:vAlign w:val="bottom"/>
            <w:hideMark/>
          </w:tcPr>
          <w:p w14:paraId="68C4E345" w14:textId="356AB0DE" w:rsidR="00596B7F" w:rsidRPr="00E42B8C" w:rsidRDefault="00596B7F" w:rsidP="00596B7F">
            <w:pPr>
              <w:spacing w:after="0" w:line="240" w:lineRule="auto"/>
              <w:jc w:val="center"/>
              <w:rPr>
                <w:rFonts w:ascii="Calibri" w:eastAsia="Times New Roman" w:hAnsi="Calibri" w:cs="Calibri"/>
                <w:color w:val="000000"/>
                <w:sz w:val="20"/>
                <w:szCs w:val="20"/>
              </w:rPr>
            </w:pPr>
            <w:r w:rsidRPr="00E42B8C">
              <w:rPr>
                <w:rFonts w:ascii="Calibri" w:hAnsi="Calibri" w:cs="Calibri"/>
                <w:color w:val="000000"/>
                <w:sz w:val="20"/>
                <w:szCs w:val="20"/>
              </w:rPr>
              <w:t>1537</w:t>
            </w:r>
          </w:p>
        </w:tc>
        <w:tc>
          <w:tcPr>
            <w:tcW w:w="1028" w:type="dxa"/>
            <w:tcBorders>
              <w:top w:val="nil"/>
              <w:left w:val="nil"/>
              <w:bottom w:val="single" w:sz="12" w:space="0" w:color="auto"/>
              <w:right w:val="single" w:sz="4" w:space="0" w:color="auto"/>
            </w:tcBorders>
            <w:shd w:val="clear" w:color="auto" w:fill="auto"/>
            <w:noWrap/>
            <w:vAlign w:val="bottom"/>
            <w:hideMark/>
          </w:tcPr>
          <w:p w14:paraId="644FB47E" w14:textId="56175974" w:rsidR="00596B7F" w:rsidRPr="00E42B8C" w:rsidRDefault="00596B7F" w:rsidP="00596B7F">
            <w:pPr>
              <w:spacing w:after="0" w:line="240" w:lineRule="auto"/>
              <w:jc w:val="center"/>
              <w:rPr>
                <w:rFonts w:ascii="Calibri" w:eastAsia="Times New Roman" w:hAnsi="Calibri" w:cs="Calibri"/>
                <w:color w:val="000000"/>
                <w:sz w:val="20"/>
                <w:szCs w:val="20"/>
              </w:rPr>
            </w:pPr>
            <w:r w:rsidRPr="00E42B8C">
              <w:rPr>
                <w:rFonts w:ascii="Calibri" w:hAnsi="Calibri" w:cs="Calibri"/>
                <w:color w:val="000000"/>
                <w:sz w:val="20"/>
                <w:szCs w:val="20"/>
              </w:rPr>
              <w:t>614</w:t>
            </w:r>
          </w:p>
        </w:tc>
      </w:tr>
      <w:tr w:rsidR="00596B7F" w:rsidRPr="00B97474" w14:paraId="6BF7C8DA" w14:textId="77777777" w:rsidTr="00994107">
        <w:trPr>
          <w:cantSplit/>
          <w:trHeight w:val="293"/>
        </w:trPr>
        <w:tc>
          <w:tcPr>
            <w:tcW w:w="1615" w:type="dxa"/>
            <w:tcBorders>
              <w:top w:val="single" w:sz="12" w:space="0" w:color="auto"/>
              <w:left w:val="single" w:sz="4" w:space="0" w:color="auto"/>
              <w:bottom w:val="single" w:sz="4" w:space="0" w:color="auto"/>
              <w:right w:val="single" w:sz="4" w:space="0" w:color="auto"/>
            </w:tcBorders>
            <w:shd w:val="clear" w:color="000000" w:fill="FFFFFF"/>
            <w:vAlign w:val="center"/>
            <w:hideMark/>
          </w:tcPr>
          <w:p w14:paraId="13A327AA" w14:textId="77777777" w:rsidR="00596B7F" w:rsidRPr="00E42B8C" w:rsidRDefault="00596B7F" w:rsidP="00596B7F">
            <w:pPr>
              <w:spacing w:after="0" w:line="240" w:lineRule="auto"/>
              <w:rPr>
                <w:rFonts w:ascii="Calibri" w:eastAsia="Times New Roman" w:hAnsi="Calibri" w:cs="Calibri"/>
                <w:b/>
                <w:bCs/>
                <w:color w:val="242424"/>
                <w:sz w:val="20"/>
                <w:szCs w:val="20"/>
              </w:rPr>
            </w:pPr>
            <w:r w:rsidRPr="00E42B8C">
              <w:rPr>
                <w:rFonts w:ascii="Calibri" w:eastAsia="Times New Roman" w:hAnsi="Calibri" w:cs="Calibri"/>
                <w:b/>
                <w:bCs/>
                <w:color w:val="242424"/>
                <w:sz w:val="20"/>
                <w:szCs w:val="20"/>
              </w:rPr>
              <w:t>Total</w:t>
            </w:r>
          </w:p>
        </w:tc>
        <w:tc>
          <w:tcPr>
            <w:tcW w:w="1170" w:type="dxa"/>
            <w:tcBorders>
              <w:top w:val="single" w:sz="12" w:space="0" w:color="auto"/>
              <w:left w:val="nil"/>
              <w:bottom w:val="single" w:sz="4" w:space="0" w:color="auto"/>
              <w:right w:val="single" w:sz="4" w:space="0" w:color="auto"/>
            </w:tcBorders>
            <w:shd w:val="clear" w:color="auto" w:fill="auto"/>
            <w:noWrap/>
            <w:vAlign w:val="bottom"/>
            <w:hideMark/>
          </w:tcPr>
          <w:p w14:paraId="75356531" w14:textId="3143F8F7" w:rsidR="00596B7F" w:rsidRPr="00E42B8C" w:rsidRDefault="00596B7F" w:rsidP="00596B7F">
            <w:pPr>
              <w:spacing w:after="0" w:line="240" w:lineRule="auto"/>
              <w:jc w:val="center"/>
              <w:rPr>
                <w:rFonts w:ascii="Calibri" w:eastAsia="Times New Roman" w:hAnsi="Calibri" w:cs="Calibri"/>
                <w:b/>
                <w:bCs/>
                <w:color w:val="000000"/>
                <w:sz w:val="20"/>
                <w:szCs w:val="20"/>
              </w:rPr>
            </w:pPr>
            <w:r w:rsidRPr="00E42B8C">
              <w:rPr>
                <w:rFonts w:ascii="Calibri" w:hAnsi="Calibri" w:cs="Calibri"/>
                <w:b/>
                <w:bCs/>
                <w:color w:val="000000"/>
                <w:sz w:val="20"/>
                <w:szCs w:val="20"/>
              </w:rPr>
              <w:t>17298</w:t>
            </w:r>
          </w:p>
        </w:tc>
        <w:tc>
          <w:tcPr>
            <w:tcW w:w="1080" w:type="dxa"/>
            <w:tcBorders>
              <w:top w:val="single" w:sz="12" w:space="0" w:color="auto"/>
              <w:left w:val="nil"/>
              <w:bottom w:val="single" w:sz="4" w:space="0" w:color="auto"/>
              <w:right w:val="single" w:sz="4" w:space="0" w:color="auto"/>
            </w:tcBorders>
            <w:shd w:val="clear" w:color="auto" w:fill="auto"/>
            <w:noWrap/>
            <w:vAlign w:val="bottom"/>
            <w:hideMark/>
          </w:tcPr>
          <w:p w14:paraId="1C781119" w14:textId="44B7F3EA" w:rsidR="00596B7F" w:rsidRPr="00E42B8C" w:rsidRDefault="00596B7F" w:rsidP="00596B7F">
            <w:pPr>
              <w:spacing w:after="0" w:line="240" w:lineRule="auto"/>
              <w:jc w:val="center"/>
              <w:rPr>
                <w:rFonts w:ascii="Calibri" w:eastAsia="Times New Roman" w:hAnsi="Calibri" w:cs="Calibri"/>
                <w:b/>
                <w:bCs/>
                <w:color w:val="000000"/>
                <w:sz w:val="20"/>
                <w:szCs w:val="20"/>
              </w:rPr>
            </w:pPr>
            <w:r w:rsidRPr="00E42B8C">
              <w:rPr>
                <w:rFonts w:ascii="Calibri" w:hAnsi="Calibri" w:cs="Calibri"/>
                <w:b/>
                <w:bCs/>
                <w:color w:val="000000"/>
                <w:sz w:val="20"/>
                <w:szCs w:val="20"/>
              </w:rPr>
              <w:t>16692</w:t>
            </w:r>
          </w:p>
        </w:tc>
        <w:tc>
          <w:tcPr>
            <w:tcW w:w="1170" w:type="dxa"/>
            <w:tcBorders>
              <w:top w:val="single" w:sz="12" w:space="0" w:color="auto"/>
              <w:left w:val="nil"/>
              <w:bottom w:val="single" w:sz="4" w:space="0" w:color="auto"/>
              <w:right w:val="single" w:sz="4" w:space="0" w:color="auto"/>
            </w:tcBorders>
            <w:shd w:val="clear" w:color="auto" w:fill="auto"/>
            <w:noWrap/>
            <w:vAlign w:val="bottom"/>
            <w:hideMark/>
          </w:tcPr>
          <w:p w14:paraId="4534AF25" w14:textId="26A214F7" w:rsidR="00596B7F" w:rsidRPr="00E42B8C" w:rsidRDefault="00596B7F" w:rsidP="00596B7F">
            <w:pPr>
              <w:spacing w:after="0" w:line="240" w:lineRule="auto"/>
              <w:jc w:val="center"/>
              <w:rPr>
                <w:rFonts w:ascii="Calibri" w:eastAsia="Times New Roman" w:hAnsi="Calibri" w:cs="Calibri"/>
                <w:b/>
                <w:bCs/>
                <w:color w:val="000000"/>
                <w:sz w:val="20"/>
                <w:szCs w:val="20"/>
              </w:rPr>
            </w:pPr>
            <w:r w:rsidRPr="00E42B8C">
              <w:rPr>
                <w:rFonts w:ascii="Calibri" w:hAnsi="Calibri" w:cs="Calibri"/>
                <w:b/>
                <w:bCs/>
                <w:color w:val="000000"/>
                <w:sz w:val="20"/>
                <w:szCs w:val="20"/>
              </w:rPr>
              <w:t>13324</w:t>
            </w:r>
          </w:p>
        </w:tc>
        <w:tc>
          <w:tcPr>
            <w:tcW w:w="1080" w:type="dxa"/>
            <w:tcBorders>
              <w:top w:val="single" w:sz="12" w:space="0" w:color="auto"/>
              <w:left w:val="nil"/>
              <w:bottom w:val="single" w:sz="4" w:space="0" w:color="auto"/>
              <w:right w:val="single" w:sz="4" w:space="0" w:color="auto"/>
            </w:tcBorders>
            <w:shd w:val="clear" w:color="auto" w:fill="auto"/>
            <w:noWrap/>
            <w:vAlign w:val="bottom"/>
            <w:hideMark/>
          </w:tcPr>
          <w:p w14:paraId="112FE7B9" w14:textId="4A257177" w:rsidR="00596B7F" w:rsidRPr="00E42B8C" w:rsidRDefault="00596B7F" w:rsidP="00596B7F">
            <w:pPr>
              <w:spacing w:after="0" w:line="240" w:lineRule="auto"/>
              <w:jc w:val="center"/>
              <w:rPr>
                <w:rFonts w:ascii="Calibri" w:eastAsia="Times New Roman" w:hAnsi="Calibri" w:cs="Calibri"/>
                <w:b/>
                <w:bCs/>
                <w:color w:val="000000"/>
                <w:sz w:val="20"/>
                <w:szCs w:val="20"/>
              </w:rPr>
            </w:pPr>
            <w:r w:rsidRPr="00E42B8C">
              <w:rPr>
                <w:rFonts w:ascii="Calibri" w:hAnsi="Calibri" w:cs="Calibri"/>
                <w:b/>
                <w:bCs/>
                <w:color w:val="000000"/>
                <w:sz w:val="20"/>
                <w:szCs w:val="20"/>
              </w:rPr>
              <w:t>14015</w:t>
            </w:r>
          </w:p>
        </w:tc>
        <w:tc>
          <w:tcPr>
            <w:tcW w:w="1170" w:type="dxa"/>
            <w:tcBorders>
              <w:top w:val="single" w:sz="12" w:space="0" w:color="auto"/>
              <w:left w:val="nil"/>
              <w:bottom w:val="single" w:sz="4" w:space="0" w:color="auto"/>
              <w:right w:val="single" w:sz="4" w:space="0" w:color="auto"/>
            </w:tcBorders>
            <w:shd w:val="clear" w:color="auto" w:fill="auto"/>
            <w:noWrap/>
            <w:vAlign w:val="bottom"/>
            <w:hideMark/>
          </w:tcPr>
          <w:p w14:paraId="75D97068" w14:textId="2E272E88" w:rsidR="00596B7F" w:rsidRPr="00E42B8C" w:rsidRDefault="00596B7F" w:rsidP="00596B7F">
            <w:pPr>
              <w:spacing w:after="0" w:line="240" w:lineRule="auto"/>
              <w:jc w:val="center"/>
              <w:rPr>
                <w:rFonts w:ascii="Calibri" w:eastAsia="Times New Roman" w:hAnsi="Calibri" w:cs="Calibri"/>
                <w:b/>
                <w:bCs/>
                <w:color w:val="000000"/>
                <w:sz w:val="20"/>
                <w:szCs w:val="20"/>
              </w:rPr>
            </w:pPr>
            <w:r w:rsidRPr="00E42B8C">
              <w:rPr>
                <w:rFonts w:ascii="Calibri" w:hAnsi="Calibri" w:cs="Calibri"/>
                <w:b/>
                <w:bCs/>
                <w:color w:val="000000"/>
                <w:sz w:val="20"/>
                <w:szCs w:val="20"/>
              </w:rPr>
              <w:t>15469</w:t>
            </w:r>
          </w:p>
        </w:tc>
        <w:tc>
          <w:tcPr>
            <w:tcW w:w="1234" w:type="dxa"/>
            <w:tcBorders>
              <w:top w:val="single" w:sz="12" w:space="0" w:color="auto"/>
              <w:left w:val="nil"/>
              <w:bottom w:val="single" w:sz="4" w:space="0" w:color="auto"/>
              <w:right w:val="single" w:sz="4" w:space="0" w:color="auto"/>
            </w:tcBorders>
            <w:shd w:val="clear" w:color="auto" w:fill="auto"/>
            <w:noWrap/>
            <w:vAlign w:val="bottom"/>
            <w:hideMark/>
          </w:tcPr>
          <w:p w14:paraId="31BA3B92" w14:textId="5E4B0A96" w:rsidR="00596B7F" w:rsidRPr="00E42B8C" w:rsidRDefault="00596B7F" w:rsidP="00596B7F">
            <w:pPr>
              <w:spacing w:after="0" w:line="240" w:lineRule="auto"/>
              <w:jc w:val="center"/>
              <w:rPr>
                <w:rFonts w:ascii="Calibri" w:eastAsia="Times New Roman" w:hAnsi="Calibri" w:cs="Calibri"/>
                <w:b/>
                <w:bCs/>
                <w:color w:val="000000"/>
                <w:sz w:val="20"/>
                <w:szCs w:val="20"/>
              </w:rPr>
            </w:pPr>
            <w:r w:rsidRPr="00E42B8C">
              <w:rPr>
                <w:rFonts w:ascii="Calibri" w:hAnsi="Calibri" w:cs="Calibri"/>
                <w:b/>
                <w:bCs/>
                <w:color w:val="000000"/>
                <w:sz w:val="20"/>
                <w:szCs w:val="20"/>
              </w:rPr>
              <w:t>16240</w:t>
            </w:r>
          </w:p>
        </w:tc>
        <w:tc>
          <w:tcPr>
            <w:tcW w:w="1028" w:type="dxa"/>
            <w:tcBorders>
              <w:top w:val="single" w:sz="12" w:space="0" w:color="auto"/>
              <w:left w:val="nil"/>
              <w:bottom w:val="single" w:sz="4" w:space="0" w:color="auto"/>
              <w:right w:val="single" w:sz="4" w:space="0" w:color="auto"/>
            </w:tcBorders>
            <w:shd w:val="clear" w:color="auto" w:fill="auto"/>
            <w:noWrap/>
            <w:vAlign w:val="bottom"/>
            <w:hideMark/>
          </w:tcPr>
          <w:p w14:paraId="508C1832" w14:textId="1D3AAF74" w:rsidR="00596B7F" w:rsidRPr="00E42B8C" w:rsidRDefault="00596B7F" w:rsidP="00596B7F">
            <w:pPr>
              <w:spacing w:after="0" w:line="240" w:lineRule="auto"/>
              <w:jc w:val="center"/>
              <w:rPr>
                <w:rFonts w:ascii="Calibri" w:eastAsia="Times New Roman" w:hAnsi="Calibri" w:cs="Calibri"/>
                <w:b/>
                <w:bCs/>
                <w:color w:val="000000"/>
                <w:sz w:val="20"/>
                <w:szCs w:val="20"/>
              </w:rPr>
            </w:pPr>
            <w:r w:rsidRPr="00E42B8C">
              <w:rPr>
                <w:rFonts w:ascii="Calibri" w:hAnsi="Calibri" w:cs="Calibri"/>
                <w:b/>
                <w:bCs/>
                <w:color w:val="000000"/>
                <w:sz w:val="20"/>
                <w:szCs w:val="20"/>
              </w:rPr>
              <w:t>4420</w:t>
            </w:r>
          </w:p>
        </w:tc>
      </w:tr>
    </w:tbl>
    <w:p w14:paraId="73355A14" w14:textId="77777777" w:rsidR="00B97474" w:rsidRDefault="00B97474" w:rsidP="00596B7F">
      <w:pPr>
        <w:rPr>
          <w:rFonts w:asciiTheme="minorHAnsi" w:hAnsiTheme="minorHAnsi" w:cstheme="minorHAnsi"/>
          <w:b/>
        </w:rPr>
      </w:pPr>
    </w:p>
    <w:p w14:paraId="5BB09AE8" w14:textId="59921B0F" w:rsidR="00F20199" w:rsidRPr="00A3314D" w:rsidRDefault="00F20199" w:rsidP="00F20199">
      <w:pPr>
        <w:jc w:val="center"/>
        <w:rPr>
          <w:rFonts w:asciiTheme="minorHAnsi" w:hAnsiTheme="minorHAnsi" w:cstheme="minorHAnsi"/>
          <w:b/>
        </w:rPr>
      </w:pPr>
      <w:r w:rsidRPr="00A3314D">
        <w:rPr>
          <w:rFonts w:asciiTheme="minorHAnsi" w:hAnsiTheme="minorHAnsi" w:cstheme="minorHAnsi"/>
          <w:b/>
        </w:rPr>
        <w:t xml:space="preserve">Table </w:t>
      </w:r>
      <w:r w:rsidR="00247159">
        <w:rPr>
          <w:rFonts w:asciiTheme="minorHAnsi" w:hAnsiTheme="minorHAnsi" w:cstheme="minorHAnsi"/>
          <w:b/>
        </w:rPr>
        <w:t>9</w:t>
      </w:r>
      <w:r w:rsidRPr="00A3314D">
        <w:rPr>
          <w:rFonts w:asciiTheme="minorHAnsi" w:hAnsiTheme="minorHAnsi" w:cstheme="minorHAnsi"/>
          <w:b/>
        </w:rPr>
        <w:t>. Projected Cases Volume by Year</w:t>
      </w:r>
      <w:r w:rsidR="00943C78">
        <w:rPr>
          <w:rStyle w:val="FootnoteReference"/>
          <w:rFonts w:asciiTheme="minorHAnsi" w:hAnsiTheme="minorHAnsi" w:cstheme="minorHAnsi"/>
          <w:b/>
        </w:rPr>
        <w:footnoteReference w:id="44"/>
      </w:r>
    </w:p>
    <w:tbl>
      <w:tblPr>
        <w:tblW w:w="7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901"/>
        <w:gridCol w:w="1236"/>
        <w:gridCol w:w="1236"/>
        <w:gridCol w:w="1236"/>
        <w:gridCol w:w="1236"/>
      </w:tblGrid>
      <w:tr w:rsidR="00F20199" w:rsidRPr="00792A3D" w14:paraId="46F56047" w14:textId="77777777" w:rsidTr="00E42B8C">
        <w:trPr>
          <w:trHeight w:val="260"/>
          <w:jc w:val="center"/>
        </w:trPr>
        <w:tc>
          <w:tcPr>
            <w:tcW w:w="1795" w:type="dxa"/>
            <w:shd w:val="clear" w:color="auto" w:fill="BDD6EE" w:themeFill="accent1" w:themeFillTint="66"/>
            <w:vAlign w:val="center"/>
          </w:tcPr>
          <w:p w14:paraId="2133A9E6" w14:textId="77777777" w:rsidR="00F20199" w:rsidRPr="00E42B8C" w:rsidRDefault="00F20199" w:rsidP="00C41EEC">
            <w:pPr>
              <w:spacing w:after="0" w:line="240" w:lineRule="auto"/>
              <w:jc w:val="center"/>
              <w:rPr>
                <w:rFonts w:asciiTheme="minorHAnsi" w:eastAsia="Times New Roman" w:hAnsiTheme="minorHAnsi" w:cstheme="minorHAnsi"/>
                <w:b/>
                <w:bCs/>
                <w:color w:val="000000"/>
                <w:sz w:val="20"/>
                <w:szCs w:val="20"/>
              </w:rPr>
            </w:pPr>
          </w:p>
        </w:tc>
        <w:tc>
          <w:tcPr>
            <w:tcW w:w="901" w:type="dxa"/>
            <w:shd w:val="clear" w:color="auto" w:fill="BDD6EE" w:themeFill="accent1" w:themeFillTint="66"/>
            <w:noWrap/>
            <w:vAlign w:val="center"/>
          </w:tcPr>
          <w:p w14:paraId="56099A72" w14:textId="5524F254" w:rsidR="00F20199" w:rsidRPr="00E42B8C" w:rsidRDefault="00AC58EF" w:rsidP="00C41EEC">
            <w:pPr>
              <w:spacing w:after="0" w:line="240" w:lineRule="auto"/>
              <w:jc w:val="center"/>
              <w:rPr>
                <w:rFonts w:asciiTheme="minorHAnsi" w:eastAsia="Times New Roman" w:hAnsiTheme="minorHAnsi" w:cstheme="minorHAnsi"/>
                <w:b/>
                <w:bCs/>
                <w:color w:val="000000"/>
                <w:sz w:val="20"/>
                <w:szCs w:val="20"/>
              </w:rPr>
            </w:pPr>
            <w:r w:rsidRPr="00E42B8C">
              <w:rPr>
                <w:rFonts w:asciiTheme="minorHAnsi" w:eastAsia="Times New Roman" w:hAnsiTheme="minorHAnsi" w:cstheme="minorHAnsi"/>
                <w:b/>
                <w:bCs/>
                <w:color w:val="000000"/>
                <w:sz w:val="20"/>
                <w:szCs w:val="20"/>
              </w:rPr>
              <w:t>CY 2026</w:t>
            </w:r>
          </w:p>
        </w:tc>
        <w:tc>
          <w:tcPr>
            <w:tcW w:w="1236" w:type="dxa"/>
            <w:shd w:val="clear" w:color="auto" w:fill="BDD6EE" w:themeFill="accent1" w:themeFillTint="66"/>
            <w:noWrap/>
            <w:vAlign w:val="center"/>
          </w:tcPr>
          <w:p w14:paraId="4976E29A" w14:textId="05715F3B" w:rsidR="00F20199" w:rsidRPr="00E42B8C" w:rsidRDefault="00AC58EF" w:rsidP="00C41EEC">
            <w:pPr>
              <w:spacing w:after="0" w:line="240" w:lineRule="auto"/>
              <w:jc w:val="center"/>
              <w:rPr>
                <w:rFonts w:asciiTheme="minorHAnsi" w:eastAsia="Times New Roman" w:hAnsiTheme="minorHAnsi" w:cstheme="minorHAnsi"/>
                <w:b/>
                <w:bCs/>
                <w:color w:val="000000"/>
                <w:sz w:val="20"/>
                <w:szCs w:val="20"/>
              </w:rPr>
            </w:pPr>
            <w:r w:rsidRPr="00E42B8C">
              <w:rPr>
                <w:rFonts w:asciiTheme="minorHAnsi" w:eastAsia="Times New Roman" w:hAnsiTheme="minorHAnsi" w:cstheme="minorHAnsi"/>
                <w:b/>
                <w:bCs/>
                <w:color w:val="000000"/>
                <w:sz w:val="20"/>
                <w:szCs w:val="20"/>
              </w:rPr>
              <w:t>CY 2027</w:t>
            </w:r>
          </w:p>
        </w:tc>
        <w:tc>
          <w:tcPr>
            <w:tcW w:w="1236" w:type="dxa"/>
            <w:shd w:val="clear" w:color="auto" w:fill="BDD6EE" w:themeFill="accent1" w:themeFillTint="66"/>
            <w:noWrap/>
            <w:vAlign w:val="center"/>
          </w:tcPr>
          <w:p w14:paraId="70E009F4" w14:textId="695EFE52" w:rsidR="00F20199" w:rsidRPr="00E42B8C" w:rsidRDefault="00AC58EF" w:rsidP="00C41EEC">
            <w:pPr>
              <w:spacing w:after="0" w:line="240" w:lineRule="auto"/>
              <w:jc w:val="center"/>
              <w:rPr>
                <w:rFonts w:asciiTheme="minorHAnsi" w:eastAsia="Times New Roman" w:hAnsiTheme="minorHAnsi" w:cstheme="minorHAnsi"/>
                <w:b/>
                <w:bCs/>
                <w:color w:val="000000"/>
                <w:sz w:val="20"/>
                <w:szCs w:val="20"/>
              </w:rPr>
            </w:pPr>
            <w:r w:rsidRPr="00E42B8C">
              <w:rPr>
                <w:rFonts w:asciiTheme="minorHAnsi" w:eastAsia="Times New Roman" w:hAnsiTheme="minorHAnsi" w:cstheme="minorHAnsi"/>
                <w:b/>
                <w:bCs/>
                <w:color w:val="000000"/>
                <w:sz w:val="20"/>
                <w:szCs w:val="20"/>
              </w:rPr>
              <w:t>CY 2028</w:t>
            </w:r>
          </w:p>
        </w:tc>
        <w:tc>
          <w:tcPr>
            <w:tcW w:w="1236" w:type="dxa"/>
            <w:shd w:val="clear" w:color="auto" w:fill="BDD6EE" w:themeFill="accent1" w:themeFillTint="66"/>
            <w:noWrap/>
            <w:vAlign w:val="center"/>
          </w:tcPr>
          <w:p w14:paraId="5DEAD7F0" w14:textId="7C4F9036" w:rsidR="00F20199" w:rsidRPr="00E42B8C" w:rsidRDefault="00AC58EF" w:rsidP="00C41EEC">
            <w:pPr>
              <w:spacing w:after="0" w:line="240" w:lineRule="auto"/>
              <w:jc w:val="center"/>
              <w:rPr>
                <w:rFonts w:asciiTheme="minorHAnsi" w:eastAsia="Times New Roman" w:hAnsiTheme="minorHAnsi" w:cstheme="minorHAnsi"/>
                <w:b/>
                <w:bCs/>
                <w:color w:val="000000"/>
                <w:sz w:val="20"/>
                <w:szCs w:val="20"/>
              </w:rPr>
            </w:pPr>
            <w:r w:rsidRPr="00E42B8C">
              <w:rPr>
                <w:rFonts w:asciiTheme="minorHAnsi" w:eastAsia="Times New Roman" w:hAnsiTheme="minorHAnsi" w:cstheme="minorHAnsi"/>
                <w:b/>
                <w:bCs/>
                <w:color w:val="000000"/>
                <w:sz w:val="20"/>
                <w:szCs w:val="20"/>
              </w:rPr>
              <w:t>CY 2029</w:t>
            </w:r>
          </w:p>
        </w:tc>
        <w:tc>
          <w:tcPr>
            <w:tcW w:w="1236" w:type="dxa"/>
            <w:shd w:val="clear" w:color="auto" w:fill="BDD6EE" w:themeFill="accent1" w:themeFillTint="66"/>
            <w:noWrap/>
            <w:vAlign w:val="center"/>
          </w:tcPr>
          <w:p w14:paraId="156B0D99" w14:textId="135C748F" w:rsidR="00F20199" w:rsidRPr="00E42B8C" w:rsidRDefault="00AC58EF" w:rsidP="00C41EEC">
            <w:pPr>
              <w:spacing w:after="0" w:line="240" w:lineRule="auto"/>
              <w:jc w:val="center"/>
              <w:rPr>
                <w:rFonts w:asciiTheme="minorHAnsi" w:eastAsia="Times New Roman" w:hAnsiTheme="minorHAnsi" w:cstheme="minorHAnsi"/>
                <w:b/>
                <w:bCs/>
                <w:color w:val="000000"/>
                <w:sz w:val="20"/>
                <w:szCs w:val="20"/>
              </w:rPr>
            </w:pPr>
            <w:r w:rsidRPr="00E42B8C">
              <w:rPr>
                <w:rFonts w:asciiTheme="minorHAnsi" w:eastAsia="Times New Roman" w:hAnsiTheme="minorHAnsi" w:cstheme="minorHAnsi"/>
                <w:b/>
                <w:bCs/>
                <w:color w:val="000000"/>
                <w:sz w:val="20"/>
                <w:szCs w:val="20"/>
              </w:rPr>
              <w:t>CY 2030</w:t>
            </w:r>
          </w:p>
        </w:tc>
      </w:tr>
      <w:tr w:rsidR="00F20199" w:rsidRPr="00792A3D" w14:paraId="2ABC9275" w14:textId="77777777" w:rsidTr="00E42B8C">
        <w:trPr>
          <w:trHeight w:val="323"/>
          <w:jc w:val="center"/>
        </w:trPr>
        <w:tc>
          <w:tcPr>
            <w:tcW w:w="1795" w:type="dxa"/>
            <w:vAlign w:val="bottom"/>
          </w:tcPr>
          <w:p w14:paraId="4E7B5863" w14:textId="77777777" w:rsidR="00F20199" w:rsidRPr="00E42B8C" w:rsidRDefault="00F20199" w:rsidP="00C41EEC">
            <w:pPr>
              <w:spacing w:after="0" w:line="240" w:lineRule="auto"/>
              <w:rPr>
                <w:rFonts w:asciiTheme="minorHAnsi" w:eastAsia="Times New Roman" w:hAnsiTheme="minorHAnsi" w:cstheme="minorHAnsi"/>
                <w:b/>
                <w:bCs/>
                <w:color w:val="000000"/>
                <w:sz w:val="20"/>
                <w:szCs w:val="20"/>
              </w:rPr>
            </w:pPr>
            <w:r w:rsidRPr="00E42B8C">
              <w:rPr>
                <w:rFonts w:asciiTheme="minorHAnsi" w:eastAsia="Times New Roman" w:hAnsiTheme="minorHAnsi" w:cstheme="minorHAnsi"/>
                <w:b/>
                <w:bCs/>
                <w:color w:val="000000"/>
                <w:sz w:val="20"/>
                <w:szCs w:val="20"/>
              </w:rPr>
              <w:t>Estimated Cases</w:t>
            </w:r>
          </w:p>
        </w:tc>
        <w:tc>
          <w:tcPr>
            <w:tcW w:w="901" w:type="dxa"/>
            <w:shd w:val="clear" w:color="auto" w:fill="auto"/>
            <w:noWrap/>
            <w:vAlign w:val="bottom"/>
            <w:hideMark/>
          </w:tcPr>
          <w:p w14:paraId="6CFAAA93" w14:textId="77777777" w:rsidR="00F20199" w:rsidRPr="00E42B8C" w:rsidRDefault="00F20199" w:rsidP="00C41EEC">
            <w:pPr>
              <w:spacing w:after="0" w:line="240" w:lineRule="auto"/>
              <w:jc w:val="center"/>
              <w:rPr>
                <w:rFonts w:asciiTheme="minorHAnsi" w:eastAsia="Times New Roman" w:hAnsiTheme="minorHAnsi" w:cstheme="minorHAnsi"/>
                <w:b/>
                <w:bCs/>
                <w:color w:val="000000"/>
                <w:sz w:val="20"/>
                <w:szCs w:val="20"/>
              </w:rPr>
            </w:pPr>
            <w:r w:rsidRPr="00E42B8C">
              <w:rPr>
                <w:rFonts w:asciiTheme="minorHAnsi" w:eastAsia="Times New Roman" w:hAnsiTheme="minorHAnsi" w:cstheme="minorHAnsi"/>
                <w:b/>
                <w:bCs/>
                <w:color w:val="000000"/>
                <w:sz w:val="20"/>
                <w:szCs w:val="20"/>
              </w:rPr>
              <w:t>3,428</w:t>
            </w:r>
          </w:p>
        </w:tc>
        <w:tc>
          <w:tcPr>
            <w:tcW w:w="1236" w:type="dxa"/>
            <w:shd w:val="clear" w:color="auto" w:fill="auto"/>
            <w:noWrap/>
            <w:vAlign w:val="bottom"/>
            <w:hideMark/>
          </w:tcPr>
          <w:p w14:paraId="676EB6B8" w14:textId="77777777" w:rsidR="00F20199" w:rsidRPr="00E42B8C" w:rsidRDefault="00F20199" w:rsidP="00C41EEC">
            <w:pPr>
              <w:spacing w:after="0" w:line="240" w:lineRule="auto"/>
              <w:jc w:val="center"/>
              <w:rPr>
                <w:rFonts w:asciiTheme="minorHAnsi" w:eastAsia="Times New Roman" w:hAnsiTheme="minorHAnsi" w:cstheme="minorHAnsi"/>
                <w:b/>
                <w:bCs/>
                <w:color w:val="000000"/>
                <w:sz w:val="20"/>
                <w:szCs w:val="20"/>
              </w:rPr>
            </w:pPr>
            <w:r w:rsidRPr="00E42B8C">
              <w:rPr>
                <w:rFonts w:asciiTheme="minorHAnsi" w:eastAsia="Times New Roman" w:hAnsiTheme="minorHAnsi" w:cstheme="minorHAnsi"/>
                <w:b/>
                <w:bCs/>
                <w:color w:val="000000"/>
                <w:sz w:val="20"/>
                <w:szCs w:val="20"/>
              </w:rPr>
              <w:t>6,233</w:t>
            </w:r>
          </w:p>
        </w:tc>
        <w:tc>
          <w:tcPr>
            <w:tcW w:w="1236" w:type="dxa"/>
            <w:shd w:val="clear" w:color="auto" w:fill="auto"/>
            <w:noWrap/>
            <w:vAlign w:val="bottom"/>
            <w:hideMark/>
          </w:tcPr>
          <w:p w14:paraId="1D64B1A6" w14:textId="77777777" w:rsidR="00F20199" w:rsidRPr="00E42B8C" w:rsidRDefault="00F20199" w:rsidP="00C41EEC">
            <w:pPr>
              <w:spacing w:after="0" w:line="240" w:lineRule="auto"/>
              <w:jc w:val="center"/>
              <w:rPr>
                <w:rFonts w:asciiTheme="minorHAnsi" w:eastAsia="Times New Roman" w:hAnsiTheme="minorHAnsi" w:cstheme="minorHAnsi"/>
                <w:b/>
                <w:bCs/>
                <w:color w:val="000000"/>
                <w:sz w:val="20"/>
                <w:szCs w:val="20"/>
              </w:rPr>
            </w:pPr>
            <w:r w:rsidRPr="00E42B8C">
              <w:rPr>
                <w:rFonts w:asciiTheme="minorHAnsi" w:eastAsia="Times New Roman" w:hAnsiTheme="minorHAnsi" w:cstheme="minorHAnsi"/>
                <w:b/>
                <w:bCs/>
                <w:color w:val="000000"/>
                <w:sz w:val="20"/>
                <w:szCs w:val="20"/>
              </w:rPr>
              <w:t>6,358</w:t>
            </w:r>
          </w:p>
        </w:tc>
        <w:tc>
          <w:tcPr>
            <w:tcW w:w="1236" w:type="dxa"/>
            <w:shd w:val="clear" w:color="auto" w:fill="auto"/>
            <w:noWrap/>
            <w:vAlign w:val="bottom"/>
            <w:hideMark/>
          </w:tcPr>
          <w:p w14:paraId="3AFFE9FF" w14:textId="77777777" w:rsidR="00F20199" w:rsidRPr="00E42B8C" w:rsidRDefault="00F20199" w:rsidP="00C41EEC">
            <w:pPr>
              <w:spacing w:after="0" w:line="240" w:lineRule="auto"/>
              <w:jc w:val="center"/>
              <w:rPr>
                <w:rFonts w:asciiTheme="minorHAnsi" w:eastAsia="Times New Roman" w:hAnsiTheme="minorHAnsi" w:cstheme="minorHAnsi"/>
                <w:b/>
                <w:bCs/>
                <w:color w:val="000000"/>
                <w:sz w:val="20"/>
                <w:szCs w:val="20"/>
              </w:rPr>
            </w:pPr>
            <w:r w:rsidRPr="00E42B8C">
              <w:rPr>
                <w:rFonts w:asciiTheme="minorHAnsi" w:eastAsia="Times New Roman" w:hAnsiTheme="minorHAnsi" w:cstheme="minorHAnsi"/>
                <w:b/>
                <w:bCs/>
                <w:color w:val="000000"/>
                <w:sz w:val="20"/>
                <w:szCs w:val="20"/>
              </w:rPr>
              <w:t>6,485</w:t>
            </w:r>
          </w:p>
        </w:tc>
        <w:tc>
          <w:tcPr>
            <w:tcW w:w="1236" w:type="dxa"/>
            <w:shd w:val="clear" w:color="auto" w:fill="auto"/>
            <w:noWrap/>
            <w:vAlign w:val="bottom"/>
            <w:hideMark/>
          </w:tcPr>
          <w:p w14:paraId="06C0BA6D" w14:textId="77777777" w:rsidR="00F20199" w:rsidRPr="00E42B8C" w:rsidRDefault="00F20199" w:rsidP="00C41EEC">
            <w:pPr>
              <w:spacing w:after="0" w:line="240" w:lineRule="auto"/>
              <w:jc w:val="center"/>
              <w:rPr>
                <w:rFonts w:asciiTheme="minorHAnsi" w:eastAsia="Times New Roman" w:hAnsiTheme="minorHAnsi" w:cstheme="minorHAnsi"/>
                <w:b/>
                <w:bCs/>
                <w:color w:val="000000"/>
                <w:sz w:val="20"/>
                <w:szCs w:val="20"/>
              </w:rPr>
            </w:pPr>
            <w:r w:rsidRPr="00E42B8C">
              <w:rPr>
                <w:rFonts w:asciiTheme="minorHAnsi" w:eastAsia="Times New Roman" w:hAnsiTheme="minorHAnsi" w:cstheme="minorHAnsi"/>
                <w:b/>
                <w:bCs/>
                <w:color w:val="000000"/>
                <w:sz w:val="20"/>
                <w:szCs w:val="20"/>
              </w:rPr>
              <w:t>6,615</w:t>
            </w:r>
          </w:p>
        </w:tc>
      </w:tr>
    </w:tbl>
    <w:p w14:paraId="55CBDC28" w14:textId="11C416CC" w:rsidR="00797BE3" w:rsidRPr="00E368E4" w:rsidRDefault="000114A1" w:rsidP="00F20199">
      <w:pPr>
        <w:autoSpaceDE w:val="0"/>
        <w:autoSpaceDN w:val="0"/>
        <w:adjustRightInd w:val="0"/>
        <w:spacing w:after="0" w:line="240" w:lineRule="auto"/>
        <w:jc w:val="both"/>
        <w:rPr>
          <w:rFonts w:asciiTheme="minorHAnsi" w:hAnsiTheme="minorHAnsi" w:cstheme="minorHAnsi"/>
          <w:szCs w:val="24"/>
        </w:rPr>
      </w:pPr>
      <w:r>
        <w:rPr>
          <w:rFonts w:asciiTheme="minorHAnsi" w:hAnsiTheme="minorHAnsi" w:cstheme="minorHAnsi"/>
          <w:szCs w:val="24"/>
        </w:rPr>
        <w:t xml:space="preserve"> </w:t>
      </w:r>
    </w:p>
    <w:sectPr w:rsidR="00797BE3" w:rsidRPr="00E368E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4824E4" w14:textId="77777777" w:rsidR="006A1BA3" w:rsidRDefault="006A1BA3" w:rsidP="005B249D">
      <w:pPr>
        <w:spacing w:after="0" w:line="240" w:lineRule="auto"/>
      </w:pPr>
      <w:r>
        <w:separator/>
      </w:r>
    </w:p>
  </w:endnote>
  <w:endnote w:type="continuationSeparator" w:id="0">
    <w:p w14:paraId="322ED8D0" w14:textId="77777777" w:rsidR="006A1BA3" w:rsidRDefault="006A1BA3" w:rsidP="005B249D">
      <w:pPr>
        <w:spacing w:after="0" w:line="240" w:lineRule="auto"/>
      </w:pPr>
      <w:r>
        <w:continuationSeparator/>
      </w:r>
    </w:p>
  </w:endnote>
  <w:endnote w:type="continuationNotice" w:id="1">
    <w:p w14:paraId="24ECE30D" w14:textId="77777777" w:rsidR="006A1BA3" w:rsidRDefault="006A1B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QIEQ S+ Times New">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szCs w:val="20"/>
      </w:rPr>
      <w:id w:val="-1012833549"/>
      <w:docPartObj>
        <w:docPartGallery w:val="Page Numbers (Bottom of Page)"/>
        <w:docPartUnique/>
      </w:docPartObj>
    </w:sdtPr>
    <w:sdtEndPr/>
    <w:sdtContent>
      <w:sdt>
        <w:sdtPr>
          <w:rPr>
            <w:sz w:val="22"/>
            <w:szCs w:val="20"/>
          </w:rPr>
          <w:id w:val="-1769616900"/>
          <w:docPartObj>
            <w:docPartGallery w:val="Page Numbers (Top of Page)"/>
            <w:docPartUnique/>
          </w:docPartObj>
        </w:sdtPr>
        <w:sdtEndPr/>
        <w:sdtContent>
          <w:p w14:paraId="45BB193C" w14:textId="54FFA3BC" w:rsidR="00453FC2" w:rsidRPr="00400FA6" w:rsidRDefault="00453FC2">
            <w:pPr>
              <w:pStyle w:val="Footer"/>
              <w:jc w:val="right"/>
              <w:rPr>
                <w:sz w:val="22"/>
                <w:szCs w:val="20"/>
              </w:rPr>
            </w:pPr>
            <w:r w:rsidRPr="00400FA6">
              <w:rPr>
                <w:rFonts w:asciiTheme="minorHAnsi" w:hAnsiTheme="minorHAnsi" w:cstheme="minorHAnsi"/>
                <w:sz w:val="22"/>
                <w:szCs w:val="20"/>
              </w:rPr>
              <w:t xml:space="preserve">Page </w:t>
            </w:r>
            <w:r w:rsidRPr="00400FA6">
              <w:rPr>
                <w:rFonts w:asciiTheme="minorHAnsi" w:hAnsiTheme="minorHAnsi" w:cstheme="minorHAnsi"/>
                <w:b/>
                <w:bCs/>
                <w:sz w:val="22"/>
              </w:rPr>
              <w:fldChar w:fldCharType="begin"/>
            </w:r>
            <w:r w:rsidRPr="00400FA6">
              <w:rPr>
                <w:rFonts w:asciiTheme="minorHAnsi" w:hAnsiTheme="minorHAnsi" w:cstheme="minorHAnsi"/>
                <w:b/>
                <w:bCs/>
                <w:sz w:val="22"/>
                <w:szCs w:val="20"/>
              </w:rPr>
              <w:instrText xml:space="preserve"> PAGE </w:instrText>
            </w:r>
            <w:r w:rsidRPr="00400FA6">
              <w:rPr>
                <w:rFonts w:asciiTheme="minorHAnsi" w:hAnsiTheme="minorHAnsi" w:cstheme="minorHAnsi"/>
                <w:b/>
                <w:bCs/>
                <w:sz w:val="22"/>
              </w:rPr>
              <w:fldChar w:fldCharType="separate"/>
            </w:r>
            <w:r w:rsidRPr="00400FA6">
              <w:rPr>
                <w:rFonts w:asciiTheme="minorHAnsi" w:hAnsiTheme="minorHAnsi" w:cstheme="minorHAnsi"/>
                <w:b/>
                <w:bCs/>
                <w:noProof/>
                <w:sz w:val="22"/>
                <w:szCs w:val="20"/>
              </w:rPr>
              <w:t>2</w:t>
            </w:r>
            <w:r w:rsidRPr="00400FA6">
              <w:rPr>
                <w:rFonts w:asciiTheme="minorHAnsi" w:hAnsiTheme="minorHAnsi" w:cstheme="minorHAnsi"/>
                <w:b/>
                <w:bCs/>
                <w:sz w:val="22"/>
              </w:rPr>
              <w:fldChar w:fldCharType="end"/>
            </w:r>
            <w:r w:rsidRPr="00400FA6">
              <w:rPr>
                <w:rFonts w:asciiTheme="minorHAnsi" w:hAnsiTheme="minorHAnsi" w:cstheme="minorHAnsi"/>
                <w:sz w:val="22"/>
                <w:szCs w:val="20"/>
              </w:rPr>
              <w:t xml:space="preserve"> of </w:t>
            </w:r>
            <w:r w:rsidRPr="00400FA6">
              <w:rPr>
                <w:rFonts w:asciiTheme="minorHAnsi" w:hAnsiTheme="minorHAnsi" w:cstheme="minorHAnsi"/>
                <w:b/>
                <w:bCs/>
                <w:sz w:val="22"/>
              </w:rPr>
              <w:fldChar w:fldCharType="begin"/>
            </w:r>
            <w:r w:rsidRPr="00400FA6">
              <w:rPr>
                <w:rFonts w:asciiTheme="minorHAnsi" w:hAnsiTheme="minorHAnsi" w:cstheme="minorHAnsi"/>
                <w:b/>
                <w:bCs/>
                <w:sz w:val="22"/>
                <w:szCs w:val="20"/>
              </w:rPr>
              <w:instrText xml:space="preserve"> NUMPAGES  </w:instrText>
            </w:r>
            <w:r w:rsidRPr="00400FA6">
              <w:rPr>
                <w:rFonts w:asciiTheme="minorHAnsi" w:hAnsiTheme="minorHAnsi" w:cstheme="minorHAnsi"/>
                <w:b/>
                <w:bCs/>
                <w:sz w:val="22"/>
              </w:rPr>
              <w:fldChar w:fldCharType="separate"/>
            </w:r>
            <w:r w:rsidRPr="00400FA6">
              <w:rPr>
                <w:rFonts w:asciiTheme="minorHAnsi" w:hAnsiTheme="minorHAnsi" w:cstheme="minorHAnsi"/>
                <w:b/>
                <w:bCs/>
                <w:noProof/>
                <w:sz w:val="22"/>
                <w:szCs w:val="20"/>
              </w:rPr>
              <w:t>2</w:t>
            </w:r>
            <w:r w:rsidRPr="00400FA6">
              <w:rPr>
                <w:rFonts w:asciiTheme="minorHAnsi" w:hAnsiTheme="minorHAnsi" w:cstheme="minorHAnsi"/>
                <w:b/>
                <w:bCs/>
                <w:sz w:val="22"/>
              </w:rPr>
              <w:fldChar w:fldCharType="end"/>
            </w:r>
          </w:p>
        </w:sdtContent>
      </w:sdt>
    </w:sdtContent>
  </w:sdt>
  <w:p w14:paraId="131443D0" w14:textId="77777777" w:rsidR="00A97866" w:rsidRDefault="00A978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9D5AA" w14:textId="77777777" w:rsidR="006A1BA3" w:rsidRDefault="006A1BA3" w:rsidP="005B249D">
      <w:pPr>
        <w:spacing w:after="0" w:line="240" w:lineRule="auto"/>
      </w:pPr>
      <w:r>
        <w:separator/>
      </w:r>
    </w:p>
  </w:footnote>
  <w:footnote w:type="continuationSeparator" w:id="0">
    <w:p w14:paraId="762CBDD2" w14:textId="77777777" w:rsidR="006A1BA3" w:rsidRDefault="006A1BA3" w:rsidP="005B249D">
      <w:pPr>
        <w:spacing w:after="0" w:line="240" w:lineRule="auto"/>
      </w:pPr>
      <w:r>
        <w:continuationSeparator/>
      </w:r>
    </w:p>
  </w:footnote>
  <w:footnote w:type="continuationNotice" w:id="1">
    <w:p w14:paraId="67DA8F47" w14:textId="77777777" w:rsidR="006A1BA3" w:rsidRDefault="006A1BA3">
      <w:pPr>
        <w:spacing w:after="0" w:line="240" w:lineRule="auto"/>
      </w:pPr>
    </w:p>
  </w:footnote>
  <w:footnote w:id="2">
    <w:p w14:paraId="340D0C64" w14:textId="77777777" w:rsidR="00797BE3" w:rsidRPr="00BC4B71" w:rsidRDefault="00797BE3" w:rsidP="00797BE3">
      <w:pPr>
        <w:pStyle w:val="BodyText"/>
      </w:pPr>
      <w:r w:rsidRPr="00BC4B71">
        <w:rPr>
          <w:rStyle w:val="FootnoteReference"/>
        </w:rPr>
        <w:footnoteRef/>
      </w:r>
      <w:r w:rsidRPr="00BC4B71">
        <w:t xml:space="preserve"> To be certified as a Medicare ambulatory surgery center, the Center must be operated by a legal entity that is not</w:t>
      </w:r>
    </w:p>
    <w:p w14:paraId="73A12A72" w14:textId="77777777" w:rsidR="00797BE3" w:rsidRPr="00BC4B71" w:rsidRDefault="00797BE3" w:rsidP="00797BE3">
      <w:pPr>
        <w:pStyle w:val="BodyText"/>
      </w:pPr>
      <w:r w:rsidRPr="00BC4B71">
        <w:t>certified to participate in the Medicare program under any other provider category. See 42 CFR 416.2.</w:t>
      </w:r>
    </w:p>
  </w:footnote>
  <w:footnote w:id="3">
    <w:p w14:paraId="30D05FA7" w14:textId="77777777" w:rsidR="00797BE3" w:rsidRPr="00BC4B71" w:rsidRDefault="00797BE3" w:rsidP="00797BE3">
      <w:pPr>
        <w:pStyle w:val="BodyText"/>
      </w:pPr>
      <w:r w:rsidRPr="00BC4B71">
        <w:rPr>
          <w:rStyle w:val="FootnoteReference"/>
        </w:rPr>
        <w:footnoteRef/>
      </w:r>
      <w:r w:rsidRPr="00BC4B71">
        <w:t xml:space="preserve"> The Applicant assumes that its entire Patient Panel except for those residing the Bristol and Plymouth County, Central, and Western Massachusetts could utilize the Proposed Project.  The Applicant excluded those counties because the drive time and historical trends of patents in these counties remaining on the South Shore for their care. </w:t>
      </w:r>
    </w:p>
  </w:footnote>
  <w:footnote w:id="4">
    <w:p w14:paraId="44F265E8" w14:textId="44076504" w:rsidR="00797BE3" w:rsidRPr="00BC4B71" w:rsidRDefault="00797BE3" w:rsidP="00452129">
      <w:pPr>
        <w:pStyle w:val="BodyText"/>
      </w:pPr>
      <w:r w:rsidRPr="00BC4B71">
        <w:rPr>
          <w:rStyle w:val="FootnoteReference"/>
        </w:rPr>
        <w:footnoteRef/>
      </w:r>
      <w:r w:rsidRPr="00BC4B71">
        <w:t xml:space="preserve"> </w:t>
      </w:r>
      <w:r w:rsidR="00452129" w:rsidRPr="00BC4B71">
        <w:t xml:space="preserve"> </w:t>
      </w:r>
      <w:hyperlink r:id="rId1" w:history="1">
        <w:r w:rsidR="00452129" w:rsidRPr="005135F5">
          <w:rPr>
            <w:rStyle w:val="Hyperlink"/>
            <w:i/>
            <w:color w:val="000000" w:themeColor="text1"/>
            <w:u w:val="none"/>
          </w:rPr>
          <w:t>2021 Annual Health Care Cost Trends Report Chartpack</w:t>
        </w:r>
      </w:hyperlink>
      <w:r w:rsidR="00452129" w:rsidRPr="005135F5">
        <w:rPr>
          <w:color w:val="000000" w:themeColor="text1"/>
        </w:rPr>
        <w:t xml:space="preserve"> 59, </w:t>
      </w:r>
      <w:r w:rsidR="00452129" w:rsidRPr="00BC4B71">
        <w:rPr>
          <w:smallCaps/>
        </w:rPr>
        <w:t>HPC</w:t>
      </w:r>
      <w:r w:rsidR="00452129" w:rsidRPr="00BC4B71">
        <w:t xml:space="preserve"> (Sep. 2021) (</w:t>
      </w:r>
      <w:hyperlink r:id="rId2" w:history="1">
        <w:r w:rsidR="00452129" w:rsidRPr="00BC4B71">
          <w:rPr>
            <w:rStyle w:val="Hyperlink"/>
            <w:rFonts w:cstheme="minorHAnsi"/>
          </w:rPr>
          <w:t>https://www.mass.gov/doc/2021-cost-trends-report-chartpack/download</w:t>
        </w:r>
      </w:hyperlink>
      <w:r w:rsidR="00452129" w:rsidRPr="00BC4B71">
        <w:t xml:space="preserve">); </w:t>
      </w:r>
      <w:r w:rsidR="00452129" w:rsidRPr="00BC4B71">
        <w:rPr>
          <w:rStyle w:val="FootnoteReference"/>
          <w:rFonts w:cstheme="minorHAnsi"/>
          <w:i/>
        </w:rPr>
        <w:footnoteRef/>
      </w:r>
      <w:r w:rsidR="00452129" w:rsidRPr="00BC4B71">
        <w:rPr>
          <w:i/>
        </w:rPr>
        <w:t xml:space="preserve"> </w:t>
      </w:r>
      <w:hyperlink r:id="rId3" w:history="1">
        <w:r w:rsidR="00452129" w:rsidRPr="005135F5">
          <w:rPr>
            <w:rStyle w:val="Hyperlink"/>
            <w:i/>
            <w:color w:val="000000" w:themeColor="text1"/>
            <w:u w:val="none"/>
          </w:rPr>
          <w:t>2022 Health Care Cost Trends Report and Policy Recommendations</w:t>
        </w:r>
      </w:hyperlink>
      <w:r w:rsidR="00452129" w:rsidRPr="005135F5">
        <w:rPr>
          <w:color w:val="000000" w:themeColor="text1"/>
        </w:rPr>
        <w:t xml:space="preserve"> 69</w:t>
      </w:r>
      <w:r w:rsidR="00452129" w:rsidRPr="00BC4B71">
        <w:t>, HPC (Sep. 2022) (</w:t>
      </w:r>
      <w:hyperlink r:id="rId4" w:history="1">
        <w:r w:rsidR="00452129" w:rsidRPr="00BC4B71">
          <w:rPr>
            <w:rStyle w:val="Hyperlink"/>
            <w:rFonts w:cstheme="minorHAnsi"/>
          </w:rPr>
          <w:t>https://www.mass.gov/doc/2022-cost-trends-report-chartpack/download</w:t>
        </w:r>
      </w:hyperlink>
      <w:r w:rsidR="00452129" w:rsidRPr="00BC4B71">
        <w:t>).</w:t>
      </w:r>
    </w:p>
  </w:footnote>
  <w:footnote w:id="5">
    <w:p w14:paraId="223C3FC3" w14:textId="75A52558" w:rsidR="00797BE3" w:rsidRPr="00BC4B71" w:rsidRDefault="00797BE3" w:rsidP="00797BE3">
      <w:pPr>
        <w:pStyle w:val="BodyText"/>
      </w:pPr>
      <w:r w:rsidRPr="00BC4B71">
        <w:rPr>
          <w:rStyle w:val="FootnoteReference"/>
        </w:rPr>
        <w:footnoteRef/>
      </w:r>
      <w:r w:rsidRPr="00BC4B71">
        <w:t xml:space="preserve"> </w:t>
      </w:r>
      <w:r w:rsidRPr="00BC4B71">
        <w:rPr>
          <w:smallCaps/>
        </w:rPr>
        <w:t xml:space="preserve">Elizabeth Dugan, PhD, et al., </w:t>
      </w:r>
      <w:hyperlink r:id="rId5" w:history="1">
        <w:r w:rsidRPr="00F051CB">
          <w:rPr>
            <w:rStyle w:val="Hyperlink"/>
            <w:smallCaps/>
            <w:color w:val="000000" w:themeColor="text1"/>
            <w:u w:val="none"/>
          </w:rPr>
          <w:t>Highlights From The Massachusetts Healthy Aging Data Report: Community Profiles 2014</w:t>
        </w:r>
      </w:hyperlink>
      <w:r w:rsidRPr="00F051CB">
        <w:rPr>
          <w:color w:val="000000" w:themeColor="text1"/>
        </w:rPr>
        <w:t xml:space="preserve"> </w:t>
      </w:r>
      <w:r w:rsidRPr="00BC4B71">
        <w:t xml:space="preserve">(2014) (available at </w:t>
      </w:r>
      <w:hyperlink r:id="rId6" w:history="1">
        <w:r w:rsidRPr="00BC4B71">
          <w:rPr>
            <w:rStyle w:val="Hyperlink"/>
          </w:rPr>
          <w:t>https://www.mass.gov/files/documents/2016/07/wb/healthy-aging-data-report.pdf</w:t>
        </w:r>
      </w:hyperlink>
      <w:r w:rsidRPr="00BC4B71">
        <w:t>).</w:t>
      </w:r>
    </w:p>
  </w:footnote>
  <w:footnote w:id="6">
    <w:p w14:paraId="7C66E471" w14:textId="77777777" w:rsidR="00797BE3" w:rsidRPr="00BC4B71" w:rsidRDefault="00797BE3" w:rsidP="00797BE3">
      <w:pPr>
        <w:pStyle w:val="BodyText"/>
      </w:pPr>
      <w:r w:rsidRPr="00BC4B71">
        <w:rPr>
          <w:rStyle w:val="FootnoteReference"/>
        </w:rPr>
        <w:footnoteRef/>
      </w:r>
      <w:r w:rsidRPr="00BC4B71">
        <w:t xml:space="preserve"> Essex, Middlesex, Norfolk, Plymouth, and Suffolk Counties</w:t>
      </w:r>
    </w:p>
  </w:footnote>
  <w:footnote w:id="7">
    <w:p w14:paraId="1256C3A1" w14:textId="70B49AA1" w:rsidR="00797BE3" w:rsidRPr="00BC4B71" w:rsidRDefault="00797BE3" w:rsidP="00797BE3">
      <w:pPr>
        <w:pStyle w:val="BodyText"/>
      </w:pPr>
      <w:r w:rsidRPr="00BC4B71">
        <w:rPr>
          <w:rStyle w:val="FootnoteReference"/>
        </w:rPr>
        <w:footnoteRef/>
      </w:r>
      <w:r w:rsidRPr="00BC4B71">
        <w:t xml:space="preserve"> Margaret J Hall, et al., </w:t>
      </w:r>
      <w:hyperlink r:id="rId7" w:history="1">
        <w:r w:rsidRPr="00F051CB">
          <w:rPr>
            <w:rStyle w:val="Hyperlink"/>
            <w:i/>
            <w:color w:val="000000" w:themeColor="text1"/>
            <w:u w:val="none"/>
          </w:rPr>
          <w:t>Ambulatory surgery data from hospitals and ambulatory surgery centers: United States, 2010</w:t>
        </w:r>
      </w:hyperlink>
      <w:r w:rsidRPr="00F051CB">
        <w:rPr>
          <w:i/>
          <w:color w:val="000000" w:themeColor="text1"/>
        </w:rPr>
        <w:t xml:space="preserve"> </w:t>
      </w:r>
      <w:r w:rsidRPr="00F051CB">
        <w:rPr>
          <w:color w:val="000000" w:themeColor="text1"/>
        </w:rPr>
        <w:t>9</w:t>
      </w:r>
      <w:r w:rsidRPr="00BC4B71">
        <w:t xml:space="preserve">, Nat Health Stat Rep 2017;102:1-15 (Feb. 28, 2017) (available at </w:t>
      </w:r>
      <w:hyperlink r:id="rId8" w:history="1">
        <w:r w:rsidRPr="00BC4B71">
          <w:rPr>
            <w:rStyle w:val="Hyperlink"/>
          </w:rPr>
          <w:t>https://pubmed.ncbi.nlm.nih.gov/28256998/</w:t>
        </w:r>
      </w:hyperlink>
      <w:r w:rsidRPr="00BC4B71">
        <w:t xml:space="preserve">). </w:t>
      </w:r>
    </w:p>
  </w:footnote>
  <w:footnote w:id="8">
    <w:p w14:paraId="259BC5A4" w14:textId="77777777" w:rsidR="00797BE3" w:rsidRPr="00BC4B71" w:rsidRDefault="00797BE3" w:rsidP="00797BE3">
      <w:pPr>
        <w:pStyle w:val="BodyText"/>
      </w:pPr>
      <w:r w:rsidRPr="00BC4B71">
        <w:rPr>
          <w:rStyle w:val="FootnoteReference"/>
        </w:rPr>
        <w:footnoteRef/>
      </w:r>
      <w:r w:rsidRPr="00BC4B71">
        <w:t xml:space="preserve"> For example, there are four (4) ASCs in Waltham.  They each specialize in limited Surgical Services. Two provide ophthalmology services, one provides fertility services, and the fourth one provide orthopedics and podiatry services.</w:t>
      </w:r>
    </w:p>
  </w:footnote>
  <w:footnote w:id="9">
    <w:p w14:paraId="63F9E95C" w14:textId="7DA68AB3" w:rsidR="00797BE3" w:rsidRPr="00BD3CFA" w:rsidRDefault="00797BE3" w:rsidP="00797BE3">
      <w:pPr>
        <w:pStyle w:val="BodyText"/>
      </w:pPr>
      <w:r w:rsidRPr="00BC4B71">
        <w:rPr>
          <w:rStyle w:val="FootnoteReference"/>
        </w:rPr>
        <w:footnoteRef/>
      </w:r>
      <w:r w:rsidRPr="00BC4B71">
        <w:t xml:space="preserve"> </w:t>
      </w:r>
      <w:hyperlink r:id="rId9" w:history="1">
        <w:r w:rsidRPr="00AE0D6E">
          <w:rPr>
            <w:rStyle w:val="Hyperlink"/>
            <w:i/>
            <w:color w:val="000000" w:themeColor="text1"/>
            <w:u w:val="none"/>
          </w:rPr>
          <w:t>HPC DataPoints, Issue 26: Trends in Ambulatory Surgical Centers in Massachusetts</w:t>
        </w:r>
        <w:r w:rsidRPr="00AE0D6E">
          <w:rPr>
            <w:rStyle w:val="Hyperlink"/>
            <w:color w:val="000000" w:themeColor="text1"/>
            <w:u w:val="none"/>
          </w:rPr>
          <w:t>,</w:t>
        </w:r>
      </w:hyperlink>
      <w:r w:rsidRPr="00AE0D6E">
        <w:rPr>
          <w:color w:val="000000" w:themeColor="text1"/>
        </w:rPr>
        <w:t xml:space="preserve"> </w:t>
      </w:r>
      <w:r w:rsidRPr="00AE0D6E">
        <w:rPr>
          <w:smallCaps/>
          <w:color w:val="000000" w:themeColor="text1"/>
        </w:rPr>
        <w:t>Mass</w:t>
      </w:r>
      <w:r w:rsidRPr="00BC4B71">
        <w:rPr>
          <w:smallCaps/>
        </w:rPr>
        <w:t>. Health Policy Comm. (</w:t>
      </w:r>
      <w:r w:rsidRPr="00BC4B71">
        <w:t>Hereafter</w:t>
      </w:r>
      <w:r w:rsidRPr="00BC4B71">
        <w:rPr>
          <w:smallCaps/>
        </w:rPr>
        <w:t xml:space="preserve"> “HPC”)</w:t>
      </w:r>
      <w:r w:rsidRPr="00BC4B71">
        <w:t xml:space="preserve"> (Feb. 15, 2024) (</w:t>
      </w:r>
      <w:hyperlink r:id="rId10" w:history="1">
        <w:r w:rsidRPr="00BC4B71">
          <w:rPr>
            <w:rStyle w:val="Hyperlink"/>
          </w:rPr>
          <w:t>https://www.mass.gov/info-details/hpc-datapoints-issue-26</w:t>
        </w:r>
      </w:hyperlink>
      <w:r w:rsidRPr="00BC4B71">
        <w:rPr>
          <w:rStyle w:val="Hyperlink"/>
        </w:rPr>
        <w:t>)</w:t>
      </w:r>
      <w:r w:rsidRPr="00BC4B71">
        <w:t xml:space="preserve"> (updating the June 2023 findings that Massachusetts has the six fewest ASCs per capita among all states), and </w:t>
      </w:r>
      <w:hyperlink r:id="rId11" w:history="1">
        <w:r w:rsidRPr="00AE0D6E">
          <w:rPr>
            <w:rStyle w:val="Hyperlink"/>
            <w:i/>
            <w:color w:val="000000" w:themeColor="text1"/>
            <w:u w:val="none"/>
          </w:rPr>
          <w:t xml:space="preserve">HPC Board Meeting </w:t>
        </w:r>
        <w:r w:rsidRPr="00AE0D6E">
          <w:rPr>
            <w:rStyle w:val="Hyperlink"/>
            <w:color w:val="000000" w:themeColor="text1"/>
            <w:u w:val="none"/>
          </w:rPr>
          <w:t>27</w:t>
        </w:r>
      </w:hyperlink>
      <w:r w:rsidRPr="00AE0D6E">
        <w:rPr>
          <w:color w:val="000000" w:themeColor="text1"/>
        </w:rPr>
        <w:t xml:space="preserve">, </w:t>
      </w:r>
      <w:r w:rsidRPr="00BC4B71">
        <w:rPr>
          <w:smallCaps/>
        </w:rPr>
        <w:t>HPC</w:t>
      </w:r>
      <w:r w:rsidRPr="00BC4B71">
        <w:t xml:space="preserve"> (June 07, 2023) (</w:t>
      </w:r>
      <w:hyperlink r:id="rId12" w:history="1">
        <w:r w:rsidRPr="00BC4B71">
          <w:rPr>
            <w:rStyle w:val="Hyperlink"/>
          </w:rPr>
          <w:t>https://www.mass.gov/doc/presentation-board-meeting-june-7-2023/download</w:t>
        </w:r>
      </w:hyperlink>
      <w:r w:rsidRPr="00BC4B71">
        <w:t>).</w:t>
      </w:r>
    </w:p>
  </w:footnote>
  <w:footnote w:id="10">
    <w:p w14:paraId="057A64E3" w14:textId="1031CAF2" w:rsidR="00797BE3" w:rsidRPr="00BC4B71" w:rsidRDefault="00797BE3" w:rsidP="00797BE3">
      <w:pPr>
        <w:pStyle w:val="BodyText"/>
      </w:pPr>
      <w:r w:rsidRPr="00BC4B71">
        <w:rPr>
          <w:rStyle w:val="FootnoteReference"/>
        </w:rPr>
        <w:footnoteRef/>
      </w:r>
      <w:r w:rsidRPr="00BC4B71">
        <w:t xml:space="preserve"> </w:t>
      </w:r>
      <w:r w:rsidRPr="00BC4B71">
        <w:rPr>
          <w:i/>
        </w:rPr>
        <w:t>Supra</w:t>
      </w:r>
      <w:r w:rsidRPr="00BC4B71">
        <w:t xml:space="preserve">, note </w:t>
      </w:r>
      <w:r w:rsidR="00BC4B71" w:rsidRPr="00BC4B71">
        <w:t>8</w:t>
      </w:r>
      <w:r w:rsidRPr="00BC4B71">
        <w:t xml:space="preserve"> </w:t>
      </w:r>
      <w:r w:rsidR="00BC4B71" w:rsidRPr="00BC4B71">
        <w:t>HPC</w:t>
      </w:r>
      <w:r w:rsidR="00BC4B71" w:rsidRPr="00AE0D6E">
        <w:rPr>
          <w:color w:val="000000" w:themeColor="text1"/>
        </w:rPr>
        <w:t xml:space="preserve"> </w:t>
      </w:r>
      <w:r w:rsidRPr="00AE0D6E">
        <w:rPr>
          <w:color w:val="000000" w:themeColor="text1"/>
        </w:rPr>
        <w:t xml:space="preserve">Board Meeting; </w:t>
      </w:r>
      <w:r w:rsidRPr="00AE0D6E">
        <w:rPr>
          <w:i/>
          <w:color w:val="000000" w:themeColor="text1"/>
        </w:rPr>
        <w:t>See also</w:t>
      </w:r>
      <w:r w:rsidRPr="00AE0D6E">
        <w:rPr>
          <w:color w:val="000000" w:themeColor="text1"/>
        </w:rPr>
        <w:t xml:space="preserve">, </w:t>
      </w:r>
      <w:hyperlink r:id="rId13" w:history="1">
        <w:r w:rsidRPr="00AE0D6E">
          <w:rPr>
            <w:rStyle w:val="Hyperlink"/>
            <w:i/>
            <w:color w:val="000000" w:themeColor="text1"/>
            <w:u w:val="none"/>
          </w:rPr>
          <w:t>Proposed Revisions of the Determination of Need Regulations 105 CMR 100.100</w:t>
        </w:r>
        <w:r w:rsidRPr="00AE0D6E">
          <w:rPr>
            <w:rStyle w:val="Hyperlink"/>
            <w:color w:val="000000" w:themeColor="text1"/>
            <w:u w:val="none"/>
          </w:rPr>
          <w:t>,</w:t>
        </w:r>
      </w:hyperlink>
      <w:r w:rsidRPr="00AE0D6E">
        <w:rPr>
          <w:color w:val="000000" w:themeColor="text1"/>
        </w:rPr>
        <w:t xml:space="preserve"> </w:t>
      </w:r>
      <w:r w:rsidRPr="00AE0D6E">
        <w:rPr>
          <w:smallCaps/>
          <w:color w:val="000000" w:themeColor="text1"/>
        </w:rPr>
        <w:t>Mass</w:t>
      </w:r>
      <w:r w:rsidRPr="00BC4B71">
        <w:rPr>
          <w:smallCaps/>
        </w:rPr>
        <w:t>. DPH</w:t>
      </w:r>
      <w:r w:rsidRPr="00BC4B71">
        <w:t xml:space="preserve"> (Aug. 23, 2016) (available at </w:t>
      </w:r>
      <w:hyperlink r:id="rId14" w:history="1">
        <w:r w:rsidRPr="00BC4B71">
          <w:rPr>
            <w:rStyle w:val="Hyperlink"/>
          </w:rPr>
          <w:t>https://www.mintz.com/sites/default/files/viewpoints/orig/8/2016/08/Proposed-Revision-Presentation-8.23.16.pdf</w:t>
        </w:r>
      </w:hyperlink>
      <w:r w:rsidRPr="00BC4B71">
        <w:t xml:space="preserve">) (DPH recognized that the moratorium contributed to the current market’s imbalance among provider types and identified the need for controlled expansion of ASCs to improve hospital sustainability, whiling ensuring growth in low-cost settings without impacts to quality of care); </w:t>
      </w:r>
      <w:r w:rsidRPr="00BC4B71">
        <w:rPr>
          <w:i/>
        </w:rPr>
        <w:t>See also</w:t>
      </w:r>
      <w:r w:rsidRPr="00BC4B71">
        <w:t xml:space="preserve">, </w:t>
      </w:r>
      <w:r w:rsidRPr="00BC4B71">
        <w:rPr>
          <w:smallCaps/>
        </w:rPr>
        <w:t xml:space="preserve">Jay Youmans, et al., </w:t>
      </w:r>
      <w:hyperlink r:id="rId15" w:history="1">
        <w:r w:rsidRPr="00AE0D6E">
          <w:rPr>
            <w:rStyle w:val="Hyperlink"/>
            <w:smallCaps/>
            <w:color w:val="000000" w:themeColor="text1"/>
            <w:u w:val="none"/>
          </w:rPr>
          <w:t>Final Proposed Revisions of 105 CMR 100.00:  Determination of Need Memorandum</w:t>
        </w:r>
      </w:hyperlink>
      <w:r w:rsidRPr="00AE0D6E">
        <w:rPr>
          <w:color w:val="000000" w:themeColor="text1"/>
        </w:rPr>
        <w:t xml:space="preserve"> (Jan</w:t>
      </w:r>
      <w:r w:rsidRPr="00BC4B71">
        <w:t xml:space="preserve">. 11, 2017) (available at </w:t>
      </w:r>
      <w:hyperlink r:id="rId16" w:history="1">
        <w:r w:rsidRPr="00BC4B71">
          <w:rPr>
            <w:rStyle w:val="Hyperlink"/>
          </w:rPr>
          <w:t>https://www.mintz.com/sites/default/files/viewpoints/orig/8/2017/01/DPH-Final-PHC-Memo-Determination-of-Need-105-CMR-100.000-FINAL-1-11-17.pdf</w:t>
        </w:r>
      </w:hyperlink>
      <w:r w:rsidRPr="00BC4B71">
        <w:t xml:space="preserve">) (DPH modified the </w:t>
      </w:r>
      <w:r w:rsidRPr="00BC4B71">
        <w:t xml:space="preserve">DoN Program to allow HPC ACOs to establish ASCs to incentivize the formation of value-driven and patient-centered care).  </w:t>
      </w:r>
    </w:p>
  </w:footnote>
  <w:footnote w:id="11">
    <w:p w14:paraId="437D129C" w14:textId="0B87962D" w:rsidR="00797BE3" w:rsidRPr="00BD3CFA" w:rsidRDefault="00797BE3" w:rsidP="00797BE3">
      <w:pPr>
        <w:pStyle w:val="BodyText"/>
      </w:pPr>
      <w:r w:rsidRPr="00BC4B71">
        <w:rPr>
          <w:rStyle w:val="FootnoteReference"/>
        </w:rPr>
        <w:footnoteRef/>
      </w:r>
      <w:r w:rsidRPr="00BC4B71">
        <w:t xml:space="preserve"> </w:t>
      </w:r>
      <w:r w:rsidRPr="00BC4B71">
        <w:rPr>
          <w:i/>
        </w:rPr>
        <w:t>Supra</w:t>
      </w:r>
      <w:r w:rsidRPr="00BC4B71">
        <w:t xml:space="preserve">, note </w:t>
      </w:r>
      <w:r w:rsidR="00BC4B71" w:rsidRPr="00BC4B71">
        <w:t>8 HPC</w:t>
      </w:r>
      <w:r w:rsidR="00DF7B37" w:rsidRPr="00BC4B71">
        <w:t xml:space="preserve"> </w:t>
      </w:r>
      <w:r w:rsidRPr="00BC4B71">
        <w:t>Board Meeting.</w:t>
      </w:r>
    </w:p>
  </w:footnote>
  <w:footnote w:id="12">
    <w:p w14:paraId="303FC2B7" w14:textId="7EE5E5B9" w:rsidR="00797BE3" w:rsidRPr="00BC4B71" w:rsidRDefault="00797BE3" w:rsidP="00797BE3">
      <w:pPr>
        <w:pStyle w:val="BodyText"/>
      </w:pPr>
      <w:r w:rsidRPr="00BC4B71">
        <w:rPr>
          <w:rStyle w:val="FootnoteReference"/>
        </w:rPr>
        <w:footnoteRef/>
      </w:r>
      <w:r w:rsidRPr="00BC4B71">
        <w:t xml:space="preserve"> </w:t>
      </w:r>
      <w:r w:rsidRPr="00BC4B71">
        <w:rPr>
          <w:i/>
        </w:rPr>
        <w:t>Supra</w:t>
      </w:r>
      <w:r w:rsidRPr="00BC4B71">
        <w:t xml:space="preserve">, note </w:t>
      </w:r>
      <w:r w:rsidR="00BC4B71" w:rsidRPr="00BC4B71">
        <w:t>8</w:t>
      </w:r>
      <w:r w:rsidR="00DF7B37" w:rsidRPr="00BC4B71">
        <w:t xml:space="preserve"> </w:t>
      </w:r>
      <w:r w:rsidR="00BC4B71">
        <w:t xml:space="preserve">HPC </w:t>
      </w:r>
      <w:r w:rsidRPr="00BC4B71">
        <w:t>DataPoints.</w:t>
      </w:r>
    </w:p>
  </w:footnote>
  <w:footnote w:id="13">
    <w:p w14:paraId="191DAA5E" w14:textId="64B5798B" w:rsidR="00797BE3" w:rsidRPr="00BC4B71" w:rsidRDefault="00797BE3" w:rsidP="00797BE3">
      <w:pPr>
        <w:pStyle w:val="BodyText"/>
        <w:rPr>
          <w:spacing w:val="-2"/>
        </w:rPr>
      </w:pPr>
      <w:r w:rsidRPr="00BC4B71">
        <w:rPr>
          <w:rStyle w:val="FootnoteReference"/>
          <w:rFonts w:asciiTheme="minorHAnsi" w:hAnsiTheme="minorHAnsi" w:cstheme="minorHAnsi"/>
        </w:rPr>
        <w:footnoteRef/>
      </w:r>
      <w:r w:rsidRPr="00BC4B71">
        <w:t xml:space="preserve"> </w:t>
      </w:r>
      <w:r w:rsidRPr="00BC4B71">
        <w:rPr>
          <w:i/>
        </w:rPr>
        <w:t xml:space="preserve">See, </w:t>
      </w:r>
      <w:hyperlink r:id="rId17" w:history="1">
        <w:r w:rsidRPr="00AE0D6E">
          <w:rPr>
            <w:rStyle w:val="Hyperlink"/>
            <w:i/>
            <w:color w:val="000000" w:themeColor="text1"/>
            <w:u w:val="none"/>
          </w:rPr>
          <w:t>2023 Annual Health Care Cost Trends Report and Policy Recommendations</w:t>
        </w:r>
      </w:hyperlink>
      <w:r w:rsidRPr="00AE0D6E">
        <w:rPr>
          <w:color w:val="000000" w:themeColor="text1"/>
        </w:rPr>
        <w:t xml:space="preserve"> 28, </w:t>
      </w:r>
      <w:r w:rsidRPr="00BC4B71">
        <w:rPr>
          <w:smallCaps/>
        </w:rPr>
        <w:t>HPC</w:t>
      </w:r>
      <w:r w:rsidRPr="00BC4B71">
        <w:t xml:space="preserve"> (Sep. 2023) (</w:t>
      </w:r>
      <w:hyperlink r:id="rId18" w:history="1">
        <w:r w:rsidRPr="00BC4B71">
          <w:rPr>
            <w:rStyle w:val="Hyperlink"/>
          </w:rPr>
          <w:t>https://www.mass.gov/doc/2023-health-care-cost-trends-report/download</w:t>
        </w:r>
      </w:hyperlink>
      <w:r w:rsidRPr="00BC4B71">
        <w:t xml:space="preserve">) (finding that most prices for most ambulatory services provided in HOPDs typically exceeded the Medicare-based benchmark, most care delivered in HOPDs can be safely provided in ASCs, and that </w:t>
      </w:r>
      <w:bookmarkStart w:id="4" w:name="Exhibit_4.1._Percentage_of_Original_Medi"/>
      <w:bookmarkStart w:id="5" w:name="_bookmark0"/>
      <w:bookmarkEnd w:id="4"/>
      <w:bookmarkEnd w:id="5"/>
      <w:r w:rsidRPr="00BC4B71">
        <w:t>payments for ASCs are typically lower than for hospitals for the same procedure</w:t>
      </w:r>
      <w:r w:rsidRPr="00BC4B71">
        <w:rPr>
          <w:spacing w:val="-2"/>
        </w:rPr>
        <w:t xml:space="preserve">).  </w:t>
      </w:r>
    </w:p>
  </w:footnote>
  <w:footnote w:id="14">
    <w:p w14:paraId="221DA15B" w14:textId="0E1F10F5" w:rsidR="00797BE3" w:rsidRPr="00BC4B71" w:rsidRDefault="00797BE3" w:rsidP="00797BE3">
      <w:pPr>
        <w:pStyle w:val="BodyText"/>
      </w:pPr>
      <w:r w:rsidRPr="00BC4B71">
        <w:rPr>
          <w:rStyle w:val="FootnoteReference"/>
          <w:rFonts w:cstheme="minorHAnsi"/>
        </w:rPr>
        <w:footnoteRef/>
      </w:r>
      <w:r w:rsidRPr="00BC4B71">
        <w:t xml:space="preserve"> </w:t>
      </w:r>
      <w:r w:rsidRPr="00BC4B71">
        <w:rPr>
          <w:i/>
        </w:rPr>
        <w:t>See</w:t>
      </w:r>
      <w:r w:rsidRPr="00BC4B71">
        <w:t>,</w:t>
      </w:r>
      <w:r w:rsidRPr="00BC4B71">
        <w:rPr>
          <w:i/>
        </w:rPr>
        <w:t xml:space="preserve"> supra</w:t>
      </w:r>
      <w:r w:rsidRPr="00BC4B71">
        <w:t xml:space="preserve"> note </w:t>
      </w:r>
      <w:r w:rsidR="00BC4B71" w:rsidRPr="00BC4B71">
        <w:t>9</w:t>
      </w:r>
      <w:r w:rsidR="00DF7B37" w:rsidRPr="00BC4B71">
        <w:t xml:space="preserve"> </w:t>
      </w:r>
      <w:r w:rsidRPr="00BC4B71">
        <w:t xml:space="preserve">Youmans; </w:t>
      </w:r>
      <w:r w:rsidRPr="00BC4B71">
        <w:rPr>
          <w:i/>
        </w:rPr>
        <w:t>See also</w:t>
      </w:r>
      <w:r w:rsidRPr="00BC4B71">
        <w:t xml:space="preserve">, </w:t>
      </w:r>
      <w:r w:rsidRPr="00BC4B71">
        <w:rPr>
          <w:i/>
        </w:rPr>
        <w:t>supra</w:t>
      </w:r>
      <w:r w:rsidRPr="00BC4B71">
        <w:t xml:space="preserve"> note </w:t>
      </w:r>
      <w:r w:rsidR="00BC4B71" w:rsidRPr="00BC4B71">
        <w:t>8</w:t>
      </w:r>
      <w:r w:rsidR="00DF7B37" w:rsidRPr="00BC4B71">
        <w:t xml:space="preserve"> </w:t>
      </w:r>
      <w:r w:rsidR="00BC4B71">
        <w:t xml:space="preserve">HPC </w:t>
      </w:r>
      <w:r w:rsidRPr="00BC4B71">
        <w:t>DataPoints, at “Regulatory environment.”</w:t>
      </w:r>
    </w:p>
  </w:footnote>
  <w:footnote w:id="15">
    <w:p w14:paraId="65C3E54A" w14:textId="0DFA6D21" w:rsidR="00797BE3" w:rsidRPr="00BC4B71" w:rsidRDefault="00797BE3" w:rsidP="00797BE3">
      <w:pPr>
        <w:pStyle w:val="BodyText"/>
      </w:pPr>
      <w:r w:rsidRPr="00BC4B71">
        <w:rPr>
          <w:rStyle w:val="FootnoteReference"/>
          <w:rFonts w:cstheme="minorHAnsi"/>
        </w:rPr>
        <w:footnoteRef/>
      </w:r>
      <w:r w:rsidRPr="00BC4B71">
        <w:t xml:space="preserve"> </w:t>
      </w:r>
      <w:hyperlink r:id="rId19" w:history="1">
        <w:r w:rsidRPr="00AE0D6E">
          <w:rPr>
            <w:rStyle w:val="Hyperlink"/>
            <w:smallCaps/>
            <w:color w:val="000000" w:themeColor="text1"/>
            <w:u w:val="none"/>
          </w:rPr>
          <w:t>The Medicare Payment Advisory Commission, March 2022 Report to the Congress: Medicare Payment Policy, Chapter 5: Ambulatory Surgical Center Service</w:t>
        </w:r>
      </w:hyperlink>
      <w:r w:rsidRPr="00AE0D6E">
        <w:rPr>
          <w:smallCaps/>
          <w:color w:val="000000" w:themeColor="text1"/>
        </w:rPr>
        <w:t xml:space="preserve"> 168</w:t>
      </w:r>
      <w:r w:rsidRPr="00AE0D6E">
        <w:rPr>
          <w:color w:val="000000" w:themeColor="text1"/>
        </w:rPr>
        <w:t xml:space="preserve"> </w:t>
      </w:r>
      <w:r w:rsidRPr="00BC4B71">
        <w:t xml:space="preserve">(Mar. 15, 2022) (available at </w:t>
      </w:r>
      <w:hyperlink r:id="rId20" w:history="1">
        <w:r w:rsidRPr="00BC4B71">
          <w:rPr>
            <w:rStyle w:val="Hyperlink"/>
          </w:rPr>
          <w:t>https://www.medpac.gov/document/march-2022-report-to-the-congress-medicare-payment-policy/</w:t>
        </w:r>
      </w:hyperlink>
      <w:r w:rsidRPr="00BC4B71">
        <w:t xml:space="preserve">) (“evidence suggests that ASCs are a lower-cost setting than HOPDs. Studies that used data from the National Survey of Ambulatory Surgery found that the average length of time for ambulatory surgical visits for Medicare patients was 25 percent to 39 percent shorter in ASCs than in HOPDs, which likely contributes to lower costs in ASCs” (citing Hair et al. 2012, Munnich and Parente 2014)); </w:t>
      </w:r>
      <w:r w:rsidRPr="00BC4B71">
        <w:rPr>
          <w:i/>
        </w:rPr>
        <w:t>See also</w:t>
      </w:r>
      <w:r w:rsidRPr="00BC4B71">
        <w:t xml:space="preserve">, </w:t>
      </w:r>
      <w:r w:rsidRPr="00BC4B71">
        <w:rPr>
          <w:i/>
        </w:rPr>
        <w:t>supra</w:t>
      </w:r>
      <w:r w:rsidRPr="00BC4B71">
        <w:t xml:space="preserve">, note </w:t>
      </w:r>
      <w:r w:rsidR="00BC4B71" w:rsidRPr="00BC4B71">
        <w:t>8</w:t>
      </w:r>
      <w:r w:rsidR="00DF7B37" w:rsidRPr="00BC4B71">
        <w:t xml:space="preserve"> </w:t>
      </w:r>
      <w:r w:rsidR="00BC4B71">
        <w:t xml:space="preserve">HPC </w:t>
      </w:r>
      <w:r w:rsidRPr="00BC4B71">
        <w:t xml:space="preserve">DataPoints; </w:t>
      </w:r>
      <w:r w:rsidRPr="00BC4B71">
        <w:rPr>
          <w:i/>
        </w:rPr>
        <w:t>See also</w:t>
      </w:r>
      <w:r w:rsidRPr="00BC4B71">
        <w:t xml:space="preserve">, </w:t>
      </w:r>
      <w:r w:rsidR="00BC4B71" w:rsidRPr="00BC4B71">
        <w:rPr>
          <w:i/>
        </w:rPr>
        <w:t xml:space="preserve">infra </w:t>
      </w:r>
      <w:r w:rsidRPr="00BC4B71">
        <w:t xml:space="preserve">note </w:t>
      </w:r>
      <w:r w:rsidR="00DF7B37" w:rsidRPr="00BC4B71">
        <w:t>16</w:t>
      </w:r>
      <w:r w:rsidRPr="00BC4B71">
        <w:t>.</w:t>
      </w:r>
    </w:p>
  </w:footnote>
  <w:footnote w:id="16">
    <w:p w14:paraId="274041CB" w14:textId="779CA2D5" w:rsidR="00797BE3" w:rsidRPr="00BC4B71" w:rsidRDefault="00797BE3" w:rsidP="00797BE3">
      <w:pPr>
        <w:pStyle w:val="BodyText"/>
      </w:pPr>
      <w:r w:rsidRPr="00BC4B71">
        <w:rPr>
          <w:rStyle w:val="FootnoteReference"/>
          <w:rFonts w:cstheme="minorHAnsi"/>
        </w:rPr>
        <w:footnoteRef/>
      </w:r>
      <w:r w:rsidRPr="00BC4B71">
        <w:t xml:space="preserve"> </w:t>
      </w:r>
      <w:r w:rsidRPr="00BC4B71">
        <w:rPr>
          <w:i/>
        </w:rPr>
        <w:t xml:space="preserve">Id. </w:t>
      </w:r>
      <w:r w:rsidRPr="00BC4B71">
        <w:t>at 64 (“</w:t>
      </w:r>
      <w:r w:rsidRPr="00BC4B71">
        <w:rPr>
          <w:color w:val="211D1E"/>
        </w:rPr>
        <w:t>Low value care (LVC) in this section refers to medical services recognized by clinicians as not based on evidence and typ</w:t>
      </w:r>
      <w:r w:rsidRPr="00BC4B71">
        <w:rPr>
          <w:color w:val="211D1E"/>
        </w:rPr>
        <w:softHyphen/>
        <w:t>ically unnecessary for any patient, based on research compiled in the Choosing Wisely® recommendations</w:t>
      </w:r>
      <w:r w:rsidRPr="00BC4B71">
        <w:t xml:space="preserve">”), and </w:t>
      </w:r>
      <w:hyperlink r:id="rId21" w:history="1">
        <w:r w:rsidRPr="00AB4431">
          <w:rPr>
            <w:rStyle w:val="Hyperlink"/>
            <w:smallCaps/>
            <w:color w:val="000000" w:themeColor="text1"/>
            <w:u w:val="none"/>
          </w:rPr>
          <w:t>The Medicare Payment Advisory Commission, March 2021 Report to the Congress: Medicare Payment Policy, Chapter 3 Hospital inpatient and outpatient services</w:t>
        </w:r>
      </w:hyperlink>
      <w:r w:rsidRPr="00AB4431">
        <w:rPr>
          <w:color w:val="000000" w:themeColor="text1"/>
        </w:rPr>
        <w:t xml:space="preserve"> 55 </w:t>
      </w:r>
      <w:r w:rsidRPr="00BC4B71">
        <w:t xml:space="preserve">(Mar. 15, 2021) (available at </w:t>
      </w:r>
      <w:hyperlink r:id="rId22" w:history="1">
        <w:r w:rsidRPr="00BC4B71">
          <w:rPr>
            <w:rStyle w:val="Hyperlink"/>
          </w:rPr>
          <w:t>https://www.medpac.gov/document/march-2021-report-to-the-congress-medicare-payment-policy/</w:t>
        </w:r>
      </w:hyperlink>
      <w:r w:rsidRPr="00BC4B71">
        <w:t xml:space="preserve">). </w:t>
      </w:r>
    </w:p>
  </w:footnote>
  <w:footnote w:id="17">
    <w:p w14:paraId="6728D086" w14:textId="01BF8C17" w:rsidR="00797BE3" w:rsidRPr="00BC4B71" w:rsidRDefault="00797BE3" w:rsidP="00797BE3">
      <w:pPr>
        <w:pStyle w:val="BodyText"/>
      </w:pPr>
      <w:r w:rsidRPr="00BC4B71">
        <w:rPr>
          <w:rStyle w:val="FootnoteReference"/>
          <w:rFonts w:cstheme="minorHAnsi"/>
        </w:rPr>
        <w:footnoteRef/>
      </w:r>
      <w:r w:rsidRPr="00BC4B71">
        <w:t xml:space="preserve"> </w:t>
      </w:r>
      <w:hyperlink r:id="rId23" w:history="1">
        <w:r w:rsidRPr="00AB4431">
          <w:rPr>
            <w:rStyle w:val="Hyperlink"/>
            <w:i/>
            <w:color w:val="000000" w:themeColor="text1"/>
            <w:u w:val="none"/>
          </w:rPr>
          <w:t>2021 Annual Health Care Cost Trends Report Chartpack</w:t>
        </w:r>
        <w:r w:rsidRPr="00AB4431">
          <w:rPr>
            <w:rStyle w:val="Hyperlink"/>
            <w:color w:val="000000" w:themeColor="text1"/>
            <w:u w:val="none"/>
          </w:rPr>
          <w:t xml:space="preserve"> 59</w:t>
        </w:r>
      </w:hyperlink>
      <w:r w:rsidRPr="00AB4431">
        <w:rPr>
          <w:color w:val="000000" w:themeColor="text1"/>
        </w:rPr>
        <w:t xml:space="preserve">, </w:t>
      </w:r>
      <w:r w:rsidRPr="00AB4431">
        <w:rPr>
          <w:smallCaps/>
          <w:color w:val="000000" w:themeColor="text1"/>
        </w:rPr>
        <w:t>HPC</w:t>
      </w:r>
      <w:r w:rsidRPr="00AB4431">
        <w:rPr>
          <w:color w:val="000000" w:themeColor="text1"/>
        </w:rPr>
        <w:t xml:space="preserve"> </w:t>
      </w:r>
      <w:r w:rsidRPr="00BC4B71">
        <w:t>(Sep. 2021) (</w:t>
      </w:r>
      <w:hyperlink r:id="rId24" w:history="1">
        <w:r w:rsidRPr="00BC4B71">
          <w:rPr>
            <w:rStyle w:val="Hyperlink"/>
            <w:rFonts w:cstheme="minorHAnsi"/>
          </w:rPr>
          <w:t>https://www.mass.gov/doc/2021-cost-trends-report-chartpack/download</w:t>
        </w:r>
      </w:hyperlink>
      <w:r w:rsidRPr="00BC4B71">
        <w:t>).</w:t>
      </w:r>
    </w:p>
  </w:footnote>
  <w:footnote w:id="18">
    <w:p w14:paraId="23D4A555" w14:textId="243B4501" w:rsidR="00797BE3" w:rsidRPr="00BC4B71" w:rsidRDefault="00797BE3" w:rsidP="00797BE3">
      <w:pPr>
        <w:pStyle w:val="BodyText"/>
      </w:pPr>
      <w:r w:rsidRPr="00BC4B71">
        <w:rPr>
          <w:rStyle w:val="FootnoteReference"/>
          <w:rFonts w:cstheme="minorHAnsi"/>
          <w:i/>
        </w:rPr>
        <w:footnoteRef/>
      </w:r>
      <w:r w:rsidRPr="00BC4B71">
        <w:rPr>
          <w:i/>
        </w:rPr>
        <w:t xml:space="preserve"> </w:t>
      </w:r>
      <w:hyperlink r:id="rId25" w:history="1">
        <w:r w:rsidRPr="00D611B2">
          <w:rPr>
            <w:rStyle w:val="Hyperlink"/>
            <w:i/>
            <w:color w:val="000000" w:themeColor="text1"/>
            <w:u w:val="none"/>
          </w:rPr>
          <w:t>2022 Health Care Cost Trends Report and Policy Recommendations</w:t>
        </w:r>
        <w:r w:rsidRPr="00D611B2">
          <w:rPr>
            <w:rStyle w:val="Hyperlink"/>
            <w:color w:val="000000" w:themeColor="text1"/>
            <w:u w:val="none"/>
          </w:rPr>
          <w:t xml:space="preserve"> 69</w:t>
        </w:r>
      </w:hyperlink>
      <w:r w:rsidRPr="00D611B2">
        <w:rPr>
          <w:color w:val="000000" w:themeColor="text1"/>
        </w:rPr>
        <w:t xml:space="preserve">, HPC </w:t>
      </w:r>
      <w:r w:rsidRPr="00BC4B71">
        <w:t>(Sep. 2022) (</w:t>
      </w:r>
      <w:hyperlink r:id="rId26" w:history="1">
        <w:r w:rsidRPr="00BC4B71">
          <w:rPr>
            <w:rStyle w:val="Hyperlink"/>
            <w:rFonts w:cstheme="minorHAnsi"/>
          </w:rPr>
          <w:t>https://www.mass.gov/doc/2022-cost-trends-report-chartpack/download</w:t>
        </w:r>
      </w:hyperlink>
      <w:r w:rsidRPr="00BC4B71">
        <w:t>).</w:t>
      </w:r>
    </w:p>
  </w:footnote>
  <w:footnote w:id="19">
    <w:p w14:paraId="2FD78300" w14:textId="14D41AF1" w:rsidR="00797BE3" w:rsidRPr="00BD3CFA" w:rsidRDefault="00797BE3" w:rsidP="00797BE3">
      <w:pPr>
        <w:pStyle w:val="BodyText"/>
      </w:pPr>
      <w:r w:rsidRPr="00BC4B71">
        <w:rPr>
          <w:rStyle w:val="FootnoteReference"/>
          <w:rFonts w:cstheme="minorHAnsi"/>
        </w:rPr>
        <w:footnoteRef/>
      </w:r>
      <w:r w:rsidRPr="00BC4B71">
        <w:t xml:space="preserve"> </w:t>
      </w:r>
      <w:r w:rsidRPr="00BC4B71">
        <w:rPr>
          <w:i/>
        </w:rPr>
        <w:t>Supra</w:t>
      </w:r>
      <w:r w:rsidRPr="00BC4B71">
        <w:t xml:space="preserve">, note </w:t>
      </w:r>
      <w:r w:rsidR="00BC4B71">
        <w:t>8</w:t>
      </w:r>
      <w:r w:rsidR="00DF7B37" w:rsidRPr="00BC4B71">
        <w:t xml:space="preserve"> </w:t>
      </w:r>
      <w:r w:rsidRPr="00BC4B71">
        <w:t>Board Meeting at 56-57.</w:t>
      </w:r>
      <w:r w:rsidRPr="00BD3CFA">
        <w:t xml:space="preserve"> </w:t>
      </w:r>
    </w:p>
  </w:footnote>
  <w:footnote w:id="20">
    <w:p w14:paraId="79C957A9" w14:textId="118EDB9F" w:rsidR="00797BE3" w:rsidRPr="00BC4B71" w:rsidRDefault="00797BE3" w:rsidP="00797BE3">
      <w:pPr>
        <w:pStyle w:val="BodyText"/>
      </w:pPr>
      <w:r w:rsidRPr="00BC4B71">
        <w:rPr>
          <w:rStyle w:val="FootnoteReference"/>
        </w:rPr>
        <w:footnoteRef/>
      </w:r>
      <w:r w:rsidRPr="00BC4B71">
        <w:t xml:space="preserve"> </w:t>
      </w:r>
      <w:hyperlink r:id="rId27" w:history="1">
        <w:r w:rsidRPr="00D611B2">
          <w:rPr>
            <w:rStyle w:val="Hyperlink"/>
            <w:i/>
            <w:color w:val="000000" w:themeColor="text1"/>
            <w:u w:val="none"/>
          </w:rPr>
          <w:t>The Benefits of Outpatient Surgical Centers</w:t>
        </w:r>
      </w:hyperlink>
      <w:r w:rsidRPr="00D611B2">
        <w:rPr>
          <w:color w:val="000000" w:themeColor="text1"/>
        </w:rPr>
        <w:t xml:space="preserve">, </w:t>
      </w:r>
      <w:r w:rsidRPr="00D611B2">
        <w:rPr>
          <w:smallCaps/>
          <w:color w:val="000000" w:themeColor="text1"/>
        </w:rPr>
        <w:t xml:space="preserve">The </w:t>
      </w:r>
      <w:r w:rsidRPr="00BC4B71">
        <w:rPr>
          <w:smallCaps/>
        </w:rPr>
        <w:t xml:space="preserve">Centers for Advanced </w:t>
      </w:r>
      <w:r w:rsidRPr="00BC4B71">
        <w:rPr>
          <w:smallCaps/>
        </w:rPr>
        <w:t>Orthopaedics</w:t>
      </w:r>
      <w:r w:rsidRPr="00BC4B71">
        <w:t xml:space="preserve"> (Jun. 15, 2017) (</w:t>
      </w:r>
      <w:hyperlink r:id="rId28" w:history="1">
        <w:r w:rsidRPr="00BC4B71">
          <w:rPr>
            <w:rStyle w:val="Hyperlink"/>
          </w:rPr>
          <w:t>https://www.cfaortho.com/media/news/2017/06/the-benefits-of-outpatient-surgical-centers</w:t>
        </w:r>
      </w:hyperlink>
      <w:r w:rsidRPr="00BC4B71">
        <w:t xml:space="preserve">). </w:t>
      </w:r>
    </w:p>
  </w:footnote>
  <w:footnote w:id="21">
    <w:p w14:paraId="3C34E53B" w14:textId="76C99C7A" w:rsidR="00797BE3" w:rsidRPr="00BC4B71" w:rsidRDefault="00797BE3" w:rsidP="00797BE3">
      <w:pPr>
        <w:pStyle w:val="BodyText"/>
      </w:pPr>
      <w:r w:rsidRPr="00BC4B71">
        <w:rPr>
          <w:rStyle w:val="FootnoteReference"/>
        </w:rPr>
        <w:footnoteRef/>
      </w:r>
      <w:r w:rsidRPr="00BC4B71">
        <w:t xml:space="preserve"> Mark Warner, M.D., et al., </w:t>
      </w:r>
      <w:hyperlink r:id="rId29" w:history="1">
        <w:r w:rsidRPr="00D611B2">
          <w:rPr>
            <w:rStyle w:val="Hyperlink"/>
            <w:i/>
            <w:color w:val="000000" w:themeColor="text1"/>
            <w:u w:val="none"/>
          </w:rPr>
          <w:t>Major Morbidity and Mortality Within 1 Month of Ambulatory Surgery and Anesthesia</w:t>
        </w:r>
      </w:hyperlink>
      <w:r w:rsidRPr="00D611B2">
        <w:rPr>
          <w:color w:val="000000" w:themeColor="text1"/>
        </w:rPr>
        <w:t xml:space="preserve">, </w:t>
      </w:r>
      <w:r w:rsidRPr="00BC4B71">
        <w:t>JAMA. 1993;270(12):1437-1441 (Sep. 22, 1993) (</w:t>
      </w:r>
      <w:hyperlink r:id="rId30" w:history="1">
        <w:r w:rsidRPr="00BC4B71">
          <w:rPr>
            <w:rStyle w:val="Hyperlink"/>
          </w:rPr>
          <w:t>https://jamanetwork.com/journals/jama/article-abstract/408575</w:t>
        </w:r>
      </w:hyperlink>
      <w:r w:rsidRPr="00BC4B71">
        <w:t xml:space="preserve">).  </w:t>
      </w:r>
      <w:hyperlink r:id="rId31" w:history="1">
        <w:r w:rsidRPr="00BC4B71">
          <w:rPr>
            <w:rStyle w:val="Hyperlink"/>
          </w:rPr>
          <w:t>Major Morbidity and Mortality Within 1 Month of Ambulatory Surgery and Anesthesia | JAMA | JAMA Network</w:t>
        </w:r>
      </w:hyperlink>
    </w:p>
  </w:footnote>
  <w:footnote w:id="22">
    <w:p w14:paraId="544AE592" w14:textId="77777777" w:rsidR="00797BE3" w:rsidRPr="00BC4B71" w:rsidRDefault="00797BE3" w:rsidP="00797BE3">
      <w:pPr>
        <w:pStyle w:val="BodyText"/>
        <w:rPr>
          <w:i/>
          <w:iCs/>
        </w:rPr>
      </w:pPr>
      <w:r w:rsidRPr="00BC4B71">
        <w:rPr>
          <w:rStyle w:val="FootnoteReference"/>
        </w:rPr>
        <w:footnoteRef/>
      </w:r>
      <w:r w:rsidRPr="00BC4B71">
        <w:t xml:space="preserve"> </w:t>
      </w:r>
      <w:r w:rsidRPr="00BC4B71">
        <w:rPr>
          <w:i/>
          <w:iCs/>
        </w:rPr>
        <w:t>Id.</w:t>
      </w:r>
    </w:p>
  </w:footnote>
  <w:footnote w:id="23">
    <w:p w14:paraId="5855E369" w14:textId="0CC59553" w:rsidR="00797BE3" w:rsidRPr="00BC4B71" w:rsidRDefault="00797BE3" w:rsidP="00797BE3">
      <w:pPr>
        <w:pStyle w:val="BodyText"/>
      </w:pPr>
      <w:r w:rsidRPr="00BC4B71">
        <w:rPr>
          <w:rStyle w:val="FootnoteReference"/>
        </w:rPr>
        <w:footnoteRef/>
      </w:r>
      <w:r w:rsidRPr="00BC4B71">
        <w:t xml:space="preserve"> Jeffrey Silber, et al., </w:t>
      </w:r>
      <w:hyperlink r:id="rId32" w:history="1">
        <w:r w:rsidRPr="00D611B2">
          <w:rPr>
            <w:rStyle w:val="Hyperlink"/>
            <w:i/>
            <w:color w:val="000000" w:themeColor="text1"/>
            <w:u w:val="none"/>
          </w:rPr>
          <w:t>The Safety of Performing Surgery at Ambulatory Surgery Centers Versus Hospital Outpatient Departments in Older Patients With or Without Multimorbidity</w:t>
        </w:r>
      </w:hyperlink>
      <w:r w:rsidRPr="00D611B2">
        <w:rPr>
          <w:color w:val="000000" w:themeColor="text1"/>
        </w:rPr>
        <w:t xml:space="preserve">, 61 </w:t>
      </w:r>
      <w:r w:rsidRPr="00BC4B71">
        <w:t>Med. Care 5 (May 17, 2023) (</w:t>
      </w:r>
      <w:hyperlink r:id="rId33" w:history="1">
        <w:r w:rsidRPr="00BC4B71">
          <w:rPr>
            <w:rStyle w:val="Hyperlink"/>
          </w:rPr>
          <w:t>https://www.ingentaconnect.com/content/wk/mcar/2023/00000061/00000005/art00010</w:t>
        </w:r>
      </w:hyperlink>
      <w:r w:rsidRPr="00BC4B71">
        <w:t xml:space="preserve">). </w:t>
      </w:r>
    </w:p>
  </w:footnote>
  <w:footnote w:id="24">
    <w:p w14:paraId="72021705" w14:textId="15C0503B" w:rsidR="00797BE3" w:rsidRPr="00BC4B71" w:rsidRDefault="00797BE3" w:rsidP="00797BE3">
      <w:pPr>
        <w:pStyle w:val="BodyText"/>
      </w:pPr>
      <w:r w:rsidRPr="00BC4B71">
        <w:rPr>
          <w:rStyle w:val="FootnoteReference"/>
        </w:rPr>
        <w:footnoteRef/>
      </w:r>
      <w:r w:rsidRPr="00BC4B71">
        <w:t xml:space="preserve"> </w:t>
      </w:r>
      <w:r w:rsidRPr="00BC4B71">
        <w:rPr>
          <w:i/>
        </w:rPr>
        <w:t>See, supra</w:t>
      </w:r>
      <w:r w:rsidRPr="00BC4B71">
        <w:t xml:space="preserve"> note </w:t>
      </w:r>
      <w:r w:rsidR="00BC4B71" w:rsidRPr="00BC4B71">
        <w:t>8</w:t>
      </w:r>
      <w:r w:rsidR="00DF7B37" w:rsidRPr="00BC4B71">
        <w:t xml:space="preserve"> </w:t>
      </w:r>
      <w:r w:rsidRPr="00BC4B71">
        <w:t>Board Meeting (ASCs provide comparable care to patients than an HOPD but at a lower price for patients, there is not a variation in quality as there is a variation in price.)</w:t>
      </w:r>
    </w:p>
  </w:footnote>
  <w:footnote w:id="25">
    <w:p w14:paraId="553A1FE3" w14:textId="1379C950" w:rsidR="00797BE3" w:rsidRPr="00BD3CFA" w:rsidRDefault="00797BE3" w:rsidP="00797BE3">
      <w:pPr>
        <w:pStyle w:val="BodyText"/>
      </w:pPr>
      <w:r w:rsidRPr="00BC4B71">
        <w:rPr>
          <w:rStyle w:val="FootnoteReference"/>
        </w:rPr>
        <w:footnoteRef/>
      </w:r>
      <w:r w:rsidRPr="00BC4B71">
        <w:t xml:space="preserve"> David Pace, M.D., et al., </w:t>
      </w:r>
      <w:hyperlink r:id="rId34" w:history="1">
        <w:r w:rsidRPr="00D611B2">
          <w:rPr>
            <w:rStyle w:val="Hyperlink"/>
            <w:i/>
            <w:color w:val="000000" w:themeColor="text1"/>
            <w:u w:val="none"/>
          </w:rPr>
          <w:t>Ambulatory surgery centres: a potential solution to a chronic problem</w:t>
        </w:r>
        <w:r w:rsidRPr="00D611B2">
          <w:rPr>
            <w:rStyle w:val="Hyperlink"/>
            <w:color w:val="000000" w:themeColor="text1"/>
            <w:u w:val="none"/>
          </w:rPr>
          <w:t>,</w:t>
        </w:r>
      </w:hyperlink>
      <w:r w:rsidRPr="00D611B2">
        <w:rPr>
          <w:color w:val="000000" w:themeColor="text1"/>
        </w:rPr>
        <w:t xml:space="preserve"> Can</w:t>
      </w:r>
      <w:r w:rsidRPr="00BC4B71">
        <w:t xml:space="preserve">. J. of Surgery E111 – E113 (Mar. 07, 2023) (available at </w:t>
      </w:r>
      <w:hyperlink r:id="rId35" w:history="1">
        <w:r w:rsidRPr="00BC4B71">
          <w:rPr>
            <w:rStyle w:val="Hyperlink"/>
          </w:rPr>
          <w:t>https://www.ncbi.nlm.nih.gov/pmc/articles/PMC9998099/</w:t>
        </w:r>
      </w:hyperlink>
      <w:r w:rsidRPr="00BC4B71">
        <w:t>).</w:t>
      </w:r>
      <w:r>
        <w:t xml:space="preserve"> </w:t>
      </w:r>
    </w:p>
  </w:footnote>
  <w:footnote w:id="26">
    <w:p w14:paraId="31E63815" w14:textId="20B3F8E3" w:rsidR="00797BE3" w:rsidRPr="00BC4B71" w:rsidRDefault="00797BE3" w:rsidP="00797BE3">
      <w:pPr>
        <w:pStyle w:val="BodyText"/>
      </w:pPr>
      <w:r w:rsidRPr="00BC4B71">
        <w:rPr>
          <w:rStyle w:val="FootnoteReference"/>
        </w:rPr>
        <w:footnoteRef/>
      </w:r>
      <w:r w:rsidRPr="00BC4B71">
        <w:t xml:space="preserve"> </w:t>
      </w:r>
      <w:r w:rsidRPr="00BC4B71">
        <w:rPr>
          <w:i/>
        </w:rPr>
        <w:t>See</w:t>
      </w:r>
      <w:r w:rsidRPr="00BC4B71">
        <w:t>,</w:t>
      </w:r>
      <w:r w:rsidRPr="00BC4B71">
        <w:rPr>
          <w:i/>
        </w:rPr>
        <w:t xml:space="preserve"> </w:t>
      </w:r>
      <w:r w:rsidRPr="00BC4B71">
        <w:t xml:space="preserve">CH Chiu, et al., </w:t>
      </w:r>
      <w:hyperlink r:id="rId36" w:history="1">
        <w:r w:rsidRPr="00237FDB">
          <w:rPr>
            <w:rStyle w:val="Hyperlink"/>
            <w:i/>
            <w:color w:val="000000" w:themeColor="text1"/>
            <w:u w:val="none"/>
          </w:rPr>
          <w:t>Cancellation of elective operations on the day of intended surgery in a Hong Kong hospital: point prevalence and reasons</w:t>
        </w:r>
      </w:hyperlink>
      <w:r w:rsidRPr="00237FDB">
        <w:rPr>
          <w:color w:val="000000" w:themeColor="text1"/>
        </w:rPr>
        <w:t xml:space="preserve">, 18 </w:t>
      </w:r>
      <w:r w:rsidRPr="00BC4B71">
        <w:t xml:space="preserve">Hong Kong Med. J. 5 (Feb 2012) (available at </w:t>
      </w:r>
      <w:hyperlink r:id="rId37" w:history="1">
        <w:r w:rsidRPr="00BC4B71">
          <w:rPr>
            <w:rStyle w:val="Hyperlink"/>
          </w:rPr>
          <w:t>https://www.hkmj.org/system/files/hkm1202p5.pdf</w:t>
        </w:r>
      </w:hyperlink>
      <w:r w:rsidRPr="00BC4B71">
        <w:t xml:space="preserve">). </w:t>
      </w:r>
    </w:p>
  </w:footnote>
  <w:footnote w:id="27">
    <w:p w14:paraId="680257B1" w14:textId="235FC8B5" w:rsidR="00797BE3" w:rsidRPr="00BC4B71" w:rsidRDefault="00797BE3" w:rsidP="00797BE3">
      <w:pPr>
        <w:pStyle w:val="BodyText"/>
      </w:pPr>
      <w:r w:rsidRPr="00BC4B71">
        <w:rPr>
          <w:rStyle w:val="FootnoteReference"/>
        </w:rPr>
        <w:footnoteRef/>
      </w:r>
      <w:r w:rsidRPr="00BC4B71">
        <w:t xml:space="preserve"> </w:t>
      </w:r>
      <w:r w:rsidRPr="00BC4B71">
        <w:rPr>
          <w:i/>
        </w:rPr>
        <w:t>See</w:t>
      </w:r>
      <w:r w:rsidRPr="00BC4B71">
        <w:t xml:space="preserve">, Wei Xue, et al., </w:t>
      </w:r>
      <w:hyperlink r:id="rId38" w:history="1">
        <w:r w:rsidRPr="002C7A1C">
          <w:rPr>
            <w:rStyle w:val="Hyperlink"/>
            <w:i/>
            <w:color w:val="000000" w:themeColor="text1"/>
            <w:u w:val="none"/>
          </w:rPr>
          <w:t>Dynamics of Elective Case Cancellation for Inpatient and Outpatient in an Academic Center</w:t>
        </w:r>
      </w:hyperlink>
      <w:r w:rsidRPr="002C7A1C">
        <w:rPr>
          <w:color w:val="000000" w:themeColor="text1"/>
        </w:rPr>
        <w:t xml:space="preserve">, </w:t>
      </w:r>
      <w:r w:rsidRPr="00BC4B71">
        <w:t xml:space="preserve">4 J </w:t>
      </w:r>
      <w:r w:rsidRPr="00BC4B71">
        <w:t xml:space="preserve">Anesth. Clin. Res. 314 (May 13, 2013) (available at </w:t>
      </w:r>
      <w:hyperlink r:id="rId39" w:history="1">
        <w:r w:rsidRPr="00BC4B71">
          <w:rPr>
            <w:rStyle w:val="Hyperlink"/>
          </w:rPr>
          <w:t>https://www.ncbi.nlm.nih.gov/pmc/articles/PMC3839960/</w:t>
        </w:r>
      </w:hyperlink>
      <w:r w:rsidRPr="00BC4B71">
        <w:t>).</w:t>
      </w:r>
    </w:p>
  </w:footnote>
  <w:footnote w:id="28">
    <w:p w14:paraId="3CEB07E1" w14:textId="2A1B1D5B" w:rsidR="00797BE3" w:rsidRPr="008B528A" w:rsidRDefault="00797BE3" w:rsidP="00797BE3">
      <w:pPr>
        <w:pStyle w:val="BodyText"/>
        <w:rPr>
          <w:rStyle w:val="Hyperlink"/>
          <w:i/>
          <w:color w:val="000000" w:themeColor="text1"/>
          <w:u w:val="none"/>
        </w:rPr>
      </w:pPr>
      <w:r w:rsidRPr="00BC4B71">
        <w:rPr>
          <w:rStyle w:val="FootnoteReference"/>
        </w:rPr>
        <w:footnoteRef/>
      </w:r>
      <w:r w:rsidRPr="00BC4B71">
        <w:t xml:space="preserve"> </w:t>
      </w:r>
      <w:r w:rsidRPr="00BC4B71">
        <w:rPr>
          <w:i/>
        </w:rPr>
        <w:t xml:space="preserve">See, </w:t>
      </w:r>
      <w:r w:rsidRPr="00BC4B71">
        <w:t xml:space="preserve">Jedidiah Grisel, M.D., and Ellis Arjmand, M.D., </w:t>
      </w:r>
      <w:r w:rsidR="008B528A" w:rsidRPr="008B528A">
        <w:rPr>
          <w:i/>
          <w:color w:val="000000" w:themeColor="text1"/>
        </w:rPr>
        <w:fldChar w:fldCharType="begin"/>
      </w:r>
      <w:r w:rsidR="008B528A" w:rsidRPr="008B528A">
        <w:rPr>
          <w:i/>
          <w:color w:val="000000" w:themeColor="text1"/>
        </w:rPr>
        <w:instrText>HYPERLINK "https://bcpsc.yitech.in/wp-content/uploads/2021/01/Grisel_2009.pdf"</w:instrText>
      </w:r>
      <w:r w:rsidR="008B528A" w:rsidRPr="008B528A">
        <w:rPr>
          <w:i/>
          <w:color w:val="000000" w:themeColor="text1"/>
        </w:rPr>
      </w:r>
      <w:r w:rsidR="008B528A" w:rsidRPr="008B528A">
        <w:rPr>
          <w:i/>
          <w:color w:val="000000" w:themeColor="text1"/>
        </w:rPr>
        <w:fldChar w:fldCharType="separate"/>
      </w:r>
      <w:r w:rsidRPr="008B528A">
        <w:rPr>
          <w:rStyle w:val="Hyperlink"/>
          <w:i/>
          <w:color w:val="000000" w:themeColor="text1"/>
          <w:u w:val="none"/>
        </w:rPr>
        <w:t>Comparing quality at an ambulatory surgery center</w:t>
      </w:r>
    </w:p>
    <w:p w14:paraId="1F9A0FC4" w14:textId="5D21DB1C" w:rsidR="00797BE3" w:rsidRPr="00BC4B71" w:rsidRDefault="00797BE3" w:rsidP="00797BE3">
      <w:pPr>
        <w:pStyle w:val="BodyText"/>
      </w:pPr>
      <w:r w:rsidRPr="008B528A">
        <w:rPr>
          <w:rStyle w:val="Hyperlink"/>
          <w:i/>
          <w:color w:val="000000" w:themeColor="text1"/>
          <w:u w:val="none"/>
        </w:rPr>
        <w:t>and a hospital-based facility: Preliminary findings</w:t>
      </w:r>
      <w:r w:rsidRPr="008B528A">
        <w:rPr>
          <w:rStyle w:val="Hyperlink"/>
          <w:color w:val="000000" w:themeColor="text1"/>
          <w:u w:val="none"/>
        </w:rPr>
        <w:t>,</w:t>
      </w:r>
      <w:r w:rsidR="008B528A" w:rsidRPr="008B528A">
        <w:rPr>
          <w:i/>
          <w:color w:val="000000" w:themeColor="text1"/>
        </w:rPr>
        <w:fldChar w:fldCharType="end"/>
      </w:r>
      <w:r w:rsidRPr="008B528A">
        <w:rPr>
          <w:color w:val="000000" w:themeColor="text1"/>
        </w:rPr>
        <w:t xml:space="preserve"> 141 </w:t>
      </w:r>
      <w:r w:rsidRPr="00BC4B71">
        <w:t xml:space="preserve">Am. Acad. Of Otolaryngology – Head &amp; Neck Surgery Found. 701 (Sep. 09, 2009) (available at </w:t>
      </w:r>
      <w:hyperlink r:id="rId40" w:history="1">
        <w:r w:rsidRPr="00BC4B71">
          <w:rPr>
            <w:rStyle w:val="Hyperlink"/>
          </w:rPr>
          <w:t>https://bcpsc.yitech.in/wp-content/uploads/2021/01/Grisel_2009.pdf</w:t>
        </w:r>
      </w:hyperlink>
      <w:r w:rsidRPr="00BC4B71">
        <w:t xml:space="preserve">). </w:t>
      </w:r>
    </w:p>
  </w:footnote>
  <w:footnote w:id="29">
    <w:p w14:paraId="745BA18D" w14:textId="6D6CC121" w:rsidR="00797BE3" w:rsidRPr="00BC4B71" w:rsidRDefault="00797BE3" w:rsidP="00797BE3">
      <w:pPr>
        <w:pStyle w:val="BodyText"/>
      </w:pPr>
      <w:r w:rsidRPr="00BC4B71">
        <w:rPr>
          <w:rStyle w:val="FootnoteReference"/>
        </w:rPr>
        <w:footnoteRef/>
      </w:r>
      <w:r w:rsidRPr="00BC4B71">
        <w:t xml:space="preserve"> </w:t>
      </w:r>
      <w:hyperlink r:id="rId41" w:history="1">
        <w:r w:rsidRPr="00273072">
          <w:rPr>
            <w:rStyle w:val="Hyperlink"/>
            <w:i/>
            <w:color w:val="000000" w:themeColor="text1"/>
            <w:u w:val="none"/>
          </w:rPr>
          <w:t>Minutes of the Health Policy Commission</w:t>
        </w:r>
      </w:hyperlink>
      <w:r w:rsidRPr="00273072">
        <w:rPr>
          <w:color w:val="000000" w:themeColor="text1"/>
        </w:rPr>
        <w:t xml:space="preserve"> 3 – 7</w:t>
      </w:r>
      <w:r w:rsidRPr="00BC4B71">
        <w:t>, HPC (Jun. 07, 2023) (</w:t>
      </w:r>
      <w:hyperlink r:id="rId42" w:history="1">
        <w:r w:rsidRPr="00BC4B71">
          <w:rPr>
            <w:rStyle w:val="Hyperlink"/>
          </w:rPr>
          <w:t>https://www.mass.gov/doc/minutes-from-june-7-2023-board-meeting/download</w:t>
        </w:r>
      </w:hyperlink>
      <w:r w:rsidRPr="00BC4B71">
        <w:t>) (there is a need for more ASCs to provide better access to hospital-based care without having to wait for openings at a hospital).</w:t>
      </w:r>
    </w:p>
  </w:footnote>
  <w:footnote w:id="30">
    <w:p w14:paraId="7A5185C5" w14:textId="5E9EE5CF" w:rsidR="00797BE3" w:rsidRPr="00BC4B71" w:rsidRDefault="00797BE3" w:rsidP="00797BE3">
      <w:pPr>
        <w:pStyle w:val="BodyText"/>
      </w:pPr>
      <w:r w:rsidRPr="00BC4B71">
        <w:rPr>
          <w:rStyle w:val="FootnoteReference"/>
        </w:rPr>
        <w:footnoteRef/>
      </w:r>
      <w:r w:rsidRPr="00BC4B71">
        <w:t xml:space="preserve"> Elizabeth Munnich and Stephen T. Parente, </w:t>
      </w:r>
      <w:hyperlink r:id="rId43" w:history="1">
        <w:r w:rsidRPr="00273072">
          <w:rPr>
            <w:rStyle w:val="Hyperlink"/>
            <w:i/>
            <w:color w:val="000000" w:themeColor="text1"/>
            <w:u w:val="none"/>
          </w:rPr>
          <w:t>Procedures Take Less Time At Ambulatory Surgery Centers, Keeping Costs Down And Ability To Meet Demand Up</w:t>
        </w:r>
      </w:hyperlink>
      <w:r w:rsidRPr="00273072">
        <w:rPr>
          <w:color w:val="000000" w:themeColor="text1"/>
        </w:rPr>
        <w:t xml:space="preserve">, 33 </w:t>
      </w:r>
      <w:r w:rsidRPr="00BC4B71">
        <w:t xml:space="preserve">Health Affairs 5 (May 2014) (available at </w:t>
      </w:r>
      <w:hyperlink r:id="rId44" w:history="1">
        <w:r w:rsidRPr="00BC4B71">
          <w:rPr>
            <w:rStyle w:val="Hyperlink"/>
          </w:rPr>
          <w:t>https://www.healthaffairs.org/doi/full/10.1377/hlthaff.2013.1281</w:t>
        </w:r>
      </w:hyperlink>
      <w:r w:rsidRPr="00BC4B71">
        <w:t xml:space="preserve">). </w:t>
      </w:r>
    </w:p>
  </w:footnote>
  <w:footnote w:id="31">
    <w:p w14:paraId="2485D7F8" w14:textId="77777777" w:rsidR="00797BE3" w:rsidRPr="00BD3CFA" w:rsidRDefault="00797BE3" w:rsidP="00797BE3">
      <w:pPr>
        <w:pStyle w:val="BodyText"/>
      </w:pPr>
      <w:r w:rsidRPr="00BC4B71">
        <w:rPr>
          <w:rStyle w:val="FootnoteReference"/>
        </w:rPr>
        <w:footnoteRef/>
      </w:r>
      <w:r w:rsidRPr="00BC4B71">
        <w:t xml:space="preserve"> </w:t>
      </w:r>
      <w:r w:rsidRPr="00BC4B71">
        <w:rPr>
          <w:i/>
          <w:iCs/>
        </w:rPr>
        <w:t>Id.</w:t>
      </w:r>
    </w:p>
  </w:footnote>
  <w:footnote w:id="32">
    <w:p w14:paraId="248022AF" w14:textId="4776E184" w:rsidR="000B6452" w:rsidRPr="000B6452" w:rsidRDefault="000B6452" w:rsidP="000B6452">
      <w:pPr>
        <w:pStyle w:val="FootnoteText"/>
        <w:rPr>
          <w:rFonts w:ascii="Book Antiqua" w:hAnsi="Book Antiqua"/>
          <w:sz w:val="18"/>
          <w:szCs w:val="18"/>
        </w:rPr>
      </w:pPr>
      <w:r w:rsidRPr="000B6452">
        <w:rPr>
          <w:rStyle w:val="FootnoteReference"/>
          <w:rFonts w:ascii="Book Antiqua" w:hAnsi="Book Antiqua"/>
          <w:sz w:val="18"/>
          <w:szCs w:val="18"/>
        </w:rPr>
        <w:footnoteRef/>
      </w:r>
      <w:r w:rsidRPr="000B6452">
        <w:rPr>
          <w:rFonts w:ascii="Book Antiqua" w:hAnsi="Book Antiqua"/>
          <w:sz w:val="18"/>
          <w:szCs w:val="18"/>
        </w:rPr>
        <w:t xml:space="preserve"> Atrius Health MassHealth Monthly Membership Roster</w:t>
      </w:r>
      <w:r>
        <w:rPr>
          <w:rFonts w:ascii="Book Antiqua" w:hAnsi="Book Antiqua"/>
          <w:sz w:val="18"/>
          <w:szCs w:val="18"/>
        </w:rPr>
        <w:t>,</w:t>
      </w:r>
      <w:r w:rsidRPr="000B6452">
        <w:rPr>
          <w:rFonts w:ascii="Book Antiqua" w:hAnsi="Book Antiqua"/>
          <w:sz w:val="18"/>
          <w:szCs w:val="18"/>
        </w:rPr>
        <w:t xml:space="preserve"> </w:t>
      </w:r>
      <w:r>
        <w:rPr>
          <w:rFonts w:ascii="Book Antiqua" w:hAnsi="Book Antiqua"/>
          <w:sz w:val="18"/>
          <w:szCs w:val="18"/>
        </w:rPr>
        <w:t>February 2028 - April 2023</w:t>
      </w:r>
    </w:p>
  </w:footnote>
  <w:footnote w:id="33">
    <w:p w14:paraId="662E8D04" w14:textId="52A9A617" w:rsidR="00581E8B" w:rsidRPr="000B6452" w:rsidRDefault="00B35615">
      <w:pPr>
        <w:pStyle w:val="FootnoteText"/>
        <w:rPr>
          <w:rFonts w:ascii="Book Antiqua" w:hAnsi="Book Antiqua"/>
          <w:sz w:val="18"/>
          <w:szCs w:val="18"/>
        </w:rPr>
      </w:pPr>
      <w:r w:rsidRPr="000B6452">
        <w:rPr>
          <w:rStyle w:val="FootnoteReference"/>
          <w:rFonts w:ascii="Book Antiqua" w:hAnsi="Book Antiqua"/>
          <w:sz w:val="18"/>
          <w:szCs w:val="18"/>
        </w:rPr>
        <w:footnoteRef/>
      </w:r>
      <w:r w:rsidRPr="000B6452">
        <w:rPr>
          <w:rFonts w:ascii="Book Antiqua" w:hAnsi="Book Antiqua"/>
          <w:sz w:val="18"/>
          <w:szCs w:val="18"/>
        </w:rPr>
        <w:t xml:space="preserve"> Atrius Health </w:t>
      </w:r>
      <w:r w:rsidR="000B6452" w:rsidRPr="000B6452">
        <w:rPr>
          <w:rFonts w:ascii="Book Antiqua" w:hAnsi="Book Antiqua"/>
          <w:sz w:val="18"/>
          <w:szCs w:val="18"/>
        </w:rPr>
        <w:t>MassHealth Monthly Membership Roster</w:t>
      </w:r>
      <w:r w:rsidR="000B6452">
        <w:rPr>
          <w:rFonts w:ascii="Book Antiqua" w:hAnsi="Book Antiqua"/>
          <w:sz w:val="18"/>
          <w:szCs w:val="18"/>
        </w:rPr>
        <w:t>, April 2023 - May 2024</w:t>
      </w:r>
    </w:p>
  </w:footnote>
  <w:footnote w:id="34">
    <w:p w14:paraId="0D05D3C9" w14:textId="07994EF9" w:rsidR="0047240F" w:rsidRDefault="0047240F">
      <w:pPr>
        <w:pStyle w:val="FootnoteText"/>
      </w:pPr>
      <w:r w:rsidRPr="000B6452">
        <w:rPr>
          <w:rStyle w:val="FootnoteReference"/>
          <w:rFonts w:ascii="Book Antiqua" w:hAnsi="Book Antiqua"/>
          <w:sz w:val="18"/>
          <w:szCs w:val="18"/>
        </w:rPr>
        <w:footnoteRef/>
      </w:r>
      <w:r w:rsidRPr="000B6452">
        <w:rPr>
          <w:rFonts w:ascii="Book Antiqua" w:hAnsi="Book Antiqua"/>
          <w:sz w:val="18"/>
          <w:szCs w:val="18"/>
        </w:rPr>
        <w:t xml:space="preserve"> </w:t>
      </w:r>
      <w:hyperlink r:id="rId45" w:history="1">
        <w:r w:rsidRPr="003B679F">
          <w:rPr>
            <w:rStyle w:val="Hyperlink"/>
            <w:rFonts w:ascii="Book Antiqua" w:hAnsi="Book Antiqua"/>
            <w:i/>
            <w:iCs/>
            <w:color w:val="000000" w:themeColor="text1"/>
            <w:sz w:val="18"/>
            <w:szCs w:val="18"/>
            <w:u w:val="none"/>
          </w:rPr>
          <w:t>MassHealth Redetermination Dashboard</w:t>
        </w:r>
      </w:hyperlink>
      <w:r w:rsidR="000B6452" w:rsidRPr="003B679F">
        <w:rPr>
          <w:rFonts w:ascii="Book Antiqua" w:hAnsi="Book Antiqua"/>
          <w:i/>
          <w:iCs/>
          <w:color w:val="000000" w:themeColor="text1"/>
          <w:sz w:val="18"/>
          <w:szCs w:val="18"/>
        </w:rPr>
        <w:t xml:space="preserve"> </w:t>
      </w:r>
      <w:r w:rsidR="000B6452" w:rsidRPr="003B679F">
        <w:rPr>
          <w:rFonts w:ascii="Book Antiqua" w:hAnsi="Book Antiqua"/>
          <w:color w:val="000000" w:themeColor="text1"/>
          <w:sz w:val="18"/>
          <w:szCs w:val="18"/>
        </w:rPr>
        <w:t>(</w:t>
      </w:r>
      <w:r w:rsidRPr="000B6452">
        <w:rPr>
          <w:rFonts w:ascii="Book Antiqua" w:hAnsi="Book Antiqua"/>
          <w:sz w:val="18"/>
          <w:szCs w:val="18"/>
        </w:rPr>
        <w:t>May 2024</w:t>
      </w:r>
      <w:r w:rsidR="000B6452" w:rsidRPr="000B6452">
        <w:rPr>
          <w:rFonts w:ascii="Book Antiqua" w:hAnsi="Book Antiqua"/>
          <w:sz w:val="18"/>
          <w:szCs w:val="18"/>
        </w:rPr>
        <w:t xml:space="preserve">) </w:t>
      </w:r>
      <w:bookmarkStart w:id="8" w:name="_Hlk175128941"/>
      <w:r w:rsidR="003B679F">
        <w:rPr>
          <w:rFonts w:ascii="Book Antiqua" w:hAnsi="Book Antiqua"/>
          <w:sz w:val="18"/>
          <w:szCs w:val="18"/>
        </w:rPr>
        <w:fldChar w:fldCharType="begin"/>
      </w:r>
      <w:r w:rsidR="003B679F">
        <w:rPr>
          <w:rFonts w:ascii="Book Antiqua" w:hAnsi="Book Antiqua"/>
          <w:sz w:val="18"/>
          <w:szCs w:val="18"/>
        </w:rPr>
        <w:instrText>HYPERLINK "</w:instrText>
      </w:r>
      <w:r w:rsidR="003B679F" w:rsidRPr="000B6452">
        <w:rPr>
          <w:rFonts w:ascii="Book Antiqua" w:hAnsi="Book Antiqua"/>
          <w:sz w:val="18"/>
          <w:szCs w:val="18"/>
        </w:rPr>
        <w:instrText>https://www.mass.gov/info-details/masshealth-redetermination-dashboard</w:instrText>
      </w:r>
      <w:r w:rsidR="003B679F">
        <w:rPr>
          <w:rFonts w:ascii="Book Antiqua" w:hAnsi="Book Antiqua"/>
          <w:sz w:val="18"/>
          <w:szCs w:val="18"/>
        </w:rPr>
        <w:instrText>"</w:instrText>
      </w:r>
      <w:r w:rsidR="003B679F">
        <w:rPr>
          <w:rFonts w:ascii="Book Antiqua" w:hAnsi="Book Antiqua"/>
          <w:sz w:val="18"/>
          <w:szCs w:val="18"/>
        </w:rPr>
      </w:r>
      <w:r w:rsidR="003B679F">
        <w:rPr>
          <w:rFonts w:ascii="Book Antiqua" w:hAnsi="Book Antiqua"/>
          <w:sz w:val="18"/>
          <w:szCs w:val="18"/>
        </w:rPr>
        <w:fldChar w:fldCharType="separate"/>
      </w:r>
      <w:r w:rsidR="003B679F" w:rsidRPr="000D6EB2">
        <w:rPr>
          <w:rStyle w:val="Hyperlink"/>
          <w:rFonts w:ascii="Book Antiqua" w:hAnsi="Book Antiqua"/>
          <w:sz w:val="18"/>
          <w:szCs w:val="18"/>
        </w:rPr>
        <w:t>https://www.mass.gov/info-details/masshealth-redetermination-dashboard</w:t>
      </w:r>
      <w:r w:rsidR="003B679F">
        <w:rPr>
          <w:rFonts w:ascii="Book Antiqua" w:hAnsi="Book Antiqua"/>
          <w:sz w:val="18"/>
          <w:szCs w:val="18"/>
        </w:rPr>
        <w:fldChar w:fldCharType="end"/>
      </w:r>
      <w:r w:rsidR="003B679F">
        <w:rPr>
          <w:rFonts w:ascii="Book Antiqua" w:hAnsi="Book Antiqua"/>
          <w:sz w:val="18"/>
          <w:szCs w:val="18"/>
        </w:rPr>
        <w:t xml:space="preserve"> </w:t>
      </w:r>
      <w:bookmarkEnd w:id="8"/>
    </w:p>
  </w:footnote>
  <w:footnote w:id="35">
    <w:p w14:paraId="3DBB133F" w14:textId="450B60DD" w:rsidR="00797BE3" w:rsidRPr="00BC4B71" w:rsidRDefault="00797BE3" w:rsidP="00797BE3">
      <w:pPr>
        <w:pStyle w:val="BodyText"/>
      </w:pPr>
      <w:r w:rsidRPr="00BC4B71">
        <w:rPr>
          <w:rStyle w:val="FootnoteReference"/>
        </w:rPr>
        <w:footnoteRef/>
      </w:r>
      <w:r w:rsidRPr="00BC4B71">
        <w:t xml:space="preserve"> </w:t>
      </w:r>
      <w:hyperlink r:id="rId46" w:history="1">
        <w:r w:rsidRPr="003B679F">
          <w:rPr>
            <w:rStyle w:val="Hyperlink"/>
            <w:i/>
            <w:color w:val="000000" w:themeColor="text1"/>
            <w:u w:val="none"/>
          </w:rPr>
          <w:t>2021 Annual Health Care Cost Trends Report</w:t>
        </w:r>
      </w:hyperlink>
      <w:r w:rsidRPr="003B679F">
        <w:rPr>
          <w:color w:val="000000" w:themeColor="text1"/>
        </w:rPr>
        <w:t xml:space="preserve">, </w:t>
      </w:r>
      <w:r w:rsidRPr="00BC4B71">
        <w:t>HPC (Sep. 2021) (</w:t>
      </w:r>
      <w:hyperlink r:id="rId47" w:history="1">
        <w:r w:rsidRPr="00BC4B71">
          <w:rPr>
            <w:rStyle w:val="Hyperlink"/>
          </w:rPr>
          <w:t>https://www.mass.gov/doc/2021-health-care-cost-trends-report/download</w:t>
        </w:r>
      </w:hyperlink>
      <w:r w:rsidRPr="00BC4B71">
        <w:t xml:space="preserve">). </w:t>
      </w:r>
    </w:p>
  </w:footnote>
  <w:footnote w:id="36">
    <w:p w14:paraId="4CDE1CAC" w14:textId="62F2867C" w:rsidR="00797BE3" w:rsidRPr="00BC4B71" w:rsidRDefault="00797BE3" w:rsidP="00797BE3">
      <w:pPr>
        <w:pStyle w:val="BodyText"/>
      </w:pPr>
      <w:r w:rsidRPr="00BC4B71">
        <w:rPr>
          <w:rStyle w:val="FootnoteReference"/>
          <w:rFonts w:asciiTheme="minorHAnsi" w:hAnsiTheme="minorHAnsi" w:cstheme="minorHAnsi"/>
        </w:rPr>
        <w:footnoteRef/>
      </w:r>
      <w:r w:rsidRPr="00BC4B71">
        <w:t xml:space="preserve"> </w:t>
      </w:r>
      <w:hyperlink r:id="rId48" w:history="1">
        <w:r w:rsidRPr="00C65DE4">
          <w:rPr>
            <w:rStyle w:val="Hyperlink"/>
            <w:color w:val="000000" w:themeColor="text1"/>
            <w:u w:val="none"/>
          </w:rPr>
          <w:t xml:space="preserve">2023 </w:t>
        </w:r>
        <w:r w:rsidRPr="00C65DE4">
          <w:rPr>
            <w:rStyle w:val="Hyperlink"/>
            <w:i/>
            <w:color w:val="000000" w:themeColor="text1"/>
            <w:u w:val="none"/>
          </w:rPr>
          <w:t>Annual Health Care Cost Trends Report and Policy Recommendations</w:t>
        </w:r>
      </w:hyperlink>
      <w:r w:rsidRPr="00C65DE4">
        <w:rPr>
          <w:color w:val="000000" w:themeColor="text1"/>
        </w:rPr>
        <w:t xml:space="preserve"> 2, HPC </w:t>
      </w:r>
      <w:r w:rsidRPr="00BC4B71">
        <w:t>(Sep. 2023) (</w:t>
      </w:r>
      <w:hyperlink r:id="rId49" w:history="1">
        <w:r w:rsidRPr="00BC4B71">
          <w:rPr>
            <w:rStyle w:val="Hyperlink"/>
          </w:rPr>
          <w:t>https://www.mass.gov/doc/2023-health-care-cost-trends-report/download</w:t>
        </w:r>
      </w:hyperlink>
      <w:r w:rsidRPr="00BC4B71">
        <w:t>) (“Policymakers should not settle for a false choice between a high-quality health care system and an affordable one”).</w:t>
      </w:r>
    </w:p>
  </w:footnote>
  <w:footnote w:id="37">
    <w:p w14:paraId="7FFEC294" w14:textId="0A40B86C" w:rsidR="00797BE3" w:rsidRPr="00BC4B71" w:rsidRDefault="00797BE3" w:rsidP="00797BE3">
      <w:pPr>
        <w:pStyle w:val="BodyText"/>
      </w:pPr>
      <w:r w:rsidRPr="00BC4B71">
        <w:rPr>
          <w:rStyle w:val="FootnoteReference"/>
          <w:rFonts w:cstheme="minorHAnsi"/>
        </w:rPr>
        <w:footnoteRef/>
      </w:r>
      <w:r w:rsidRPr="00BC4B71">
        <w:t xml:space="preserve"> </w:t>
      </w:r>
      <w:r w:rsidRPr="00BC4B71">
        <w:rPr>
          <w:i/>
        </w:rPr>
        <w:t>See</w:t>
      </w:r>
      <w:r w:rsidRPr="00BC4B71">
        <w:t xml:space="preserve">, </w:t>
      </w:r>
      <w:hyperlink r:id="rId50" w:history="1">
        <w:r w:rsidRPr="00C65DE4">
          <w:rPr>
            <w:rStyle w:val="Hyperlink"/>
            <w:i/>
            <w:color w:val="000000" w:themeColor="text1"/>
            <w:u w:val="none"/>
          </w:rPr>
          <w:t>Medicare CY 2018 Outpatient Prospective Payment System (OPPS) Final Rule Claims</w:t>
        </w:r>
        <w:r w:rsidRPr="00C65DE4">
          <w:rPr>
            <w:rStyle w:val="Hyperlink"/>
            <w:color w:val="000000" w:themeColor="text1"/>
            <w:u w:val="none"/>
          </w:rPr>
          <w:t xml:space="preserve"> </w:t>
        </w:r>
        <w:r w:rsidRPr="00C65DE4">
          <w:rPr>
            <w:rStyle w:val="Hyperlink"/>
            <w:i/>
            <w:color w:val="000000" w:themeColor="text1"/>
            <w:u w:val="none"/>
          </w:rPr>
          <w:t>Accounting</w:t>
        </w:r>
      </w:hyperlink>
      <w:r w:rsidRPr="00C65DE4">
        <w:rPr>
          <w:color w:val="000000" w:themeColor="text1"/>
        </w:rPr>
        <w:t xml:space="preserve">, CMS </w:t>
      </w:r>
      <w:r w:rsidRPr="00BC4B71">
        <w:t>(2017) (</w:t>
      </w:r>
      <w:hyperlink r:id="rId51" w:history="1">
        <w:r w:rsidRPr="00BC4B71">
          <w:rPr>
            <w:rStyle w:val="Hyperlink"/>
          </w:rPr>
          <w:t>https://www.cms.gov/Medicare/Medicare-Fee-for-Service-Payment/HospitalOutpatientPPS/Downloads/CMS-1678-FC-2018-OPPS-FR-Claims-Accounting.pdf</w:t>
        </w:r>
      </w:hyperlink>
      <w:r w:rsidRPr="00BC4B71">
        <w:t xml:space="preserve">). </w:t>
      </w:r>
    </w:p>
  </w:footnote>
  <w:footnote w:id="38">
    <w:p w14:paraId="6B7BAEA2" w14:textId="77777777" w:rsidR="00797BE3" w:rsidRPr="00BC4B71" w:rsidRDefault="00797BE3" w:rsidP="00797BE3">
      <w:pPr>
        <w:pStyle w:val="BodyText"/>
        <w:rPr>
          <w:i/>
          <w:iCs/>
        </w:rPr>
      </w:pPr>
      <w:r w:rsidRPr="00BC4B71">
        <w:rPr>
          <w:rStyle w:val="FootnoteReference"/>
          <w:rFonts w:cstheme="minorHAnsi"/>
        </w:rPr>
        <w:footnoteRef/>
      </w:r>
      <w:r w:rsidRPr="00BC4B71">
        <w:t xml:space="preserve"> </w:t>
      </w:r>
      <w:r w:rsidRPr="00BC4B71">
        <w:rPr>
          <w:i/>
          <w:iCs/>
        </w:rPr>
        <w:t>Id.</w:t>
      </w:r>
    </w:p>
  </w:footnote>
  <w:footnote w:id="39">
    <w:p w14:paraId="02E77B42" w14:textId="48137537" w:rsidR="00797BE3" w:rsidRPr="00BC4B71" w:rsidRDefault="00797BE3" w:rsidP="00797BE3">
      <w:pPr>
        <w:pStyle w:val="BodyText"/>
      </w:pPr>
      <w:r w:rsidRPr="00BC4B71">
        <w:rPr>
          <w:rStyle w:val="FootnoteReference"/>
          <w:rFonts w:asciiTheme="minorHAnsi" w:hAnsiTheme="minorHAnsi" w:cstheme="minorHAnsi"/>
        </w:rPr>
        <w:footnoteRef/>
      </w:r>
      <w:r w:rsidRPr="00BC4B71">
        <w:t xml:space="preserve"> </w:t>
      </w:r>
      <w:hyperlink r:id="rId52" w:history="1">
        <w:r w:rsidRPr="00F17B0E">
          <w:rPr>
            <w:rStyle w:val="Hyperlink"/>
            <w:color w:val="000000" w:themeColor="text1"/>
            <w:u w:val="none"/>
          </w:rPr>
          <w:t>HPC Board Meeting</w:t>
        </w:r>
      </w:hyperlink>
      <w:r w:rsidRPr="00F17B0E">
        <w:rPr>
          <w:color w:val="000000" w:themeColor="text1"/>
        </w:rPr>
        <w:t xml:space="preserve"> 27, </w:t>
      </w:r>
      <w:r w:rsidRPr="00BC4B71">
        <w:t>HPC (June 08, 2022) (</w:t>
      </w:r>
      <w:hyperlink r:id="rId53" w:history="1">
        <w:r w:rsidRPr="00BC4B71">
          <w:rPr>
            <w:rStyle w:val="Hyperlink"/>
            <w:rFonts w:asciiTheme="minorHAnsi" w:hAnsiTheme="minorHAnsi" w:cstheme="minorHAnsi"/>
          </w:rPr>
          <w:t>https://www.mass.gov/doc/presentation-board-meeting-june-8-2022/download</w:t>
        </w:r>
      </w:hyperlink>
      <w:r w:rsidRPr="00BC4B71">
        <w:t xml:space="preserve">). </w:t>
      </w:r>
    </w:p>
    <w:p w14:paraId="057056F1" w14:textId="77777777" w:rsidR="00797BE3" w:rsidRPr="00BD3CFA" w:rsidRDefault="00797BE3" w:rsidP="00797BE3">
      <w:pPr>
        <w:pStyle w:val="BodyText"/>
      </w:pPr>
    </w:p>
  </w:footnote>
  <w:footnote w:id="40">
    <w:p w14:paraId="5E77B2CB" w14:textId="6E28F96B" w:rsidR="00943C78" w:rsidRDefault="00943C78">
      <w:pPr>
        <w:pStyle w:val="FootnoteText"/>
      </w:pPr>
      <w:r w:rsidRPr="00C41EEC">
        <w:rPr>
          <w:rStyle w:val="FootnoteReference"/>
          <w:sz w:val="16"/>
          <w:szCs w:val="16"/>
        </w:rPr>
        <w:footnoteRef/>
      </w:r>
      <w:r w:rsidRPr="00C41EEC">
        <w:rPr>
          <w:sz w:val="16"/>
          <w:szCs w:val="16"/>
        </w:rPr>
        <w:t xml:space="preserve"> The surgical case data only includes data on Atrius Health risk patients. It does not include data on fee-for-services</w:t>
      </w:r>
      <w:r>
        <w:t>.</w:t>
      </w:r>
    </w:p>
  </w:footnote>
  <w:footnote w:id="41">
    <w:p w14:paraId="25C0AB1D" w14:textId="701A19D1" w:rsidR="00943C78" w:rsidRDefault="00943C78">
      <w:pPr>
        <w:pStyle w:val="FootnoteText"/>
      </w:pPr>
      <w:r w:rsidRPr="00C41EEC">
        <w:rPr>
          <w:rStyle w:val="FootnoteReference"/>
          <w:sz w:val="16"/>
          <w:szCs w:val="16"/>
        </w:rPr>
        <w:footnoteRef/>
      </w:r>
      <w:r w:rsidRPr="00C41EEC">
        <w:rPr>
          <w:sz w:val="16"/>
          <w:szCs w:val="16"/>
        </w:rPr>
        <w:t xml:space="preserve"> The surgical case data only includes data on Atrius Health risk patients</w:t>
      </w:r>
      <w:r w:rsidR="0028658C">
        <w:rPr>
          <w:sz w:val="16"/>
          <w:szCs w:val="16"/>
        </w:rPr>
        <w:t xml:space="preserve"> that were provided surgical services by an Atrius Health </w:t>
      </w:r>
      <w:r w:rsidR="0028658C">
        <w:rPr>
          <w:sz w:val="16"/>
          <w:szCs w:val="16"/>
        </w:rPr>
        <w:t>surgeon</w:t>
      </w:r>
      <w:r w:rsidRPr="00C41EEC">
        <w:rPr>
          <w:sz w:val="16"/>
          <w:szCs w:val="16"/>
        </w:rPr>
        <w:t>..</w:t>
      </w:r>
    </w:p>
  </w:footnote>
  <w:footnote w:id="42">
    <w:p w14:paraId="2AF2C45E" w14:textId="77777777" w:rsidR="00F20199" w:rsidRPr="009835F2" w:rsidRDefault="00F20199" w:rsidP="00F20199">
      <w:pPr>
        <w:pStyle w:val="FootnoteText"/>
        <w:rPr>
          <w:rFonts w:cstheme="minorHAnsi"/>
        </w:rPr>
      </w:pPr>
      <w:r w:rsidRPr="009835F2">
        <w:rPr>
          <w:rStyle w:val="FootnoteReference"/>
          <w:rFonts w:cstheme="minorHAnsi"/>
          <w:sz w:val="16"/>
          <w:szCs w:val="16"/>
        </w:rPr>
        <w:footnoteRef/>
      </w:r>
      <w:r w:rsidRPr="009835F2">
        <w:rPr>
          <w:rFonts w:cstheme="minorHAnsi"/>
          <w:sz w:val="16"/>
          <w:szCs w:val="16"/>
        </w:rPr>
        <w:t xml:space="preserve"> Only includes Massachusetts counties resulting in smaller </w:t>
      </w:r>
      <w:r>
        <w:rPr>
          <w:rFonts w:cstheme="minorHAnsi"/>
          <w:sz w:val="16"/>
          <w:szCs w:val="16"/>
        </w:rPr>
        <w:t xml:space="preserve">Grand Total count </w:t>
      </w:r>
      <w:r w:rsidRPr="009835F2">
        <w:rPr>
          <w:rFonts w:cstheme="minorHAnsi"/>
          <w:sz w:val="16"/>
          <w:szCs w:val="16"/>
        </w:rPr>
        <w:t>than in Table 1.</w:t>
      </w:r>
    </w:p>
  </w:footnote>
  <w:footnote w:id="43">
    <w:p w14:paraId="7838FD89" w14:textId="07A80CBE" w:rsidR="0028658C" w:rsidRDefault="0028658C">
      <w:pPr>
        <w:pStyle w:val="FootnoteText"/>
      </w:pPr>
      <w:r>
        <w:rPr>
          <w:rStyle w:val="FootnoteReference"/>
        </w:rPr>
        <w:footnoteRef/>
      </w:r>
      <w:r>
        <w:t xml:space="preserve"> </w:t>
      </w:r>
      <w:r w:rsidRPr="00C41EEC">
        <w:rPr>
          <w:sz w:val="16"/>
          <w:szCs w:val="16"/>
        </w:rPr>
        <w:t>The surgical case data only includes data on Atrius Health risk patients</w:t>
      </w:r>
      <w:r>
        <w:rPr>
          <w:sz w:val="16"/>
          <w:szCs w:val="16"/>
        </w:rPr>
        <w:t xml:space="preserve">.  </w:t>
      </w:r>
      <w:r w:rsidRPr="00C41EEC">
        <w:rPr>
          <w:sz w:val="16"/>
          <w:szCs w:val="16"/>
        </w:rPr>
        <w:t>It does not include data on fee-for-services.</w:t>
      </w:r>
      <w:r>
        <w:rPr>
          <w:sz w:val="16"/>
          <w:szCs w:val="16"/>
        </w:rPr>
        <w:t xml:space="preserve">  </w:t>
      </w:r>
    </w:p>
  </w:footnote>
  <w:footnote w:id="44">
    <w:p w14:paraId="59C620CA" w14:textId="7018544D" w:rsidR="00943C78" w:rsidRPr="00C41EEC" w:rsidRDefault="00943C78" w:rsidP="00C41EEC">
      <w:pPr>
        <w:autoSpaceDE w:val="0"/>
        <w:autoSpaceDN w:val="0"/>
        <w:adjustRightInd w:val="0"/>
        <w:spacing w:after="0" w:line="240" w:lineRule="auto"/>
        <w:jc w:val="both"/>
        <w:rPr>
          <w:rFonts w:cstheme="minorHAnsi"/>
          <w:sz w:val="16"/>
          <w:szCs w:val="16"/>
        </w:rPr>
      </w:pPr>
      <w:r w:rsidRPr="00C41EEC">
        <w:rPr>
          <w:rStyle w:val="FootnoteReference"/>
          <w:rFonts w:asciiTheme="minorHAnsi" w:hAnsiTheme="minorHAnsi" w:cstheme="minorHAnsi"/>
          <w:sz w:val="16"/>
          <w:szCs w:val="16"/>
        </w:rPr>
        <w:footnoteRef/>
      </w:r>
      <w:r w:rsidRPr="00C41EEC">
        <w:rPr>
          <w:rFonts w:asciiTheme="minorHAnsi" w:hAnsiTheme="minorHAnsi" w:cstheme="minorHAnsi"/>
          <w:sz w:val="16"/>
          <w:szCs w:val="16"/>
        </w:rPr>
        <w:t xml:space="preserve"> </w:t>
      </w:r>
      <w:r w:rsidR="00A81AAA">
        <w:rPr>
          <w:rFonts w:asciiTheme="minorHAnsi" w:hAnsiTheme="minorHAnsi" w:cstheme="minorHAnsi"/>
          <w:sz w:val="16"/>
          <w:szCs w:val="16"/>
        </w:rPr>
        <w:t>The timeline is best on current</w:t>
      </w:r>
      <w:r w:rsidRPr="00C41EEC">
        <w:rPr>
          <w:rFonts w:asciiTheme="minorHAnsi" w:hAnsiTheme="minorHAnsi" w:cstheme="minorHAnsi"/>
          <w:sz w:val="16"/>
          <w:szCs w:val="16"/>
        </w:rPr>
        <w:t xml:space="preserve"> projections</w:t>
      </w:r>
      <w:r w:rsidR="00A81AAA">
        <w:rPr>
          <w:rFonts w:asciiTheme="minorHAnsi" w:hAnsiTheme="minorHAnsi" w:cstheme="minorHAnsi"/>
          <w:sz w:val="16"/>
          <w:szCs w:val="16"/>
        </w:rPr>
        <w:t xml:space="preserve">. It is expected that AHASC will be opening in the beginning of </w:t>
      </w:r>
      <w:r w:rsidRPr="00C41EEC">
        <w:rPr>
          <w:rFonts w:asciiTheme="minorHAnsi" w:hAnsiTheme="minorHAnsi" w:cstheme="minorHAnsi"/>
          <w:sz w:val="16"/>
          <w:szCs w:val="16"/>
        </w:rPr>
        <w:t xml:space="preserve">2026 </w:t>
      </w:r>
      <w:r w:rsidR="00A81AAA">
        <w:rPr>
          <w:rFonts w:asciiTheme="minorHAnsi" w:hAnsiTheme="minorHAnsi" w:cstheme="minorHAnsi"/>
          <w:sz w:val="16"/>
          <w:szCs w:val="16"/>
        </w:rPr>
        <w:t>and will not be open for the entire calendar. The timeline for opening</w:t>
      </w:r>
      <w:r w:rsidRPr="00C41EEC">
        <w:rPr>
          <w:rFonts w:asciiTheme="minorHAnsi" w:hAnsiTheme="minorHAnsi" w:cstheme="minorHAnsi"/>
          <w:sz w:val="16"/>
          <w:szCs w:val="16"/>
        </w:rPr>
        <w:t xml:space="preserve"> is dependent on regulatory and permitting being completed within projected timeline.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D7579"/>
    <w:multiLevelType w:val="hybridMultilevel"/>
    <w:tmpl w:val="A72A654E"/>
    <w:lvl w:ilvl="0" w:tplc="9C46996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A05680"/>
    <w:multiLevelType w:val="hybridMultilevel"/>
    <w:tmpl w:val="91C6FDD8"/>
    <w:lvl w:ilvl="0" w:tplc="F5DEDB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3B0C26"/>
    <w:multiLevelType w:val="hybridMultilevel"/>
    <w:tmpl w:val="5D4EFD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1386430"/>
    <w:multiLevelType w:val="hybridMultilevel"/>
    <w:tmpl w:val="0352AC14"/>
    <w:lvl w:ilvl="0" w:tplc="BE28B6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D16AD4"/>
    <w:multiLevelType w:val="hybridMultilevel"/>
    <w:tmpl w:val="052EF6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A56432D"/>
    <w:multiLevelType w:val="hybridMultilevel"/>
    <w:tmpl w:val="91C6FDD8"/>
    <w:lvl w:ilvl="0" w:tplc="F5DEDB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FFE17AA"/>
    <w:multiLevelType w:val="hybridMultilevel"/>
    <w:tmpl w:val="81844A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151F49"/>
    <w:multiLevelType w:val="hybridMultilevel"/>
    <w:tmpl w:val="91C6FDD8"/>
    <w:lvl w:ilvl="0" w:tplc="F5DEDB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B73CB0"/>
    <w:multiLevelType w:val="hybridMultilevel"/>
    <w:tmpl w:val="91C6FDD8"/>
    <w:lvl w:ilvl="0" w:tplc="F5DEDB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ACB33D9"/>
    <w:multiLevelType w:val="hybridMultilevel"/>
    <w:tmpl w:val="B406F3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6C4FE7"/>
    <w:multiLevelType w:val="hybridMultilevel"/>
    <w:tmpl w:val="A29E1ABA"/>
    <w:lvl w:ilvl="0" w:tplc="C51EC6C2">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4411071">
    <w:abstractNumId w:val="3"/>
  </w:num>
  <w:num w:numId="2" w16cid:durableId="1597707134">
    <w:abstractNumId w:val="8"/>
  </w:num>
  <w:num w:numId="3" w16cid:durableId="556940076">
    <w:abstractNumId w:val="1"/>
  </w:num>
  <w:num w:numId="4" w16cid:durableId="1913276925">
    <w:abstractNumId w:val="5"/>
  </w:num>
  <w:num w:numId="5" w16cid:durableId="1335762990">
    <w:abstractNumId w:val="7"/>
  </w:num>
  <w:num w:numId="6" w16cid:durableId="832255983">
    <w:abstractNumId w:val="9"/>
  </w:num>
  <w:num w:numId="7" w16cid:durableId="1928876968">
    <w:abstractNumId w:val="10"/>
  </w:num>
  <w:num w:numId="8" w16cid:durableId="1974943311">
    <w:abstractNumId w:val="0"/>
  </w:num>
  <w:num w:numId="9" w16cid:durableId="1687711597">
    <w:abstractNumId w:val="6"/>
  </w:num>
  <w:num w:numId="10" w16cid:durableId="369887683">
    <w:abstractNumId w:val="2"/>
  </w:num>
  <w:num w:numId="11" w16cid:durableId="3871504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9D"/>
    <w:rsid w:val="000114A1"/>
    <w:rsid w:val="00012DAF"/>
    <w:rsid w:val="00013059"/>
    <w:rsid w:val="00013B62"/>
    <w:rsid w:val="00022D98"/>
    <w:rsid w:val="00032F99"/>
    <w:rsid w:val="000346BE"/>
    <w:rsid w:val="00037AA0"/>
    <w:rsid w:val="00040205"/>
    <w:rsid w:val="00042498"/>
    <w:rsid w:val="00043A7C"/>
    <w:rsid w:val="0004602A"/>
    <w:rsid w:val="0005654D"/>
    <w:rsid w:val="00057702"/>
    <w:rsid w:val="00073DD5"/>
    <w:rsid w:val="00087CB6"/>
    <w:rsid w:val="00092596"/>
    <w:rsid w:val="00092DBB"/>
    <w:rsid w:val="00095C08"/>
    <w:rsid w:val="000A0FC0"/>
    <w:rsid w:val="000A5E1E"/>
    <w:rsid w:val="000B27E8"/>
    <w:rsid w:val="000B3720"/>
    <w:rsid w:val="000B3D4F"/>
    <w:rsid w:val="000B6452"/>
    <w:rsid w:val="000B79AE"/>
    <w:rsid w:val="000C5731"/>
    <w:rsid w:val="000D1A02"/>
    <w:rsid w:val="000D227E"/>
    <w:rsid w:val="000F1A45"/>
    <w:rsid w:val="00100541"/>
    <w:rsid w:val="001068A8"/>
    <w:rsid w:val="00121310"/>
    <w:rsid w:val="00123FAF"/>
    <w:rsid w:val="00132CE6"/>
    <w:rsid w:val="001367E1"/>
    <w:rsid w:val="001521BA"/>
    <w:rsid w:val="00154BA4"/>
    <w:rsid w:val="00155351"/>
    <w:rsid w:val="00156976"/>
    <w:rsid w:val="0015770B"/>
    <w:rsid w:val="00170B2F"/>
    <w:rsid w:val="00173A19"/>
    <w:rsid w:val="001757F8"/>
    <w:rsid w:val="00182C47"/>
    <w:rsid w:val="00184877"/>
    <w:rsid w:val="0018680A"/>
    <w:rsid w:val="001907FC"/>
    <w:rsid w:val="00193791"/>
    <w:rsid w:val="00194D57"/>
    <w:rsid w:val="001A2769"/>
    <w:rsid w:val="001A36F9"/>
    <w:rsid w:val="001A7739"/>
    <w:rsid w:val="001B1689"/>
    <w:rsid w:val="001D11E5"/>
    <w:rsid w:val="001F397F"/>
    <w:rsid w:val="0020374C"/>
    <w:rsid w:val="00211962"/>
    <w:rsid w:val="0022070C"/>
    <w:rsid w:val="00225A7D"/>
    <w:rsid w:val="00232C6D"/>
    <w:rsid w:val="00233970"/>
    <w:rsid w:val="00234074"/>
    <w:rsid w:val="00237FDB"/>
    <w:rsid w:val="00240584"/>
    <w:rsid w:val="00247159"/>
    <w:rsid w:val="0024765D"/>
    <w:rsid w:val="0025082F"/>
    <w:rsid w:val="00257A80"/>
    <w:rsid w:val="00264639"/>
    <w:rsid w:val="00273072"/>
    <w:rsid w:val="002752E1"/>
    <w:rsid w:val="0028658C"/>
    <w:rsid w:val="00295029"/>
    <w:rsid w:val="002B37FE"/>
    <w:rsid w:val="002B4A09"/>
    <w:rsid w:val="002C2B64"/>
    <w:rsid w:val="002C7A1C"/>
    <w:rsid w:val="002D3C04"/>
    <w:rsid w:val="002D4B9E"/>
    <w:rsid w:val="002D79A0"/>
    <w:rsid w:val="002F0D41"/>
    <w:rsid w:val="003020A8"/>
    <w:rsid w:val="0030548D"/>
    <w:rsid w:val="00317412"/>
    <w:rsid w:val="00323D7B"/>
    <w:rsid w:val="003307C7"/>
    <w:rsid w:val="003339E7"/>
    <w:rsid w:val="00335AB3"/>
    <w:rsid w:val="00337399"/>
    <w:rsid w:val="003405A0"/>
    <w:rsid w:val="00341414"/>
    <w:rsid w:val="00353E59"/>
    <w:rsid w:val="00354523"/>
    <w:rsid w:val="003551BC"/>
    <w:rsid w:val="003551D4"/>
    <w:rsid w:val="00361D38"/>
    <w:rsid w:val="003628F3"/>
    <w:rsid w:val="00380655"/>
    <w:rsid w:val="003912FE"/>
    <w:rsid w:val="003B09BF"/>
    <w:rsid w:val="003B37B5"/>
    <w:rsid w:val="003B679F"/>
    <w:rsid w:val="003C0974"/>
    <w:rsid w:val="003D1B24"/>
    <w:rsid w:val="003E3966"/>
    <w:rsid w:val="003E61F3"/>
    <w:rsid w:val="003E68FF"/>
    <w:rsid w:val="003E75AD"/>
    <w:rsid w:val="003F4171"/>
    <w:rsid w:val="003F4B3A"/>
    <w:rsid w:val="00400FA6"/>
    <w:rsid w:val="00402399"/>
    <w:rsid w:val="004034BE"/>
    <w:rsid w:val="0040648C"/>
    <w:rsid w:val="00406D29"/>
    <w:rsid w:val="0042228B"/>
    <w:rsid w:val="00424994"/>
    <w:rsid w:val="004418AB"/>
    <w:rsid w:val="00444880"/>
    <w:rsid w:val="00452129"/>
    <w:rsid w:val="00453FC2"/>
    <w:rsid w:val="00470A5F"/>
    <w:rsid w:val="0047240F"/>
    <w:rsid w:val="00476BD2"/>
    <w:rsid w:val="004831E3"/>
    <w:rsid w:val="00495937"/>
    <w:rsid w:val="00496BF5"/>
    <w:rsid w:val="004974F2"/>
    <w:rsid w:val="004A23C2"/>
    <w:rsid w:val="004B5833"/>
    <w:rsid w:val="004B60B4"/>
    <w:rsid w:val="004B7FEA"/>
    <w:rsid w:val="004C6F04"/>
    <w:rsid w:val="004E2EA4"/>
    <w:rsid w:val="004E313B"/>
    <w:rsid w:val="004E7ECA"/>
    <w:rsid w:val="004F3C1D"/>
    <w:rsid w:val="004F3D92"/>
    <w:rsid w:val="00505D20"/>
    <w:rsid w:val="005135F5"/>
    <w:rsid w:val="00516A57"/>
    <w:rsid w:val="00525630"/>
    <w:rsid w:val="00527B11"/>
    <w:rsid w:val="005318F0"/>
    <w:rsid w:val="005441A4"/>
    <w:rsid w:val="00561E4D"/>
    <w:rsid w:val="00575F65"/>
    <w:rsid w:val="00581E8B"/>
    <w:rsid w:val="00583848"/>
    <w:rsid w:val="005842F8"/>
    <w:rsid w:val="00593C31"/>
    <w:rsid w:val="00594882"/>
    <w:rsid w:val="00596B7F"/>
    <w:rsid w:val="005A0C7E"/>
    <w:rsid w:val="005A2397"/>
    <w:rsid w:val="005B249D"/>
    <w:rsid w:val="005C79BA"/>
    <w:rsid w:val="005D4EA7"/>
    <w:rsid w:val="005D6912"/>
    <w:rsid w:val="005E699F"/>
    <w:rsid w:val="00602A2B"/>
    <w:rsid w:val="006140C4"/>
    <w:rsid w:val="00623261"/>
    <w:rsid w:val="00623B21"/>
    <w:rsid w:val="00623D84"/>
    <w:rsid w:val="00626A77"/>
    <w:rsid w:val="00627D5C"/>
    <w:rsid w:val="006467AC"/>
    <w:rsid w:val="006600FA"/>
    <w:rsid w:val="0067547E"/>
    <w:rsid w:val="00675FE5"/>
    <w:rsid w:val="00676FD3"/>
    <w:rsid w:val="006914A0"/>
    <w:rsid w:val="006A1BA3"/>
    <w:rsid w:val="006B06D2"/>
    <w:rsid w:val="006B07AB"/>
    <w:rsid w:val="006B0D6D"/>
    <w:rsid w:val="006B2FDB"/>
    <w:rsid w:val="006C1D55"/>
    <w:rsid w:val="006C3C9E"/>
    <w:rsid w:val="006C5AB3"/>
    <w:rsid w:val="006D4E8C"/>
    <w:rsid w:val="006E52B4"/>
    <w:rsid w:val="006F1FDD"/>
    <w:rsid w:val="006F3F8C"/>
    <w:rsid w:val="006F6E43"/>
    <w:rsid w:val="00715865"/>
    <w:rsid w:val="00716EFC"/>
    <w:rsid w:val="007244DB"/>
    <w:rsid w:val="00735F99"/>
    <w:rsid w:val="00743CC5"/>
    <w:rsid w:val="00750CD0"/>
    <w:rsid w:val="00767595"/>
    <w:rsid w:val="00776193"/>
    <w:rsid w:val="007778FE"/>
    <w:rsid w:val="00786A44"/>
    <w:rsid w:val="00790880"/>
    <w:rsid w:val="00793F1E"/>
    <w:rsid w:val="00794A12"/>
    <w:rsid w:val="00797BE3"/>
    <w:rsid w:val="007A3CAB"/>
    <w:rsid w:val="007A4668"/>
    <w:rsid w:val="007B1E9B"/>
    <w:rsid w:val="007B6766"/>
    <w:rsid w:val="007C37B9"/>
    <w:rsid w:val="007D05E8"/>
    <w:rsid w:val="007D2512"/>
    <w:rsid w:val="007D5CD9"/>
    <w:rsid w:val="007E1078"/>
    <w:rsid w:val="007E64CE"/>
    <w:rsid w:val="007F6334"/>
    <w:rsid w:val="00801AA2"/>
    <w:rsid w:val="00814ED7"/>
    <w:rsid w:val="008157A6"/>
    <w:rsid w:val="00816F44"/>
    <w:rsid w:val="00832F6E"/>
    <w:rsid w:val="0083699A"/>
    <w:rsid w:val="00844426"/>
    <w:rsid w:val="00844C4D"/>
    <w:rsid w:val="0085243A"/>
    <w:rsid w:val="008614A9"/>
    <w:rsid w:val="00866009"/>
    <w:rsid w:val="008764F2"/>
    <w:rsid w:val="00893A7C"/>
    <w:rsid w:val="0089483C"/>
    <w:rsid w:val="00895601"/>
    <w:rsid w:val="0089688A"/>
    <w:rsid w:val="008B4C47"/>
    <w:rsid w:val="008B528A"/>
    <w:rsid w:val="008C27B0"/>
    <w:rsid w:val="008C2A8A"/>
    <w:rsid w:val="008C2F16"/>
    <w:rsid w:val="008D1215"/>
    <w:rsid w:val="008D6A91"/>
    <w:rsid w:val="008E6EE0"/>
    <w:rsid w:val="009010D9"/>
    <w:rsid w:val="009043B9"/>
    <w:rsid w:val="009110EA"/>
    <w:rsid w:val="00921A38"/>
    <w:rsid w:val="00921D0C"/>
    <w:rsid w:val="0092496D"/>
    <w:rsid w:val="00943C78"/>
    <w:rsid w:val="009442E0"/>
    <w:rsid w:val="00950C2B"/>
    <w:rsid w:val="009531C6"/>
    <w:rsid w:val="00972B46"/>
    <w:rsid w:val="009740E0"/>
    <w:rsid w:val="009749B5"/>
    <w:rsid w:val="00982C6A"/>
    <w:rsid w:val="00994107"/>
    <w:rsid w:val="009976C2"/>
    <w:rsid w:val="009A3403"/>
    <w:rsid w:val="009A44CE"/>
    <w:rsid w:val="009A74BA"/>
    <w:rsid w:val="009B4400"/>
    <w:rsid w:val="009E1761"/>
    <w:rsid w:val="009E36B9"/>
    <w:rsid w:val="009E4CD1"/>
    <w:rsid w:val="009F6518"/>
    <w:rsid w:val="00A027D3"/>
    <w:rsid w:val="00A05075"/>
    <w:rsid w:val="00A078F4"/>
    <w:rsid w:val="00A13BE8"/>
    <w:rsid w:val="00A2677D"/>
    <w:rsid w:val="00A32609"/>
    <w:rsid w:val="00A37097"/>
    <w:rsid w:val="00A37DAA"/>
    <w:rsid w:val="00A449B7"/>
    <w:rsid w:val="00A72CB7"/>
    <w:rsid w:val="00A77BD5"/>
    <w:rsid w:val="00A81AAA"/>
    <w:rsid w:val="00A90153"/>
    <w:rsid w:val="00A90AF7"/>
    <w:rsid w:val="00A97866"/>
    <w:rsid w:val="00A97E12"/>
    <w:rsid w:val="00AA1C30"/>
    <w:rsid w:val="00AA62B1"/>
    <w:rsid w:val="00AB4431"/>
    <w:rsid w:val="00AB504D"/>
    <w:rsid w:val="00AC1AD4"/>
    <w:rsid w:val="00AC1C8F"/>
    <w:rsid w:val="00AC58EF"/>
    <w:rsid w:val="00AD302A"/>
    <w:rsid w:val="00AD5598"/>
    <w:rsid w:val="00AD6663"/>
    <w:rsid w:val="00AE0D6E"/>
    <w:rsid w:val="00AE3030"/>
    <w:rsid w:val="00AE3066"/>
    <w:rsid w:val="00AF0E76"/>
    <w:rsid w:val="00AF5090"/>
    <w:rsid w:val="00AF66FF"/>
    <w:rsid w:val="00B03A05"/>
    <w:rsid w:val="00B03D4F"/>
    <w:rsid w:val="00B17EB8"/>
    <w:rsid w:val="00B35615"/>
    <w:rsid w:val="00B53DB2"/>
    <w:rsid w:val="00B56A16"/>
    <w:rsid w:val="00B57255"/>
    <w:rsid w:val="00B912B4"/>
    <w:rsid w:val="00B935E5"/>
    <w:rsid w:val="00B97474"/>
    <w:rsid w:val="00BA1E90"/>
    <w:rsid w:val="00BA343A"/>
    <w:rsid w:val="00BC4B71"/>
    <w:rsid w:val="00BD7891"/>
    <w:rsid w:val="00BE1D98"/>
    <w:rsid w:val="00BF0FA4"/>
    <w:rsid w:val="00C04759"/>
    <w:rsid w:val="00C04C6F"/>
    <w:rsid w:val="00C053FB"/>
    <w:rsid w:val="00C070F8"/>
    <w:rsid w:val="00C15B6F"/>
    <w:rsid w:val="00C17F27"/>
    <w:rsid w:val="00C23B43"/>
    <w:rsid w:val="00C36953"/>
    <w:rsid w:val="00C37306"/>
    <w:rsid w:val="00C41EEC"/>
    <w:rsid w:val="00C424BA"/>
    <w:rsid w:val="00C525BA"/>
    <w:rsid w:val="00C52D3E"/>
    <w:rsid w:val="00C52F7D"/>
    <w:rsid w:val="00C5362A"/>
    <w:rsid w:val="00C65DE4"/>
    <w:rsid w:val="00C76D66"/>
    <w:rsid w:val="00C80308"/>
    <w:rsid w:val="00C93BF0"/>
    <w:rsid w:val="00CB5028"/>
    <w:rsid w:val="00CC135C"/>
    <w:rsid w:val="00CC255F"/>
    <w:rsid w:val="00CC7628"/>
    <w:rsid w:val="00CD3F3D"/>
    <w:rsid w:val="00CE28F4"/>
    <w:rsid w:val="00CE72CB"/>
    <w:rsid w:val="00CF03C1"/>
    <w:rsid w:val="00CF2494"/>
    <w:rsid w:val="00CF5138"/>
    <w:rsid w:val="00D07B0F"/>
    <w:rsid w:val="00D16ABB"/>
    <w:rsid w:val="00D22797"/>
    <w:rsid w:val="00D26FAB"/>
    <w:rsid w:val="00D30831"/>
    <w:rsid w:val="00D4448A"/>
    <w:rsid w:val="00D45FE8"/>
    <w:rsid w:val="00D4689A"/>
    <w:rsid w:val="00D4718D"/>
    <w:rsid w:val="00D611B2"/>
    <w:rsid w:val="00D74613"/>
    <w:rsid w:val="00D770A6"/>
    <w:rsid w:val="00D816FD"/>
    <w:rsid w:val="00D823A3"/>
    <w:rsid w:val="00D870CC"/>
    <w:rsid w:val="00DA4E25"/>
    <w:rsid w:val="00DB10E7"/>
    <w:rsid w:val="00DB42E0"/>
    <w:rsid w:val="00DC4189"/>
    <w:rsid w:val="00DC57A1"/>
    <w:rsid w:val="00DD4409"/>
    <w:rsid w:val="00DE60A1"/>
    <w:rsid w:val="00DF2913"/>
    <w:rsid w:val="00DF57DB"/>
    <w:rsid w:val="00DF7B37"/>
    <w:rsid w:val="00E05BB3"/>
    <w:rsid w:val="00E1667F"/>
    <w:rsid w:val="00E261DA"/>
    <w:rsid w:val="00E3476E"/>
    <w:rsid w:val="00E34962"/>
    <w:rsid w:val="00E368E4"/>
    <w:rsid w:val="00E42B8C"/>
    <w:rsid w:val="00E4399E"/>
    <w:rsid w:val="00E45F94"/>
    <w:rsid w:val="00E53AB3"/>
    <w:rsid w:val="00E63EA2"/>
    <w:rsid w:val="00E64CD3"/>
    <w:rsid w:val="00E71397"/>
    <w:rsid w:val="00E74935"/>
    <w:rsid w:val="00E92398"/>
    <w:rsid w:val="00EA2977"/>
    <w:rsid w:val="00EB2667"/>
    <w:rsid w:val="00EC386A"/>
    <w:rsid w:val="00EC6C25"/>
    <w:rsid w:val="00ED2C51"/>
    <w:rsid w:val="00ED58EE"/>
    <w:rsid w:val="00ED6E34"/>
    <w:rsid w:val="00ED74DC"/>
    <w:rsid w:val="00EF1B42"/>
    <w:rsid w:val="00EF4B4B"/>
    <w:rsid w:val="00F051CB"/>
    <w:rsid w:val="00F17B0E"/>
    <w:rsid w:val="00F20199"/>
    <w:rsid w:val="00F32E33"/>
    <w:rsid w:val="00F56811"/>
    <w:rsid w:val="00F702BC"/>
    <w:rsid w:val="00F733EF"/>
    <w:rsid w:val="00F75A83"/>
    <w:rsid w:val="00F81027"/>
    <w:rsid w:val="00F96B48"/>
    <w:rsid w:val="00FC131A"/>
    <w:rsid w:val="00FC343D"/>
    <w:rsid w:val="00FC3BC6"/>
    <w:rsid w:val="00FD42CA"/>
    <w:rsid w:val="00FD79D1"/>
    <w:rsid w:val="00FF19FF"/>
    <w:rsid w:val="00FF2426"/>
    <w:rsid w:val="00FF5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7C736"/>
  <w15:chartTrackingRefBased/>
  <w15:docId w15:val="{469EFA4F-6FA9-4A84-8672-3FFBA3FC5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49D"/>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B249D"/>
    <w:pPr>
      <w:spacing w:after="0" w:line="240" w:lineRule="auto"/>
      <w:ind w:left="720"/>
      <w:contextualSpacing/>
    </w:pPr>
    <w:rPr>
      <w:rFonts w:asciiTheme="minorHAnsi" w:hAnsiTheme="minorHAnsi"/>
      <w:sz w:val="22"/>
    </w:rPr>
  </w:style>
  <w:style w:type="character" w:customStyle="1" w:styleId="ListParagraphChar">
    <w:name w:val="List Paragraph Char"/>
    <w:basedOn w:val="DefaultParagraphFont"/>
    <w:link w:val="ListParagraph"/>
    <w:uiPriority w:val="34"/>
    <w:rsid w:val="005B249D"/>
  </w:style>
  <w:style w:type="paragraph" w:styleId="CommentText">
    <w:name w:val="annotation text"/>
    <w:basedOn w:val="Normal"/>
    <w:link w:val="CommentTextChar"/>
    <w:uiPriority w:val="99"/>
    <w:unhideWhenUsed/>
    <w:rsid w:val="005B249D"/>
    <w:pPr>
      <w:spacing w:line="240" w:lineRule="auto"/>
    </w:pPr>
    <w:rPr>
      <w:sz w:val="20"/>
      <w:szCs w:val="20"/>
    </w:rPr>
  </w:style>
  <w:style w:type="character" w:customStyle="1" w:styleId="CommentTextChar">
    <w:name w:val="Comment Text Char"/>
    <w:basedOn w:val="DefaultParagraphFont"/>
    <w:link w:val="CommentText"/>
    <w:uiPriority w:val="99"/>
    <w:rsid w:val="005B249D"/>
    <w:rPr>
      <w:rFonts w:ascii="Times New Roman" w:hAnsi="Times New Roman"/>
      <w:sz w:val="20"/>
      <w:szCs w:val="20"/>
    </w:rPr>
  </w:style>
  <w:style w:type="character" w:styleId="CommentReference">
    <w:name w:val="annotation reference"/>
    <w:basedOn w:val="DefaultParagraphFont"/>
    <w:uiPriority w:val="99"/>
    <w:semiHidden/>
    <w:unhideWhenUsed/>
    <w:rsid w:val="005B249D"/>
    <w:rPr>
      <w:sz w:val="16"/>
      <w:szCs w:val="16"/>
    </w:rPr>
  </w:style>
  <w:style w:type="paragraph" w:styleId="FootnoteText">
    <w:name w:val="footnote text"/>
    <w:basedOn w:val="Normal"/>
    <w:link w:val="FootnoteTextChar"/>
    <w:uiPriority w:val="99"/>
    <w:semiHidden/>
    <w:unhideWhenUsed/>
    <w:rsid w:val="005B249D"/>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5B249D"/>
    <w:rPr>
      <w:sz w:val="20"/>
      <w:szCs w:val="20"/>
    </w:rPr>
  </w:style>
  <w:style w:type="character" w:styleId="FootnoteReference">
    <w:name w:val="footnote reference"/>
    <w:basedOn w:val="DefaultParagraphFont"/>
    <w:uiPriority w:val="99"/>
    <w:semiHidden/>
    <w:unhideWhenUsed/>
    <w:rsid w:val="005B249D"/>
    <w:rPr>
      <w:vertAlign w:val="superscript"/>
    </w:rPr>
  </w:style>
  <w:style w:type="paragraph" w:styleId="BalloonText">
    <w:name w:val="Balloon Text"/>
    <w:basedOn w:val="Normal"/>
    <w:link w:val="BalloonTextChar"/>
    <w:uiPriority w:val="99"/>
    <w:semiHidden/>
    <w:unhideWhenUsed/>
    <w:rsid w:val="005B2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49D"/>
    <w:rPr>
      <w:rFonts w:ascii="Segoe UI" w:hAnsi="Segoe UI" w:cs="Segoe UI"/>
      <w:sz w:val="18"/>
      <w:szCs w:val="18"/>
    </w:rPr>
  </w:style>
  <w:style w:type="paragraph" w:customStyle="1" w:styleId="DocID">
    <w:name w:val="DocID"/>
    <w:basedOn w:val="Footer"/>
    <w:next w:val="Footer"/>
    <w:link w:val="DocIDChar"/>
    <w:rsid w:val="00C80308"/>
    <w:pPr>
      <w:tabs>
        <w:tab w:val="clear" w:pos="4680"/>
        <w:tab w:val="clear" w:pos="9360"/>
      </w:tabs>
    </w:pPr>
    <w:rPr>
      <w:rFonts w:eastAsia="Times New Roman" w:cs="Times New Roman"/>
      <w:sz w:val="18"/>
      <w:szCs w:val="20"/>
    </w:rPr>
  </w:style>
  <w:style w:type="character" w:customStyle="1" w:styleId="DocIDChar">
    <w:name w:val="DocID Char"/>
    <w:basedOn w:val="DefaultParagraphFont"/>
    <w:link w:val="DocID"/>
    <w:rsid w:val="00C80308"/>
    <w:rPr>
      <w:rFonts w:ascii="Times New Roman" w:eastAsia="Times New Roman" w:hAnsi="Times New Roman" w:cs="Times New Roman"/>
      <w:sz w:val="18"/>
      <w:szCs w:val="20"/>
      <w:lang w:val="en-US" w:eastAsia="en-US"/>
    </w:rPr>
  </w:style>
  <w:style w:type="paragraph" w:styleId="Footer">
    <w:name w:val="footer"/>
    <w:basedOn w:val="Normal"/>
    <w:link w:val="FooterChar"/>
    <w:uiPriority w:val="99"/>
    <w:unhideWhenUsed/>
    <w:rsid w:val="00C803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308"/>
    <w:rPr>
      <w:rFonts w:ascii="Times New Roman" w:hAnsi="Times New Roman"/>
      <w:sz w:val="24"/>
    </w:rPr>
  </w:style>
  <w:style w:type="paragraph" w:styleId="Header">
    <w:name w:val="header"/>
    <w:basedOn w:val="Normal"/>
    <w:link w:val="HeaderChar"/>
    <w:uiPriority w:val="99"/>
    <w:unhideWhenUsed/>
    <w:rsid w:val="00CF24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494"/>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814ED7"/>
    <w:rPr>
      <w:b/>
      <w:bCs/>
    </w:rPr>
  </w:style>
  <w:style w:type="character" w:customStyle="1" w:styleId="CommentSubjectChar">
    <w:name w:val="Comment Subject Char"/>
    <w:basedOn w:val="CommentTextChar"/>
    <w:link w:val="CommentSubject"/>
    <w:uiPriority w:val="99"/>
    <w:semiHidden/>
    <w:rsid w:val="00814ED7"/>
    <w:rPr>
      <w:rFonts w:ascii="Times New Roman" w:hAnsi="Times New Roman"/>
      <w:b/>
      <w:bCs/>
      <w:sz w:val="20"/>
      <w:szCs w:val="20"/>
    </w:rPr>
  </w:style>
  <w:style w:type="character" w:styleId="Hyperlink">
    <w:name w:val="Hyperlink"/>
    <w:basedOn w:val="DefaultParagraphFont"/>
    <w:uiPriority w:val="99"/>
    <w:unhideWhenUsed/>
    <w:rsid w:val="004F3C1D"/>
    <w:rPr>
      <w:color w:val="0563C1" w:themeColor="hyperlink"/>
      <w:u w:val="single"/>
    </w:rPr>
  </w:style>
  <w:style w:type="paragraph" w:styleId="Revision">
    <w:name w:val="Revision"/>
    <w:hidden/>
    <w:uiPriority w:val="99"/>
    <w:semiHidden/>
    <w:rsid w:val="00AA1C30"/>
    <w:pPr>
      <w:spacing w:after="0" w:line="240" w:lineRule="auto"/>
    </w:pPr>
    <w:rPr>
      <w:rFonts w:ascii="Times New Roman" w:hAnsi="Times New Roman"/>
      <w:sz w:val="24"/>
    </w:rPr>
  </w:style>
  <w:style w:type="paragraph" w:customStyle="1" w:styleId="Default">
    <w:name w:val="Default"/>
    <w:rsid w:val="000346BE"/>
    <w:pPr>
      <w:autoSpaceDE w:val="0"/>
      <w:autoSpaceDN w:val="0"/>
      <w:adjustRightInd w:val="0"/>
      <w:spacing w:after="0" w:line="240" w:lineRule="auto"/>
    </w:pPr>
    <w:rPr>
      <w:rFonts w:ascii="Calibri" w:hAnsi="Calibri" w:cs="Calibri"/>
      <w:color w:val="000000"/>
      <w:sz w:val="24"/>
      <w:szCs w:val="24"/>
    </w:rPr>
  </w:style>
  <w:style w:type="paragraph" w:customStyle="1" w:styleId="CM4">
    <w:name w:val="CM4"/>
    <w:basedOn w:val="Default"/>
    <w:next w:val="Default"/>
    <w:uiPriority w:val="99"/>
    <w:rsid w:val="003D1B24"/>
    <w:pPr>
      <w:spacing w:line="280" w:lineRule="atLeast"/>
    </w:pPr>
    <w:rPr>
      <w:rFonts w:ascii="HQIEQ S+ Times New" w:hAnsi="HQIEQ S+ Times New" w:cstheme="minorBidi"/>
      <w:color w:val="auto"/>
    </w:rPr>
  </w:style>
  <w:style w:type="paragraph" w:styleId="BodyText">
    <w:name w:val="Body Text"/>
    <w:basedOn w:val="Normal"/>
    <w:link w:val="BodyTextChar"/>
    <w:uiPriority w:val="1"/>
    <w:qFormat/>
    <w:rsid w:val="003307C7"/>
    <w:pPr>
      <w:autoSpaceDE w:val="0"/>
      <w:autoSpaceDN w:val="0"/>
      <w:adjustRightInd w:val="0"/>
      <w:spacing w:after="0" w:line="240" w:lineRule="auto"/>
    </w:pPr>
    <w:rPr>
      <w:rFonts w:ascii="Book Antiqua" w:hAnsi="Book Antiqua" w:cs="Book Antiqua"/>
      <w:sz w:val="18"/>
      <w:szCs w:val="18"/>
    </w:rPr>
  </w:style>
  <w:style w:type="character" w:customStyle="1" w:styleId="BodyTextChar">
    <w:name w:val="Body Text Char"/>
    <w:basedOn w:val="DefaultParagraphFont"/>
    <w:link w:val="BodyText"/>
    <w:uiPriority w:val="1"/>
    <w:rsid w:val="003307C7"/>
    <w:rPr>
      <w:rFonts w:ascii="Book Antiqua" w:hAnsi="Book Antiqua" w:cs="Book Antiqua"/>
      <w:sz w:val="18"/>
      <w:szCs w:val="18"/>
    </w:rPr>
  </w:style>
  <w:style w:type="character" w:styleId="FollowedHyperlink">
    <w:name w:val="FollowedHyperlink"/>
    <w:basedOn w:val="DefaultParagraphFont"/>
    <w:uiPriority w:val="99"/>
    <w:semiHidden/>
    <w:unhideWhenUsed/>
    <w:rsid w:val="00D26FAB"/>
    <w:rPr>
      <w:color w:val="954F72" w:themeColor="followedHyperlink"/>
      <w:u w:val="single"/>
    </w:rPr>
  </w:style>
  <w:style w:type="character" w:styleId="UnresolvedMention">
    <w:name w:val="Unresolved Mention"/>
    <w:basedOn w:val="DefaultParagraphFont"/>
    <w:uiPriority w:val="99"/>
    <w:semiHidden/>
    <w:unhideWhenUsed/>
    <w:rsid w:val="00AA62B1"/>
    <w:rPr>
      <w:color w:val="605E5C"/>
      <w:shd w:val="clear" w:color="auto" w:fill="E1DFDD"/>
    </w:rPr>
  </w:style>
  <w:style w:type="paragraph" w:styleId="EndnoteText">
    <w:name w:val="endnote text"/>
    <w:basedOn w:val="Normal"/>
    <w:link w:val="EndnoteTextChar"/>
    <w:uiPriority w:val="99"/>
    <w:semiHidden/>
    <w:unhideWhenUsed/>
    <w:rsid w:val="00F201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20199"/>
    <w:rPr>
      <w:rFonts w:ascii="Times New Roman" w:hAnsi="Times New Roman"/>
      <w:sz w:val="20"/>
      <w:szCs w:val="20"/>
    </w:rPr>
  </w:style>
  <w:style w:type="character" w:styleId="EndnoteReference">
    <w:name w:val="endnote reference"/>
    <w:basedOn w:val="DefaultParagraphFont"/>
    <w:uiPriority w:val="99"/>
    <w:semiHidden/>
    <w:unhideWhenUsed/>
    <w:rsid w:val="00F20199"/>
    <w:rPr>
      <w:vertAlign w:val="superscript"/>
    </w:rPr>
  </w:style>
  <w:style w:type="paragraph" w:customStyle="1" w:styleId="xmsonormal">
    <w:name w:val="x_msonormal"/>
    <w:basedOn w:val="Normal"/>
    <w:rsid w:val="005C79BA"/>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025429">
      <w:bodyDiv w:val="1"/>
      <w:marLeft w:val="0"/>
      <w:marRight w:val="0"/>
      <w:marTop w:val="0"/>
      <w:marBottom w:val="0"/>
      <w:divBdr>
        <w:top w:val="none" w:sz="0" w:space="0" w:color="auto"/>
        <w:left w:val="none" w:sz="0" w:space="0" w:color="auto"/>
        <w:bottom w:val="none" w:sz="0" w:space="0" w:color="auto"/>
        <w:right w:val="none" w:sz="0" w:space="0" w:color="auto"/>
      </w:divBdr>
    </w:div>
    <w:div w:id="385683587">
      <w:bodyDiv w:val="1"/>
      <w:marLeft w:val="0"/>
      <w:marRight w:val="0"/>
      <w:marTop w:val="0"/>
      <w:marBottom w:val="0"/>
      <w:divBdr>
        <w:top w:val="none" w:sz="0" w:space="0" w:color="auto"/>
        <w:left w:val="none" w:sz="0" w:space="0" w:color="auto"/>
        <w:bottom w:val="none" w:sz="0" w:space="0" w:color="auto"/>
        <w:right w:val="none" w:sz="0" w:space="0" w:color="auto"/>
      </w:divBdr>
    </w:div>
    <w:div w:id="469176789">
      <w:bodyDiv w:val="1"/>
      <w:marLeft w:val="0"/>
      <w:marRight w:val="0"/>
      <w:marTop w:val="0"/>
      <w:marBottom w:val="0"/>
      <w:divBdr>
        <w:top w:val="none" w:sz="0" w:space="0" w:color="auto"/>
        <w:left w:val="none" w:sz="0" w:space="0" w:color="auto"/>
        <w:bottom w:val="none" w:sz="0" w:space="0" w:color="auto"/>
        <w:right w:val="none" w:sz="0" w:space="0" w:color="auto"/>
      </w:divBdr>
    </w:div>
    <w:div w:id="506990578">
      <w:bodyDiv w:val="1"/>
      <w:marLeft w:val="0"/>
      <w:marRight w:val="0"/>
      <w:marTop w:val="0"/>
      <w:marBottom w:val="0"/>
      <w:divBdr>
        <w:top w:val="none" w:sz="0" w:space="0" w:color="auto"/>
        <w:left w:val="none" w:sz="0" w:space="0" w:color="auto"/>
        <w:bottom w:val="none" w:sz="0" w:space="0" w:color="auto"/>
        <w:right w:val="none" w:sz="0" w:space="0" w:color="auto"/>
      </w:divBdr>
    </w:div>
    <w:div w:id="593830162">
      <w:bodyDiv w:val="1"/>
      <w:marLeft w:val="0"/>
      <w:marRight w:val="0"/>
      <w:marTop w:val="0"/>
      <w:marBottom w:val="0"/>
      <w:divBdr>
        <w:top w:val="none" w:sz="0" w:space="0" w:color="auto"/>
        <w:left w:val="none" w:sz="0" w:space="0" w:color="auto"/>
        <w:bottom w:val="none" w:sz="0" w:space="0" w:color="auto"/>
        <w:right w:val="none" w:sz="0" w:space="0" w:color="auto"/>
      </w:divBdr>
    </w:div>
    <w:div w:id="614753365">
      <w:bodyDiv w:val="1"/>
      <w:marLeft w:val="0"/>
      <w:marRight w:val="0"/>
      <w:marTop w:val="0"/>
      <w:marBottom w:val="0"/>
      <w:divBdr>
        <w:top w:val="none" w:sz="0" w:space="0" w:color="auto"/>
        <w:left w:val="none" w:sz="0" w:space="0" w:color="auto"/>
        <w:bottom w:val="none" w:sz="0" w:space="0" w:color="auto"/>
        <w:right w:val="none" w:sz="0" w:space="0" w:color="auto"/>
      </w:divBdr>
    </w:div>
    <w:div w:id="754010066">
      <w:bodyDiv w:val="1"/>
      <w:marLeft w:val="0"/>
      <w:marRight w:val="0"/>
      <w:marTop w:val="0"/>
      <w:marBottom w:val="0"/>
      <w:divBdr>
        <w:top w:val="none" w:sz="0" w:space="0" w:color="auto"/>
        <w:left w:val="none" w:sz="0" w:space="0" w:color="auto"/>
        <w:bottom w:val="none" w:sz="0" w:space="0" w:color="auto"/>
        <w:right w:val="none" w:sz="0" w:space="0" w:color="auto"/>
      </w:divBdr>
    </w:div>
    <w:div w:id="774177783">
      <w:bodyDiv w:val="1"/>
      <w:marLeft w:val="0"/>
      <w:marRight w:val="0"/>
      <w:marTop w:val="0"/>
      <w:marBottom w:val="0"/>
      <w:divBdr>
        <w:top w:val="none" w:sz="0" w:space="0" w:color="auto"/>
        <w:left w:val="none" w:sz="0" w:space="0" w:color="auto"/>
        <w:bottom w:val="none" w:sz="0" w:space="0" w:color="auto"/>
        <w:right w:val="none" w:sz="0" w:space="0" w:color="auto"/>
      </w:divBdr>
    </w:div>
    <w:div w:id="848298137">
      <w:bodyDiv w:val="1"/>
      <w:marLeft w:val="0"/>
      <w:marRight w:val="0"/>
      <w:marTop w:val="0"/>
      <w:marBottom w:val="0"/>
      <w:divBdr>
        <w:top w:val="none" w:sz="0" w:space="0" w:color="auto"/>
        <w:left w:val="none" w:sz="0" w:space="0" w:color="auto"/>
        <w:bottom w:val="none" w:sz="0" w:space="0" w:color="auto"/>
        <w:right w:val="none" w:sz="0" w:space="0" w:color="auto"/>
      </w:divBdr>
    </w:div>
    <w:div w:id="929235970">
      <w:bodyDiv w:val="1"/>
      <w:marLeft w:val="0"/>
      <w:marRight w:val="0"/>
      <w:marTop w:val="0"/>
      <w:marBottom w:val="0"/>
      <w:divBdr>
        <w:top w:val="none" w:sz="0" w:space="0" w:color="auto"/>
        <w:left w:val="none" w:sz="0" w:space="0" w:color="auto"/>
        <w:bottom w:val="none" w:sz="0" w:space="0" w:color="auto"/>
        <w:right w:val="none" w:sz="0" w:space="0" w:color="auto"/>
      </w:divBdr>
    </w:div>
    <w:div w:id="1000548460">
      <w:bodyDiv w:val="1"/>
      <w:marLeft w:val="0"/>
      <w:marRight w:val="0"/>
      <w:marTop w:val="0"/>
      <w:marBottom w:val="0"/>
      <w:divBdr>
        <w:top w:val="none" w:sz="0" w:space="0" w:color="auto"/>
        <w:left w:val="none" w:sz="0" w:space="0" w:color="auto"/>
        <w:bottom w:val="none" w:sz="0" w:space="0" w:color="auto"/>
        <w:right w:val="none" w:sz="0" w:space="0" w:color="auto"/>
      </w:divBdr>
    </w:div>
    <w:div w:id="1357727944">
      <w:bodyDiv w:val="1"/>
      <w:marLeft w:val="0"/>
      <w:marRight w:val="0"/>
      <w:marTop w:val="0"/>
      <w:marBottom w:val="0"/>
      <w:divBdr>
        <w:top w:val="none" w:sz="0" w:space="0" w:color="auto"/>
        <w:left w:val="none" w:sz="0" w:space="0" w:color="auto"/>
        <w:bottom w:val="none" w:sz="0" w:space="0" w:color="auto"/>
        <w:right w:val="none" w:sz="0" w:space="0" w:color="auto"/>
      </w:divBdr>
    </w:div>
    <w:div w:id="1470246166">
      <w:bodyDiv w:val="1"/>
      <w:marLeft w:val="0"/>
      <w:marRight w:val="0"/>
      <w:marTop w:val="0"/>
      <w:marBottom w:val="0"/>
      <w:divBdr>
        <w:top w:val="none" w:sz="0" w:space="0" w:color="auto"/>
        <w:left w:val="none" w:sz="0" w:space="0" w:color="auto"/>
        <w:bottom w:val="none" w:sz="0" w:space="0" w:color="auto"/>
        <w:right w:val="none" w:sz="0" w:space="0" w:color="auto"/>
      </w:divBdr>
    </w:div>
    <w:div w:id="1559395263">
      <w:bodyDiv w:val="1"/>
      <w:marLeft w:val="0"/>
      <w:marRight w:val="0"/>
      <w:marTop w:val="0"/>
      <w:marBottom w:val="0"/>
      <w:divBdr>
        <w:top w:val="none" w:sz="0" w:space="0" w:color="auto"/>
        <w:left w:val="none" w:sz="0" w:space="0" w:color="auto"/>
        <w:bottom w:val="none" w:sz="0" w:space="0" w:color="auto"/>
        <w:right w:val="none" w:sz="0" w:space="0" w:color="auto"/>
      </w:divBdr>
    </w:div>
    <w:div w:id="1676880669">
      <w:bodyDiv w:val="1"/>
      <w:marLeft w:val="0"/>
      <w:marRight w:val="0"/>
      <w:marTop w:val="0"/>
      <w:marBottom w:val="0"/>
      <w:divBdr>
        <w:top w:val="none" w:sz="0" w:space="0" w:color="auto"/>
        <w:left w:val="none" w:sz="0" w:space="0" w:color="auto"/>
        <w:bottom w:val="none" w:sz="0" w:space="0" w:color="auto"/>
        <w:right w:val="none" w:sz="0" w:space="0" w:color="auto"/>
      </w:divBdr>
    </w:div>
    <w:div w:id="1852719206">
      <w:bodyDiv w:val="1"/>
      <w:marLeft w:val="0"/>
      <w:marRight w:val="0"/>
      <w:marTop w:val="0"/>
      <w:marBottom w:val="0"/>
      <w:divBdr>
        <w:top w:val="none" w:sz="0" w:space="0" w:color="auto"/>
        <w:left w:val="none" w:sz="0" w:space="0" w:color="auto"/>
        <w:bottom w:val="none" w:sz="0" w:space="0" w:color="auto"/>
        <w:right w:val="none" w:sz="0" w:space="0" w:color="auto"/>
      </w:divBdr>
    </w:div>
    <w:div w:id="1871647655">
      <w:bodyDiv w:val="1"/>
      <w:marLeft w:val="0"/>
      <w:marRight w:val="0"/>
      <w:marTop w:val="0"/>
      <w:marBottom w:val="0"/>
      <w:divBdr>
        <w:top w:val="none" w:sz="0" w:space="0" w:color="auto"/>
        <w:left w:val="none" w:sz="0" w:space="0" w:color="auto"/>
        <w:bottom w:val="none" w:sz="0" w:space="0" w:color="auto"/>
        <w:right w:val="none" w:sz="0" w:space="0" w:color="auto"/>
      </w:divBdr>
    </w:div>
    <w:div w:id="2029673787">
      <w:bodyDiv w:val="1"/>
      <w:marLeft w:val="0"/>
      <w:marRight w:val="0"/>
      <w:marTop w:val="0"/>
      <w:marBottom w:val="0"/>
      <w:divBdr>
        <w:top w:val="none" w:sz="0" w:space="0" w:color="auto"/>
        <w:left w:val="none" w:sz="0" w:space="0" w:color="auto"/>
        <w:bottom w:val="none" w:sz="0" w:space="0" w:color="auto"/>
        <w:right w:val="none" w:sz="0" w:space="0" w:color="auto"/>
      </w:divBdr>
    </w:div>
    <w:div w:id="2034266570">
      <w:bodyDiv w:val="1"/>
      <w:marLeft w:val="0"/>
      <w:marRight w:val="0"/>
      <w:marTop w:val="0"/>
      <w:marBottom w:val="0"/>
      <w:divBdr>
        <w:top w:val="none" w:sz="0" w:space="0" w:color="auto"/>
        <w:left w:val="none" w:sz="0" w:space="0" w:color="auto"/>
        <w:bottom w:val="none" w:sz="0" w:space="0" w:color="auto"/>
        <w:right w:val="none" w:sz="0" w:space="0" w:color="auto"/>
      </w:divBdr>
    </w:div>
    <w:div w:id="205920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3" Type="http://schemas.openxmlformats.org/officeDocument/2006/relationships/hyperlink" Target="https://www.mintz.com/sites/default/files/viewpoints/orig/8/2016/08/Proposed-Revision-Presentation-8.23.16.pdf" TargetMode="External"/><Relationship Id="rId18" Type="http://schemas.openxmlformats.org/officeDocument/2006/relationships/hyperlink" Target="https://www.mass.gov/doc/2023-health-care-cost-trends-report/download" TargetMode="External"/><Relationship Id="rId26" Type="http://schemas.openxmlformats.org/officeDocument/2006/relationships/hyperlink" Target="https://www.mass.gov/doc/2022-cost-trends-report-chartpack/download" TargetMode="External"/><Relationship Id="rId39" Type="http://schemas.openxmlformats.org/officeDocument/2006/relationships/hyperlink" Target="https://www.ncbi.nlm.nih.gov/pmc/articles/PMC3839960/" TargetMode="External"/><Relationship Id="rId3" Type="http://schemas.openxmlformats.org/officeDocument/2006/relationships/hyperlink" Target="https://www.mass.gov/doc/2022-cost-trends-report-chartpack/download" TargetMode="External"/><Relationship Id="rId21" Type="http://schemas.openxmlformats.org/officeDocument/2006/relationships/hyperlink" Target="https://www.medpac.gov/document/march-2021-report-to-the-congress-medicare-payment-policy/" TargetMode="External"/><Relationship Id="rId34" Type="http://schemas.openxmlformats.org/officeDocument/2006/relationships/hyperlink" Target="https://www.ncbi.nlm.nih.gov/pmc/articles/PMC9998099/" TargetMode="External"/><Relationship Id="rId42" Type="http://schemas.openxmlformats.org/officeDocument/2006/relationships/hyperlink" Target="https://www.mass.gov/doc/minutes-from-june-7-2023-board-meeting/download" TargetMode="External"/><Relationship Id="rId47" Type="http://schemas.openxmlformats.org/officeDocument/2006/relationships/hyperlink" Target="https://www.mass.gov/doc/2021-health-care-cost-trends-report/download" TargetMode="External"/><Relationship Id="rId50" Type="http://schemas.openxmlformats.org/officeDocument/2006/relationships/hyperlink" Target="https://www.cms.gov/Medicare/Medicare-Fee-for-Service-Payment/HospitalOutpatientPPS/Downloads/CMS-1678-FC-2018-OPPS-FR-Claims-Accounting.pdf" TargetMode="External"/><Relationship Id="rId7" Type="http://schemas.openxmlformats.org/officeDocument/2006/relationships/hyperlink" Target="https://pubmed.ncbi.nlm.nih.gov/28256998/" TargetMode="External"/><Relationship Id="rId12" Type="http://schemas.openxmlformats.org/officeDocument/2006/relationships/hyperlink" Target="https://www.mass.gov/doc/presentation-board-meeting-june-7-2023/download" TargetMode="External"/><Relationship Id="rId17" Type="http://schemas.openxmlformats.org/officeDocument/2006/relationships/hyperlink" Target="https://www.mass.gov/doc/2023-health-care-cost-trends-report/download" TargetMode="External"/><Relationship Id="rId25" Type="http://schemas.openxmlformats.org/officeDocument/2006/relationships/hyperlink" Target="https://www.mass.gov/doc/2022-cost-trends-report-chartpack/download" TargetMode="External"/><Relationship Id="rId33" Type="http://schemas.openxmlformats.org/officeDocument/2006/relationships/hyperlink" Target="https://www.ingentaconnect.com/content/wk/mcar/2023/00000061/00000005/art00010" TargetMode="External"/><Relationship Id="rId38" Type="http://schemas.openxmlformats.org/officeDocument/2006/relationships/hyperlink" Target="https://www.ncbi.nlm.nih.gov/pmc/articles/PMC3839960/" TargetMode="External"/><Relationship Id="rId46" Type="http://schemas.openxmlformats.org/officeDocument/2006/relationships/hyperlink" Target="https://www.mass.gov/doc/2021-health-care-cost-trends-report/download" TargetMode="External"/><Relationship Id="rId2" Type="http://schemas.openxmlformats.org/officeDocument/2006/relationships/hyperlink" Target="https://www.mass.gov/doc/2021-cost-trends-report-chartpack/download" TargetMode="External"/><Relationship Id="rId16" Type="http://schemas.openxmlformats.org/officeDocument/2006/relationships/hyperlink" Target="https://www.mintz.com/sites/default/files/viewpoints/orig/8/2017/01/DPH-Final-PHC-Memo-Determination-of-Need-105-CMR-100.000-FINAL-1-11-17.pdf" TargetMode="External"/><Relationship Id="rId20" Type="http://schemas.openxmlformats.org/officeDocument/2006/relationships/hyperlink" Target="https://www.medpac.gov/document/march-2022-report-to-the-congress-medicare-payment-policy/" TargetMode="External"/><Relationship Id="rId29" Type="http://schemas.openxmlformats.org/officeDocument/2006/relationships/hyperlink" Target="https://jamanetwork.com/journals/jama/article-abstract/408575" TargetMode="External"/><Relationship Id="rId41" Type="http://schemas.openxmlformats.org/officeDocument/2006/relationships/hyperlink" Target="https://www.mass.gov/doc/minutes-from-june-7-2023-board-meeting/download" TargetMode="External"/><Relationship Id="rId1" Type="http://schemas.openxmlformats.org/officeDocument/2006/relationships/hyperlink" Target="https://www.mass.gov/doc/2021-cost-trends-report-chartpack/download" TargetMode="External"/><Relationship Id="rId6" Type="http://schemas.openxmlformats.org/officeDocument/2006/relationships/hyperlink" Target="https://www.mass.gov/files/documents/2016/07/wb/healthy-aging-data-report.pdf" TargetMode="External"/><Relationship Id="rId11" Type="http://schemas.openxmlformats.org/officeDocument/2006/relationships/hyperlink" Target="https://www.mass.gov/doc/presentation-board-meeting-june-7-2023/download" TargetMode="External"/><Relationship Id="rId24" Type="http://schemas.openxmlformats.org/officeDocument/2006/relationships/hyperlink" Target="https://www.mass.gov/doc/2021-cost-trends-report-chartpack/download" TargetMode="External"/><Relationship Id="rId32" Type="http://schemas.openxmlformats.org/officeDocument/2006/relationships/hyperlink" Target="https://www.ingentaconnect.com/content/wk/mcar/2023/00000061/00000005/art00010" TargetMode="External"/><Relationship Id="rId37" Type="http://schemas.openxmlformats.org/officeDocument/2006/relationships/hyperlink" Target="https://www.hkmj.org/system/files/hkm1202p5.pdf" TargetMode="External"/><Relationship Id="rId40" Type="http://schemas.openxmlformats.org/officeDocument/2006/relationships/hyperlink" Target="https://bcpsc.yitech.in/wp-content/uploads/2021/01/Grisel_2009.pdf" TargetMode="External"/><Relationship Id="rId45" Type="http://schemas.openxmlformats.org/officeDocument/2006/relationships/hyperlink" Target="https://www.mass.gov/info-details/masshealth-redetermination-dashboard" TargetMode="External"/><Relationship Id="rId53" Type="http://schemas.openxmlformats.org/officeDocument/2006/relationships/hyperlink" Target="https://www.mass.gov/doc/presentation-board-meeting-june-8-2022/download" TargetMode="External"/><Relationship Id="rId5" Type="http://schemas.openxmlformats.org/officeDocument/2006/relationships/hyperlink" Target="https://www.mass.gov/files/documents/2016/07/wb/healthy-aging-data-report.pdf" TargetMode="External"/><Relationship Id="rId15" Type="http://schemas.openxmlformats.org/officeDocument/2006/relationships/hyperlink" Target="https://www.mintz.com/sites/default/files/viewpoints/orig/8/2017/01/DPH-Final-PHC-Memo-Determination-of-Need-105-CMR-100.000-FINAL-1-11-17.pdf" TargetMode="External"/><Relationship Id="rId23" Type="http://schemas.openxmlformats.org/officeDocument/2006/relationships/hyperlink" Target="https://www.mass.gov/doc/2021-cost-trends-report-chartpack/download" TargetMode="External"/><Relationship Id="rId28" Type="http://schemas.openxmlformats.org/officeDocument/2006/relationships/hyperlink" Target="https://www.cfaortho.com/media/news/2017/06/the-benefits-of-outpatient-surgical-centers" TargetMode="External"/><Relationship Id="rId36" Type="http://schemas.openxmlformats.org/officeDocument/2006/relationships/hyperlink" Target="https://www.hkmj.org/system/files/hkm1202p5.pdf" TargetMode="External"/><Relationship Id="rId49" Type="http://schemas.openxmlformats.org/officeDocument/2006/relationships/hyperlink" Target="https://www.mass.gov/doc/2023-health-care-cost-trends-report/download" TargetMode="External"/><Relationship Id="rId10" Type="http://schemas.openxmlformats.org/officeDocument/2006/relationships/hyperlink" Target="https://www.mass.gov/info-details/hpc-datapoints-issue-26" TargetMode="External"/><Relationship Id="rId19" Type="http://schemas.openxmlformats.org/officeDocument/2006/relationships/hyperlink" Target="https://www.medpac.gov/document/march-2022-report-to-the-congress-medicare-payment-policy/" TargetMode="External"/><Relationship Id="rId31" Type="http://schemas.openxmlformats.org/officeDocument/2006/relationships/hyperlink" Target="https://jamanetwork.com/journals/jama/article-abstract/408575" TargetMode="External"/><Relationship Id="rId44" Type="http://schemas.openxmlformats.org/officeDocument/2006/relationships/hyperlink" Target="https://www.healthaffairs.org/doi/full/10.1377/hlthaff.2013.1281" TargetMode="External"/><Relationship Id="rId52" Type="http://schemas.openxmlformats.org/officeDocument/2006/relationships/hyperlink" Target="https://www.mass.gov/doc/presentation-board-meeting-june-8-2022/download" TargetMode="External"/><Relationship Id="rId4" Type="http://schemas.openxmlformats.org/officeDocument/2006/relationships/hyperlink" Target="https://www.mass.gov/doc/2022-cost-trends-report-chartpack/download" TargetMode="External"/><Relationship Id="rId9" Type="http://schemas.openxmlformats.org/officeDocument/2006/relationships/hyperlink" Target="https://www.mass.gov/info-details/hpc-datapoints-issue-26" TargetMode="External"/><Relationship Id="rId14" Type="http://schemas.openxmlformats.org/officeDocument/2006/relationships/hyperlink" Target="https://www.mintz.com/sites/default/files/viewpoints/orig/8/2016/08/Proposed-Revision-Presentation-8.23.16.pdf" TargetMode="External"/><Relationship Id="rId22" Type="http://schemas.openxmlformats.org/officeDocument/2006/relationships/hyperlink" Target="https://www.medpac.gov/document/march-2021-report-to-the-congress-medicare-payment-policy/" TargetMode="External"/><Relationship Id="rId27" Type="http://schemas.openxmlformats.org/officeDocument/2006/relationships/hyperlink" Target="https://www.cfaortho.com/media/news/2017/06/the-benefits-of-outpatient-surgical-centers" TargetMode="External"/><Relationship Id="rId30" Type="http://schemas.openxmlformats.org/officeDocument/2006/relationships/hyperlink" Target="https://jamanetwork.com/journals/jama/article-abstract/408575" TargetMode="External"/><Relationship Id="rId35" Type="http://schemas.openxmlformats.org/officeDocument/2006/relationships/hyperlink" Target="https://www.ncbi.nlm.nih.gov/pmc/articles/PMC9998099/" TargetMode="External"/><Relationship Id="rId43" Type="http://schemas.openxmlformats.org/officeDocument/2006/relationships/hyperlink" Target="https://www.healthaffairs.org/doi/full/10.1377/hlthaff.2013.1281" TargetMode="External"/><Relationship Id="rId48" Type="http://schemas.openxmlformats.org/officeDocument/2006/relationships/hyperlink" Target="https://www.mass.gov/doc/2023-health-care-cost-trends-report/download" TargetMode="External"/><Relationship Id="rId8" Type="http://schemas.openxmlformats.org/officeDocument/2006/relationships/hyperlink" Target="https://pubmed.ncbi.nlm.nih.gov/28256998/" TargetMode="External"/><Relationship Id="rId51" Type="http://schemas.openxmlformats.org/officeDocument/2006/relationships/hyperlink" Target="https://www.cms.gov/Medicare/Medicare-Fee-for-Service-Payment/HospitalOutpatientPPS/Downloads/CMS-1678-FC-2018-OPPS-FR-Claims-Account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KBIMANAGE!2108843.4</documentid>
  <senderid>EBK</senderid>
  <senderemail>EKRETCHMER@KB-LAW.COM</senderemail>
  <lastmodified>2024-08-14T13:06:00.0000000-04:00</lastmodified>
  <database>KBIMANAGE</database>
</properties>
</file>

<file path=customXml/itemProps1.xml><?xml version="1.0" encoding="utf-8"?>
<ds:datastoreItem xmlns:ds="http://schemas.openxmlformats.org/officeDocument/2006/customXml" ds:itemID="{0DD2B526-F83A-4923-8293-37F37019C10A}">
  <ds:schemaRefs>
    <ds:schemaRef ds:uri="http://schemas.openxmlformats.org/officeDocument/2006/bibliography"/>
  </ds:schemaRefs>
</ds:datastoreItem>
</file>

<file path=customXml/itemProps2.xml><?xml version="1.0" encoding="utf-8"?>
<ds:datastoreItem xmlns:ds="http://schemas.openxmlformats.org/officeDocument/2006/customXml" ds:itemID="{23E27DE2-5D2E-4B3D-9E38-BBA081B61C7F}">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8867</Words>
  <Characters>50545</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bench</Company>
  <LinksUpToDate>false</LinksUpToDate>
  <CharactersWithSpaces>59294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Kretchmer</dc:creator>
  <cp:keywords/>
  <dc:description/>
  <cp:lastModifiedBy>Harrison, Deborah (EHS)</cp:lastModifiedBy>
  <cp:revision>2</cp:revision>
  <dcterms:created xsi:type="dcterms:W3CDTF">2024-08-27T12:18:00Z</dcterms:created>
  <dcterms:modified xsi:type="dcterms:W3CDTF">2024-08-27T12:18:00Z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491520</vt:lpwstr>
  </property>
  <property fmtid="{D5CDD505-2E9C-101B-9397-08002B2CF9AE}" pid="3" name="CUS_DocIDLocation">
    <vt:lpwstr>NO_DOC_ID</vt:lpwstr>
  </property>
  <property fmtid="{D5CDD505-2E9C-101B-9397-08002B2CF9AE}" pid="4" name="CUS_DocIDReference">
    <vt:lpwstr>noDocID</vt:lpwstr>
  </property>
</Properties>
</file>