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D9634" w14:textId="77777777" w:rsidR="00563EDB" w:rsidRPr="000153E7" w:rsidRDefault="00563EDB" w:rsidP="00563EDB">
      <w:pPr>
        <w:autoSpaceDE w:val="0"/>
        <w:autoSpaceDN w:val="0"/>
        <w:adjustRightInd w:val="0"/>
        <w:spacing w:after="0" w:line="240" w:lineRule="auto"/>
        <w:rPr>
          <w:rFonts w:eastAsia="Times New Roman" w:cs="Times New Roman"/>
          <w:b/>
          <w:bCs/>
          <w:sz w:val="40"/>
          <w:szCs w:val="40"/>
        </w:rPr>
      </w:pPr>
    </w:p>
    <w:p w14:paraId="5C8A4C59" w14:textId="7EFC8FF9" w:rsidR="000153E7" w:rsidRPr="000153E7" w:rsidRDefault="000153E7" w:rsidP="006F1C68">
      <w:pPr>
        <w:spacing w:before="120" w:after="120" w:line="240" w:lineRule="auto"/>
        <w:jc w:val="center"/>
        <w:rPr>
          <w:rFonts w:eastAsia="Times New Roman" w:cs="Times New Roman"/>
          <w:b/>
          <w:bCs/>
          <w:sz w:val="40"/>
          <w:szCs w:val="40"/>
        </w:rPr>
      </w:pPr>
      <w:r>
        <w:rPr>
          <w:rFonts w:eastAsia="Times New Roman" w:cs="Times New Roman"/>
          <w:b/>
          <w:bCs/>
          <w:sz w:val="40"/>
          <w:szCs w:val="40"/>
        </w:rPr>
        <w:t>Beth Israel Lahey Health</w:t>
      </w:r>
    </w:p>
    <w:p w14:paraId="409FE3A0" w14:textId="5A4CCA3E" w:rsidR="000153E7" w:rsidRPr="000153E7" w:rsidRDefault="000153E7" w:rsidP="000153E7">
      <w:pPr>
        <w:spacing w:before="120" w:after="120" w:line="240" w:lineRule="auto"/>
        <w:jc w:val="center"/>
        <w:rPr>
          <w:rFonts w:eastAsia="Times New Roman" w:cs="Times New Roman"/>
          <w:b/>
          <w:bCs/>
          <w:sz w:val="40"/>
          <w:szCs w:val="40"/>
        </w:rPr>
      </w:pPr>
      <w:r w:rsidRPr="000153E7">
        <w:rPr>
          <w:rFonts w:eastAsia="Times New Roman" w:cs="Times New Roman"/>
          <w:b/>
          <w:bCs/>
          <w:sz w:val="40"/>
          <w:szCs w:val="40"/>
        </w:rPr>
        <w:t xml:space="preserve">DoN Application #: </w:t>
      </w:r>
      <w:r w:rsidR="00AE7945" w:rsidRPr="00AE7945">
        <w:rPr>
          <w:rFonts w:eastAsia="Times New Roman" w:cs="Times New Roman"/>
          <w:b/>
          <w:bCs/>
          <w:sz w:val="40"/>
          <w:szCs w:val="40"/>
        </w:rPr>
        <w:t>BILH-24080714-HE</w:t>
      </w:r>
    </w:p>
    <w:p w14:paraId="50EC3D2D" w14:textId="77777777" w:rsidR="000153E7" w:rsidRPr="000153E7" w:rsidRDefault="000153E7" w:rsidP="000153E7">
      <w:pPr>
        <w:spacing w:before="120" w:after="120" w:line="240" w:lineRule="auto"/>
        <w:jc w:val="center"/>
        <w:rPr>
          <w:rFonts w:eastAsia="Times New Roman" w:cs="Times New Roman"/>
          <w:b/>
          <w:bCs/>
          <w:sz w:val="40"/>
          <w:szCs w:val="40"/>
        </w:rPr>
      </w:pPr>
      <w:r w:rsidRPr="000153E7">
        <w:rPr>
          <w:rFonts w:eastAsia="Times New Roman" w:cs="Times New Roman"/>
          <w:b/>
          <w:bCs/>
          <w:sz w:val="40"/>
          <w:szCs w:val="40"/>
        </w:rPr>
        <w:t>Application for Determination of Need</w:t>
      </w:r>
    </w:p>
    <w:p w14:paraId="11F3CF34" w14:textId="77777777" w:rsidR="000153E7" w:rsidRPr="000153E7" w:rsidRDefault="000153E7" w:rsidP="000153E7">
      <w:pPr>
        <w:spacing w:before="120" w:after="120" w:line="240" w:lineRule="auto"/>
        <w:jc w:val="center"/>
        <w:rPr>
          <w:rFonts w:eastAsia="Times New Roman" w:cs="Times New Roman"/>
          <w:b/>
          <w:bCs/>
          <w:sz w:val="40"/>
          <w:szCs w:val="40"/>
        </w:rPr>
      </w:pPr>
    </w:p>
    <w:p w14:paraId="0B2801DF" w14:textId="5B88F274" w:rsidR="00D32413" w:rsidRPr="00D32413" w:rsidRDefault="000153E7" w:rsidP="00D32413">
      <w:pPr>
        <w:spacing w:before="120" w:after="120" w:line="240" w:lineRule="auto"/>
        <w:jc w:val="center"/>
        <w:rPr>
          <w:rFonts w:eastAsia="Calibri" w:cs="Times New Roman"/>
          <w:b/>
          <w:bCs/>
          <w:sz w:val="40"/>
          <w:szCs w:val="40"/>
        </w:rPr>
      </w:pPr>
      <w:r w:rsidRPr="00D32413">
        <w:rPr>
          <w:rFonts w:eastAsia="Times New Roman" w:cs="Times New Roman"/>
          <w:b/>
          <w:bCs/>
          <w:sz w:val="40"/>
          <w:szCs w:val="40"/>
        </w:rPr>
        <w:t>Substantial Capital Expenditure</w:t>
      </w:r>
    </w:p>
    <w:p w14:paraId="0417051F" w14:textId="2FCA3BEF" w:rsidR="000153E7" w:rsidRDefault="00D32413" w:rsidP="00D32413">
      <w:pPr>
        <w:spacing w:before="120" w:after="120" w:line="240" w:lineRule="auto"/>
        <w:jc w:val="center"/>
        <w:rPr>
          <w:rFonts w:eastAsia="Times New Roman" w:cs="Times New Roman"/>
          <w:b/>
          <w:bCs/>
          <w:sz w:val="40"/>
          <w:szCs w:val="40"/>
        </w:rPr>
      </w:pPr>
      <w:r w:rsidRPr="00D32413">
        <w:rPr>
          <w:rFonts w:eastAsia="Times New Roman" w:cs="Times New Roman"/>
          <w:b/>
          <w:bCs/>
          <w:sz w:val="40"/>
          <w:szCs w:val="40"/>
        </w:rPr>
        <w:t>Substantial Change in Service</w:t>
      </w:r>
    </w:p>
    <w:p w14:paraId="71344D76" w14:textId="77777777" w:rsidR="000153E7" w:rsidRPr="000153E7" w:rsidRDefault="000153E7" w:rsidP="000153E7">
      <w:pPr>
        <w:spacing w:before="120" w:after="120" w:line="240" w:lineRule="auto"/>
        <w:jc w:val="center"/>
        <w:rPr>
          <w:rFonts w:eastAsia="Times New Roman" w:cs="Times New Roman"/>
          <w:b/>
          <w:bCs/>
          <w:sz w:val="40"/>
          <w:szCs w:val="40"/>
        </w:rPr>
      </w:pPr>
    </w:p>
    <w:p w14:paraId="022C1776" w14:textId="77777777" w:rsidR="000153E7" w:rsidRPr="000153E7" w:rsidRDefault="000153E7" w:rsidP="000153E7">
      <w:pPr>
        <w:spacing w:before="120" w:after="120" w:line="240" w:lineRule="auto"/>
        <w:jc w:val="center"/>
        <w:rPr>
          <w:rFonts w:eastAsia="Times New Roman" w:cs="Times New Roman"/>
          <w:b/>
          <w:bCs/>
          <w:sz w:val="40"/>
          <w:szCs w:val="40"/>
        </w:rPr>
      </w:pPr>
      <w:r w:rsidRPr="000153E7">
        <w:rPr>
          <w:rFonts w:eastAsia="Times New Roman" w:cs="Times New Roman"/>
          <w:b/>
          <w:bCs/>
          <w:sz w:val="40"/>
          <w:szCs w:val="40"/>
        </w:rPr>
        <w:tab/>
      </w:r>
    </w:p>
    <w:p w14:paraId="708CA8E3" w14:textId="77777777" w:rsidR="000153E7" w:rsidRPr="000153E7" w:rsidRDefault="000153E7" w:rsidP="000153E7">
      <w:pPr>
        <w:spacing w:before="120" w:after="120" w:line="240" w:lineRule="auto"/>
        <w:jc w:val="center"/>
        <w:rPr>
          <w:rFonts w:eastAsia="Times New Roman" w:cs="Times New Roman"/>
          <w:b/>
          <w:bCs/>
          <w:sz w:val="40"/>
          <w:szCs w:val="40"/>
        </w:rPr>
      </w:pPr>
      <w:r w:rsidRPr="000153E7">
        <w:rPr>
          <w:rFonts w:eastAsia="Times New Roman" w:cs="Times New Roman"/>
          <w:b/>
          <w:bCs/>
          <w:sz w:val="40"/>
          <w:szCs w:val="40"/>
        </w:rPr>
        <w:t xml:space="preserve"> </w:t>
      </w:r>
    </w:p>
    <w:p w14:paraId="5F37EDF3" w14:textId="77777777" w:rsidR="000153E7" w:rsidRPr="000153E7" w:rsidRDefault="000153E7" w:rsidP="000153E7">
      <w:pPr>
        <w:spacing w:before="120" w:after="120" w:line="240" w:lineRule="auto"/>
        <w:jc w:val="center"/>
        <w:rPr>
          <w:rFonts w:eastAsia="Times New Roman" w:cs="Times New Roman"/>
          <w:b/>
          <w:bCs/>
          <w:sz w:val="40"/>
          <w:szCs w:val="40"/>
        </w:rPr>
      </w:pPr>
    </w:p>
    <w:p w14:paraId="7FB059D1" w14:textId="77777777" w:rsidR="000153E7" w:rsidRPr="000153E7" w:rsidRDefault="000153E7" w:rsidP="000153E7">
      <w:pPr>
        <w:spacing w:before="120" w:after="120" w:line="240" w:lineRule="auto"/>
        <w:jc w:val="center"/>
        <w:rPr>
          <w:rFonts w:eastAsia="Times New Roman" w:cs="Times New Roman"/>
          <w:b/>
          <w:bCs/>
          <w:sz w:val="40"/>
          <w:szCs w:val="40"/>
        </w:rPr>
      </w:pPr>
    </w:p>
    <w:p w14:paraId="2B729F43" w14:textId="09C095CA" w:rsidR="000153E7" w:rsidRPr="000153E7" w:rsidRDefault="000153E7" w:rsidP="000153E7">
      <w:pPr>
        <w:spacing w:before="120" w:after="120" w:line="240" w:lineRule="auto"/>
        <w:jc w:val="center"/>
        <w:rPr>
          <w:rFonts w:eastAsia="Times New Roman" w:cs="Times New Roman"/>
          <w:b/>
          <w:bCs/>
          <w:sz w:val="40"/>
          <w:szCs w:val="40"/>
        </w:rPr>
      </w:pPr>
      <w:r w:rsidRPr="000153E7">
        <w:rPr>
          <w:rFonts w:eastAsia="Times New Roman" w:cs="Times New Roman"/>
          <w:b/>
          <w:bCs/>
          <w:sz w:val="40"/>
          <w:szCs w:val="40"/>
        </w:rPr>
        <w:t xml:space="preserve">October </w:t>
      </w:r>
      <w:r w:rsidR="00AE7945">
        <w:rPr>
          <w:rFonts w:eastAsia="Times New Roman" w:cs="Times New Roman"/>
          <w:b/>
          <w:bCs/>
          <w:sz w:val="40"/>
          <w:szCs w:val="40"/>
        </w:rPr>
        <w:t>1</w:t>
      </w:r>
      <w:r w:rsidRPr="000153E7">
        <w:rPr>
          <w:rFonts w:eastAsia="Times New Roman" w:cs="Times New Roman"/>
          <w:b/>
          <w:bCs/>
          <w:sz w:val="40"/>
          <w:szCs w:val="40"/>
        </w:rPr>
        <w:t>, 202</w:t>
      </w:r>
      <w:r>
        <w:rPr>
          <w:rFonts w:eastAsia="Times New Roman" w:cs="Times New Roman"/>
          <w:b/>
          <w:bCs/>
          <w:sz w:val="40"/>
          <w:szCs w:val="40"/>
        </w:rPr>
        <w:t>4</w:t>
      </w:r>
    </w:p>
    <w:p w14:paraId="106F35BD" w14:textId="77777777" w:rsidR="000153E7" w:rsidRPr="000153E7" w:rsidRDefault="000153E7" w:rsidP="000153E7">
      <w:pPr>
        <w:spacing w:before="120" w:after="120" w:line="240" w:lineRule="auto"/>
        <w:rPr>
          <w:rFonts w:eastAsia="Times New Roman" w:cs="Times New Roman"/>
          <w:b/>
          <w:bCs/>
          <w:sz w:val="40"/>
          <w:szCs w:val="40"/>
        </w:rPr>
      </w:pPr>
    </w:p>
    <w:p w14:paraId="156D524E" w14:textId="77777777" w:rsidR="000153E7" w:rsidRPr="000153E7" w:rsidRDefault="000153E7" w:rsidP="000153E7">
      <w:pPr>
        <w:spacing w:before="120" w:after="120" w:line="240" w:lineRule="auto"/>
        <w:jc w:val="center"/>
        <w:rPr>
          <w:rFonts w:eastAsia="Times New Roman" w:cs="Times New Roman"/>
          <w:b/>
          <w:bCs/>
          <w:sz w:val="40"/>
          <w:szCs w:val="40"/>
        </w:rPr>
      </w:pPr>
    </w:p>
    <w:p w14:paraId="1DFB281F" w14:textId="77777777" w:rsidR="000153E7" w:rsidRPr="000153E7" w:rsidRDefault="000153E7" w:rsidP="000153E7">
      <w:pPr>
        <w:spacing w:before="120" w:after="120" w:line="240" w:lineRule="auto"/>
        <w:jc w:val="center"/>
        <w:rPr>
          <w:rFonts w:eastAsia="Times New Roman" w:cs="Times New Roman"/>
          <w:b/>
          <w:bCs/>
          <w:sz w:val="40"/>
          <w:szCs w:val="40"/>
        </w:rPr>
      </w:pPr>
    </w:p>
    <w:p w14:paraId="473EE010" w14:textId="77777777" w:rsidR="000153E7" w:rsidRPr="000153E7" w:rsidRDefault="000153E7" w:rsidP="000153E7">
      <w:pPr>
        <w:spacing w:before="120" w:after="120" w:line="240" w:lineRule="auto"/>
        <w:jc w:val="center"/>
        <w:rPr>
          <w:rFonts w:eastAsia="Times New Roman" w:cs="Times New Roman"/>
          <w:b/>
          <w:bCs/>
          <w:sz w:val="40"/>
          <w:szCs w:val="40"/>
        </w:rPr>
      </w:pPr>
      <w:r w:rsidRPr="000153E7">
        <w:rPr>
          <w:rFonts w:eastAsia="Times New Roman" w:cs="Times New Roman"/>
          <w:b/>
          <w:bCs/>
          <w:sz w:val="40"/>
          <w:szCs w:val="40"/>
        </w:rPr>
        <w:t>Submitted By</w:t>
      </w:r>
    </w:p>
    <w:p w14:paraId="5226A57F" w14:textId="4CADC93D" w:rsidR="000153E7" w:rsidRPr="000153E7" w:rsidRDefault="000153E7" w:rsidP="000153E7">
      <w:pPr>
        <w:spacing w:before="120" w:after="120" w:line="240" w:lineRule="auto"/>
        <w:jc w:val="center"/>
        <w:rPr>
          <w:rFonts w:eastAsia="Times New Roman" w:cs="Times New Roman"/>
          <w:b/>
          <w:bCs/>
          <w:sz w:val="40"/>
          <w:szCs w:val="40"/>
        </w:rPr>
      </w:pPr>
      <w:r w:rsidRPr="001877B8">
        <w:rPr>
          <w:rFonts w:eastAsia="Times New Roman" w:cs="Times New Roman"/>
          <w:b/>
          <w:bCs/>
          <w:sz w:val="40"/>
          <w:szCs w:val="40"/>
        </w:rPr>
        <w:t>Beth Isr</w:t>
      </w:r>
      <w:r w:rsidR="001877B8" w:rsidRPr="001877B8">
        <w:rPr>
          <w:rFonts w:eastAsia="Times New Roman" w:cs="Times New Roman"/>
          <w:b/>
          <w:bCs/>
          <w:sz w:val="40"/>
          <w:szCs w:val="40"/>
        </w:rPr>
        <w:t>ael Lahey Health, Inc.</w:t>
      </w:r>
    </w:p>
    <w:p w14:paraId="5E447B31" w14:textId="77777777" w:rsidR="001877B8" w:rsidRDefault="001877B8" w:rsidP="000153E7">
      <w:pPr>
        <w:spacing w:before="120" w:after="120" w:line="240" w:lineRule="auto"/>
        <w:jc w:val="center"/>
        <w:rPr>
          <w:rFonts w:eastAsia="Times New Roman" w:cs="Times New Roman"/>
          <w:b/>
          <w:bCs/>
          <w:sz w:val="40"/>
          <w:szCs w:val="40"/>
        </w:rPr>
      </w:pPr>
      <w:r w:rsidRPr="001877B8">
        <w:rPr>
          <w:rFonts w:eastAsia="Times New Roman" w:cs="Times New Roman"/>
          <w:b/>
          <w:bCs/>
          <w:sz w:val="40"/>
          <w:szCs w:val="40"/>
        </w:rPr>
        <w:t xml:space="preserve">20 University Road, </w:t>
      </w:r>
    </w:p>
    <w:p w14:paraId="4C3478A2" w14:textId="13C3D4C3" w:rsidR="001877B8" w:rsidRDefault="001877B8" w:rsidP="000153E7">
      <w:pPr>
        <w:spacing w:before="120" w:after="120" w:line="240" w:lineRule="auto"/>
        <w:jc w:val="center"/>
        <w:rPr>
          <w:rFonts w:eastAsia="Times New Roman" w:cs="Times New Roman"/>
          <w:b/>
          <w:bCs/>
          <w:sz w:val="40"/>
          <w:szCs w:val="40"/>
        </w:rPr>
      </w:pPr>
      <w:r w:rsidRPr="001877B8">
        <w:rPr>
          <w:rFonts w:eastAsia="Times New Roman" w:cs="Times New Roman"/>
          <w:b/>
          <w:bCs/>
          <w:sz w:val="40"/>
          <w:szCs w:val="40"/>
        </w:rPr>
        <w:t>Suite 700</w:t>
      </w:r>
    </w:p>
    <w:p w14:paraId="7F464D86" w14:textId="0285E647" w:rsidR="00B354E8" w:rsidRPr="000153E7" w:rsidRDefault="001877B8" w:rsidP="000153E7">
      <w:pPr>
        <w:spacing w:before="120" w:after="120" w:line="240" w:lineRule="auto"/>
        <w:jc w:val="center"/>
        <w:rPr>
          <w:rFonts w:eastAsia="Arial" w:cs="Times New Roman"/>
          <w:b/>
          <w:kern w:val="2"/>
        </w:rPr>
        <w:sectPr w:rsidR="00B354E8" w:rsidRPr="000153E7">
          <w:headerReference w:type="default" r:id="rId9"/>
          <w:footerReference w:type="default" r:id="rId10"/>
          <w:pgSz w:w="12240" w:h="15840"/>
          <w:pgMar w:top="1440" w:right="1440" w:bottom="1440" w:left="1440" w:header="720" w:footer="720" w:gutter="0"/>
          <w:cols w:space="720"/>
          <w:docGrid w:linePitch="360"/>
        </w:sectPr>
      </w:pPr>
      <w:r w:rsidRPr="001877B8">
        <w:rPr>
          <w:rFonts w:eastAsia="Times New Roman" w:cs="Times New Roman"/>
          <w:b/>
          <w:bCs/>
          <w:sz w:val="40"/>
          <w:szCs w:val="40"/>
        </w:rPr>
        <w:t>Cambridge, MA 0213</w:t>
      </w:r>
      <w:r w:rsidR="00962033">
        <w:rPr>
          <w:rFonts w:eastAsia="Times New Roman" w:cs="Times New Roman"/>
          <w:b/>
          <w:bCs/>
          <w:sz w:val="40"/>
          <w:szCs w:val="40"/>
        </w:rPr>
        <w:t>8</w:t>
      </w:r>
    </w:p>
    <w:p w14:paraId="7C2D6E0A" w14:textId="71BF334F" w:rsidR="00A24B60" w:rsidRPr="00FA1DD3" w:rsidRDefault="00A24B60" w:rsidP="00A24B60">
      <w:pPr>
        <w:pStyle w:val="RSBCSubtitleTOC"/>
        <w:rPr>
          <w:b w:val="0"/>
          <w:bCs/>
          <w:sz w:val="36"/>
          <w:szCs w:val="36"/>
        </w:rPr>
      </w:pPr>
      <w:r w:rsidRPr="00FA1DD3">
        <w:rPr>
          <w:b w:val="0"/>
          <w:bCs/>
          <w:sz w:val="36"/>
          <w:szCs w:val="36"/>
        </w:rPr>
        <w:lastRenderedPageBreak/>
        <w:t>Narrative</w:t>
      </w:r>
    </w:p>
    <w:tbl>
      <w:tblPr>
        <w:tblStyle w:val="TableGrid"/>
        <w:tblW w:w="96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0"/>
        <w:gridCol w:w="751"/>
      </w:tblGrid>
      <w:tr w:rsidR="00A24B60" w:rsidRPr="00A24B60" w14:paraId="0015C157" w14:textId="77777777" w:rsidTr="007602E1">
        <w:trPr>
          <w:cantSplit/>
          <w:tblHeader/>
        </w:trPr>
        <w:tc>
          <w:tcPr>
            <w:tcW w:w="8910" w:type="dxa"/>
            <w:gridSpan w:val="2"/>
            <w:vAlign w:val="bottom"/>
          </w:tcPr>
          <w:p w14:paraId="75E369D8" w14:textId="77777777" w:rsidR="00A24B60" w:rsidRPr="00A24B60" w:rsidRDefault="00A24B60" w:rsidP="007602E1">
            <w:pPr>
              <w:tabs>
                <w:tab w:val="left" w:pos="9861"/>
              </w:tabs>
              <w:spacing w:before="339"/>
              <w:rPr>
                <w:rFonts w:cs="Times New Roman"/>
                <w:b/>
              </w:rPr>
            </w:pPr>
            <w:r w:rsidRPr="00A24B60">
              <w:rPr>
                <w:rFonts w:cs="Times New Roman"/>
                <w:b/>
              </w:rPr>
              <w:t>Table</w:t>
            </w:r>
            <w:r w:rsidRPr="00A24B60">
              <w:rPr>
                <w:rFonts w:cs="Times New Roman"/>
                <w:b/>
                <w:spacing w:val="-2"/>
              </w:rPr>
              <w:t xml:space="preserve"> </w:t>
            </w:r>
            <w:r w:rsidRPr="00A24B60">
              <w:rPr>
                <w:rFonts w:cs="Times New Roman"/>
                <w:b/>
              </w:rPr>
              <w:t>of</w:t>
            </w:r>
            <w:r w:rsidRPr="00A24B60">
              <w:rPr>
                <w:rFonts w:cs="Times New Roman"/>
                <w:b/>
                <w:spacing w:val="-3"/>
              </w:rPr>
              <w:t xml:space="preserve"> </w:t>
            </w:r>
            <w:r w:rsidRPr="00A24B60">
              <w:rPr>
                <w:rFonts w:cs="Times New Roman"/>
                <w:b/>
              </w:rPr>
              <w:t>Contents</w:t>
            </w:r>
          </w:p>
        </w:tc>
        <w:tc>
          <w:tcPr>
            <w:tcW w:w="751" w:type="dxa"/>
          </w:tcPr>
          <w:p w14:paraId="3060792F" w14:textId="77777777" w:rsidR="00A24B60" w:rsidRPr="00A24B60" w:rsidRDefault="00A24B60" w:rsidP="007602E1">
            <w:pPr>
              <w:tabs>
                <w:tab w:val="left" w:pos="9861"/>
              </w:tabs>
              <w:spacing w:before="339"/>
              <w:jc w:val="center"/>
              <w:rPr>
                <w:rFonts w:cs="Times New Roman"/>
                <w:b/>
              </w:rPr>
            </w:pPr>
            <w:r w:rsidRPr="00A24B60">
              <w:rPr>
                <w:rFonts w:cs="Times New Roman"/>
                <w:b/>
              </w:rPr>
              <w:t>Page</w:t>
            </w:r>
          </w:p>
        </w:tc>
      </w:tr>
      <w:tr w:rsidR="00A24B60" w:rsidRPr="00A24B60" w14:paraId="42F0984D" w14:textId="77777777" w:rsidTr="007602E1">
        <w:trPr>
          <w:cantSplit/>
        </w:trPr>
        <w:tc>
          <w:tcPr>
            <w:tcW w:w="8910" w:type="dxa"/>
            <w:gridSpan w:val="2"/>
          </w:tcPr>
          <w:p w14:paraId="5DA6E219" w14:textId="77777777" w:rsidR="00A24B60" w:rsidRPr="00A24B60" w:rsidRDefault="00A24B60" w:rsidP="007602E1">
            <w:pPr>
              <w:tabs>
                <w:tab w:val="left" w:pos="9861"/>
              </w:tabs>
              <w:spacing w:before="339"/>
              <w:rPr>
                <w:rFonts w:cs="Times New Roman"/>
                <w:bCs/>
              </w:rPr>
            </w:pPr>
            <w:r w:rsidRPr="00A24B60">
              <w:rPr>
                <w:rFonts w:cs="Times New Roman"/>
                <w:bCs/>
              </w:rPr>
              <w:t>Introduction</w:t>
            </w:r>
          </w:p>
        </w:tc>
        <w:tc>
          <w:tcPr>
            <w:tcW w:w="751" w:type="dxa"/>
          </w:tcPr>
          <w:p w14:paraId="663CBB76" w14:textId="3CF8C276" w:rsidR="00A24B60" w:rsidRPr="00A24B60" w:rsidRDefault="002E20F2" w:rsidP="007602E1">
            <w:pPr>
              <w:tabs>
                <w:tab w:val="left" w:pos="9861"/>
              </w:tabs>
              <w:spacing w:before="339"/>
              <w:jc w:val="center"/>
              <w:rPr>
                <w:rFonts w:cs="Times New Roman"/>
                <w:bCs/>
              </w:rPr>
            </w:pPr>
            <w:r>
              <w:rPr>
                <w:rFonts w:cs="Times New Roman"/>
                <w:bCs/>
              </w:rPr>
              <w:t>1</w:t>
            </w:r>
          </w:p>
        </w:tc>
      </w:tr>
      <w:tr w:rsidR="00A24B60" w:rsidRPr="00A24B60" w14:paraId="43404257" w14:textId="77777777" w:rsidTr="007602E1">
        <w:trPr>
          <w:cantSplit/>
        </w:trPr>
        <w:tc>
          <w:tcPr>
            <w:tcW w:w="8910" w:type="dxa"/>
            <w:gridSpan w:val="2"/>
          </w:tcPr>
          <w:p w14:paraId="230F942C" w14:textId="77777777" w:rsidR="00A24B60" w:rsidRPr="00A24B60" w:rsidRDefault="00A24B60" w:rsidP="007602E1">
            <w:pPr>
              <w:tabs>
                <w:tab w:val="left" w:pos="9861"/>
              </w:tabs>
              <w:spacing w:before="339"/>
              <w:rPr>
                <w:rFonts w:cs="Times New Roman"/>
                <w:bCs/>
              </w:rPr>
            </w:pPr>
            <w:r w:rsidRPr="00A24B60">
              <w:rPr>
                <w:rFonts w:cs="Times New Roman"/>
                <w:bCs/>
              </w:rPr>
              <w:t>Project Description</w:t>
            </w:r>
          </w:p>
        </w:tc>
        <w:tc>
          <w:tcPr>
            <w:tcW w:w="751" w:type="dxa"/>
          </w:tcPr>
          <w:p w14:paraId="27B4196D" w14:textId="3E95927C" w:rsidR="00A24B60" w:rsidRPr="00A24B60" w:rsidRDefault="002E20F2" w:rsidP="007602E1">
            <w:pPr>
              <w:tabs>
                <w:tab w:val="left" w:pos="9861"/>
              </w:tabs>
              <w:spacing w:before="339"/>
              <w:jc w:val="center"/>
              <w:rPr>
                <w:rFonts w:cs="Times New Roman"/>
                <w:bCs/>
              </w:rPr>
            </w:pPr>
            <w:r>
              <w:rPr>
                <w:rFonts w:cs="Times New Roman"/>
                <w:bCs/>
              </w:rPr>
              <w:t>2</w:t>
            </w:r>
          </w:p>
        </w:tc>
      </w:tr>
      <w:tr w:rsidR="00A24B60" w:rsidRPr="00A24B60" w14:paraId="27DD4C1D" w14:textId="77777777" w:rsidTr="007602E1">
        <w:trPr>
          <w:cantSplit/>
        </w:trPr>
        <w:tc>
          <w:tcPr>
            <w:tcW w:w="8910" w:type="dxa"/>
            <w:gridSpan w:val="2"/>
          </w:tcPr>
          <w:p w14:paraId="133DD1FC" w14:textId="77777777" w:rsidR="00A24B60" w:rsidRPr="00A24B60" w:rsidRDefault="00A24B60" w:rsidP="007602E1">
            <w:pPr>
              <w:tabs>
                <w:tab w:val="left" w:pos="9861"/>
              </w:tabs>
              <w:spacing w:before="339"/>
              <w:rPr>
                <w:rFonts w:cs="Times New Roman"/>
                <w:bCs/>
              </w:rPr>
            </w:pPr>
            <w:r w:rsidRPr="00A24B60">
              <w:rPr>
                <w:rFonts w:cs="Times New Roman"/>
                <w:bCs/>
              </w:rPr>
              <w:t>Narrative Responses</w:t>
            </w:r>
          </w:p>
        </w:tc>
        <w:tc>
          <w:tcPr>
            <w:tcW w:w="751" w:type="dxa"/>
          </w:tcPr>
          <w:p w14:paraId="45AD63DF" w14:textId="6189BB3B" w:rsidR="00A24B60" w:rsidRPr="00A24B60" w:rsidRDefault="00A24B60" w:rsidP="007602E1">
            <w:pPr>
              <w:tabs>
                <w:tab w:val="left" w:pos="9861"/>
              </w:tabs>
              <w:spacing w:before="339"/>
              <w:jc w:val="center"/>
              <w:rPr>
                <w:rFonts w:cs="Times New Roman"/>
                <w:bCs/>
              </w:rPr>
            </w:pPr>
          </w:p>
        </w:tc>
      </w:tr>
      <w:tr w:rsidR="00563EDB" w:rsidRPr="00A24B60" w14:paraId="25A3307D" w14:textId="77777777" w:rsidTr="007602E1">
        <w:trPr>
          <w:cantSplit/>
        </w:trPr>
        <w:tc>
          <w:tcPr>
            <w:tcW w:w="2070" w:type="dxa"/>
          </w:tcPr>
          <w:p w14:paraId="6FBDAFCD" w14:textId="77777777" w:rsidR="00563EDB" w:rsidRPr="00A24B60" w:rsidRDefault="00563EDB" w:rsidP="00563EDB">
            <w:pPr>
              <w:tabs>
                <w:tab w:val="left" w:pos="9861"/>
              </w:tabs>
              <w:ind w:left="345"/>
              <w:rPr>
                <w:rFonts w:cs="Times New Roman"/>
                <w:bCs/>
              </w:rPr>
            </w:pPr>
            <w:r w:rsidRPr="00A24B60">
              <w:rPr>
                <w:rFonts w:cs="Times New Roman"/>
                <w:bCs/>
              </w:rPr>
              <w:t>Factor 1.a.i</w:t>
            </w:r>
          </w:p>
        </w:tc>
        <w:tc>
          <w:tcPr>
            <w:tcW w:w="6840" w:type="dxa"/>
          </w:tcPr>
          <w:p w14:paraId="5B0E3F4F" w14:textId="77777777" w:rsidR="00563EDB" w:rsidRPr="00A24B60" w:rsidRDefault="00563EDB" w:rsidP="00563EDB">
            <w:pPr>
              <w:tabs>
                <w:tab w:val="left" w:pos="9861"/>
              </w:tabs>
              <w:rPr>
                <w:rFonts w:cs="Times New Roman"/>
                <w:bCs/>
              </w:rPr>
            </w:pPr>
            <w:r w:rsidRPr="00A24B60">
              <w:rPr>
                <w:rFonts w:cs="Times New Roman"/>
                <w:bCs/>
              </w:rPr>
              <w:t>Patient Panel</w:t>
            </w:r>
          </w:p>
        </w:tc>
        <w:tc>
          <w:tcPr>
            <w:tcW w:w="751" w:type="dxa"/>
          </w:tcPr>
          <w:p w14:paraId="4C9FB302" w14:textId="40C660BF" w:rsidR="00563EDB" w:rsidRPr="00A24B60" w:rsidRDefault="00563EDB" w:rsidP="00563EDB">
            <w:pPr>
              <w:tabs>
                <w:tab w:val="left" w:pos="9861"/>
              </w:tabs>
              <w:jc w:val="center"/>
              <w:rPr>
                <w:rFonts w:cs="Times New Roman"/>
                <w:bCs/>
              </w:rPr>
            </w:pPr>
            <w:r>
              <w:rPr>
                <w:rFonts w:cs="Times New Roman"/>
                <w:bCs/>
              </w:rPr>
              <w:t>2</w:t>
            </w:r>
          </w:p>
        </w:tc>
      </w:tr>
      <w:tr w:rsidR="00563EDB" w:rsidRPr="00A24B60" w14:paraId="1702B416" w14:textId="77777777" w:rsidTr="007602E1">
        <w:trPr>
          <w:cantSplit/>
        </w:trPr>
        <w:tc>
          <w:tcPr>
            <w:tcW w:w="2070" w:type="dxa"/>
          </w:tcPr>
          <w:p w14:paraId="0088004F" w14:textId="77777777" w:rsidR="00563EDB" w:rsidRPr="00A24B60" w:rsidRDefault="00563EDB" w:rsidP="00563EDB">
            <w:pPr>
              <w:tabs>
                <w:tab w:val="left" w:pos="9861"/>
              </w:tabs>
              <w:ind w:left="345"/>
              <w:rPr>
                <w:rFonts w:cs="Times New Roman"/>
                <w:bCs/>
              </w:rPr>
            </w:pPr>
            <w:r w:rsidRPr="00A24B60">
              <w:rPr>
                <w:rFonts w:cs="Times New Roman"/>
                <w:bCs/>
              </w:rPr>
              <w:t>Factor 1.a.ii</w:t>
            </w:r>
          </w:p>
        </w:tc>
        <w:tc>
          <w:tcPr>
            <w:tcW w:w="6840" w:type="dxa"/>
          </w:tcPr>
          <w:p w14:paraId="7C808274" w14:textId="77777777" w:rsidR="00563EDB" w:rsidRPr="00A24B60" w:rsidRDefault="00563EDB" w:rsidP="00563EDB">
            <w:pPr>
              <w:tabs>
                <w:tab w:val="left" w:pos="9861"/>
              </w:tabs>
              <w:rPr>
                <w:rFonts w:cs="Times New Roman"/>
                <w:bCs/>
              </w:rPr>
            </w:pPr>
            <w:r w:rsidRPr="00A24B60">
              <w:rPr>
                <w:rFonts w:cs="Times New Roman"/>
                <w:bCs/>
              </w:rPr>
              <w:t>Need by Patient Panel</w:t>
            </w:r>
          </w:p>
        </w:tc>
        <w:tc>
          <w:tcPr>
            <w:tcW w:w="751" w:type="dxa"/>
          </w:tcPr>
          <w:p w14:paraId="69199F57" w14:textId="0F4B33F0" w:rsidR="00563EDB" w:rsidRPr="00A24B60" w:rsidRDefault="00563EDB" w:rsidP="00563EDB">
            <w:pPr>
              <w:tabs>
                <w:tab w:val="left" w:pos="9861"/>
              </w:tabs>
              <w:jc w:val="center"/>
              <w:rPr>
                <w:rFonts w:cs="Times New Roman"/>
                <w:bCs/>
              </w:rPr>
            </w:pPr>
            <w:r>
              <w:rPr>
                <w:rFonts w:cs="Times New Roman"/>
                <w:bCs/>
              </w:rPr>
              <w:t>13</w:t>
            </w:r>
          </w:p>
        </w:tc>
      </w:tr>
      <w:tr w:rsidR="00563EDB" w:rsidRPr="00A24B60" w14:paraId="680F2CEC" w14:textId="77777777" w:rsidTr="007602E1">
        <w:trPr>
          <w:cantSplit/>
        </w:trPr>
        <w:tc>
          <w:tcPr>
            <w:tcW w:w="2070" w:type="dxa"/>
          </w:tcPr>
          <w:p w14:paraId="5DC35D8C" w14:textId="77777777" w:rsidR="00563EDB" w:rsidRPr="00A24B60" w:rsidRDefault="00563EDB" w:rsidP="00563EDB">
            <w:pPr>
              <w:tabs>
                <w:tab w:val="left" w:pos="9861"/>
              </w:tabs>
              <w:ind w:left="345"/>
              <w:rPr>
                <w:rFonts w:cs="Times New Roman"/>
                <w:bCs/>
              </w:rPr>
            </w:pPr>
            <w:r w:rsidRPr="00A24B60">
              <w:rPr>
                <w:rFonts w:cs="Times New Roman"/>
                <w:bCs/>
              </w:rPr>
              <w:t>Factor 1.a.iii</w:t>
            </w:r>
          </w:p>
        </w:tc>
        <w:tc>
          <w:tcPr>
            <w:tcW w:w="6840" w:type="dxa"/>
          </w:tcPr>
          <w:p w14:paraId="2AE8AE7C" w14:textId="77777777" w:rsidR="00563EDB" w:rsidRPr="00A24B60" w:rsidRDefault="00563EDB" w:rsidP="00563EDB">
            <w:pPr>
              <w:tabs>
                <w:tab w:val="left" w:pos="9861"/>
              </w:tabs>
              <w:rPr>
                <w:rFonts w:cs="Times New Roman"/>
                <w:bCs/>
              </w:rPr>
            </w:pPr>
            <w:r w:rsidRPr="00A24B60">
              <w:rPr>
                <w:rFonts w:cs="Times New Roman"/>
                <w:bCs/>
              </w:rPr>
              <w:t>Competition</w:t>
            </w:r>
          </w:p>
        </w:tc>
        <w:tc>
          <w:tcPr>
            <w:tcW w:w="751" w:type="dxa"/>
          </w:tcPr>
          <w:p w14:paraId="3B7A90BB" w14:textId="4B17FD88" w:rsidR="00563EDB" w:rsidRPr="00A24B60" w:rsidRDefault="00563EDB" w:rsidP="00563EDB">
            <w:pPr>
              <w:tabs>
                <w:tab w:val="left" w:pos="9861"/>
              </w:tabs>
              <w:jc w:val="center"/>
              <w:rPr>
                <w:rFonts w:cs="Times New Roman"/>
                <w:bCs/>
              </w:rPr>
            </w:pPr>
            <w:r>
              <w:rPr>
                <w:rFonts w:cs="Times New Roman"/>
                <w:bCs/>
              </w:rPr>
              <w:t>16</w:t>
            </w:r>
          </w:p>
        </w:tc>
      </w:tr>
      <w:tr w:rsidR="00563EDB" w:rsidRPr="00A24B60" w14:paraId="20D30154" w14:textId="77777777" w:rsidTr="007602E1">
        <w:trPr>
          <w:cantSplit/>
        </w:trPr>
        <w:tc>
          <w:tcPr>
            <w:tcW w:w="2070" w:type="dxa"/>
          </w:tcPr>
          <w:p w14:paraId="293B5585" w14:textId="77777777" w:rsidR="00563EDB" w:rsidRPr="00A24B60" w:rsidRDefault="00563EDB" w:rsidP="00563EDB">
            <w:pPr>
              <w:tabs>
                <w:tab w:val="left" w:pos="9861"/>
              </w:tabs>
              <w:ind w:left="345"/>
              <w:rPr>
                <w:rFonts w:cs="Times New Roman"/>
                <w:bCs/>
              </w:rPr>
            </w:pPr>
            <w:r w:rsidRPr="00A24B60">
              <w:rPr>
                <w:rFonts w:cs="Times New Roman"/>
                <w:bCs/>
              </w:rPr>
              <w:t>Factor 1.b.i</w:t>
            </w:r>
          </w:p>
        </w:tc>
        <w:tc>
          <w:tcPr>
            <w:tcW w:w="6840" w:type="dxa"/>
          </w:tcPr>
          <w:p w14:paraId="644C857D" w14:textId="77777777" w:rsidR="00563EDB" w:rsidRPr="00A24B60" w:rsidRDefault="00563EDB" w:rsidP="00563EDB">
            <w:pPr>
              <w:tabs>
                <w:tab w:val="left" w:pos="9861"/>
              </w:tabs>
              <w:rPr>
                <w:rFonts w:cs="Times New Roman"/>
                <w:bCs/>
              </w:rPr>
            </w:pPr>
            <w:r w:rsidRPr="00A24B60">
              <w:rPr>
                <w:rFonts w:cs="Times New Roman"/>
                <w:bCs/>
              </w:rPr>
              <w:t>Public Health Value/Evidence-Based</w:t>
            </w:r>
          </w:p>
        </w:tc>
        <w:tc>
          <w:tcPr>
            <w:tcW w:w="751" w:type="dxa"/>
          </w:tcPr>
          <w:p w14:paraId="66A9F2C3" w14:textId="517E2E18" w:rsidR="00563EDB" w:rsidRPr="00A24B60" w:rsidRDefault="00563EDB" w:rsidP="00563EDB">
            <w:pPr>
              <w:tabs>
                <w:tab w:val="left" w:pos="9861"/>
              </w:tabs>
              <w:jc w:val="center"/>
              <w:rPr>
                <w:rFonts w:cs="Times New Roman"/>
                <w:bCs/>
              </w:rPr>
            </w:pPr>
            <w:r>
              <w:rPr>
                <w:rFonts w:cs="Times New Roman"/>
                <w:bCs/>
              </w:rPr>
              <w:t>17</w:t>
            </w:r>
          </w:p>
        </w:tc>
      </w:tr>
      <w:tr w:rsidR="00563EDB" w:rsidRPr="00A24B60" w14:paraId="27F2C3A2" w14:textId="77777777" w:rsidTr="007602E1">
        <w:trPr>
          <w:cantSplit/>
        </w:trPr>
        <w:tc>
          <w:tcPr>
            <w:tcW w:w="2070" w:type="dxa"/>
          </w:tcPr>
          <w:p w14:paraId="59E6A8DD" w14:textId="77777777" w:rsidR="00563EDB" w:rsidRPr="00A24B60" w:rsidRDefault="00563EDB" w:rsidP="00563EDB">
            <w:pPr>
              <w:tabs>
                <w:tab w:val="left" w:pos="9861"/>
              </w:tabs>
              <w:ind w:left="345"/>
              <w:rPr>
                <w:rFonts w:cs="Times New Roman"/>
                <w:bCs/>
              </w:rPr>
            </w:pPr>
            <w:r w:rsidRPr="00A24B60">
              <w:rPr>
                <w:rFonts w:cs="Times New Roman"/>
                <w:bCs/>
              </w:rPr>
              <w:t>Factor 1.b.ii</w:t>
            </w:r>
          </w:p>
        </w:tc>
        <w:tc>
          <w:tcPr>
            <w:tcW w:w="6840" w:type="dxa"/>
          </w:tcPr>
          <w:p w14:paraId="00E90CB7" w14:textId="77777777" w:rsidR="00563EDB" w:rsidRPr="00A24B60" w:rsidRDefault="00563EDB" w:rsidP="00563EDB">
            <w:pPr>
              <w:tabs>
                <w:tab w:val="left" w:pos="9861"/>
              </w:tabs>
              <w:rPr>
                <w:rFonts w:cs="Times New Roman"/>
                <w:bCs/>
              </w:rPr>
            </w:pPr>
            <w:r w:rsidRPr="00A24B60">
              <w:rPr>
                <w:rFonts w:cs="Times New Roman"/>
                <w:bCs/>
              </w:rPr>
              <w:t>Public Health Value/Outcome-Oriented</w:t>
            </w:r>
          </w:p>
        </w:tc>
        <w:tc>
          <w:tcPr>
            <w:tcW w:w="751" w:type="dxa"/>
          </w:tcPr>
          <w:p w14:paraId="07998793" w14:textId="5A2923ED" w:rsidR="00563EDB" w:rsidRPr="00A24B60" w:rsidRDefault="00563EDB" w:rsidP="00563EDB">
            <w:pPr>
              <w:tabs>
                <w:tab w:val="left" w:pos="9861"/>
              </w:tabs>
              <w:jc w:val="center"/>
              <w:rPr>
                <w:rFonts w:cs="Times New Roman"/>
                <w:bCs/>
              </w:rPr>
            </w:pPr>
            <w:r>
              <w:rPr>
                <w:rFonts w:cs="Times New Roman"/>
                <w:bCs/>
              </w:rPr>
              <w:t>17</w:t>
            </w:r>
          </w:p>
        </w:tc>
      </w:tr>
      <w:tr w:rsidR="00563EDB" w:rsidRPr="00A24B60" w14:paraId="232E3C72" w14:textId="77777777" w:rsidTr="007602E1">
        <w:trPr>
          <w:cantSplit/>
        </w:trPr>
        <w:tc>
          <w:tcPr>
            <w:tcW w:w="2070" w:type="dxa"/>
          </w:tcPr>
          <w:p w14:paraId="2747E9CB" w14:textId="77777777" w:rsidR="00563EDB" w:rsidRPr="00A24B60" w:rsidRDefault="00563EDB" w:rsidP="00563EDB">
            <w:pPr>
              <w:tabs>
                <w:tab w:val="left" w:pos="9861"/>
              </w:tabs>
              <w:ind w:left="345"/>
              <w:rPr>
                <w:rFonts w:cs="Times New Roman"/>
                <w:bCs/>
              </w:rPr>
            </w:pPr>
            <w:r w:rsidRPr="00A24B60">
              <w:rPr>
                <w:rFonts w:cs="Times New Roman"/>
                <w:bCs/>
              </w:rPr>
              <w:t>Factor 1.b.iii</w:t>
            </w:r>
          </w:p>
        </w:tc>
        <w:tc>
          <w:tcPr>
            <w:tcW w:w="6840" w:type="dxa"/>
          </w:tcPr>
          <w:p w14:paraId="0CE0DAF7" w14:textId="77777777" w:rsidR="00563EDB" w:rsidRPr="00A24B60" w:rsidRDefault="00563EDB" w:rsidP="00563EDB">
            <w:pPr>
              <w:tabs>
                <w:tab w:val="left" w:pos="9861"/>
              </w:tabs>
              <w:rPr>
                <w:rFonts w:cs="Times New Roman"/>
                <w:bCs/>
              </w:rPr>
            </w:pPr>
            <w:r w:rsidRPr="00A24B60">
              <w:rPr>
                <w:rFonts w:cs="Times New Roman"/>
                <w:bCs/>
              </w:rPr>
              <w:t>Public Health Value/Health Equity-Focused</w:t>
            </w:r>
          </w:p>
        </w:tc>
        <w:tc>
          <w:tcPr>
            <w:tcW w:w="751" w:type="dxa"/>
          </w:tcPr>
          <w:p w14:paraId="293CF921" w14:textId="4BE7DD55" w:rsidR="00563EDB" w:rsidRPr="00A24B60" w:rsidRDefault="00563EDB" w:rsidP="00563EDB">
            <w:pPr>
              <w:tabs>
                <w:tab w:val="left" w:pos="9861"/>
              </w:tabs>
              <w:jc w:val="center"/>
              <w:rPr>
                <w:rFonts w:cs="Times New Roman"/>
                <w:bCs/>
              </w:rPr>
            </w:pPr>
            <w:r>
              <w:rPr>
                <w:rFonts w:cs="Times New Roman"/>
                <w:bCs/>
              </w:rPr>
              <w:t>20</w:t>
            </w:r>
          </w:p>
        </w:tc>
      </w:tr>
      <w:tr w:rsidR="00563EDB" w:rsidRPr="00A24B60" w14:paraId="55ECC0A0" w14:textId="77777777" w:rsidTr="007602E1">
        <w:trPr>
          <w:cantSplit/>
        </w:trPr>
        <w:tc>
          <w:tcPr>
            <w:tcW w:w="2070" w:type="dxa"/>
          </w:tcPr>
          <w:p w14:paraId="3FD1AE41" w14:textId="77777777" w:rsidR="00563EDB" w:rsidRPr="00A24B60" w:rsidRDefault="00563EDB" w:rsidP="00563EDB">
            <w:pPr>
              <w:tabs>
                <w:tab w:val="left" w:pos="9861"/>
              </w:tabs>
              <w:ind w:left="345"/>
              <w:rPr>
                <w:rFonts w:cs="Times New Roman"/>
                <w:bCs/>
              </w:rPr>
            </w:pPr>
            <w:r w:rsidRPr="00A24B60">
              <w:rPr>
                <w:rFonts w:cs="Times New Roman"/>
                <w:bCs/>
              </w:rPr>
              <w:t>Factor 1.b.iv</w:t>
            </w:r>
          </w:p>
        </w:tc>
        <w:tc>
          <w:tcPr>
            <w:tcW w:w="6840" w:type="dxa"/>
          </w:tcPr>
          <w:p w14:paraId="6A16C4B9" w14:textId="77777777" w:rsidR="00563EDB" w:rsidRPr="00A24B60" w:rsidRDefault="00563EDB" w:rsidP="00563EDB">
            <w:pPr>
              <w:tabs>
                <w:tab w:val="left" w:pos="9861"/>
              </w:tabs>
              <w:rPr>
                <w:rFonts w:cs="Times New Roman"/>
                <w:bCs/>
              </w:rPr>
            </w:pPr>
            <w:r w:rsidRPr="00A24B60">
              <w:rPr>
                <w:rFonts w:cs="Times New Roman"/>
                <w:bCs/>
              </w:rPr>
              <w:t>Public Health Value/Health Equity-Focused (Additional Info)</w:t>
            </w:r>
          </w:p>
        </w:tc>
        <w:tc>
          <w:tcPr>
            <w:tcW w:w="751" w:type="dxa"/>
          </w:tcPr>
          <w:p w14:paraId="0685CBEC" w14:textId="308034BE" w:rsidR="00563EDB" w:rsidRPr="00A24B60" w:rsidRDefault="00563EDB" w:rsidP="00563EDB">
            <w:pPr>
              <w:tabs>
                <w:tab w:val="left" w:pos="9861"/>
              </w:tabs>
              <w:jc w:val="center"/>
              <w:rPr>
                <w:rFonts w:cs="Times New Roman"/>
                <w:bCs/>
              </w:rPr>
            </w:pPr>
            <w:r>
              <w:rPr>
                <w:rFonts w:cs="Times New Roman"/>
                <w:bCs/>
              </w:rPr>
              <w:t>21</w:t>
            </w:r>
          </w:p>
        </w:tc>
      </w:tr>
      <w:tr w:rsidR="00A24B60" w:rsidRPr="00A24B60" w14:paraId="5D83E7FA" w14:textId="77777777" w:rsidTr="007602E1">
        <w:trPr>
          <w:cantSplit/>
        </w:trPr>
        <w:tc>
          <w:tcPr>
            <w:tcW w:w="2070" w:type="dxa"/>
          </w:tcPr>
          <w:p w14:paraId="76A69430" w14:textId="77777777" w:rsidR="00A24B60" w:rsidRPr="00A24B60" w:rsidRDefault="00A24B60" w:rsidP="007602E1">
            <w:pPr>
              <w:tabs>
                <w:tab w:val="left" w:pos="9861"/>
              </w:tabs>
              <w:ind w:left="345"/>
              <w:rPr>
                <w:rFonts w:cs="Times New Roman"/>
                <w:bCs/>
              </w:rPr>
            </w:pPr>
            <w:r w:rsidRPr="00A24B60">
              <w:rPr>
                <w:rFonts w:cs="Times New Roman"/>
                <w:bCs/>
              </w:rPr>
              <w:t>Factor 1.c</w:t>
            </w:r>
          </w:p>
        </w:tc>
        <w:tc>
          <w:tcPr>
            <w:tcW w:w="6840" w:type="dxa"/>
          </w:tcPr>
          <w:p w14:paraId="6F8FDC03" w14:textId="77777777" w:rsidR="00A24B60" w:rsidRPr="00A24B60" w:rsidRDefault="00A24B60" w:rsidP="007602E1">
            <w:pPr>
              <w:tabs>
                <w:tab w:val="left" w:pos="9861"/>
              </w:tabs>
              <w:rPr>
                <w:rFonts w:cs="Times New Roman"/>
                <w:bCs/>
              </w:rPr>
            </w:pPr>
            <w:r w:rsidRPr="00A24B60">
              <w:rPr>
                <w:rFonts w:cs="Times New Roman"/>
                <w:bCs/>
              </w:rPr>
              <w:t>Furthering and Improving Continuity and Coordination of Care</w:t>
            </w:r>
          </w:p>
        </w:tc>
        <w:tc>
          <w:tcPr>
            <w:tcW w:w="751" w:type="dxa"/>
          </w:tcPr>
          <w:p w14:paraId="7CF8528D" w14:textId="31C9E544" w:rsidR="00A24B60" w:rsidRPr="00A24B60" w:rsidRDefault="004C183F" w:rsidP="007602E1">
            <w:pPr>
              <w:tabs>
                <w:tab w:val="left" w:pos="9861"/>
              </w:tabs>
              <w:jc w:val="center"/>
              <w:rPr>
                <w:rFonts w:cs="Times New Roman"/>
                <w:bCs/>
              </w:rPr>
            </w:pPr>
            <w:r>
              <w:rPr>
                <w:rFonts w:cs="Times New Roman"/>
                <w:bCs/>
              </w:rPr>
              <w:t>22</w:t>
            </w:r>
          </w:p>
        </w:tc>
      </w:tr>
      <w:tr w:rsidR="00A24B60" w:rsidRPr="00A24B60" w14:paraId="3B45FAEA" w14:textId="77777777" w:rsidTr="007602E1">
        <w:trPr>
          <w:cantSplit/>
        </w:trPr>
        <w:tc>
          <w:tcPr>
            <w:tcW w:w="2070" w:type="dxa"/>
          </w:tcPr>
          <w:p w14:paraId="28674C4C" w14:textId="77777777" w:rsidR="00A24B60" w:rsidRPr="00A24B60" w:rsidRDefault="00A24B60" w:rsidP="007602E1">
            <w:pPr>
              <w:tabs>
                <w:tab w:val="left" w:pos="9861"/>
              </w:tabs>
              <w:ind w:left="345"/>
              <w:rPr>
                <w:rFonts w:cs="Times New Roman"/>
                <w:bCs/>
              </w:rPr>
            </w:pPr>
            <w:r w:rsidRPr="00A24B60">
              <w:rPr>
                <w:rFonts w:cs="Times New Roman"/>
                <w:bCs/>
              </w:rPr>
              <w:t>Factor 1.d</w:t>
            </w:r>
          </w:p>
        </w:tc>
        <w:tc>
          <w:tcPr>
            <w:tcW w:w="6840" w:type="dxa"/>
          </w:tcPr>
          <w:p w14:paraId="1DE6B75C" w14:textId="77777777" w:rsidR="00A24B60" w:rsidRPr="00A24B60" w:rsidRDefault="00A24B60" w:rsidP="007602E1">
            <w:pPr>
              <w:tabs>
                <w:tab w:val="left" w:pos="9861"/>
              </w:tabs>
              <w:rPr>
                <w:rFonts w:cs="Times New Roman"/>
                <w:bCs/>
              </w:rPr>
            </w:pPr>
            <w:r w:rsidRPr="00A24B60">
              <w:rPr>
                <w:rFonts w:cs="Times New Roman"/>
                <w:bCs/>
              </w:rPr>
              <w:t>Consultation with Government Agencies</w:t>
            </w:r>
          </w:p>
        </w:tc>
        <w:tc>
          <w:tcPr>
            <w:tcW w:w="751" w:type="dxa"/>
          </w:tcPr>
          <w:p w14:paraId="3714FD4B" w14:textId="3515EE20" w:rsidR="00A24B60" w:rsidRPr="00A24B60" w:rsidRDefault="004C183F" w:rsidP="007602E1">
            <w:pPr>
              <w:tabs>
                <w:tab w:val="left" w:pos="9861"/>
              </w:tabs>
              <w:jc w:val="center"/>
              <w:rPr>
                <w:rFonts w:cs="Times New Roman"/>
                <w:bCs/>
              </w:rPr>
            </w:pPr>
            <w:r>
              <w:rPr>
                <w:rFonts w:cs="Times New Roman"/>
                <w:bCs/>
              </w:rPr>
              <w:t>23</w:t>
            </w:r>
          </w:p>
        </w:tc>
      </w:tr>
      <w:tr w:rsidR="00A24B60" w:rsidRPr="00A24B60" w14:paraId="02E92E34" w14:textId="77777777" w:rsidTr="007602E1">
        <w:trPr>
          <w:cantSplit/>
        </w:trPr>
        <w:tc>
          <w:tcPr>
            <w:tcW w:w="2070" w:type="dxa"/>
          </w:tcPr>
          <w:p w14:paraId="06B7C697" w14:textId="77777777" w:rsidR="00A24B60" w:rsidRPr="00A24B60" w:rsidRDefault="00A24B60" w:rsidP="007602E1">
            <w:pPr>
              <w:tabs>
                <w:tab w:val="left" w:pos="9861"/>
              </w:tabs>
              <w:ind w:left="345"/>
              <w:rPr>
                <w:rFonts w:cs="Times New Roman"/>
                <w:bCs/>
              </w:rPr>
            </w:pPr>
            <w:r w:rsidRPr="00A24B60">
              <w:rPr>
                <w:rFonts w:cs="Times New Roman"/>
                <w:bCs/>
              </w:rPr>
              <w:t>Factor 1.e.i</w:t>
            </w:r>
          </w:p>
        </w:tc>
        <w:tc>
          <w:tcPr>
            <w:tcW w:w="6840" w:type="dxa"/>
          </w:tcPr>
          <w:p w14:paraId="534A51B1" w14:textId="77777777" w:rsidR="00A24B60" w:rsidRPr="00A24B60" w:rsidRDefault="00A24B60" w:rsidP="007602E1">
            <w:pPr>
              <w:tabs>
                <w:tab w:val="left" w:pos="9861"/>
              </w:tabs>
              <w:rPr>
                <w:rFonts w:cs="Times New Roman"/>
                <w:bCs/>
              </w:rPr>
            </w:pPr>
            <w:r w:rsidRPr="00A24B60">
              <w:rPr>
                <w:rFonts w:cs="Times New Roman"/>
                <w:bCs/>
              </w:rPr>
              <w:t>Process for Determining Need/Evidence of Community Engagement</w:t>
            </w:r>
          </w:p>
        </w:tc>
        <w:tc>
          <w:tcPr>
            <w:tcW w:w="751" w:type="dxa"/>
          </w:tcPr>
          <w:p w14:paraId="652CCE09" w14:textId="7053333A" w:rsidR="00A24B60" w:rsidRPr="00A24B60" w:rsidRDefault="004C183F" w:rsidP="007602E1">
            <w:pPr>
              <w:tabs>
                <w:tab w:val="left" w:pos="9861"/>
              </w:tabs>
              <w:jc w:val="center"/>
              <w:rPr>
                <w:rFonts w:cs="Times New Roman"/>
                <w:bCs/>
              </w:rPr>
            </w:pPr>
            <w:r>
              <w:rPr>
                <w:rFonts w:cs="Times New Roman"/>
                <w:bCs/>
              </w:rPr>
              <w:t>24</w:t>
            </w:r>
          </w:p>
        </w:tc>
      </w:tr>
      <w:tr w:rsidR="00A24B60" w:rsidRPr="00A24B60" w14:paraId="6931EA81" w14:textId="77777777" w:rsidTr="007602E1">
        <w:trPr>
          <w:cantSplit/>
        </w:trPr>
        <w:tc>
          <w:tcPr>
            <w:tcW w:w="2070" w:type="dxa"/>
          </w:tcPr>
          <w:p w14:paraId="469E28D4" w14:textId="77777777" w:rsidR="00A24B60" w:rsidRPr="00A24B60" w:rsidRDefault="00A24B60" w:rsidP="007602E1">
            <w:pPr>
              <w:tabs>
                <w:tab w:val="left" w:pos="9861"/>
              </w:tabs>
              <w:ind w:left="345"/>
              <w:rPr>
                <w:rFonts w:cs="Times New Roman"/>
                <w:bCs/>
              </w:rPr>
            </w:pPr>
            <w:r w:rsidRPr="00A24B60">
              <w:rPr>
                <w:rFonts w:cs="Times New Roman"/>
                <w:bCs/>
              </w:rPr>
              <w:t>Factor 1.e.ii</w:t>
            </w:r>
          </w:p>
        </w:tc>
        <w:tc>
          <w:tcPr>
            <w:tcW w:w="6840" w:type="dxa"/>
          </w:tcPr>
          <w:p w14:paraId="3C911FBD" w14:textId="77777777" w:rsidR="00A24B60" w:rsidRPr="00A24B60" w:rsidRDefault="00A24B60" w:rsidP="007602E1">
            <w:pPr>
              <w:tabs>
                <w:tab w:val="left" w:pos="9861"/>
              </w:tabs>
              <w:rPr>
                <w:rFonts w:cs="Times New Roman"/>
                <w:bCs/>
              </w:rPr>
            </w:pPr>
            <w:r w:rsidRPr="00A24B60">
              <w:rPr>
                <w:rFonts w:cs="Times New Roman"/>
                <w:bCs/>
              </w:rPr>
              <w:t>Evidence of Community Engagement/Public Health Value</w:t>
            </w:r>
          </w:p>
        </w:tc>
        <w:tc>
          <w:tcPr>
            <w:tcW w:w="751" w:type="dxa"/>
          </w:tcPr>
          <w:p w14:paraId="267B7485" w14:textId="76F28888" w:rsidR="00A24B60" w:rsidRPr="00A24B60" w:rsidRDefault="007256F3" w:rsidP="007602E1">
            <w:pPr>
              <w:tabs>
                <w:tab w:val="left" w:pos="9861"/>
              </w:tabs>
              <w:jc w:val="center"/>
              <w:rPr>
                <w:rFonts w:cs="Times New Roman"/>
                <w:bCs/>
              </w:rPr>
            </w:pPr>
            <w:r>
              <w:rPr>
                <w:rFonts w:cs="Times New Roman"/>
                <w:bCs/>
              </w:rPr>
              <w:t>25</w:t>
            </w:r>
          </w:p>
        </w:tc>
      </w:tr>
      <w:tr w:rsidR="00A24B60" w:rsidRPr="00A24B60" w14:paraId="5F47B13C" w14:textId="77777777" w:rsidTr="007602E1">
        <w:trPr>
          <w:cantSplit/>
        </w:trPr>
        <w:tc>
          <w:tcPr>
            <w:tcW w:w="2070" w:type="dxa"/>
          </w:tcPr>
          <w:p w14:paraId="3AFE4F0D" w14:textId="77777777" w:rsidR="00A24B60" w:rsidRPr="00A24B60" w:rsidRDefault="00A24B60" w:rsidP="007602E1">
            <w:pPr>
              <w:tabs>
                <w:tab w:val="left" w:pos="9861"/>
              </w:tabs>
              <w:ind w:left="345"/>
              <w:rPr>
                <w:rFonts w:cs="Times New Roman"/>
                <w:bCs/>
              </w:rPr>
            </w:pPr>
            <w:r w:rsidRPr="00A24B60">
              <w:rPr>
                <w:rFonts w:cs="Times New Roman"/>
                <w:bCs/>
              </w:rPr>
              <w:t>Factor 2.a</w:t>
            </w:r>
          </w:p>
        </w:tc>
        <w:tc>
          <w:tcPr>
            <w:tcW w:w="6840" w:type="dxa"/>
          </w:tcPr>
          <w:p w14:paraId="492B66AF" w14:textId="77777777" w:rsidR="00A24B60" w:rsidRPr="00A24B60" w:rsidRDefault="00A24B60" w:rsidP="007602E1">
            <w:pPr>
              <w:tabs>
                <w:tab w:val="left" w:pos="9861"/>
              </w:tabs>
              <w:rPr>
                <w:rFonts w:cs="Times New Roman"/>
                <w:bCs/>
              </w:rPr>
            </w:pPr>
            <w:r w:rsidRPr="00A24B60">
              <w:rPr>
                <w:rFonts w:cs="Times New Roman"/>
                <w:bCs/>
              </w:rPr>
              <w:t>Cost Containment</w:t>
            </w:r>
          </w:p>
        </w:tc>
        <w:tc>
          <w:tcPr>
            <w:tcW w:w="751" w:type="dxa"/>
          </w:tcPr>
          <w:p w14:paraId="210F33EC" w14:textId="1D560C86" w:rsidR="00A24B60" w:rsidRPr="00A24B60" w:rsidRDefault="007256F3" w:rsidP="007602E1">
            <w:pPr>
              <w:tabs>
                <w:tab w:val="left" w:pos="9861"/>
              </w:tabs>
              <w:jc w:val="center"/>
              <w:rPr>
                <w:rFonts w:cs="Times New Roman"/>
                <w:bCs/>
              </w:rPr>
            </w:pPr>
            <w:r>
              <w:rPr>
                <w:rFonts w:cs="Times New Roman"/>
                <w:bCs/>
              </w:rPr>
              <w:t>26</w:t>
            </w:r>
          </w:p>
        </w:tc>
      </w:tr>
      <w:tr w:rsidR="00A24B60" w:rsidRPr="00A24B60" w14:paraId="0F9E4A2E" w14:textId="77777777" w:rsidTr="007602E1">
        <w:trPr>
          <w:cantSplit/>
        </w:trPr>
        <w:tc>
          <w:tcPr>
            <w:tcW w:w="2070" w:type="dxa"/>
          </w:tcPr>
          <w:p w14:paraId="5C673618" w14:textId="77777777" w:rsidR="00A24B60" w:rsidRPr="00A24B60" w:rsidRDefault="00A24B60" w:rsidP="007602E1">
            <w:pPr>
              <w:tabs>
                <w:tab w:val="left" w:pos="9861"/>
              </w:tabs>
              <w:ind w:left="345"/>
              <w:rPr>
                <w:rFonts w:cs="Times New Roman"/>
                <w:bCs/>
              </w:rPr>
            </w:pPr>
            <w:r w:rsidRPr="00A24B60">
              <w:rPr>
                <w:rFonts w:cs="Times New Roman"/>
                <w:bCs/>
              </w:rPr>
              <w:t>Factor 2.b</w:t>
            </w:r>
          </w:p>
        </w:tc>
        <w:tc>
          <w:tcPr>
            <w:tcW w:w="6840" w:type="dxa"/>
          </w:tcPr>
          <w:p w14:paraId="7E9314C0" w14:textId="77777777" w:rsidR="00A24B60" w:rsidRPr="00A24B60" w:rsidRDefault="00A24B60" w:rsidP="007602E1">
            <w:pPr>
              <w:tabs>
                <w:tab w:val="left" w:pos="9861"/>
              </w:tabs>
              <w:rPr>
                <w:rFonts w:cs="Times New Roman"/>
                <w:bCs/>
              </w:rPr>
            </w:pPr>
            <w:r w:rsidRPr="00A24B60">
              <w:rPr>
                <w:rFonts w:cs="Times New Roman"/>
                <w:bCs/>
              </w:rPr>
              <w:t>Public Health Outcomes</w:t>
            </w:r>
          </w:p>
        </w:tc>
        <w:tc>
          <w:tcPr>
            <w:tcW w:w="751" w:type="dxa"/>
          </w:tcPr>
          <w:p w14:paraId="6B900860" w14:textId="2966647E" w:rsidR="00A24B60" w:rsidRPr="00A24B60" w:rsidRDefault="007256F3" w:rsidP="007256F3">
            <w:pPr>
              <w:tabs>
                <w:tab w:val="left" w:pos="9861"/>
              </w:tabs>
              <w:rPr>
                <w:rFonts w:cs="Times New Roman"/>
                <w:bCs/>
              </w:rPr>
            </w:pPr>
            <w:r>
              <w:rPr>
                <w:rFonts w:cs="Times New Roman"/>
                <w:bCs/>
              </w:rPr>
              <w:t xml:space="preserve">   27</w:t>
            </w:r>
          </w:p>
        </w:tc>
      </w:tr>
      <w:tr w:rsidR="00A24B60" w:rsidRPr="00A24B60" w14:paraId="1106DDCE" w14:textId="77777777" w:rsidTr="007602E1">
        <w:trPr>
          <w:cantSplit/>
        </w:trPr>
        <w:tc>
          <w:tcPr>
            <w:tcW w:w="2070" w:type="dxa"/>
          </w:tcPr>
          <w:p w14:paraId="46909190" w14:textId="77777777" w:rsidR="00A24B60" w:rsidRPr="00A24B60" w:rsidRDefault="00A24B60" w:rsidP="007602E1">
            <w:pPr>
              <w:tabs>
                <w:tab w:val="left" w:pos="9861"/>
              </w:tabs>
              <w:ind w:left="345"/>
              <w:rPr>
                <w:rFonts w:cs="Times New Roman"/>
                <w:bCs/>
              </w:rPr>
            </w:pPr>
            <w:r w:rsidRPr="00A24B60">
              <w:rPr>
                <w:rFonts w:cs="Times New Roman"/>
                <w:bCs/>
              </w:rPr>
              <w:t>Factor 2.c</w:t>
            </w:r>
          </w:p>
        </w:tc>
        <w:tc>
          <w:tcPr>
            <w:tcW w:w="6840" w:type="dxa"/>
          </w:tcPr>
          <w:p w14:paraId="332D2CC3" w14:textId="77777777" w:rsidR="00A24B60" w:rsidRPr="00A24B60" w:rsidRDefault="00A24B60" w:rsidP="007602E1">
            <w:pPr>
              <w:tabs>
                <w:tab w:val="left" w:pos="9861"/>
              </w:tabs>
              <w:rPr>
                <w:rFonts w:cs="Times New Roman"/>
                <w:bCs/>
              </w:rPr>
            </w:pPr>
            <w:r w:rsidRPr="00A24B60">
              <w:rPr>
                <w:rFonts w:cs="Times New Roman"/>
                <w:bCs/>
              </w:rPr>
              <w:t>Delivery System Transformation</w:t>
            </w:r>
          </w:p>
        </w:tc>
        <w:tc>
          <w:tcPr>
            <w:tcW w:w="751" w:type="dxa"/>
          </w:tcPr>
          <w:p w14:paraId="671AFA72" w14:textId="65D9DFC9" w:rsidR="00A24B60" w:rsidRPr="00A24B60" w:rsidRDefault="007256F3" w:rsidP="007602E1">
            <w:pPr>
              <w:tabs>
                <w:tab w:val="left" w:pos="9861"/>
              </w:tabs>
              <w:jc w:val="center"/>
              <w:rPr>
                <w:rFonts w:cs="Times New Roman"/>
                <w:bCs/>
              </w:rPr>
            </w:pPr>
            <w:r>
              <w:rPr>
                <w:rFonts w:cs="Times New Roman"/>
                <w:bCs/>
              </w:rPr>
              <w:t>28</w:t>
            </w:r>
          </w:p>
        </w:tc>
      </w:tr>
      <w:tr w:rsidR="00A24B60" w:rsidRPr="00A24B60" w14:paraId="7C99C359" w14:textId="77777777" w:rsidTr="00300410">
        <w:trPr>
          <w:cantSplit/>
          <w:trHeight w:val="342"/>
        </w:trPr>
        <w:tc>
          <w:tcPr>
            <w:tcW w:w="2070" w:type="dxa"/>
          </w:tcPr>
          <w:p w14:paraId="4F77DB03" w14:textId="77777777" w:rsidR="00A24B60" w:rsidRPr="00A24B60" w:rsidRDefault="00A24B60" w:rsidP="007602E1">
            <w:pPr>
              <w:tabs>
                <w:tab w:val="left" w:pos="9861"/>
              </w:tabs>
              <w:ind w:left="345"/>
              <w:rPr>
                <w:rFonts w:cs="Times New Roman"/>
                <w:bCs/>
              </w:rPr>
            </w:pPr>
            <w:r w:rsidRPr="00A24B60">
              <w:rPr>
                <w:rFonts w:cs="Times New Roman"/>
                <w:bCs/>
              </w:rPr>
              <w:t>Factor 5</w:t>
            </w:r>
          </w:p>
        </w:tc>
        <w:tc>
          <w:tcPr>
            <w:tcW w:w="6840" w:type="dxa"/>
          </w:tcPr>
          <w:p w14:paraId="4419DE40" w14:textId="77777777" w:rsidR="00A24B60" w:rsidRPr="00A24B60" w:rsidRDefault="00A24B60" w:rsidP="007602E1">
            <w:pPr>
              <w:tabs>
                <w:tab w:val="left" w:pos="9861"/>
              </w:tabs>
              <w:rPr>
                <w:rFonts w:cs="Times New Roman"/>
                <w:bCs/>
              </w:rPr>
            </w:pPr>
            <w:r w:rsidRPr="00A24B60">
              <w:rPr>
                <w:rFonts w:cs="Times New Roman"/>
                <w:bCs/>
              </w:rPr>
              <w:t>Relative Merit</w:t>
            </w:r>
          </w:p>
        </w:tc>
        <w:tc>
          <w:tcPr>
            <w:tcW w:w="751" w:type="dxa"/>
          </w:tcPr>
          <w:p w14:paraId="2F702720" w14:textId="24CB6FD7" w:rsidR="00A24B60" w:rsidRPr="00A24B60" w:rsidRDefault="007256F3" w:rsidP="00300410">
            <w:pPr>
              <w:tabs>
                <w:tab w:val="left" w:pos="9861"/>
              </w:tabs>
              <w:jc w:val="center"/>
              <w:rPr>
                <w:rFonts w:cs="Times New Roman"/>
                <w:bCs/>
              </w:rPr>
            </w:pPr>
            <w:r>
              <w:rPr>
                <w:rFonts w:cs="Times New Roman"/>
                <w:bCs/>
              </w:rPr>
              <w:t>29</w:t>
            </w:r>
          </w:p>
        </w:tc>
      </w:tr>
      <w:tr w:rsidR="00300410" w:rsidRPr="00A24B60" w14:paraId="3ACFE370" w14:textId="77777777" w:rsidTr="007602E1">
        <w:trPr>
          <w:cantSplit/>
        </w:trPr>
        <w:tc>
          <w:tcPr>
            <w:tcW w:w="2070" w:type="dxa"/>
          </w:tcPr>
          <w:p w14:paraId="1EA25B76" w14:textId="369B4A89" w:rsidR="00300410" w:rsidRPr="00A24B60" w:rsidRDefault="00300410" w:rsidP="007602E1">
            <w:pPr>
              <w:tabs>
                <w:tab w:val="left" w:pos="9861"/>
              </w:tabs>
              <w:ind w:left="345"/>
              <w:rPr>
                <w:rFonts w:cs="Times New Roman"/>
                <w:bCs/>
              </w:rPr>
            </w:pPr>
            <w:r>
              <w:rPr>
                <w:rFonts w:cs="Times New Roman"/>
                <w:bCs/>
              </w:rPr>
              <w:t>Factor 6</w:t>
            </w:r>
          </w:p>
        </w:tc>
        <w:tc>
          <w:tcPr>
            <w:tcW w:w="6840" w:type="dxa"/>
          </w:tcPr>
          <w:p w14:paraId="559B9349" w14:textId="632C70A6" w:rsidR="00300410" w:rsidRPr="00A24B60" w:rsidRDefault="00300410" w:rsidP="007602E1">
            <w:pPr>
              <w:tabs>
                <w:tab w:val="left" w:pos="9861"/>
              </w:tabs>
              <w:rPr>
                <w:rFonts w:cs="Times New Roman"/>
                <w:bCs/>
              </w:rPr>
            </w:pPr>
            <w:r>
              <w:rPr>
                <w:rFonts w:cs="Times New Roman"/>
                <w:bCs/>
              </w:rPr>
              <w:t>Community Health Initiative Narrative</w:t>
            </w:r>
          </w:p>
        </w:tc>
        <w:tc>
          <w:tcPr>
            <w:tcW w:w="751" w:type="dxa"/>
          </w:tcPr>
          <w:p w14:paraId="4C6E340E" w14:textId="4E7DF909" w:rsidR="00300410" w:rsidRDefault="00300410" w:rsidP="007602E1">
            <w:pPr>
              <w:tabs>
                <w:tab w:val="left" w:pos="9861"/>
              </w:tabs>
              <w:jc w:val="center"/>
              <w:rPr>
                <w:rFonts w:cs="Times New Roman"/>
                <w:bCs/>
              </w:rPr>
            </w:pPr>
            <w:r>
              <w:rPr>
                <w:rFonts w:cs="Times New Roman"/>
                <w:bCs/>
              </w:rPr>
              <w:t>33</w:t>
            </w:r>
          </w:p>
        </w:tc>
      </w:tr>
      <w:tr w:rsidR="002E20F2" w:rsidRPr="00A24B60" w14:paraId="1331D38C" w14:textId="77777777" w:rsidTr="007602E1">
        <w:trPr>
          <w:cantSplit/>
        </w:trPr>
        <w:tc>
          <w:tcPr>
            <w:tcW w:w="2070" w:type="dxa"/>
          </w:tcPr>
          <w:p w14:paraId="3C755301" w14:textId="77777777" w:rsidR="002E20F2" w:rsidRPr="00A24B60" w:rsidRDefault="002E20F2" w:rsidP="002E20F2">
            <w:pPr>
              <w:tabs>
                <w:tab w:val="left" w:pos="9861"/>
              </w:tabs>
              <w:rPr>
                <w:rFonts w:cs="Times New Roman"/>
                <w:bCs/>
              </w:rPr>
            </w:pPr>
          </w:p>
        </w:tc>
        <w:tc>
          <w:tcPr>
            <w:tcW w:w="6840" w:type="dxa"/>
          </w:tcPr>
          <w:p w14:paraId="7BFE26AD" w14:textId="77777777" w:rsidR="002E20F2" w:rsidRPr="00A24B60" w:rsidRDefault="002E20F2" w:rsidP="007602E1">
            <w:pPr>
              <w:tabs>
                <w:tab w:val="left" w:pos="9861"/>
              </w:tabs>
              <w:rPr>
                <w:rFonts w:cs="Times New Roman"/>
                <w:bCs/>
              </w:rPr>
            </w:pPr>
          </w:p>
        </w:tc>
        <w:tc>
          <w:tcPr>
            <w:tcW w:w="751" w:type="dxa"/>
          </w:tcPr>
          <w:p w14:paraId="601EA877" w14:textId="77777777" w:rsidR="002E20F2" w:rsidRPr="00A24B60" w:rsidRDefault="002E20F2" w:rsidP="007602E1">
            <w:pPr>
              <w:tabs>
                <w:tab w:val="left" w:pos="9861"/>
              </w:tabs>
              <w:jc w:val="center"/>
              <w:rPr>
                <w:rFonts w:cs="Times New Roman"/>
                <w:bCs/>
              </w:rPr>
            </w:pPr>
          </w:p>
        </w:tc>
      </w:tr>
    </w:tbl>
    <w:p w14:paraId="421197FF" w14:textId="77777777" w:rsidR="00320C53" w:rsidRDefault="00320C53">
      <w:pPr>
        <w:spacing w:line="259" w:lineRule="auto"/>
        <w:rPr>
          <w:rFonts w:eastAsia="Arial" w:cs="Times New Roman"/>
          <w:b/>
          <w:kern w:val="2"/>
          <w:u w:val="single"/>
        </w:rPr>
        <w:sectPr w:rsidR="00320C53" w:rsidSect="00320C53">
          <w:pgSz w:w="12240" w:h="15840"/>
          <w:pgMar w:top="1440" w:right="1440" w:bottom="1440" w:left="1440" w:header="720" w:footer="720" w:gutter="0"/>
          <w:pgNumType w:start="1"/>
          <w:cols w:space="720"/>
          <w:docGrid w:linePitch="360"/>
        </w:sectPr>
      </w:pPr>
    </w:p>
    <w:p w14:paraId="3077BA28" w14:textId="31E82D89" w:rsidR="00A24B60" w:rsidRDefault="00A24B60">
      <w:pPr>
        <w:spacing w:line="259" w:lineRule="auto"/>
        <w:rPr>
          <w:rFonts w:eastAsia="Arial" w:cs="Times New Roman"/>
          <w:b/>
          <w:kern w:val="2"/>
          <w:u w:val="single"/>
        </w:rPr>
      </w:pPr>
    </w:p>
    <w:p w14:paraId="36AD7FE4" w14:textId="4F205882" w:rsidR="00024D21" w:rsidRPr="000153E7" w:rsidRDefault="001877B8" w:rsidP="001877B8">
      <w:pPr>
        <w:spacing w:before="120" w:after="120" w:line="240" w:lineRule="auto"/>
        <w:jc w:val="center"/>
        <w:rPr>
          <w:rFonts w:eastAsia="Arial" w:cs="Times New Roman"/>
          <w:b/>
          <w:kern w:val="2"/>
        </w:rPr>
      </w:pPr>
      <w:r w:rsidRPr="001877B8">
        <w:rPr>
          <w:rFonts w:eastAsia="Arial" w:cs="Times New Roman"/>
          <w:b/>
          <w:kern w:val="2"/>
          <w:u w:val="single"/>
        </w:rPr>
        <w:t>Introduction</w:t>
      </w:r>
    </w:p>
    <w:p w14:paraId="376505C8" w14:textId="0C83698D" w:rsidR="00817A25" w:rsidRPr="00622C7D" w:rsidRDefault="00024D21" w:rsidP="00622C7D">
      <w:pPr>
        <w:jc w:val="both"/>
      </w:pPr>
      <w:bookmarkStart w:id="0" w:name="_Hlk869708"/>
      <w:r>
        <w:t xml:space="preserve">Beth Israel Lahey Health, Inc. (the </w:t>
      </w:r>
      <w:r w:rsidR="00FC1749">
        <w:t>“</w:t>
      </w:r>
      <w:r>
        <w:t>Applicant</w:t>
      </w:r>
      <w:r w:rsidR="00FC1749">
        <w:t>”</w:t>
      </w:r>
      <w:r>
        <w:t xml:space="preserve"> or </w:t>
      </w:r>
      <w:r w:rsidR="00FC1749">
        <w:t>“</w:t>
      </w:r>
      <w:r>
        <w:t>BILH</w:t>
      </w:r>
      <w:r w:rsidR="00FC1749">
        <w:t>”</w:t>
      </w:r>
      <w:r>
        <w:t xml:space="preserve">), with a principal place of business at 20 University Road, Suite 700, Cambridge, </w:t>
      </w:r>
      <w:r w:rsidR="003D77A9">
        <w:t>Massachusetts,</w:t>
      </w:r>
      <w:r>
        <w:t xml:space="preserve"> </w:t>
      </w:r>
      <w:r w:rsidR="00817A25">
        <w:t>is filing a Notice of Determination of Need (</w:t>
      </w:r>
      <w:r w:rsidR="00FC1749">
        <w:t>“</w:t>
      </w:r>
      <w:r w:rsidR="00817A25">
        <w:t>Application</w:t>
      </w:r>
      <w:r w:rsidR="00FC1749">
        <w:t>”</w:t>
      </w:r>
      <w:r w:rsidR="00817A25">
        <w:t>) with the Massachusetts Department of Public Health (</w:t>
      </w:r>
      <w:r w:rsidR="00FC1749">
        <w:t>“</w:t>
      </w:r>
      <w:r w:rsidR="00817A25">
        <w:t>DPH</w:t>
      </w:r>
      <w:r w:rsidR="00FC1749">
        <w:t>”</w:t>
      </w:r>
      <w:r w:rsidR="00817A25">
        <w:t>) on behalf of Beth Israel Deaconess Medical Center (</w:t>
      </w:r>
      <w:r w:rsidR="00FC1749">
        <w:t>“</w:t>
      </w:r>
      <w:r w:rsidR="00817A25">
        <w:t>BIDMC</w:t>
      </w:r>
      <w:r w:rsidR="00FC1749">
        <w:t>”</w:t>
      </w:r>
      <w:r w:rsidR="00817A25">
        <w:t xml:space="preserve">) to </w:t>
      </w:r>
      <w:r w:rsidR="00CE61FE">
        <w:t xml:space="preserve">(i) </w:t>
      </w:r>
      <w:r w:rsidR="00817A25">
        <w:t xml:space="preserve">develop a </w:t>
      </w:r>
      <w:r w:rsidR="009F0BE3">
        <w:t>s</w:t>
      </w:r>
      <w:r w:rsidR="00946E47">
        <w:t xml:space="preserve">atellite </w:t>
      </w:r>
      <w:r w:rsidR="00817A25">
        <w:t xml:space="preserve"> for the provision of hematology-oncology </w:t>
      </w:r>
      <w:r w:rsidR="00CE61FE">
        <w:t xml:space="preserve">and infusion </w:t>
      </w:r>
      <w:r w:rsidR="00817A25">
        <w:t xml:space="preserve">services in Plymouth (the </w:t>
      </w:r>
      <w:r w:rsidR="00FC1749">
        <w:t>“</w:t>
      </w:r>
      <w:r w:rsidR="00817A25">
        <w:t xml:space="preserve">Cordage Park  </w:t>
      </w:r>
      <w:r w:rsidR="0031733F">
        <w:t>Satellite</w:t>
      </w:r>
      <w:r w:rsidR="00FC1749">
        <w:t>”</w:t>
      </w:r>
      <w:r w:rsidR="00817A25">
        <w:t>), as well as a</w:t>
      </w:r>
      <w:r w:rsidR="00CE61FE">
        <w:t xml:space="preserve"> (ii)</w:t>
      </w:r>
      <w:r w:rsidR="00817A25">
        <w:t xml:space="preserve"> multispecialty </w:t>
      </w:r>
      <w:r w:rsidR="009F0BE3">
        <w:t>s</w:t>
      </w:r>
      <w:r w:rsidR="00946E47">
        <w:t xml:space="preserve">atellite </w:t>
      </w:r>
      <w:r w:rsidR="00817A25">
        <w:t xml:space="preserve"> in Quincy (the </w:t>
      </w:r>
      <w:r w:rsidR="00FC1749">
        <w:t>“</w:t>
      </w:r>
      <w:r w:rsidR="0031733F">
        <w:t>Quincy Satellite</w:t>
      </w:r>
      <w:r w:rsidR="00FC1749">
        <w:t>”</w:t>
      </w:r>
      <w:r w:rsidR="00817A25">
        <w:t>)</w:t>
      </w:r>
      <w:r w:rsidR="00320C53">
        <w:t xml:space="preserve"> </w:t>
      </w:r>
      <w:r w:rsidR="00817A25">
        <w:t>(</w:t>
      </w:r>
      <w:r w:rsidR="00320C53">
        <w:t xml:space="preserve">each a </w:t>
      </w:r>
      <w:r w:rsidR="00FC1749">
        <w:t>“</w:t>
      </w:r>
      <w:r w:rsidR="00946E47">
        <w:t>Satellite</w:t>
      </w:r>
      <w:r w:rsidR="009F0BE3">
        <w:t>”</w:t>
      </w:r>
      <w:r w:rsidR="00320C53">
        <w:t xml:space="preserve"> and, </w:t>
      </w:r>
      <w:r w:rsidR="00817A25">
        <w:t xml:space="preserve">together, the </w:t>
      </w:r>
      <w:r w:rsidR="00FC1749">
        <w:t>“</w:t>
      </w:r>
      <w:r w:rsidR="00946E47">
        <w:t>Satellites</w:t>
      </w:r>
      <w:r w:rsidR="00FC1749">
        <w:t>”</w:t>
      </w:r>
      <w:r w:rsidR="00817A25">
        <w:t>)</w:t>
      </w:r>
      <w:r w:rsidR="007602E1">
        <w:t>.</w:t>
      </w:r>
      <w:r w:rsidR="00CE61FE">
        <w:t xml:space="preserve"> The Application also </w:t>
      </w:r>
      <w:r w:rsidR="00320C53">
        <w:t xml:space="preserve">includes </w:t>
      </w:r>
      <w:r w:rsidR="00CE61FE">
        <w:t xml:space="preserve">the </w:t>
      </w:r>
      <w:r w:rsidR="00817A25">
        <w:t xml:space="preserve">addition of  imaging equipment at the </w:t>
      </w:r>
      <w:r w:rsidR="0031733F">
        <w:t>Quincy Satellite</w:t>
      </w:r>
      <w:r w:rsidR="00817A25">
        <w:t xml:space="preserve"> </w:t>
      </w:r>
      <w:r w:rsidR="009F0BE3">
        <w:t xml:space="preserve">that constitutes DON-required equipment </w:t>
      </w:r>
      <w:r w:rsidR="00817A25">
        <w:t>(collectively,</w:t>
      </w:r>
      <w:r w:rsidR="00465E02">
        <w:t xml:space="preserve"> with the development of the Satellites,</w:t>
      </w:r>
      <w:r w:rsidR="00817A25">
        <w:t xml:space="preserve"> the </w:t>
      </w:r>
      <w:r w:rsidR="23B0A44B">
        <w:t>“</w:t>
      </w:r>
      <w:r w:rsidR="00817A25">
        <w:t>Proposed Project</w:t>
      </w:r>
      <w:r w:rsidR="00FC1749">
        <w:t>”</w:t>
      </w:r>
      <w:r w:rsidR="00122893">
        <w:t>)</w:t>
      </w:r>
      <w:r w:rsidR="00817A25">
        <w:t xml:space="preserve">. </w:t>
      </w:r>
    </w:p>
    <w:p w14:paraId="1E9AD5A3" w14:textId="5A9D64BC" w:rsidR="00D61A53" w:rsidRPr="00622C7D" w:rsidRDefault="00817A25" w:rsidP="00622C7D">
      <w:pPr>
        <w:jc w:val="both"/>
      </w:pPr>
      <w:r w:rsidRPr="00622C7D">
        <w:t xml:space="preserve">BIDMC is a non-profit academic medical center and major teaching affiliate of Harvard Medical School located in the Longwood Medical and Academic Area in Boston. BIDMC offers a full range of adult clinical services to patients in Eastern Massachusetts including cardiovascular care, cancer care, care for digestive diseases, OB/GYN, neonatology, neurosciences, orthopedics, psychiatry/behavioral health, </w:t>
      </w:r>
      <w:r w:rsidR="00366432" w:rsidRPr="00622C7D">
        <w:t>transplantation,</w:t>
      </w:r>
      <w:r w:rsidRPr="00622C7D">
        <w:t xml:space="preserve"> and emergency services and has long been renowned for excellence in patient care, biomedical research, teaching, and community service.</w:t>
      </w:r>
    </w:p>
    <w:bookmarkEnd w:id="0"/>
    <w:p w14:paraId="53D63983" w14:textId="389D241F" w:rsidR="007602E1" w:rsidRPr="00622C7D" w:rsidRDefault="0031733F" w:rsidP="2A8A7BAD">
      <w:pPr>
        <w:jc w:val="both"/>
      </w:pPr>
      <w:r>
        <w:t xml:space="preserve">The Applicant seeks to relocate and expand the </w:t>
      </w:r>
      <w:r w:rsidR="009E2214">
        <w:t xml:space="preserve">hematology-oncology and infusion </w:t>
      </w:r>
      <w:r>
        <w:t>clinics currently located at Beth Israel Deaconess Hospital - Plymouth, Inc. (</w:t>
      </w:r>
      <w:r w:rsidR="00FC1749">
        <w:t>“</w:t>
      </w:r>
      <w:r>
        <w:t>BID Plymouth</w:t>
      </w:r>
      <w:r w:rsidR="00FC1749">
        <w:t>”</w:t>
      </w:r>
      <w:r>
        <w:t xml:space="preserve">) to a new location in Cordage Park as part of the Proposed Project to expand access, address unmet needs, and allow for greater access to robust clinical trials. The </w:t>
      </w:r>
      <w:r w:rsidR="0550256B">
        <w:t>proposed</w:t>
      </w:r>
      <w:r>
        <w:t xml:space="preserve"> Cordage Park </w:t>
      </w:r>
      <w:r w:rsidR="58E2E404">
        <w:t xml:space="preserve">Satellite </w:t>
      </w:r>
      <w:r>
        <w:t>will be licensed as a BIDMC hospital-based satellite</w:t>
      </w:r>
      <w:r w:rsidR="62611604">
        <w:t xml:space="preserve"> and will be run as a hospital outpatient department (“HOPD”) of BIDMC</w:t>
      </w:r>
      <w:r>
        <w:t>. Through the Proposed Project, the Applicant seeks to provide Plymouth and the surrounding communities with expanded access to hematology-oncology services in a cost-effective, outpatient setting close to home. To that end, existing and future patients will experience increased access to oncology services, including infusion and hematology-oncology, in their community at lower cost.</w:t>
      </w:r>
    </w:p>
    <w:p w14:paraId="0D78456A" w14:textId="222B978B" w:rsidR="0031733F" w:rsidRPr="00622C7D" w:rsidRDefault="0031733F" w:rsidP="0031733F">
      <w:pPr>
        <w:jc w:val="both"/>
      </w:pPr>
      <w:bookmarkStart w:id="1" w:name="_Int_wBC3R8HO"/>
      <w:r>
        <w:t xml:space="preserve">Additionally, the Applicant seeks to build a new ambulatory center in Quincy to expand local access to a wide variety of services including primary care, urgent care, OB/GYN, orthopedics, hematology-oncology, cardiology, gastroenterology, </w:t>
      </w:r>
      <w:r w:rsidR="00C0052C">
        <w:t>lab,</w:t>
      </w:r>
      <w:r>
        <w:t xml:space="preserve"> and </w:t>
      </w:r>
      <w:r w:rsidR="71575284">
        <w:t>diagnostic imaging</w:t>
      </w:r>
      <w:r>
        <w:t xml:space="preserve"> services, among others. The proposed Quincy Satellite will </w:t>
      </w:r>
      <w:r w:rsidR="17B7995B">
        <w:t xml:space="preserve">also </w:t>
      </w:r>
      <w:r>
        <w:t>be licensed as a BIDMC</w:t>
      </w:r>
      <w:r w:rsidR="5266924F">
        <w:t xml:space="preserve"> </w:t>
      </w:r>
      <w:r w:rsidR="157C87AB">
        <w:t>hospital-based satellite and will be run as a</w:t>
      </w:r>
      <w:r w:rsidR="00465E02">
        <w:t>n</w:t>
      </w:r>
      <w:r w:rsidR="157C87AB">
        <w:t xml:space="preserve"> </w:t>
      </w:r>
      <w:r w:rsidR="5266924F">
        <w:t>HOPD.</w:t>
      </w:r>
      <w:bookmarkEnd w:id="1"/>
    </w:p>
    <w:p w14:paraId="44EABE74" w14:textId="0231180F" w:rsidR="00320C53" w:rsidRPr="00D13685" w:rsidRDefault="0031733F" w:rsidP="2A8A7BAD">
      <w:pPr>
        <w:jc w:val="both"/>
        <w:rPr>
          <w:rFonts w:cs="Times New Roman"/>
        </w:rPr>
        <w:sectPr w:rsidR="00320C53" w:rsidRPr="00D13685" w:rsidSect="00320C53">
          <w:footerReference w:type="default" r:id="rId11"/>
          <w:pgSz w:w="12240" w:h="15840"/>
          <w:pgMar w:top="1440" w:right="1440" w:bottom="1440" w:left="1440" w:header="720" w:footer="720" w:gutter="0"/>
          <w:pgNumType w:start="1"/>
          <w:cols w:space="720"/>
          <w:docGrid w:linePitch="360"/>
        </w:sectPr>
      </w:pPr>
      <w:r>
        <w:t>Finally, the Proposed Project will meaningfully contribute to Massachusetts</w:t>
      </w:r>
      <w:r w:rsidR="00FC1749">
        <w:t>’</w:t>
      </w:r>
      <w:r>
        <w:t xml:space="preserve"> goals for cost containment by providing high-quality, reliable, and convenient hematology-oncology and infusion, primary, specialty, and diagnostic care within the respective communities. The Proposed Project will ensure access to high-quality</w:t>
      </w:r>
      <w:r w:rsidR="00AF68BA">
        <w:t xml:space="preserve"> and high-value care</w:t>
      </w:r>
      <w:r>
        <w:t xml:space="preserve">. By expanding local access to </w:t>
      </w:r>
      <w:r w:rsidR="2B28ABE6">
        <w:t xml:space="preserve">its services </w:t>
      </w:r>
      <w:r>
        <w:t>and improving the reliability and flexibility of its services, the Applicant will improve care delivery as well as health outcomes and quality of life.</w:t>
      </w:r>
      <w:r w:rsidR="00D13685">
        <w:t xml:space="preserve"> </w:t>
      </w:r>
      <w:r w:rsidR="00465E02">
        <w:rPr>
          <w:rFonts w:cs="Times New Roman"/>
        </w:rPr>
        <w:t>As set forth in this Application</w:t>
      </w:r>
      <w:r w:rsidR="00D13685" w:rsidRPr="2A8A7BAD">
        <w:rPr>
          <w:rFonts w:cs="Times New Roman"/>
        </w:rPr>
        <w:t>, the Proposed Project meets the factors of review for Determination of Need approval.</w:t>
      </w:r>
    </w:p>
    <w:p w14:paraId="15941D0F" w14:textId="63A72D4D" w:rsidR="00AA05DF" w:rsidRPr="00CE61FE" w:rsidRDefault="00AA05DF" w:rsidP="00CE61FE">
      <w:pPr>
        <w:spacing w:before="120" w:after="120" w:line="240" w:lineRule="auto"/>
        <w:jc w:val="center"/>
        <w:rPr>
          <w:rFonts w:cs="Times New Roman"/>
        </w:rPr>
      </w:pPr>
      <w:r w:rsidRPr="00AA05DF">
        <w:rPr>
          <w:rFonts w:cs="Times New Roman"/>
          <w:b/>
          <w:bCs/>
          <w:u w:val="single"/>
        </w:rPr>
        <w:lastRenderedPageBreak/>
        <w:t>Project Description</w:t>
      </w:r>
    </w:p>
    <w:p w14:paraId="7E244384" w14:textId="3E370E07" w:rsidR="00AA05DF" w:rsidRPr="003842DB" w:rsidRDefault="00AA05DF" w:rsidP="00622C7D">
      <w:pPr>
        <w:spacing w:line="259" w:lineRule="auto"/>
        <w:jc w:val="both"/>
        <w:rPr>
          <w:rFonts w:cs="Times New Roman"/>
        </w:rPr>
      </w:pPr>
      <w:r w:rsidRPr="2A8A7BAD">
        <w:rPr>
          <w:rFonts w:cs="Times New Roman"/>
        </w:rPr>
        <w:t xml:space="preserve">The Applicant has filed this Application in connection with the proposed </w:t>
      </w:r>
      <w:r w:rsidR="007F1C56" w:rsidRPr="2A8A7BAD">
        <w:rPr>
          <w:rFonts w:cs="Times New Roman"/>
        </w:rPr>
        <w:t xml:space="preserve">transfer </w:t>
      </w:r>
      <w:r w:rsidRPr="2A8A7BAD">
        <w:rPr>
          <w:rFonts w:cs="Times New Roman"/>
        </w:rPr>
        <w:t>of site by lease and equipping of an approximately</w:t>
      </w:r>
      <w:r w:rsidR="003842DB" w:rsidRPr="2A8A7BAD">
        <w:rPr>
          <w:rFonts w:cs="Times New Roman"/>
        </w:rPr>
        <w:t xml:space="preserve"> </w:t>
      </w:r>
      <w:r w:rsidR="000C5B69" w:rsidRPr="2A8A7BAD">
        <w:rPr>
          <w:rFonts w:cs="Times New Roman"/>
        </w:rPr>
        <w:t>2</w:t>
      </w:r>
      <w:r w:rsidR="0060622C" w:rsidRPr="2A8A7BAD">
        <w:rPr>
          <w:rFonts w:cs="Times New Roman"/>
        </w:rPr>
        <w:t>9</w:t>
      </w:r>
      <w:r w:rsidR="000C5B69" w:rsidRPr="2A8A7BAD">
        <w:rPr>
          <w:rFonts w:cs="Times New Roman"/>
        </w:rPr>
        <w:t>,</w:t>
      </w:r>
      <w:r w:rsidR="0060622C" w:rsidRPr="2A8A7BAD">
        <w:rPr>
          <w:rFonts w:cs="Times New Roman"/>
        </w:rPr>
        <w:t>7</w:t>
      </w:r>
      <w:r w:rsidR="000C5B69" w:rsidRPr="2A8A7BAD">
        <w:rPr>
          <w:rFonts w:cs="Times New Roman"/>
        </w:rPr>
        <w:t>0</w:t>
      </w:r>
      <w:r w:rsidR="0060622C" w:rsidRPr="2A8A7BAD">
        <w:rPr>
          <w:rFonts w:cs="Times New Roman"/>
        </w:rPr>
        <w:t>4</w:t>
      </w:r>
      <w:r w:rsidR="000C5B69" w:rsidRPr="2A8A7BAD">
        <w:rPr>
          <w:rFonts w:cs="Times New Roman"/>
        </w:rPr>
        <w:t xml:space="preserve"> </w:t>
      </w:r>
      <w:r w:rsidR="003842DB" w:rsidRPr="2A8A7BAD">
        <w:rPr>
          <w:rFonts w:cs="Times New Roman"/>
        </w:rPr>
        <w:t>square-foot</w:t>
      </w:r>
      <w:r w:rsidR="0060622C" w:rsidRPr="2A8A7BAD">
        <w:rPr>
          <w:rFonts w:cs="Times New Roman"/>
        </w:rPr>
        <w:t xml:space="preserve"> </w:t>
      </w:r>
      <w:r w:rsidR="009E2214" w:rsidRPr="2A8A7BAD">
        <w:rPr>
          <w:rFonts w:cs="Times New Roman"/>
        </w:rPr>
        <w:t xml:space="preserve">hematology-oncology and infusion </w:t>
      </w:r>
      <w:r w:rsidR="0031733F" w:rsidRPr="2A8A7BAD">
        <w:rPr>
          <w:rFonts w:cs="Times New Roman"/>
        </w:rPr>
        <w:t>clinic</w:t>
      </w:r>
      <w:r w:rsidR="00FC1749" w:rsidRPr="2A8A7BAD">
        <w:rPr>
          <w:rFonts w:cs="Times New Roman"/>
        </w:rPr>
        <w:t xml:space="preserve"> (“Hematology-Oncology and Infusion Clinic”)</w:t>
      </w:r>
      <w:r w:rsidR="003842DB" w:rsidRPr="2A8A7BAD">
        <w:rPr>
          <w:rFonts w:cs="Times New Roman"/>
        </w:rPr>
        <w:t xml:space="preserve"> </w:t>
      </w:r>
      <w:r w:rsidR="009918EE" w:rsidRPr="2A8A7BAD">
        <w:rPr>
          <w:rFonts w:cs="Times New Roman"/>
        </w:rPr>
        <w:t xml:space="preserve">located at </w:t>
      </w:r>
      <w:r w:rsidR="0060622C" w:rsidRPr="2A8A7BAD">
        <w:rPr>
          <w:rFonts w:cs="Times New Roman"/>
        </w:rPr>
        <w:t xml:space="preserve">10 </w:t>
      </w:r>
      <w:r w:rsidR="000C5B69" w:rsidRPr="2A8A7BAD">
        <w:rPr>
          <w:rFonts w:cs="Times New Roman"/>
        </w:rPr>
        <w:t xml:space="preserve">Cordage Park </w:t>
      </w:r>
      <w:r w:rsidR="0060622C" w:rsidRPr="2A8A7BAD">
        <w:rPr>
          <w:rFonts w:cs="Times New Roman"/>
        </w:rPr>
        <w:t>Circle</w:t>
      </w:r>
      <w:r w:rsidR="00D1020F" w:rsidRPr="2A8A7BAD">
        <w:rPr>
          <w:rFonts w:cs="Times New Roman"/>
        </w:rPr>
        <w:t xml:space="preserve"> in</w:t>
      </w:r>
      <w:r w:rsidR="0060622C" w:rsidRPr="2A8A7BAD">
        <w:rPr>
          <w:rFonts w:cs="Times New Roman"/>
        </w:rPr>
        <w:t xml:space="preserve"> </w:t>
      </w:r>
      <w:r w:rsidR="000C5B69" w:rsidRPr="2A8A7BAD">
        <w:rPr>
          <w:rFonts w:cs="Times New Roman"/>
        </w:rPr>
        <w:t xml:space="preserve">Plymouth, </w:t>
      </w:r>
      <w:r w:rsidR="00A52BB8" w:rsidRPr="2A8A7BAD">
        <w:rPr>
          <w:rFonts w:cs="Times New Roman"/>
        </w:rPr>
        <w:t xml:space="preserve">Massachusetts, </w:t>
      </w:r>
      <w:r w:rsidR="003842DB" w:rsidRPr="2A8A7BAD">
        <w:rPr>
          <w:rFonts w:cs="Times New Roman"/>
        </w:rPr>
        <w:t xml:space="preserve">and </w:t>
      </w:r>
      <w:r w:rsidR="004D14FE" w:rsidRPr="2A8A7BAD">
        <w:rPr>
          <w:rFonts w:cs="Times New Roman"/>
        </w:rPr>
        <w:t>an approximately</w:t>
      </w:r>
      <w:r w:rsidR="000C5B69" w:rsidRPr="2A8A7BAD">
        <w:rPr>
          <w:rFonts w:cs="Times New Roman"/>
        </w:rPr>
        <w:t xml:space="preserve"> </w:t>
      </w:r>
      <w:r w:rsidR="0060622C" w:rsidRPr="2A8A7BAD">
        <w:rPr>
          <w:rFonts w:cs="Times New Roman"/>
        </w:rPr>
        <w:t>100,000</w:t>
      </w:r>
      <w:r w:rsidR="00A52BB8" w:rsidRPr="2A8A7BAD">
        <w:rPr>
          <w:rFonts w:cs="Times New Roman"/>
        </w:rPr>
        <w:t xml:space="preserve"> square-foot, four story,</w:t>
      </w:r>
      <w:r w:rsidR="003842DB" w:rsidRPr="2A8A7BAD">
        <w:rPr>
          <w:rFonts w:cs="Times New Roman"/>
        </w:rPr>
        <w:t xml:space="preserve"> multi-specialty site</w:t>
      </w:r>
      <w:r w:rsidR="009918EE" w:rsidRPr="2A8A7BAD">
        <w:rPr>
          <w:rFonts w:cs="Times New Roman"/>
        </w:rPr>
        <w:t xml:space="preserve"> at </w:t>
      </w:r>
      <w:r w:rsidR="00A52BB8" w:rsidRPr="2A8A7BAD">
        <w:rPr>
          <w:rFonts w:cs="Times New Roman"/>
        </w:rPr>
        <w:t xml:space="preserve">55 General McConville Way, Quincy, Massachusetts, </w:t>
      </w:r>
      <w:r w:rsidR="00D1020F" w:rsidRPr="2A8A7BAD">
        <w:rPr>
          <w:rFonts w:cs="Times New Roman"/>
        </w:rPr>
        <w:t xml:space="preserve">as well as </w:t>
      </w:r>
      <w:r w:rsidR="00586F53" w:rsidRPr="2A8A7BAD">
        <w:rPr>
          <w:rFonts w:cs="Times New Roman"/>
        </w:rPr>
        <w:t xml:space="preserve">the addition of </w:t>
      </w:r>
      <w:r w:rsidR="00A52BB8" w:rsidRPr="2A8A7BAD">
        <w:rPr>
          <w:rFonts w:cs="Times New Roman"/>
        </w:rPr>
        <w:t>one computerized tomography</w:t>
      </w:r>
      <w:r w:rsidR="009E2214" w:rsidRPr="2A8A7BAD">
        <w:rPr>
          <w:rFonts w:cs="Times New Roman"/>
        </w:rPr>
        <w:t xml:space="preserve"> </w:t>
      </w:r>
      <w:r w:rsidR="00A52BB8" w:rsidRPr="2A8A7BAD">
        <w:rPr>
          <w:rFonts w:cs="Times New Roman"/>
        </w:rPr>
        <w:t>and one magnetic resonance imag</w:t>
      </w:r>
      <w:r w:rsidR="00D1020F" w:rsidRPr="2A8A7BAD">
        <w:rPr>
          <w:rFonts w:cs="Times New Roman"/>
        </w:rPr>
        <w:t>er</w:t>
      </w:r>
      <w:r w:rsidR="009E2214" w:rsidRPr="2A8A7BAD">
        <w:rPr>
          <w:rFonts w:cs="Times New Roman"/>
        </w:rPr>
        <w:t xml:space="preserve"> </w:t>
      </w:r>
      <w:r w:rsidR="00D1020F" w:rsidRPr="2A8A7BAD">
        <w:rPr>
          <w:rFonts w:cs="Times New Roman"/>
        </w:rPr>
        <w:t xml:space="preserve">at </w:t>
      </w:r>
      <w:r w:rsidR="0031733F" w:rsidRPr="2A8A7BAD">
        <w:rPr>
          <w:rFonts w:cs="Times New Roman"/>
        </w:rPr>
        <w:t>the Quincy Satellite</w:t>
      </w:r>
      <w:r w:rsidR="00751261" w:rsidRPr="2A8A7BAD">
        <w:rPr>
          <w:rFonts w:cs="Times New Roman"/>
        </w:rPr>
        <w:t>.</w:t>
      </w:r>
      <w:r w:rsidR="0031733F" w:rsidRPr="2A8A7BAD">
        <w:rPr>
          <w:rFonts w:cs="Times New Roman"/>
        </w:rPr>
        <w:t xml:space="preserve"> </w:t>
      </w:r>
      <w:r w:rsidR="003842DB" w:rsidRPr="2A8A7BAD">
        <w:rPr>
          <w:rFonts w:cs="Times New Roman"/>
        </w:rPr>
        <w:t xml:space="preserve">The maximum capital expenditure for the Proposed Project is </w:t>
      </w:r>
      <w:r w:rsidR="003F4760" w:rsidRPr="003F4760">
        <w:rPr>
          <w:rFonts w:cs="Times New Roman"/>
        </w:rPr>
        <w:t xml:space="preserve"> $117,006,070.00</w:t>
      </w:r>
      <w:r w:rsidR="003F4760">
        <w:rPr>
          <w:rFonts w:cs="Times New Roman"/>
        </w:rPr>
        <w:t>.</w:t>
      </w:r>
    </w:p>
    <w:p w14:paraId="77F33717" w14:textId="180475B4" w:rsidR="00790FD0" w:rsidRPr="000153E7" w:rsidRDefault="00024D21" w:rsidP="009D7F96">
      <w:pPr>
        <w:spacing w:after="0" w:line="240" w:lineRule="auto"/>
        <w:ind w:left="360" w:hanging="360"/>
        <w:outlineLvl w:val="0"/>
        <w:rPr>
          <w:rFonts w:cs="Times New Roman"/>
          <w:b/>
          <w:bCs/>
        </w:rPr>
      </w:pPr>
      <w:r w:rsidRPr="000153E7">
        <w:rPr>
          <w:rFonts w:cs="Times New Roman"/>
          <w:b/>
          <w:bCs/>
        </w:rPr>
        <w:t>Factor 1: Applicant Patient Panel Need, Public Health Values and Operational Objectives</w:t>
      </w:r>
    </w:p>
    <w:p w14:paraId="6242FBD6" w14:textId="77777777" w:rsidR="00024D21" w:rsidRPr="000153E7" w:rsidRDefault="00024D21" w:rsidP="009D7F96">
      <w:pPr>
        <w:spacing w:before="120" w:after="0" w:line="240" w:lineRule="auto"/>
        <w:ind w:left="720" w:hanging="720"/>
        <w:jc w:val="both"/>
        <w:rPr>
          <w:rFonts w:eastAsia="Arial" w:cs="Times New Roman"/>
          <w:kern w:val="2"/>
          <w:u w:val="single"/>
        </w:rPr>
      </w:pPr>
      <w:r w:rsidRPr="000153E7">
        <w:rPr>
          <w:rFonts w:eastAsia="Calibri" w:cs="Times New Roman"/>
          <w:b/>
          <w:kern w:val="2"/>
          <w:u w:val="single"/>
        </w:rPr>
        <w:t>Patient Panel</w:t>
      </w:r>
      <w:r w:rsidRPr="000153E7">
        <w:rPr>
          <w:rFonts w:eastAsia="Calibri" w:cs="Times New Roman"/>
          <w:b/>
          <w:kern w:val="2"/>
        </w:rPr>
        <w:t>:</w:t>
      </w:r>
    </w:p>
    <w:p w14:paraId="436D4EFA" w14:textId="08B23494" w:rsidR="00254070" w:rsidRDefault="00024D21" w:rsidP="00FC1749">
      <w:pPr>
        <w:spacing w:after="120" w:line="240" w:lineRule="auto"/>
        <w:ind w:left="1440"/>
        <w:jc w:val="both"/>
        <w:rPr>
          <w:rFonts w:eastAsia="Times New Roman" w:cs="Times New Roman"/>
          <w:b/>
          <w:kern w:val="2"/>
        </w:rPr>
      </w:pPr>
      <w:r w:rsidRPr="000153E7">
        <w:rPr>
          <w:rFonts w:eastAsia="Times New Roman" w:cs="Times New Roman"/>
          <w:b/>
          <w:kern w:val="2"/>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r w:rsidR="00CE1CC0" w:rsidRPr="000153E7">
        <w:rPr>
          <w:rFonts w:eastAsia="Times New Roman" w:cs="Times New Roman"/>
          <w:b/>
          <w:kern w:val="2"/>
        </w:rPr>
        <w:t>status,</w:t>
      </w:r>
      <w:r w:rsidRPr="000153E7">
        <w:rPr>
          <w:rFonts w:eastAsia="Times New Roman" w:cs="Times New Roman"/>
          <w:b/>
          <w:kern w:val="2"/>
        </w:rPr>
        <w:t xml:space="preserve"> and other priority populations relevant to the Applicant</w:t>
      </w:r>
      <w:r w:rsidR="00FC1749">
        <w:rPr>
          <w:rFonts w:eastAsia="Times New Roman" w:cs="Times New Roman"/>
          <w:b/>
          <w:kern w:val="2"/>
        </w:rPr>
        <w:t>’</w:t>
      </w:r>
      <w:r w:rsidRPr="000153E7">
        <w:rPr>
          <w:rFonts w:eastAsia="Times New Roman" w:cs="Times New Roman"/>
          <w:b/>
          <w:kern w:val="2"/>
        </w:rPr>
        <w:t>s existing patient panel and payer mix.</w:t>
      </w:r>
    </w:p>
    <w:p w14:paraId="3797C265" w14:textId="77777777" w:rsidR="00FC1749" w:rsidRPr="00FC1749" w:rsidRDefault="00FC1749" w:rsidP="00FC1749">
      <w:pPr>
        <w:spacing w:after="120" w:line="240" w:lineRule="auto"/>
        <w:ind w:left="1440"/>
        <w:jc w:val="both"/>
        <w:rPr>
          <w:rFonts w:eastAsia="Times New Roman" w:cs="Times New Roman"/>
          <w:b/>
          <w:kern w:val="2"/>
        </w:rPr>
      </w:pPr>
    </w:p>
    <w:p w14:paraId="1C631488" w14:textId="632B4D61" w:rsidR="002F6FE9" w:rsidRDefault="00F47D7C" w:rsidP="007F7330">
      <w:pPr>
        <w:pStyle w:val="ListParagraph"/>
        <w:numPr>
          <w:ilvl w:val="0"/>
          <w:numId w:val="7"/>
        </w:numPr>
        <w:spacing w:after="120" w:line="240" w:lineRule="auto"/>
        <w:ind w:left="450" w:hanging="450"/>
        <w:jc w:val="both"/>
        <w:rPr>
          <w:rFonts w:cs="Times New Roman"/>
          <w:u w:val="single"/>
        </w:rPr>
      </w:pPr>
      <w:r>
        <w:rPr>
          <w:rFonts w:cs="Times New Roman"/>
          <w:u w:val="single"/>
        </w:rPr>
        <w:t>O</w:t>
      </w:r>
      <w:r w:rsidR="002F6FE9" w:rsidRPr="002F6FE9">
        <w:rPr>
          <w:rFonts w:cs="Times New Roman"/>
          <w:u w:val="single"/>
        </w:rPr>
        <w:t>verview of Patient Panel Selection</w:t>
      </w:r>
    </w:p>
    <w:p w14:paraId="6CFD8C39" w14:textId="1B3E1974" w:rsidR="00821318" w:rsidRPr="00821318" w:rsidRDefault="00821318" w:rsidP="00821318">
      <w:pPr>
        <w:spacing w:after="120" w:line="240" w:lineRule="auto"/>
        <w:jc w:val="both"/>
        <w:rPr>
          <w:rFonts w:cs="Times New Roman"/>
        </w:rPr>
      </w:pPr>
      <w:r w:rsidRPr="00821318">
        <w:rPr>
          <w:rFonts w:cs="Times New Roman"/>
        </w:rPr>
        <w:t>The Proposed Project will serve patients currently receiving care in Plymouth, Quincy, and surrounding communities at the Applicant</w:t>
      </w:r>
      <w:r w:rsidR="00FC1749">
        <w:rPr>
          <w:rFonts w:cs="Times New Roman"/>
        </w:rPr>
        <w:t>’</w:t>
      </w:r>
      <w:r w:rsidRPr="00821318">
        <w:rPr>
          <w:rFonts w:cs="Times New Roman"/>
        </w:rPr>
        <w:t xml:space="preserve">s member hospitals and community </w:t>
      </w:r>
      <w:r w:rsidR="00946E47">
        <w:rPr>
          <w:rFonts w:cs="Times New Roman"/>
        </w:rPr>
        <w:t>Satellites</w:t>
      </w:r>
      <w:r w:rsidRPr="00821318">
        <w:rPr>
          <w:rFonts w:cs="Times New Roman"/>
        </w:rPr>
        <w:t xml:space="preserve">. Therefore, the Applicant relied on patient panel data from existing sites located at BID Plymouth, Beth Israel Lahey Health Primary Care Quincy </w:t>
      </w:r>
      <w:r w:rsidR="00AF68BA">
        <w:rPr>
          <w:rFonts w:cs="Times New Roman"/>
        </w:rPr>
        <w:t>Square</w:t>
      </w:r>
      <w:r w:rsidRPr="00821318">
        <w:rPr>
          <w:rFonts w:cs="Times New Roman"/>
        </w:rPr>
        <w:t xml:space="preserve"> (</w:t>
      </w:r>
      <w:r w:rsidR="00FC1749">
        <w:rPr>
          <w:rFonts w:cs="Times New Roman"/>
        </w:rPr>
        <w:t>“</w:t>
      </w:r>
      <w:r w:rsidRPr="00821318">
        <w:rPr>
          <w:rFonts w:cs="Times New Roman"/>
          <w:u w:val="single"/>
        </w:rPr>
        <w:t>BILHPC Quincy</w:t>
      </w:r>
      <w:r w:rsidR="00FC1749">
        <w:rPr>
          <w:rFonts w:cs="Times New Roman"/>
        </w:rPr>
        <w:t>”</w:t>
      </w:r>
      <w:r w:rsidRPr="00821318">
        <w:rPr>
          <w:rFonts w:cs="Times New Roman"/>
        </w:rPr>
        <w:t>), BILH Urgent Care Quincy,</w:t>
      </w:r>
      <w:r w:rsidR="009153C6">
        <w:rPr>
          <w:rStyle w:val="FootnoteReference"/>
          <w:rFonts w:cs="Times New Roman"/>
        </w:rPr>
        <w:footnoteReference w:id="1"/>
      </w:r>
      <w:r w:rsidRPr="00821318">
        <w:rPr>
          <w:rFonts w:cs="Times New Roman"/>
        </w:rPr>
        <w:t xml:space="preserve"> and </w:t>
      </w:r>
      <w:r w:rsidR="00465E02">
        <w:rPr>
          <w:rFonts w:cs="Times New Roman"/>
        </w:rPr>
        <w:t>Beth Israel Deaconess</w:t>
      </w:r>
      <w:r w:rsidRPr="00821318">
        <w:rPr>
          <w:rFonts w:cs="Times New Roman"/>
        </w:rPr>
        <w:t xml:space="preserve"> Milton Hospital</w:t>
      </w:r>
      <w:r w:rsidR="00465E02">
        <w:rPr>
          <w:rFonts w:cs="Times New Roman"/>
        </w:rPr>
        <w:t xml:space="preserve"> (“</w:t>
      </w:r>
      <w:r w:rsidR="00465E02" w:rsidRPr="00465E02">
        <w:rPr>
          <w:rFonts w:cs="Times New Roman"/>
          <w:u w:val="single"/>
        </w:rPr>
        <w:t>BID Milton</w:t>
      </w:r>
      <w:r w:rsidR="00465E02">
        <w:rPr>
          <w:rFonts w:cs="Times New Roman"/>
        </w:rPr>
        <w:t>”)</w:t>
      </w:r>
      <w:r w:rsidRPr="00821318">
        <w:rPr>
          <w:rFonts w:cs="Times New Roman"/>
        </w:rPr>
        <w:t xml:space="preserve"> to determine the need for the Proposed Project. In the following sections, the Applicant provides the demographic and geographic data for BID Plymouth</w:t>
      </w:r>
      <w:r w:rsidR="00FC1749">
        <w:rPr>
          <w:rFonts w:cs="Times New Roman"/>
        </w:rPr>
        <w:t>’</w:t>
      </w:r>
      <w:r w:rsidRPr="00821318">
        <w:rPr>
          <w:rFonts w:cs="Times New Roman"/>
        </w:rPr>
        <w:t>s patient panel as well as the demographics for patient utilization of infusion services at BID Plymouth, and the demographic and geographic data for BILHPC Quincy, BILH Urgent Care Quincy, and BID Milton Hospital.</w:t>
      </w:r>
    </w:p>
    <w:p w14:paraId="7BA41EDA" w14:textId="688A7F78" w:rsidR="00A23982" w:rsidRDefault="0031733F" w:rsidP="007F7330">
      <w:pPr>
        <w:pStyle w:val="ListParagraph"/>
        <w:numPr>
          <w:ilvl w:val="0"/>
          <w:numId w:val="7"/>
        </w:numPr>
        <w:spacing w:after="120" w:line="240" w:lineRule="auto"/>
        <w:ind w:left="450" w:hanging="450"/>
        <w:jc w:val="both"/>
        <w:rPr>
          <w:rFonts w:cs="Times New Roman"/>
          <w:u w:val="single"/>
        </w:rPr>
      </w:pPr>
      <w:r>
        <w:rPr>
          <w:rFonts w:cs="Times New Roman"/>
          <w:u w:val="single"/>
        </w:rPr>
        <w:t>Cordage Park Satellite</w:t>
      </w:r>
      <w:r w:rsidR="001A74E7">
        <w:rPr>
          <w:rFonts w:cs="Times New Roman"/>
          <w:u w:val="single"/>
        </w:rPr>
        <w:t xml:space="preserve"> </w:t>
      </w:r>
    </w:p>
    <w:p w14:paraId="359F7F23" w14:textId="56058B22" w:rsidR="002F6FE9" w:rsidRPr="002F6FE9" w:rsidRDefault="002F6FE9" w:rsidP="002F6FE9">
      <w:pPr>
        <w:spacing w:after="120" w:line="240" w:lineRule="auto"/>
        <w:jc w:val="both"/>
        <w:rPr>
          <w:rFonts w:cs="Times New Roman"/>
          <w:u w:val="single"/>
        </w:rPr>
      </w:pPr>
      <w:r w:rsidRPr="000153E7">
        <w:rPr>
          <w:rFonts w:cs="Times New Roman"/>
          <w:i/>
          <w:iCs/>
        </w:rPr>
        <w:t>Overall Patient Panel</w:t>
      </w:r>
    </w:p>
    <w:p w14:paraId="184BB4BD" w14:textId="0DF9EBDE" w:rsidR="00254070" w:rsidRDefault="00D55ACC" w:rsidP="00033DDD">
      <w:pPr>
        <w:spacing w:after="120" w:line="240" w:lineRule="auto"/>
        <w:jc w:val="both"/>
        <w:rPr>
          <w:rFonts w:cs="Times New Roman"/>
          <w:b/>
          <w:bCs/>
        </w:rPr>
      </w:pPr>
      <w:r w:rsidRPr="2A8A7BAD">
        <w:rPr>
          <w:rFonts w:cs="Times New Roman"/>
        </w:rPr>
        <w:t xml:space="preserve">As shown in </w:t>
      </w:r>
      <w:r w:rsidRPr="2A8A7BAD">
        <w:rPr>
          <w:rFonts w:cs="Times New Roman"/>
          <w:u w:val="single"/>
        </w:rPr>
        <w:t>Table 1</w:t>
      </w:r>
      <w:r w:rsidRPr="2A8A7BAD">
        <w:rPr>
          <w:rFonts w:cs="Times New Roman"/>
        </w:rPr>
        <w:t xml:space="preserve">, </w:t>
      </w:r>
      <w:r w:rsidR="002C135B" w:rsidRPr="2A8A7BAD">
        <w:rPr>
          <w:rFonts w:cs="Times New Roman"/>
        </w:rPr>
        <w:t>i</w:t>
      </w:r>
      <w:r w:rsidRPr="2A8A7BAD">
        <w:rPr>
          <w:rFonts w:cs="Times New Roman"/>
        </w:rPr>
        <w:t>n FY23, BID Plymouth</w:t>
      </w:r>
      <w:r w:rsidR="00FC1749" w:rsidRPr="2A8A7BAD">
        <w:rPr>
          <w:rFonts w:cs="Times New Roman"/>
        </w:rPr>
        <w:t>’</w:t>
      </w:r>
      <w:r w:rsidRPr="2A8A7BAD">
        <w:rPr>
          <w:rFonts w:cs="Times New Roman"/>
        </w:rPr>
        <w:t xml:space="preserve">s overall patient panel included </w:t>
      </w:r>
      <w:r w:rsidR="00035F95" w:rsidRPr="00035F95">
        <w:rPr>
          <w:rFonts w:cs="Times New Roman"/>
        </w:rPr>
        <w:t>81,364</w:t>
      </w:r>
      <w:r w:rsidRPr="2A8A7BAD">
        <w:rPr>
          <w:rFonts w:cs="Times New Roman"/>
        </w:rPr>
        <w:t xml:space="preserve"> unique patients. Patients aged 18-44 years were the largest patient cohort, making up 55% of unique patients. </w:t>
      </w:r>
      <w:r w:rsidR="00AF68BA" w:rsidRPr="2A8A7BAD">
        <w:rPr>
          <w:rFonts w:cs="Times New Roman"/>
        </w:rPr>
        <w:t>An additional approximately 37% of patients were over the age of 65.</w:t>
      </w:r>
      <w:r w:rsidR="7577B04B" w:rsidRPr="2A8A7BAD">
        <w:rPr>
          <w:rFonts w:cs="Times New Roman"/>
        </w:rPr>
        <w:t xml:space="preserve"> </w:t>
      </w:r>
      <w:r w:rsidRPr="2A8A7BAD">
        <w:rPr>
          <w:rFonts w:cs="Times New Roman"/>
        </w:rPr>
        <w:t>The proportion of older adults is expected to increase by 2030, which may have implications for the provision of health and social services</w:t>
      </w:r>
      <w:r w:rsidR="00AF68BA" w:rsidRPr="2A8A7BAD">
        <w:rPr>
          <w:rFonts w:cs="Times New Roman"/>
        </w:rPr>
        <w:t>. Approximately</w:t>
      </w:r>
      <w:r w:rsidRPr="2A8A7BAD">
        <w:rPr>
          <w:rFonts w:cs="Times New Roman"/>
        </w:rPr>
        <w:t xml:space="preserve"> 59% of patients were female, compared to just over 39% male. </w:t>
      </w:r>
      <w:r w:rsidR="00AF68BA" w:rsidRPr="2A8A7BAD">
        <w:rPr>
          <w:rFonts w:cs="Times New Roman"/>
        </w:rPr>
        <w:t>Additionally, approximately</w:t>
      </w:r>
      <w:r w:rsidRPr="2A8A7BAD">
        <w:rPr>
          <w:rFonts w:cs="Times New Roman"/>
        </w:rPr>
        <w:t xml:space="preserve"> 88% of patients self-identified as White, 2% identified as Black/African American</w:t>
      </w:r>
      <w:r w:rsidR="006F3A88" w:rsidRPr="2A8A7BAD">
        <w:rPr>
          <w:rFonts w:cs="Times New Roman"/>
        </w:rPr>
        <w:t>,</w:t>
      </w:r>
      <w:r w:rsidRPr="2A8A7BAD">
        <w:rPr>
          <w:rFonts w:cs="Times New Roman"/>
        </w:rPr>
        <w:t xml:space="preserve"> and 2% as Hispanic or Latino. 0.07% of patients declined to report their race. Approximately 39% of patients were covered by a commercial insurance plan, compared to 36.5% who were insured through Medicare, 18.5% through Medicaid, and just under 6% who had another source of coverage.</w:t>
      </w:r>
    </w:p>
    <w:p w14:paraId="49FC0F4C" w14:textId="375CA24F" w:rsidR="00C86641" w:rsidRDefault="00C86641" w:rsidP="00033DDD">
      <w:pPr>
        <w:spacing w:after="120" w:line="240" w:lineRule="auto"/>
        <w:jc w:val="both"/>
        <w:rPr>
          <w:rFonts w:cs="Times New Roman"/>
        </w:rPr>
      </w:pPr>
    </w:p>
    <w:p w14:paraId="77CB86CA" w14:textId="24884735" w:rsidR="00622C7D" w:rsidRDefault="00622C7D" w:rsidP="00033DDD">
      <w:pPr>
        <w:spacing w:after="120" w:line="240" w:lineRule="auto"/>
        <w:jc w:val="both"/>
        <w:rPr>
          <w:rFonts w:cs="Times New Roman"/>
        </w:rPr>
      </w:pPr>
    </w:p>
    <w:p w14:paraId="1B208EAD" w14:textId="77777777" w:rsidR="002119CB" w:rsidRDefault="002119CB" w:rsidP="00033DDD">
      <w:pPr>
        <w:spacing w:after="120" w:line="240" w:lineRule="auto"/>
        <w:jc w:val="both"/>
        <w:rPr>
          <w:rFonts w:cs="Times New Roman"/>
        </w:rPr>
      </w:pPr>
    </w:p>
    <w:p w14:paraId="2F2186B2" w14:textId="77777777" w:rsidR="00622C7D" w:rsidRPr="00033DDD" w:rsidRDefault="00622C7D" w:rsidP="00033DDD">
      <w:pPr>
        <w:spacing w:after="120" w:line="240" w:lineRule="auto"/>
        <w:jc w:val="both"/>
        <w:rPr>
          <w:rFonts w:cs="Times New Roman"/>
        </w:rPr>
      </w:pPr>
    </w:p>
    <w:p w14:paraId="1C58D2CC" w14:textId="77777777" w:rsidR="000A05A4" w:rsidRDefault="000A05A4" w:rsidP="00F12583">
      <w:pPr>
        <w:spacing w:after="120" w:line="240" w:lineRule="auto"/>
        <w:jc w:val="center"/>
        <w:rPr>
          <w:rFonts w:cs="Times New Roman"/>
          <w:b/>
          <w:bCs/>
        </w:rPr>
      </w:pPr>
    </w:p>
    <w:p w14:paraId="6916DCB4" w14:textId="77777777" w:rsidR="000A05A4" w:rsidRDefault="000A05A4" w:rsidP="00F12583">
      <w:pPr>
        <w:spacing w:after="120" w:line="240" w:lineRule="auto"/>
        <w:jc w:val="center"/>
        <w:rPr>
          <w:rFonts w:cs="Times New Roman"/>
          <w:b/>
          <w:bCs/>
        </w:rPr>
      </w:pPr>
    </w:p>
    <w:p w14:paraId="78AD2B05" w14:textId="169B9103" w:rsidR="00F12583" w:rsidRDefault="00024D21" w:rsidP="00F12583">
      <w:pPr>
        <w:spacing w:after="120" w:line="240" w:lineRule="auto"/>
        <w:jc w:val="center"/>
        <w:rPr>
          <w:rFonts w:cs="Times New Roman"/>
          <w:b/>
          <w:bCs/>
        </w:rPr>
      </w:pPr>
      <w:r w:rsidRPr="000153E7">
        <w:rPr>
          <w:rFonts w:cs="Times New Roman"/>
          <w:b/>
          <w:bCs/>
        </w:rPr>
        <w:t xml:space="preserve">Table </w:t>
      </w:r>
      <w:r w:rsidR="00254070">
        <w:rPr>
          <w:rFonts w:cs="Times New Roman"/>
          <w:b/>
          <w:bCs/>
        </w:rPr>
        <w:t>1</w:t>
      </w:r>
    </w:p>
    <w:p w14:paraId="50FDB248" w14:textId="1AA0FAA0" w:rsidR="00024D21" w:rsidRDefault="00024D21" w:rsidP="00F12583">
      <w:pPr>
        <w:spacing w:after="120" w:line="240" w:lineRule="auto"/>
        <w:jc w:val="center"/>
        <w:rPr>
          <w:rFonts w:cs="Times New Roman"/>
          <w:b/>
          <w:bCs/>
        </w:rPr>
      </w:pPr>
      <w:r w:rsidRPr="000153E7">
        <w:rPr>
          <w:rFonts w:cs="Times New Roman"/>
          <w:b/>
          <w:bCs/>
        </w:rPr>
        <w:t>BID Plymouth Patient Panel Demographics</w:t>
      </w:r>
    </w:p>
    <w:tbl>
      <w:tblPr>
        <w:tblStyle w:val="ListTable2-Accent3"/>
        <w:tblW w:w="0" w:type="auto"/>
        <w:tblBorders>
          <w:top w:val="none" w:sz="0" w:space="0" w:color="auto"/>
          <w:bottom w:val="none" w:sz="0" w:space="0" w:color="auto"/>
          <w:insideH w:val="none" w:sz="0" w:space="0" w:color="auto"/>
        </w:tblBorders>
        <w:tblLook w:val="04A0" w:firstRow="1" w:lastRow="0" w:firstColumn="1" w:lastColumn="0" w:noHBand="0" w:noVBand="1"/>
      </w:tblPr>
      <w:tblGrid>
        <w:gridCol w:w="3980"/>
        <w:gridCol w:w="861"/>
        <w:gridCol w:w="36"/>
        <w:gridCol w:w="897"/>
        <w:gridCol w:w="860"/>
        <w:gridCol w:w="36"/>
        <w:gridCol w:w="897"/>
        <w:gridCol w:w="860"/>
        <w:gridCol w:w="36"/>
        <w:gridCol w:w="897"/>
      </w:tblGrid>
      <w:tr w:rsidR="00510A1B" w:rsidRPr="00AC79BE" w14:paraId="7EE5AEEA" w14:textId="77777777" w:rsidTr="001F07B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6D857603" w14:textId="4C744EC7" w:rsidR="00510A1B" w:rsidRPr="00AC79BE" w:rsidRDefault="00510A1B" w:rsidP="0007569A">
            <w:pPr>
              <w:spacing w:line="240" w:lineRule="auto"/>
              <w:rPr>
                <w:rFonts w:cs="Times New Roman"/>
                <w:sz w:val="20"/>
                <w:szCs w:val="20"/>
              </w:rPr>
            </w:pPr>
          </w:p>
        </w:tc>
        <w:tc>
          <w:tcPr>
            <w:tcW w:w="897" w:type="dxa"/>
            <w:gridSpan w:val="2"/>
            <w:tcBorders>
              <w:bottom w:val="single" w:sz="4" w:space="0" w:color="auto"/>
            </w:tcBorders>
            <w:shd w:val="clear" w:color="auto" w:fill="auto"/>
          </w:tcPr>
          <w:p w14:paraId="013BF270" w14:textId="77777777" w:rsidR="00510A1B" w:rsidRPr="00AC79BE" w:rsidRDefault="00510A1B" w:rsidP="0007569A">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AC79BE">
              <w:rPr>
                <w:rFonts w:cs="Times New Roman"/>
                <w:sz w:val="20"/>
                <w:szCs w:val="20"/>
              </w:rPr>
              <w:t>FY2021</w:t>
            </w:r>
          </w:p>
        </w:tc>
        <w:tc>
          <w:tcPr>
            <w:tcW w:w="897" w:type="dxa"/>
            <w:tcBorders>
              <w:bottom w:val="single" w:sz="4" w:space="0" w:color="auto"/>
            </w:tcBorders>
            <w:shd w:val="clear" w:color="auto" w:fill="auto"/>
          </w:tcPr>
          <w:p w14:paraId="7BD8144E" w14:textId="43760379" w:rsidR="00510A1B" w:rsidRPr="00AC79BE" w:rsidRDefault="00510A1B" w:rsidP="0007569A">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FY2021</w:t>
            </w:r>
          </w:p>
        </w:tc>
        <w:tc>
          <w:tcPr>
            <w:tcW w:w="896" w:type="dxa"/>
            <w:gridSpan w:val="2"/>
            <w:tcBorders>
              <w:bottom w:val="single" w:sz="4" w:space="0" w:color="auto"/>
            </w:tcBorders>
            <w:shd w:val="clear" w:color="auto" w:fill="auto"/>
          </w:tcPr>
          <w:p w14:paraId="13D4FC5D" w14:textId="77777777" w:rsidR="00510A1B" w:rsidRPr="00AC79BE" w:rsidRDefault="00510A1B" w:rsidP="0007569A">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AC79BE">
              <w:rPr>
                <w:rFonts w:cs="Times New Roman"/>
                <w:sz w:val="20"/>
                <w:szCs w:val="20"/>
              </w:rPr>
              <w:t>FY2022</w:t>
            </w:r>
          </w:p>
        </w:tc>
        <w:tc>
          <w:tcPr>
            <w:tcW w:w="897" w:type="dxa"/>
            <w:tcBorders>
              <w:bottom w:val="single" w:sz="4" w:space="0" w:color="auto"/>
            </w:tcBorders>
            <w:shd w:val="clear" w:color="auto" w:fill="auto"/>
          </w:tcPr>
          <w:p w14:paraId="48FEEDFC" w14:textId="4C7E3A34" w:rsidR="00510A1B" w:rsidRPr="00AC79BE" w:rsidRDefault="00510A1B" w:rsidP="0007569A">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FY2022</w:t>
            </w:r>
          </w:p>
        </w:tc>
        <w:tc>
          <w:tcPr>
            <w:tcW w:w="896" w:type="dxa"/>
            <w:gridSpan w:val="2"/>
            <w:tcBorders>
              <w:bottom w:val="single" w:sz="4" w:space="0" w:color="auto"/>
            </w:tcBorders>
            <w:shd w:val="clear" w:color="auto" w:fill="auto"/>
          </w:tcPr>
          <w:p w14:paraId="230F6BB7" w14:textId="77777777" w:rsidR="00510A1B" w:rsidRPr="00AC79BE" w:rsidRDefault="00510A1B" w:rsidP="0007569A">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AC79BE">
              <w:rPr>
                <w:rFonts w:cs="Times New Roman"/>
                <w:sz w:val="20"/>
                <w:szCs w:val="20"/>
              </w:rPr>
              <w:t>FY2023</w:t>
            </w:r>
          </w:p>
        </w:tc>
        <w:tc>
          <w:tcPr>
            <w:tcW w:w="897" w:type="dxa"/>
            <w:tcBorders>
              <w:bottom w:val="single" w:sz="4" w:space="0" w:color="auto"/>
            </w:tcBorders>
            <w:shd w:val="clear" w:color="auto" w:fill="auto"/>
          </w:tcPr>
          <w:p w14:paraId="5971D42D" w14:textId="430E47E3" w:rsidR="00510A1B" w:rsidRPr="00AC79BE" w:rsidRDefault="00510A1B" w:rsidP="0007569A">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FY2023</w:t>
            </w:r>
          </w:p>
        </w:tc>
      </w:tr>
      <w:tr w:rsidR="002F3133" w:rsidRPr="00AC79BE" w14:paraId="7094BB32" w14:textId="77777777" w:rsidTr="001F07B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1D143424" w14:textId="797CF599" w:rsidR="00DB6E1B" w:rsidRPr="00AC79BE" w:rsidRDefault="00DB6E1B" w:rsidP="0007569A">
            <w:pPr>
              <w:spacing w:line="240" w:lineRule="auto"/>
              <w:rPr>
                <w:rFonts w:cs="Times New Roman"/>
                <w:b w:val="0"/>
                <w:bCs w:val="0"/>
                <w:sz w:val="20"/>
                <w:szCs w:val="20"/>
              </w:rPr>
            </w:pPr>
          </w:p>
        </w:tc>
        <w:tc>
          <w:tcPr>
            <w:tcW w:w="861" w:type="dxa"/>
            <w:tcBorders>
              <w:top w:val="single" w:sz="4" w:space="0" w:color="auto"/>
              <w:bottom w:val="single" w:sz="4" w:space="0" w:color="auto"/>
            </w:tcBorders>
            <w:shd w:val="clear" w:color="auto" w:fill="auto"/>
          </w:tcPr>
          <w:p w14:paraId="2B21107D" w14:textId="19782E20" w:rsidR="00DB6E1B" w:rsidRPr="00AC79BE" w:rsidRDefault="0007569A" w:rsidP="0007569A">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AC79BE">
              <w:rPr>
                <w:rFonts w:cs="Times New Roman"/>
                <w:sz w:val="20"/>
                <w:szCs w:val="20"/>
              </w:rPr>
              <w:t>Count</w:t>
            </w:r>
          </w:p>
        </w:tc>
        <w:tc>
          <w:tcPr>
            <w:tcW w:w="933" w:type="dxa"/>
            <w:gridSpan w:val="2"/>
            <w:tcBorders>
              <w:top w:val="single" w:sz="4" w:space="0" w:color="auto"/>
              <w:bottom w:val="single" w:sz="4" w:space="0" w:color="auto"/>
            </w:tcBorders>
            <w:shd w:val="clear" w:color="auto" w:fill="auto"/>
          </w:tcPr>
          <w:p w14:paraId="2E8242DC" w14:textId="328E3674" w:rsidR="00DB6E1B" w:rsidRPr="00AC79BE" w:rsidRDefault="0007569A" w:rsidP="0007569A">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AC79BE">
              <w:rPr>
                <w:rFonts w:cs="Times New Roman"/>
                <w:sz w:val="20"/>
                <w:szCs w:val="20"/>
              </w:rPr>
              <w:t>%</w:t>
            </w:r>
          </w:p>
        </w:tc>
        <w:tc>
          <w:tcPr>
            <w:tcW w:w="860" w:type="dxa"/>
            <w:tcBorders>
              <w:top w:val="single" w:sz="4" w:space="0" w:color="auto"/>
              <w:bottom w:val="single" w:sz="4" w:space="0" w:color="auto"/>
            </w:tcBorders>
            <w:shd w:val="clear" w:color="auto" w:fill="auto"/>
          </w:tcPr>
          <w:p w14:paraId="564BB548" w14:textId="5C4E9D98" w:rsidR="00DB6E1B" w:rsidRPr="00AC79BE" w:rsidRDefault="0007569A" w:rsidP="0007569A">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AC79BE">
              <w:rPr>
                <w:rFonts w:cs="Times New Roman"/>
                <w:sz w:val="20"/>
                <w:szCs w:val="20"/>
              </w:rPr>
              <w:t>Count</w:t>
            </w:r>
          </w:p>
        </w:tc>
        <w:tc>
          <w:tcPr>
            <w:tcW w:w="933" w:type="dxa"/>
            <w:gridSpan w:val="2"/>
            <w:tcBorders>
              <w:top w:val="single" w:sz="4" w:space="0" w:color="auto"/>
              <w:bottom w:val="single" w:sz="4" w:space="0" w:color="auto"/>
            </w:tcBorders>
            <w:shd w:val="clear" w:color="auto" w:fill="auto"/>
          </w:tcPr>
          <w:p w14:paraId="31767050" w14:textId="4F00C3D5" w:rsidR="00DB6E1B" w:rsidRPr="00AC79BE" w:rsidRDefault="0007569A" w:rsidP="0007569A">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AC79BE">
              <w:rPr>
                <w:rFonts w:cs="Times New Roman"/>
                <w:sz w:val="20"/>
                <w:szCs w:val="20"/>
              </w:rPr>
              <w:t>%</w:t>
            </w:r>
          </w:p>
        </w:tc>
        <w:tc>
          <w:tcPr>
            <w:tcW w:w="860" w:type="dxa"/>
            <w:tcBorders>
              <w:top w:val="single" w:sz="4" w:space="0" w:color="auto"/>
              <w:bottom w:val="single" w:sz="4" w:space="0" w:color="auto"/>
            </w:tcBorders>
            <w:shd w:val="clear" w:color="auto" w:fill="auto"/>
          </w:tcPr>
          <w:p w14:paraId="27BF68C8" w14:textId="1ABEBA9A" w:rsidR="00DB6E1B" w:rsidRPr="00AC79BE" w:rsidRDefault="0007569A" w:rsidP="0007569A">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AC79BE">
              <w:rPr>
                <w:rFonts w:cs="Times New Roman"/>
                <w:sz w:val="20"/>
                <w:szCs w:val="20"/>
              </w:rPr>
              <w:t>Count</w:t>
            </w:r>
          </w:p>
        </w:tc>
        <w:tc>
          <w:tcPr>
            <w:tcW w:w="933" w:type="dxa"/>
            <w:gridSpan w:val="2"/>
            <w:tcBorders>
              <w:top w:val="single" w:sz="4" w:space="0" w:color="auto"/>
              <w:bottom w:val="single" w:sz="4" w:space="0" w:color="auto"/>
            </w:tcBorders>
            <w:shd w:val="clear" w:color="auto" w:fill="auto"/>
          </w:tcPr>
          <w:p w14:paraId="75239193" w14:textId="22095920" w:rsidR="00DB6E1B" w:rsidRPr="00AC79BE" w:rsidRDefault="0007569A" w:rsidP="0007569A">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AC79BE">
              <w:rPr>
                <w:rFonts w:cs="Times New Roman"/>
                <w:sz w:val="20"/>
                <w:szCs w:val="20"/>
              </w:rPr>
              <w:t>%</w:t>
            </w:r>
          </w:p>
        </w:tc>
      </w:tr>
      <w:tr w:rsidR="00AC79BE" w:rsidRPr="00AC79BE" w14:paraId="3C0028F0" w14:textId="77777777" w:rsidTr="001F07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2F5746ED" w14:textId="082A912C" w:rsidR="00AC79BE" w:rsidRPr="00AC79BE" w:rsidRDefault="00AC79BE" w:rsidP="00AC79BE">
            <w:pPr>
              <w:spacing w:line="240" w:lineRule="auto"/>
              <w:rPr>
                <w:rFonts w:cs="Times New Roman"/>
                <w:sz w:val="20"/>
                <w:szCs w:val="20"/>
              </w:rPr>
            </w:pPr>
            <w:r w:rsidRPr="00AC79BE">
              <w:rPr>
                <w:rFonts w:cs="Times New Roman"/>
                <w:sz w:val="20"/>
                <w:szCs w:val="20"/>
              </w:rPr>
              <w:t>Total Unique Patients</w:t>
            </w:r>
          </w:p>
        </w:tc>
        <w:tc>
          <w:tcPr>
            <w:tcW w:w="861" w:type="dxa"/>
            <w:tcBorders>
              <w:top w:val="single" w:sz="4" w:space="0" w:color="auto"/>
              <w:bottom w:val="single" w:sz="4" w:space="0" w:color="auto"/>
            </w:tcBorders>
            <w:shd w:val="clear" w:color="auto" w:fill="auto"/>
          </w:tcPr>
          <w:p w14:paraId="4248BF59" w14:textId="4BBDE360" w:rsidR="00AC79BE" w:rsidRPr="00AC79BE" w:rsidRDefault="00AC79BE" w:rsidP="00AC79B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88,269</w:t>
            </w:r>
          </w:p>
        </w:tc>
        <w:tc>
          <w:tcPr>
            <w:tcW w:w="933" w:type="dxa"/>
            <w:gridSpan w:val="2"/>
            <w:tcBorders>
              <w:top w:val="single" w:sz="4" w:space="0" w:color="auto"/>
              <w:bottom w:val="single" w:sz="4" w:space="0" w:color="auto"/>
            </w:tcBorders>
            <w:shd w:val="clear" w:color="auto" w:fill="auto"/>
          </w:tcPr>
          <w:p w14:paraId="7BE19D95" w14:textId="035E73C5" w:rsidR="00AC79BE" w:rsidRPr="00AC79BE" w:rsidRDefault="00AC79BE" w:rsidP="00AC79B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100.0%</w:t>
            </w:r>
          </w:p>
        </w:tc>
        <w:tc>
          <w:tcPr>
            <w:tcW w:w="860" w:type="dxa"/>
            <w:tcBorders>
              <w:top w:val="single" w:sz="4" w:space="0" w:color="auto"/>
              <w:bottom w:val="single" w:sz="4" w:space="0" w:color="auto"/>
            </w:tcBorders>
            <w:shd w:val="clear" w:color="auto" w:fill="auto"/>
          </w:tcPr>
          <w:p w14:paraId="19675EAF" w14:textId="6BA54F42" w:rsidR="00AC79BE" w:rsidRPr="00AC79BE" w:rsidRDefault="00AC79BE" w:rsidP="00AC79B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82,530</w:t>
            </w:r>
          </w:p>
        </w:tc>
        <w:tc>
          <w:tcPr>
            <w:tcW w:w="933" w:type="dxa"/>
            <w:gridSpan w:val="2"/>
            <w:tcBorders>
              <w:top w:val="single" w:sz="4" w:space="0" w:color="auto"/>
              <w:bottom w:val="single" w:sz="4" w:space="0" w:color="auto"/>
            </w:tcBorders>
            <w:shd w:val="clear" w:color="auto" w:fill="auto"/>
          </w:tcPr>
          <w:p w14:paraId="2DA8154D" w14:textId="59633125" w:rsidR="00AC79BE" w:rsidRPr="00AC79BE" w:rsidRDefault="00AC79BE" w:rsidP="00AC79B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100.0%</w:t>
            </w:r>
          </w:p>
        </w:tc>
        <w:tc>
          <w:tcPr>
            <w:tcW w:w="860" w:type="dxa"/>
            <w:tcBorders>
              <w:top w:val="single" w:sz="4" w:space="0" w:color="auto"/>
              <w:bottom w:val="single" w:sz="4" w:space="0" w:color="auto"/>
            </w:tcBorders>
            <w:shd w:val="clear" w:color="auto" w:fill="auto"/>
          </w:tcPr>
          <w:p w14:paraId="2445E784" w14:textId="24FDE3E4" w:rsidR="00AC79BE" w:rsidRPr="00AC79BE" w:rsidRDefault="00AC79BE" w:rsidP="00AC79B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81,364</w:t>
            </w:r>
          </w:p>
        </w:tc>
        <w:tc>
          <w:tcPr>
            <w:tcW w:w="933" w:type="dxa"/>
            <w:gridSpan w:val="2"/>
            <w:tcBorders>
              <w:top w:val="single" w:sz="4" w:space="0" w:color="auto"/>
              <w:bottom w:val="single" w:sz="4" w:space="0" w:color="auto"/>
            </w:tcBorders>
            <w:shd w:val="clear" w:color="auto" w:fill="auto"/>
          </w:tcPr>
          <w:p w14:paraId="28CF83CD" w14:textId="4B2C2A0C" w:rsidR="00AC79BE" w:rsidRPr="00AC79BE" w:rsidRDefault="00AC79BE" w:rsidP="00AC79B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100.0%</w:t>
            </w:r>
          </w:p>
        </w:tc>
      </w:tr>
      <w:tr w:rsidR="002F3133" w:rsidRPr="00AC79BE" w14:paraId="2574808F" w14:textId="77777777" w:rsidTr="001F07BC">
        <w:trPr>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0AC6A935" w14:textId="49E6E63E" w:rsidR="002F3133" w:rsidRPr="00AC79BE" w:rsidRDefault="002F3133" w:rsidP="002F3133">
            <w:pPr>
              <w:spacing w:line="240" w:lineRule="auto"/>
              <w:rPr>
                <w:rFonts w:cs="Times New Roman"/>
                <w:sz w:val="20"/>
                <w:szCs w:val="20"/>
              </w:rPr>
            </w:pPr>
            <w:r w:rsidRPr="00AC79BE">
              <w:rPr>
                <w:rFonts w:cs="Times New Roman"/>
                <w:sz w:val="20"/>
                <w:szCs w:val="20"/>
              </w:rPr>
              <w:t>Gender</w:t>
            </w:r>
          </w:p>
        </w:tc>
        <w:tc>
          <w:tcPr>
            <w:tcW w:w="861" w:type="dxa"/>
            <w:tcBorders>
              <w:top w:val="single" w:sz="4" w:space="0" w:color="auto"/>
            </w:tcBorders>
            <w:shd w:val="clear" w:color="auto" w:fill="auto"/>
          </w:tcPr>
          <w:p w14:paraId="0256083C" w14:textId="3BFA9FDA"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tcBorders>
              <w:top w:val="single" w:sz="4" w:space="0" w:color="auto"/>
            </w:tcBorders>
            <w:shd w:val="clear" w:color="auto" w:fill="auto"/>
          </w:tcPr>
          <w:p w14:paraId="39869F31" w14:textId="7760CAB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60" w:type="dxa"/>
            <w:tcBorders>
              <w:top w:val="single" w:sz="4" w:space="0" w:color="auto"/>
            </w:tcBorders>
            <w:shd w:val="clear" w:color="auto" w:fill="auto"/>
          </w:tcPr>
          <w:p w14:paraId="7C95F9E2" w14:textId="574DD5CD"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tcBorders>
              <w:top w:val="single" w:sz="4" w:space="0" w:color="auto"/>
            </w:tcBorders>
            <w:shd w:val="clear" w:color="auto" w:fill="auto"/>
          </w:tcPr>
          <w:p w14:paraId="20A05734" w14:textId="6010007F"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60" w:type="dxa"/>
            <w:tcBorders>
              <w:top w:val="single" w:sz="4" w:space="0" w:color="auto"/>
            </w:tcBorders>
            <w:shd w:val="clear" w:color="auto" w:fill="auto"/>
          </w:tcPr>
          <w:p w14:paraId="423E225C" w14:textId="60EFFEF9"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tcBorders>
              <w:top w:val="single" w:sz="4" w:space="0" w:color="auto"/>
            </w:tcBorders>
            <w:shd w:val="clear" w:color="auto" w:fill="auto"/>
          </w:tcPr>
          <w:p w14:paraId="64B8ED4D" w14:textId="72157371"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AC79BE" w:rsidRPr="00AC79BE" w14:paraId="6B117482" w14:textId="77777777" w:rsidTr="001F07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vAlign w:val="center"/>
          </w:tcPr>
          <w:p w14:paraId="14DE64AD" w14:textId="54D49C3B" w:rsidR="00AC79BE" w:rsidRPr="00AC79BE" w:rsidRDefault="00AC79BE" w:rsidP="00AC79BE">
            <w:pPr>
              <w:spacing w:line="240" w:lineRule="auto"/>
              <w:ind w:left="157"/>
              <w:rPr>
                <w:rFonts w:cs="Times New Roman"/>
                <w:b w:val="0"/>
                <w:bCs w:val="0"/>
                <w:sz w:val="20"/>
                <w:szCs w:val="20"/>
              </w:rPr>
            </w:pPr>
            <w:r w:rsidRPr="00AC79BE">
              <w:rPr>
                <w:rFonts w:cs="Times New Roman"/>
                <w:b w:val="0"/>
                <w:bCs w:val="0"/>
                <w:sz w:val="20"/>
                <w:szCs w:val="20"/>
              </w:rPr>
              <w:t>Male</w:t>
            </w:r>
          </w:p>
        </w:tc>
        <w:tc>
          <w:tcPr>
            <w:tcW w:w="861" w:type="dxa"/>
            <w:shd w:val="clear" w:color="auto" w:fill="auto"/>
            <w:vAlign w:val="bottom"/>
          </w:tcPr>
          <w:p w14:paraId="32C90FE6" w14:textId="762665B5"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35,181</w:t>
            </w:r>
          </w:p>
        </w:tc>
        <w:tc>
          <w:tcPr>
            <w:tcW w:w="933" w:type="dxa"/>
            <w:gridSpan w:val="2"/>
            <w:shd w:val="clear" w:color="auto" w:fill="auto"/>
            <w:vAlign w:val="bottom"/>
          </w:tcPr>
          <w:p w14:paraId="6673B63B" w14:textId="66850832"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39.9%</w:t>
            </w:r>
          </w:p>
        </w:tc>
        <w:tc>
          <w:tcPr>
            <w:tcW w:w="860" w:type="dxa"/>
            <w:shd w:val="clear" w:color="auto" w:fill="auto"/>
            <w:vAlign w:val="bottom"/>
          </w:tcPr>
          <w:p w14:paraId="0022E0CF" w14:textId="26463C3B"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32,458</w:t>
            </w:r>
          </w:p>
        </w:tc>
        <w:tc>
          <w:tcPr>
            <w:tcW w:w="933" w:type="dxa"/>
            <w:gridSpan w:val="2"/>
            <w:shd w:val="clear" w:color="auto" w:fill="auto"/>
            <w:vAlign w:val="bottom"/>
          </w:tcPr>
          <w:p w14:paraId="551723D7" w14:textId="55119F37"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39.3%</w:t>
            </w:r>
          </w:p>
        </w:tc>
        <w:tc>
          <w:tcPr>
            <w:tcW w:w="860" w:type="dxa"/>
            <w:shd w:val="clear" w:color="auto" w:fill="auto"/>
            <w:vAlign w:val="bottom"/>
          </w:tcPr>
          <w:p w14:paraId="73C6C340" w14:textId="00E302B1"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33,728</w:t>
            </w:r>
          </w:p>
        </w:tc>
        <w:tc>
          <w:tcPr>
            <w:tcW w:w="933" w:type="dxa"/>
            <w:gridSpan w:val="2"/>
            <w:shd w:val="clear" w:color="auto" w:fill="auto"/>
            <w:vAlign w:val="bottom"/>
          </w:tcPr>
          <w:p w14:paraId="2B3D55CD" w14:textId="1124472A"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41.5%</w:t>
            </w:r>
          </w:p>
        </w:tc>
      </w:tr>
      <w:tr w:rsidR="00AC79BE" w:rsidRPr="00AC79BE" w14:paraId="4017A6D0" w14:textId="77777777" w:rsidTr="001F07BC">
        <w:trPr>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vAlign w:val="center"/>
          </w:tcPr>
          <w:p w14:paraId="17AF93AB" w14:textId="7B7A64EA" w:rsidR="00AC79BE" w:rsidRPr="00AC79BE" w:rsidRDefault="00AC79BE" w:rsidP="00AC79BE">
            <w:pPr>
              <w:spacing w:line="240" w:lineRule="auto"/>
              <w:ind w:left="157"/>
              <w:rPr>
                <w:rFonts w:cs="Times New Roman"/>
                <w:b w:val="0"/>
                <w:bCs w:val="0"/>
                <w:sz w:val="20"/>
                <w:szCs w:val="20"/>
              </w:rPr>
            </w:pPr>
            <w:r w:rsidRPr="00AC79BE">
              <w:rPr>
                <w:rFonts w:cs="Times New Roman"/>
                <w:b w:val="0"/>
                <w:bCs w:val="0"/>
                <w:sz w:val="20"/>
                <w:szCs w:val="20"/>
              </w:rPr>
              <w:t>Female</w:t>
            </w:r>
          </w:p>
        </w:tc>
        <w:tc>
          <w:tcPr>
            <w:tcW w:w="861" w:type="dxa"/>
            <w:shd w:val="clear" w:color="auto" w:fill="auto"/>
            <w:vAlign w:val="bottom"/>
          </w:tcPr>
          <w:p w14:paraId="45C0C516" w14:textId="77F9666E"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51,785</w:t>
            </w:r>
          </w:p>
        </w:tc>
        <w:tc>
          <w:tcPr>
            <w:tcW w:w="933" w:type="dxa"/>
            <w:gridSpan w:val="2"/>
            <w:shd w:val="clear" w:color="auto" w:fill="auto"/>
            <w:vAlign w:val="bottom"/>
          </w:tcPr>
          <w:p w14:paraId="0F55BF27" w14:textId="405375F8"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58.7%</w:t>
            </w:r>
          </w:p>
        </w:tc>
        <w:tc>
          <w:tcPr>
            <w:tcW w:w="860" w:type="dxa"/>
            <w:shd w:val="clear" w:color="auto" w:fill="auto"/>
            <w:vAlign w:val="bottom"/>
          </w:tcPr>
          <w:p w14:paraId="6792ECB2" w14:textId="54CF1E50"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49,130</w:t>
            </w:r>
          </w:p>
        </w:tc>
        <w:tc>
          <w:tcPr>
            <w:tcW w:w="933" w:type="dxa"/>
            <w:gridSpan w:val="2"/>
            <w:shd w:val="clear" w:color="auto" w:fill="auto"/>
            <w:vAlign w:val="bottom"/>
          </w:tcPr>
          <w:p w14:paraId="0A8F44FB" w14:textId="042B2230"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59.5%</w:t>
            </w:r>
          </w:p>
        </w:tc>
        <w:tc>
          <w:tcPr>
            <w:tcW w:w="860" w:type="dxa"/>
            <w:shd w:val="clear" w:color="auto" w:fill="auto"/>
            <w:vAlign w:val="bottom"/>
          </w:tcPr>
          <w:p w14:paraId="3555FC45" w14:textId="63E869C5"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46,516</w:t>
            </w:r>
          </w:p>
        </w:tc>
        <w:tc>
          <w:tcPr>
            <w:tcW w:w="933" w:type="dxa"/>
            <w:gridSpan w:val="2"/>
            <w:shd w:val="clear" w:color="auto" w:fill="auto"/>
            <w:vAlign w:val="bottom"/>
          </w:tcPr>
          <w:p w14:paraId="3EBBA78D" w14:textId="236926A2"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57.2%</w:t>
            </w:r>
          </w:p>
        </w:tc>
      </w:tr>
      <w:tr w:rsidR="00AC79BE" w:rsidRPr="00AC79BE" w14:paraId="03D9AABA" w14:textId="77777777" w:rsidTr="001F07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vAlign w:val="center"/>
          </w:tcPr>
          <w:p w14:paraId="336B6205" w14:textId="217E5660" w:rsidR="00AC79BE" w:rsidRPr="00AC79BE" w:rsidRDefault="00AC79BE" w:rsidP="00AC79BE">
            <w:pPr>
              <w:spacing w:line="240" w:lineRule="auto"/>
              <w:ind w:left="157"/>
              <w:rPr>
                <w:rFonts w:cs="Times New Roman"/>
                <w:b w:val="0"/>
                <w:bCs w:val="0"/>
                <w:sz w:val="20"/>
                <w:szCs w:val="20"/>
              </w:rPr>
            </w:pPr>
            <w:r w:rsidRPr="00AC79BE">
              <w:rPr>
                <w:rFonts w:cs="Times New Roman"/>
                <w:b w:val="0"/>
                <w:bCs w:val="0"/>
                <w:sz w:val="20"/>
                <w:szCs w:val="20"/>
              </w:rPr>
              <w:t>Other</w:t>
            </w:r>
          </w:p>
        </w:tc>
        <w:tc>
          <w:tcPr>
            <w:tcW w:w="861" w:type="dxa"/>
            <w:shd w:val="clear" w:color="auto" w:fill="auto"/>
            <w:vAlign w:val="bottom"/>
          </w:tcPr>
          <w:p w14:paraId="399C1FCD" w14:textId="413D8247"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1,303</w:t>
            </w:r>
          </w:p>
        </w:tc>
        <w:tc>
          <w:tcPr>
            <w:tcW w:w="933" w:type="dxa"/>
            <w:gridSpan w:val="2"/>
            <w:shd w:val="clear" w:color="auto" w:fill="auto"/>
            <w:vAlign w:val="bottom"/>
          </w:tcPr>
          <w:p w14:paraId="357CC7FA" w14:textId="0EA8FD3A"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1.5%</w:t>
            </w:r>
          </w:p>
        </w:tc>
        <w:tc>
          <w:tcPr>
            <w:tcW w:w="860" w:type="dxa"/>
            <w:shd w:val="clear" w:color="auto" w:fill="auto"/>
            <w:vAlign w:val="bottom"/>
          </w:tcPr>
          <w:p w14:paraId="0F1086C2" w14:textId="277BC26E"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942</w:t>
            </w:r>
          </w:p>
        </w:tc>
        <w:tc>
          <w:tcPr>
            <w:tcW w:w="933" w:type="dxa"/>
            <w:gridSpan w:val="2"/>
            <w:shd w:val="clear" w:color="auto" w:fill="auto"/>
            <w:vAlign w:val="bottom"/>
          </w:tcPr>
          <w:p w14:paraId="080E7827" w14:textId="6872A433"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1.1%</w:t>
            </w:r>
          </w:p>
        </w:tc>
        <w:tc>
          <w:tcPr>
            <w:tcW w:w="860" w:type="dxa"/>
            <w:shd w:val="clear" w:color="auto" w:fill="auto"/>
            <w:vAlign w:val="bottom"/>
          </w:tcPr>
          <w:p w14:paraId="2E242212" w14:textId="7FCFD55D"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1,120</w:t>
            </w:r>
          </w:p>
        </w:tc>
        <w:tc>
          <w:tcPr>
            <w:tcW w:w="933" w:type="dxa"/>
            <w:gridSpan w:val="2"/>
            <w:shd w:val="clear" w:color="auto" w:fill="auto"/>
            <w:vAlign w:val="bottom"/>
          </w:tcPr>
          <w:p w14:paraId="3B3BE554" w14:textId="2AEFF41F"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1.4%</w:t>
            </w:r>
          </w:p>
        </w:tc>
      </w:tr>
      <w:tr w:rsidR="002F3133" w:rsidRPr="00AC79BE" w14:paraId="7B10D619" w14:textId="77777777" w:rsidTr="001F07BC">
        <w:trPr>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5E33DBD5" w14:textId="77777777" w:rsidR="002F3133" w:rsidRPr="00AC79BE" w:rsidRDefault="002F3133" w:rsidP="002F3133">
            <w:pPr>
              <w:spacing w:line="240" w:lineRule="auto"/>
              <w:rPr>
                <w:rFonts w:cs="Times New Roman"/>
                <w:sz w:val="20"/>
                <w:szCs w:val="20"/>
              </w:rPr>
            </w:pPr>
            <w:r w:rsidRPr="00AC79BE">
              <w:rPr>
                <w:rFonts w:cs="Times New Roman"/>
                <w:sz w:val="20"/>
                <w:szCs w:val="20"/>
              </w:rPr>
              <w:t>Age</w:t>
            </w:r>
          </w:p>
        </w:tc>
        <w:tc>
          <w:tcPr>
            <w:tcW w:w="861" w:type="dxa"/>
            <w:shd w:val="clear" w:color="auto" w:fill="auto"/>
          </w:tcPr>
          <w:p w14:paraId="06855E1D"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457828F2"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60" w:type="dxa"/>
            <w:shd w:val="clear" w:color="auto" w:fill="auto"/>
          </w:tcPr>
          <w:p w14:paraId="2DC79E69"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5E14FB75"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60" w:type="dxa"/>
            <w:shd w:val="clear" w:color="auto" w:fill="auto"/>
          </w:tcPr>
          <w:p w14:paraId="65FFA51F"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1B6E8C80"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AC79BE" w:rsidRPr="00AC79BE" w14:paraId="6AA0398D" w14:textId="77777777" w:rsidTr="001F07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4FF287D9" w14:textId="77777777" w:rsidR="00AC79BE" w:rsidRPr="00AC79BE" w:rsidRDefault="00AC79BE" w:rsidP="00AC79BE">
            <w:pPr>
              <w:spacing w:line="240" w:lineRule="auto"/>
              <w:ind w:left="157"/>
              <w:rPr>
                <w:rFonts w:cs="Times New Roman"/>
                <w:b w:val="0"/>
                <w:bCs w:val="0"/>
                <w:sz w:val="20"/>
                <w:szCs w:val="20"/>
              </w:rPr>
            </w:pPr>
            <w:r w:rsidRPr="00AC79BE">
              <w:rPr>
                <w:rFonts w:cs="Times New Roman"/>
                <w:b w:val="0"/>
                <w:bCs w:val="0"/>
                <w:sz w:val="20"/>
                <w:szCs w:val="20"/>
              </w:rPr>
              <w:t>0 to 17</w:t>
            </w:r>
          </w:p>
        </w:tc>
        <w:tc>
          <w:tcPr>
            <w:tcW w:w="861" w:type="dxa"/>
            <w:shd w:val="clear" w:color="auto" w:fill="auto"/>
          </w:tcPr>
          <w:p w14:paraId="265278F5" w14:textId="47AC4D1D"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7,485</w:t>
            </w:r>
          </w:p>
        </w:tc>
        <w:tc>
          <w:tcPr>
            <w:tcW w:w="933" w:type="dxa"/>
            <w:gridSpan w:val="2"/>
            <w:shd w:val="clear" w:color="auto" w:fill="auto"/>
          </w:tcPr>
          <w:p w14:paraId="44F722C6" w14:textId="6C1011BC"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8.5%</w:t>
            </w:r>
          </w:p>
        </w:tc>
        <w:tc>
          <w:tcPr>
            <w:tcW w:w="860" w:type="dxa"/>
            <w:shd w:val="clear" w:color="auto" w:fill="auto"/>
          </w:tcPr>
          <w:p w14:paraId="57FDE29D" w14:textId="76D07763"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6,998</w:t>
            </w:r>
          </w:p>
        </w:tc>
        <w:tc>
          <w:tcPr>
            <w:tcW w:w="933" w:type="dxa"/>
            <w:gridSpan w:val="2"/>
            <w:shd w:val="clear" w:color="auto" w:fill="auto"/>
          </w:tcPr>
          <w:p w14:paraId="41EB9553" w14:textId="0DC7AF9D"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8.5%</w:t>
            </w:r>
          </w:p>
        </w:tc>
        <w:tc>
          <w:tcPr>
            <w:tcW w:w="860" w:type="dxa"/>
            <w:shd w:val="clear" w:color="auto" w:fill="auto"/>
          </w:tcPr>
          <w:p w14:paraId="05CC6766" w14:textId="28427C5B"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6,637</w:t>
            </w:r>
          </w:p>
        </w:tc>
        <w:tc>
          <w:tcPr>
            <w:tcW w:w="933" w:type="dxa"/>
            <w:gridSpan w:val="2"/>
            <w:shd w:val="clear" w:color="auto" w:fill="auto"/>
          </w:tcPr>
          <w:p w14:paraId="0DA76A28" w14:textId="16AB201A"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8.2%</w:t>
            </w:r>
          </w:p>
        </w:tc>
      </w:tr>
      <w:tr w:rsidR="00AC79BE" w:rsidRPr="00AC79BE" w14:paraId="0985FDEE" w14:textId="77777777" w:rsidTr="001F07BC">
        <w:trPr>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1FCCB8D5" w14:textId="77777777" w:rsidR="00AC79BE" w:rsidRPr="00AC79BE" w:rsidRDefault="00AC79BE" w:rsidP="00AC79BE">
            <w:pPr>
              <w:spacing w:line="240" w:lineRule="auto"/>
              <w:ind w:left="157"/>
              <w:rPr>
                <w:rFonts w:cs="Times New Roman"/>
                <w:b w:val="0"/>
                <w:bCs w:val="0"/>
                <w:sz w:val="20"/>
                <w:szCs w:val="20"/>
              </w:rPr>
            </w:pPr>
            <w:r w:rsidRPr="00AC79BE">
              <w:rPr>
                <w:rFonts w:cs="Times New Roman"/>
                <w:b w:val="0"/>
                <w:bCs w:val="0"/>
                <w:sz w:val="20"/>
                <w:szCs w:val="20"/>
              </w:rPr>
              <w:t>18 to 64</w:t>
            </w:r>
          </w:p>
        </w:tc>
        <w:tc>
          <w:tcPr>
            <w:tcW w:w="861" w:type="dxa"/>
            <w:shd w:val="clear" w:color="auto" w:fill="auto"/>
          </w:tcPr>
          <w:p w14:paraId="0BDB785B" w14:textId="6BBA90C6"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51,479</w:t>
            </w:r>
          </w:p>
        </w:tc>
        <w:tc>
          <w:tcPr>
            <w:tcW w:w="933" w:type="dxa"/>
            <w:gridSpan w:val="2"/>
            <w:shd w:val="clear" w:color="auto" w:fill="auto"/>
          </w:tcPr>
          <w:p w14:paraId="7DA4FEA4" w14:textId="0C3C8BB2"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58.3%</w:t>
            </w:r>
          </w:p>
        </w:tc>
        <w:tc>
          <w:tcPr>
            <w:tcW w:w="860" w:type="dxa"/>
            <w:shd w:val="clear" w:color="auto" w:fill="auto"/>
          </w:tcPr>
          <w:p w14:paraId="3DC9D3A3" w14:textId="570F93FC"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46,471</w:t>
            </w:r>
          </w:p>
        </w:tc>
        <w:tc>
          <w:tcPr>
            <w:tcW w:w="933" w:type="dxa"/>
            <w:gridSpan w:val="2"/>
            <w:shd w:val="clear" w:color="auto" w:fill="auto"/>
          </w:tcPr>
          <w:p w14:paraId="02C8EA03" w14:textId="0B203284"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56.3%</w:t>
            </w:r>
          </w:p>
        </w:tc>
        <w:tc>
          <w:tcPr>
            <w:tcW w:w="860" w:type="dxa"/>
            <w:shd w:val="clear" w:color="auto" w:fill="auto"/>
          </w:tcPr>
          <w:p w14:paraId="70C627BD" w14:textId="16604A04"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44,630</w:t>
            </w:r>
          </w:p>
        </w:tc>
        <w:tc>
          <w:tcPr>
            <w:tcW w:w="933" w:type="dxa"/>
            <w:gridSpan w:val="2"/>
            <w:shd w:val="clear" w:color="auto" w:fill="auto"/>
          </w:tcPr>
          <w:p w14:paraId="7CEF75C5" w14:textId="491894A5"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54.9%</w:t>
            </w:r>
          </w:p>
        </w:tc>
      </w:tr>
      <w:tr w:rsidR="00AC79BE" w:rsidRPr="00AC79BE" w14:paraId="3BA50965" w14:textId="77777777" w:rsidTr="001F07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746B5492" w14:textId="77777777" w:rsidR="00AC79BE" w:rsidRPr="00AC79BE" w:rsidRDefault="00AC79BE" w:rsidP="00AC79BE">
            <w:pPr>
              <w:spacing w:line="240" w:lineRule="auto"/>
              <w:ind w:left="157"/>
              <w:rPr>
                <w:rFonts w:cs="Times New Roman"/>
                <w:b w:val="0"/>
                <w:bCs w:val="0"/>
                <w:sz w:val="20"/>
                <w:szCs w:val="20"/>
              </w:rPr>
            </w:pPr>
            <w:r w:rsidRPr="00AC79BE">
              <w:rPr>
                <w:rFonts w:cs="Times New Roman"/>
                <w:b w:val="0"/>
                <w:bCs w:val="0"/>
                <w:sz w:val="20"/>
                <w:szCs w:val="20"/>
              </w:rPr>
              <w:t>65+</w:t>
            </w:r>
          </w:p>
        </w:tc>
        <w:tc>
          <w:tcPr>
            <w:tcW w:w="861" w:type="dxa"/>
            <w:shd w:val="clear" w:color="auto" w:fill="auto"/>
          </w:tcPr>
          <w:p w14:paraId="54985F52" w14:textId="040D847C"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29,305</w:t>
            </w:r>
          </w:p>
        </w:tc>
        <w:tc>
          <w:tcPr>
            <w:tcW w:w="933" w:type="dxa"/>
            <w:gridSpan w:val="2"/>
            <w:shd w:val="clear" w:color="auto" w:fill="auto"/>
          </w:tcPr>
          <w:p w14:paraId="748DB769" w14:textId="3D89C602"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33.2%</w:t>
            </w:r>
          </w:p>
        </w:tc>
        <w:tc>
          <w:tcPr>
            <w:tcW w:w="860" w:type="dxa"/>
            <w:shd w:val="clear" w:color="auto" w:fill="auto"/>
          </w:tcPr>
          <w:p w14:paraId="7BC22330" w14:textId="26B97B66"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29,061</w:t>
            </w:r>
          </w:p>
        </w:tc>
        <w:tc>
          <w:tcPr>
            <w:tcW w:w="933" w:type="dxa"/>
            <w:gridSpan w:val="2"/>
            <w:shd w:val="clear" w:color="auto" w:fill="auto"/>
          </w:tcPr>
          <w:p w14:paraId="61CCE5F1" w14:textId="3B82AB48"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35.2%</w:t>
            </w:r>
          </w:p>
        </w:tc>
        <w:tc>
          <w:tcPr>
            <w:tcW w:w="860" w:type="dxa"/>
            <w:shd w:val="clear" w:color="auto" w:fill="auto"/>
          </w:tcPr>
          <w:p w14:paraId="0C9E31FC" w14:textId="3A73D216"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30,097</w:t>
            </w:r>
          </w:p>
        </w:tc>
        <w:tc>
          <w:tcPr>
            <w:tcW w:w="933" w:type="dxa"/>
            <w:gridSpan w:val="2"/>
            <w:shd w:val="clear" w:color="auto" w:fill="auto"/>
          </w:tcPr>
          <w:p w14:paraId="2BF04573" w14:textId="6B0C09D7"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37.0%</w:t>
            </w:r>
          </w:p>
        </w:tc>
      </w:tr>
      <w:tr w:rsidR="002F3133" w:rsidRPr="00AC79BE" w14:paraId="07D59936" w14:textId="77777777" w:rsidTr="001F07BC">
        <w:trPr>
          <w:cantSplit/>
          <w:trHeight w:val="80"/>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083379A9" w14:textId="40B47474" w:rsidR="002F3133" w:rsidRPr="00AC79BE" w:rsidRDefault="002F3133" w:rsidP="002F3133">
            <w:pPr>
              <w:spacing w:line="240" w:lineRule="auto"/>
              <w:rPr>
                <w:rFonts w:cs="Times New Roman"/>
                <w:sz w:val="20"/>
                <w:szCs w:val="20"/>
              </w:rPr>
            </w:pPr>
            <w:r w:rsidRPr="00AC79BE">
              <w:rPr>
                <w:rFonts w:cs="Times New Roman"/>
                <w:sz w:val="20"/>
                <w:szCs w:val="20"/>
              </w:rPr>
              <w:t>Race</w:t>
            </w:r>
          </w:p>
        </w:tc>
        <w:tc>
          <w:tcPr>
            <w:tcW w:w="861" w:type="dxa"/>
            <w:shd w:val="clear" w:color="auto" w:fill="auto"/>
          </w:tcPr>
          <w:p w14:paraId="39CEFFD8"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5539C4D4"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60" w:type="dxa"/>
            <w:shd w:val="clear" w:color="auto" w:fill="auto"/>
          </w:tcPr>
          <w:p w14:paraId="2440DE2C"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6797F9B3"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60" w:type="dxa"/>
            <w:shd w:val="clear" w:color="auto" w:fill="auto"/>
          </w:tcPr>
          <w:p w14:paraId="4C533F50"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30B0C07F"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AC79BE" w:rsidRPr="00AC79BE" w14:paraId="03CBC29C" w14:textId="77777777" w:rsidTr="001F07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vAlign w:val="center"/>
          </w:tcPr>
          <w:p w14:paraId="224815F6" w14:textId="26A2E4BC" w:rsidR="00AC79BE" w:rsidRPr="00AC79BE" w:rsidRDefault="00AC79BE" w:rsidP="00AC79BE">
            <w:pPr>
              <w:spacing w:line="240" w:lineRule="auto"/>
              <w:ind w:left="157"/>
              <w:rPr>
                <w:rFonts w:cs="Times New Roman"/>
                <w:b w:val="0"/>
                <w:bCs w:val="0"/>
                <w:sz w:val="20"/>
                <w:szCs w:val="20"/>
              </w:rPr>
            </w:pPr>
            <w:r w:rsidRPr="00AC79BE">
              <w:rPr>
                <w:rFonts w:cs="Times New Roman"/>
                <w:b w:val="0"/>
                <w:bCs w:val="0"/>
                <w:sz w:val="20"/>
                <w:szCs w:val="20"/>
              </w:rPr>
              <w:t>American Indian/ Alaskan Native</w:t>
            </w:r>
          </w:p>
        </w:tc>
        <w:tc>
          <w:tcPr>
            <w:tcW w:w="861" w:type="dxa"/>
            <w:shd w:val="clear" w:color="auto" w:fill="auto"/>
            <w:vAlign w:val="bottom"/>
          </w:tcPr>
          <w:p w14:paraId="427F3F8E" w14:textId="23D5FF2B"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73</w:t>
            </w:r>
          </w:p>
        </w:tc>
        <w:tc>
          <w:tcPr>
            <w:tcW w:w="933" w:type="dxa"/>
            <w:gridSpan w:val="2"/>
            <w:shd w:val="clear" w:color="auto" w:fill="auto"/>
            <w:vAlign w:val="bottom"/>
          </w:tcPr>
          <w:p w14:paraId="26B6057A" w14:textId="29CE18A0"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0.1%</w:t>
            </w:r>
          </w:p>
        </w:tc>
        <w:tc>
          <w:tcPr>
            <w:tcW w:w="860" w:type="dxa"/>
            <w:shd w:val="clear" w:color="auto" w:fill="auto"/>
            <w:vAlign w:val="bottom"/>
          </w:tcPr>
          <w:p w14:paraId="2FFCD976" w14:textId="50BDFC4A"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71</w:t>
            </w:r>
          </w:p>
        </w:tc>
        <w:tc>
          <w:tcPr>
            <w:tcW w:w="933" w:type="dxa"/>
            <w:gridSpan w:val="2"/>
            <w:shd w:val="clear" w:color="auto" w:fill="auto"/>
            <w:vAlign w:val="bottom"/>
          </w:tcPr>
          <w:p w14:paraId="122F49EE" w14:textId="2FCDD30F"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0.1%</w:t>
            </w:r>
          </w:p>
        </w:tc>
        <w:tc>
          <w:tcPr>
            <w:tcW w:w="860" w:type="dxa"/>
            <w:shd w:val="clear" w:color="auto" w:fill="auto"/>
            <w:vAlign w:val="bottom"/>
          </w:tcPr>
          <w:p w14:paraId="3B33DC92" w14:textId="1341FB62"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95</w:t>
            </w:r>
          </w:p>
        </w:tc>
        <w:tc>
          <w:tcPr>
            <w:tcW w:w="933" w:type="dxa"/>
            <w:gridSpan w:val="2"/>
            <w:shd w:val="clear" w:color="auto" w:fill="auto"/>
            <w:vAlign w:val="bottom"/>
          </w:tcPr>
          <w:p w14:paraId="4FA18DDA" w14:textId="1FFFAD5C"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0.1%</w:t>
            </w:r>
          </w:p>
        </w:tc>
      </w:tr>
      <w:tr w:rsidR="00AC79BE" w:rsidRPr="00AC79BE" w14:paraId="2DF71E78" w14:textId="77777777" w:rsidTr="001F07BC">
        <w:trPr>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vAlign w:val="center"/>
          </w:tcPr>
          <w:p w14:paraId="6E44B513" w14:textId="522DC874" w:rsidR="00AC79BE" w:rsidRPr="00AC79BE" w:rsidRDefault="00AC79BE" w:rsidP="00AC79BE">
            <w:pPr>
              <w:spacing w:line="240" w:lineRule="auto"/>
              <w:ind w:left="157"/>
              <w:rPr>
                <w:rFonts w:cs="Times New Roman"/>
                <w:b w:val="0"/>
                <w:bCs w:val="0"/>
                <w:sz w:val="20"/>
                <w:szCs w:val="20"/>
              </w:rPr>
            </w:pPr>
            <w:r w:rsidRPr="00AC79BE">
              <w:rPr>
                <w:rFonts w:cs="Times New Roman"/>
                <w:b w:val="0"/>
                <w:bCs w:val="0"/>
                <w:sz w:val="20"/>
                <w:szCs w:val="20"/>
              </w:rPr>
              <w:t>Asian</w:t>
            </w:r>
          </w:p>
        </w:tc>
        <w:tc>
          <w:tcPr>
            <w:tcW w:w="861" w:type="dxa"/>
            <w:shd w:val="clear" w:color="auto" w:fill="auto"/>
            <w:vAlign w:val="bottom"/>
          </w:tcPr>
          <w:p w14:paraId="5CE38606" w14:textId="01A0F8FC"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529</w:t>
            </w:r>
          </w:p>
        </w:tc>
        <w:tc>
          <w:tcPr>
            <w:tcW w:w="933" w:type="dxa"/>
            <w:gridSpan w:val="2"/>
            <w:shd w:val="clear" w:color="auto" w:fill="auto"/>
            <w:vAlign w:val="bottom"/>
          </w:tcPr>
          <w:p w14:paraId="1F997238" w14:textId="21736040"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0.6%</w:t>
            </w:r>
          </w:p>
        </w:tc>
        <w:tc>
          <w:tcPr>
            <w:tcW w:w="860" w:type="dxa"/>
            <w:shd w:val="clear" w:color="auto" w:fill="auto"/>
            <w:vAlign w:val="bottom"/>
          </w:tcPr>
          <w:p w14:paraId="5CBF803F" w14:textId="5575A37E"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537</w:t>
            </w:r>
          </w:p>
        </w:tc>
        <w:tc>
          <w:tcPr>
            <w:tcW w:w="933" w:type="dxa"/>
            <w:gridSpan w:val="2"/>
            <w:shd w:val="clear" w:color="auto" w:fill="auto"/>
            <w:vAlign w:val="bottom"/>
          </w:tcPr>
          <w:p w14:paraId="39A7C9AD" w14:textId="3BCADB14"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0.7%</w:t>
            </w:r>
          </w:p>
        </w:tc>
        <w:tc>
          <w:tcPr>
            <w:tcW w:w="860" w:type="dxa"/>
            <w:shd w:val="clear" w:color="auto" w:fill="auto"/>
            <w:vAlign w:val="bottom"/>
          </w:tcPr>
          <w:p w14:paraId="74F0D50D" w14:textId="62FB1CA1"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502</w:t>
            </w:r>
          </w:p>
        </w:tc>
        <w:tc>
          <w:tcPr>
            <w:tcW w:w="933" w:type="dxa"/>
            <w:gridSpan w:val="2"/>
            <w:shd w:val="clear" w:color="auto" w:fill="auto"/>
            <w:vAlign w:val="bottom"/>
          </w:tcPr>
          <w:p w14:paraId="562A4071" w14:textId="74BB27B3"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0.6%</w:t>
            </w:r>
          </w:p>
        </w:tc>
      </w:tr>
      <w:tr w:rsidR="00AC79BE" w:rsidRPr="00AC79BE" w14:paraId="2D1E75B3" w14:textId="77777777" w:rsidTr="001F07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vAlign w:val="center"/>
          </w:tcPr>
          <w:p w14:paraId="4F8FD6E2" w14:textId="7C140B28" w:rsidR="00AC79BE" w:rsidRPr="00AC79BE" w:rsidRDefault="00AC79BE" w:rsidP="00AC79BE">
            <w:pPr>
              <w:spacing w:line="240" w:lineRule="auto"/>
              <w:ind w:left="157"/>
              <w:rPr>
                <w:rFonts w:cs="Times New Roman"/>
                <w:b w:val="0"/>
                <w:bCs w:val="0"/>
                <w:sz w:val="20"/>
                <w:szCs w:val="20"/>
              </w:rPr>
            </w:pPr>
            <w:r w:rsidRPr="00AC79BE">
              <w:rPr>
                <w:rFonts w:cs="Times New Roman"/>
                <w:b w:val="0"/>
                <w:bCs w:val="0"/>
                <w:sz w:val="20"/>
                <w:szCs w:val="20"/>
              </w:rPr>
              <w:t>Black or African American</w:t>
            </w:r>
          </w:p>
        </w:tc>
        <w:tc>
          <w:tcPr>
            <w:tcW w:w="861" w:type="dxa"/>
            <w:shd w:val="clear" w:color="auto" w:fill="auto"/>
            <w:vAlign w:val="bottom"/>
          </w:tcPr>
          <w:p w14:paraId="5C338227" w14:textId="4BEF6AC1"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1,738</w:t>
            </w:r>
          </w:p>
        </w:tc>
        <w:tc>
          <w:tcPr>
            <w:tcW w:w="933" w:type="dxa"/>
            <w:gridSpan w:val="2"/>
            <w:shd w:val="clear" w:color="auto" w:fill="auto"/>
            <w:vAlign w:val="bottom"/>
          </w:tcPr>
          <w:p w14:paraId="3F14FB25" w14:textId="25DA8AA8"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2.0%</w:t>
            </w:r>
          </w:p>
        </w:tc>
        <w:tc>
          <w:tcPr>
            <w:tcW w:w="860" w:type="dxa"/>
            <w:shd w:val="clear" w:color="auto" w:fill="auto"/>
            <w:vAlign w:val="bottom"/>
          </w:tcPr>
          <w:p w14:paraId="22F38047" w14:textId="1EC039B6"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1,718</w:t>
            </w:r>
          </w:p>
        </w:tc>
        <w:tc>
          <w:tcPr>
            <w:tcW w:w="933" w:type="dxa"/>
            <w:gridSpan w:val="2"/>
            <w:shd w:val="clear" w:color="auto" w:fill="auto"/>
            <w:vAlign w:val="bottom"/>
          </w:tcPr>
          <w:p w14:paraId="728CE25B" w14:textId="7DCECCD1"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2.1%</w:t>
            </w:r>
          </w:p>
        </w:tc>
        <w:tc>
          <w:tcPr>
            <w:tcW w:w="860" w:type="dxa"/>
            <w:shd w:val="clear" w:color="auto" w:fill="auto"/>
            <w:vAlign w:val="bottom"/>
          </w:tcPr>
          <w:p w14:paraId="21D4B09A" w14:textId="37DE67E4"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1,878</w:t>
            </w:r>
          </w:p>
        </w:tc>
        <w:tc>
          <w:tcPr>
            <w:tcW w:w="933" w:type="dxa"/>
            <w:gridSpan w:val="2"/>
            <w:shd w:val="clear" w:color="auto" w:fill="auto"/>
            <w:vAlign w:val="bottom"/>
          </w:tcPr>
          <w:p w14:paraId="7787BB04" w14:textId="5AB9DB94"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2.3%</w:t>
            </w:r>
          </w:p>
        </w:tc>
      </w:tr>
      <w:tr w:rsidR="00AC79BE" w:rsidRPr="00AC79BE" w14:paraId="0FC05CF6" w14:textId="77777777" w:rsidTr="001F07BC">
        <w:trPr>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vAlign w:val="center"/>
          </w:tcPr>
          <w:p w14:paraId="2DE7D369" w14:textId="0684ED7E" w:rsidR="00AC79BE" w:rsidRPr="00AC79BE" w:rsidRDefault="00AC79BE" w:rsidP="00AC79BE">
            <w:pPr>
              <w:spacing w:line="240" w:lineRule="auto"/>
              <w:ind w:left="157"/>
              <w:rPr>
                <w:rFonts w:cs="Times New Roman"/>
                <w:b w:val="0"/>
                <w:bCs w:val="0"/>
                <w:sz w:val="20"/>
                <w:szCs w:val="20"/>
              </w:rPr>
            </w:pPr>
            <w:r w:rsidRPr="00AC79BE">
              <w:rPr>
                <w:rFonts w:cs="Times New Roman"/>
                <w:b w:val="0"/>
                <w:bCs w:val="0"/>
                <w:sz w:val="20"/>
                <w:szCs w:val="20"/>
              </w:rPr>
              <w:t>Native Hawaiian or Other Pacific Islander</w:t>
            </w:r>
          </w:p>
        </w:tc>
        <w:tc>
          <w:tcPr>
            <w:tcW w:w="861" w:type="dxa"/>
            <w:shd w:val="clear" w:color="auto" w:fill="auto"/>
            <w:vAlign w:val="bottom"/>
          </w:tcPr>
          <w:p w14:paraId="31A62D79" w14:textId="195A389D"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8,262</w:t>
            </w:r>
          </w:p>
        </w:tc>
        <w:tc>
          <w:tcPr>
            <w:tcW w:w="933" w:type="dxa"/>
            <w:gridSpan w:val="2"/>
            <w:shd w:val="clear" w:color="auto" w:fill="auto"/>
            <w:vAlign w:val="bottom"/>
          </w:tcPr>
          <w:p w14:paraId="4F2B5BFD" w14:textId="23D9D457"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9.4%</w:t>
            </w:r>
          </w:p>
        </w:tc>
        <w:tc>
          <w:tcPr>
            <w:tcW w:w="860" w:type="dxa"/>
            <w:shd w:val="clear" w:color="auto" w:fill="auto"/>
            <w:vAlign w:val="bottom"/>
          </w:tcPr>
          <w:p w14:paraId="4D74DB5E" w14:textId="6C530E26"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5,923</w:t>
            </w:r>
          </w:p>
        </w:tc>
        <w:tc>
          <w:tcPr>
            <w:tcW w:w="933" w:type="dxa"/>
            <w:gridSpan w:val="2"/>
            <w:shd w:val="clear" w:color="auto" w:fill="auto"/>
            <w:vAlign w:val="bottom"/>
          </w:tcPr>
          <w:p w14:paraId="1710728D" w14:textId="03CAB4C7"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7.2%</w:t>
            </w:r>
          </w:p>
        </w:tc>
        <w:tc>
          <w:tcPr>
            <w:tcW w:w="860" w:type="dxa"/>
            <w:shd w:val="clear" w:color="auto" w:fill="auto"/>
            <w:vAlign w:val="bottom"/>
          </w:tcPr>
          <w:p w14:paraId="6D07570C" w14:textId="3440F4F1"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6,673</w:t>
            </w:r>
          </w:p>
        </w:tc>
        <w:tc>
          <w:tcPr>
            <w:tcW w:w="933" w:type="dxa"/>
            <w:gridSpan w:val="2"/>
            <w:shd w:val="clear" w:color="auto" w:fill="auto"/>
            <w:vAlign w:val="bottom"/>
          </w:tcPr>
          <w:p w14:paraId="4DA360AB" w14:textId="44DBDDB8"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8.2%</w:t>
            </w:r>
          </w:p>
        </w:tc>
      </w:tr>
      <w:tr w:rsidR="002F3133" w:rsidRPr="00AC79BE" w14:paraId="65F2E260" w14:textId="77777777" w:rsidTr="001F07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vAlign w:val="center"/>
          </w:tcPr>
          <w:p w14:paraId="4A4EE50C" w14:textId="3810756D" w:rsidR="002F3133" w:rsidRPr="00AC79BE" w:rsidRDefault="002F3133" w:rsidP="002F3133">
            <w:pPr>
              <w:spacing w:line="240" w:lineRule="auto"/>
              <w:ind w:left="157"/>
              <w:rPr>
                <w:rFonts w:cs="Times New Roman"/>
                <w:b w:val="0"/>
                <w:bCs w:val="0"/>
                <w:sz w:val="20"/>
                <w:szCs w:val="20"/>
              </w:rPr>
            </w:pPr>
            <w:r w:rsidRPr="00AC79BE">
              <w:rPr>
                <w:rFonts w:cs="Times New Roman"/>
                <w:b w:val="0"/>
                <w:bCs w:val="0"/>
                <w:sz w:val="20"/>
                <w:szCs w:val="20"/>
              </w:rPr>
              <w:t>Other</w:t>
            </w:r>
          </w:p>
        </w:tc>
        <w:tc>
          <w:tcPr>
            <w:tcW w:w="861" w:type="dxa"/>
            <w:shd w:val="clear" w:color="auto" w:fill="auto"/>
            <w:vAlign w:val="center"/>
          </w:tcPr>
          <w:p w14:paraId="4FB5E9B4" w14:textId="09194CB6" w:rsidR="002F3133" w:rsidRPr="00AC79BE" w:rsidRDefault="002F3133" w:rsidP="002F313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659</w:t>
            </w:r>
          </w:p>
        </w:tc>
        <w:tc>
          <w:tcPr>
            <w:tcW w:w="933" w:type="dxa"/>
            <w:gridSpan w:val="2"/>
            <w:shd w:val="clear" w:color="auto" w:fill="auto"/>
            <w:vAlign w:val="center"/>
          </w:tcPr>
          <w:p w14:paraId="10D39142" w14:textId="2AA0A04F" w:rsidR="002F3133" w:rsidRPr="00AC79BE" w:rsidRDefault="002F3133" w:rsidP="002F313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0.76%</w:t>
            </w:r>
          </w:p>
        </w:tc>
        <w:tc>
          <w:tcPr>
            <w:tcW w:w="860" w:type="dxa"/>
            <w:shd w:val="clear" w:color="auto" w:fill="auto"/>
            <w:vAlign w:val="center"/>
          </w:tcPr>
          <w:p w14:paraId="1F7855EA" w14:textId="6F32C765" w:rsidR="002F3133" w:rsidRPr="00AC79BE" w:rsidRDefault="002F3133" w:rsidP="002F313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620</w:t>
            </w:r>
          </w:p>
        </w:tc>
        <w:tc>
          <w:tcPr>
            <w:tcW w:w="933" w:type="dxa"/>
            <w:gridSpan w:val="2"/>
            <w:shd w:val="clear" w:color="auto" w:fill="auto"/>
            <w:vAlign w:val="center"/>
          </w:tcPr>
          <w:p w14:paraId="6684A9AD" w14:textId="4E9C3598" w:rsidR="002F3133" w:rsidRPr="00AC79BE" w:rsidRDefault="002F3133" w:rsidP="002F313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0.</w:t>
            </w:r>
            <w:r w:rsidR="008D2D91" w:rsidRPr="00AC79BE">
              <w:rPr>
                <w:rFonts w:cs="Times New Roman"/>
                <w:sz w:val="20"/>
                <w:szCs w:val="20"/>
              </w:rPr>
              <w:t>9</w:t>
            </w:r>
            <w:r w:rsidRPr="00AC79BE">
              <w:rPr>
                <w:rFonts w:cs="Times New Roman"/>
                <w:sz w:val="20"/>
                <w:szCs w:val="20"/>
              </w:rPr>
              <w:t>%</w:t>
            </w:r>
          </w:p>
        </w:tc>
        <w:tc>
          <w:tcPr>
            <w:tcW w:w="860" w:type="dxa"/>
            <w:shd w:val="clear" w:color="auto" w:fill="auto"/>
            <w:vAlign w:val="center"/>
          </w:tcPr>
          <w:p w14:paraId="0A6E507B" w14:textId="6417B490" w:rsidR="002F3133" w:rsidRPr="00AC79BE" w:rsidRDefault="002F3133" w:rsidP="002F313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821</w:t>
            </w:r>
          </w:p>
        </w:tc>
        <w:tc>
          <w:tcPr>
            <w:tcW w:w="933" w:type="dxa"/>
            <w:gridSpan w:val="2"/>
            <w:shd w:val="clear" w:color="auto" w:fill="auto"/>
            <w:vAlign w:val="center"/>
          </w:tcPr>
          <w:p w14:paraId="4512311C" w14:textId="7A7ADC6B" w:rsidR="002F3133" w:rsidRPr="00AC79BE" w:rsidRDefault="002F3133" w:rsidP="002F313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1.0%</w:t>
            </w:r>
          </w:p>
        </w:tc>
      </w:tr>
      <w:tr w:rsidR="00AC79BE" w:rsidRPr="00AC79BE" w14:paraId="00D47B6B" w14:textId="77777777" w:rsidTr="001F07BC">
        <w:trPr>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vAlign w:val="center"/>
          </w:tcPr>
          <w:p w14:paraId="724113F5" w14:textId="7DF2EEBD" w:rsidR="00AC79BE" w:rsidRPr="00AC79BE" w:rsidRDefault="00AC79BE" w:rsidP="00AC79BE">
            <w:pPr>
              <w:spacing w:line="240" w:lineRule="auto"/>
              <w:ind w:left="157"/>
              <w:rPr>
                <w:rFonts w:cs="Times New Roman"/>
                <w:b w:val="0"/>
                <w:bCs w:val="0"/>
                <w:sz w:val="20"/>
                <w:szCs w:val="20"/>
              </w:rPr>
            </w:pPr>
            <w:r w:rsidRPr="00AC79BE">
              <w:rPr>
                <w:rFonts w:cs="Times New Roman"/>
                <w:b w:val="0"/>
                <w:bCs w:val="0"/>
                <w:sz w:val="20"/>
                <w:szCs w:val="20"/>
              </w:rPr>
              <w:t>White</w:t>
            </w:r>
          </w:p>
        </w:tc>
        <w:tc>
          <w:tcPr>
            <w:tcW w:w="861" w:type="dxa"/>
            <w:shd w:val="clear" w:color="auto" w:fill="auto"/>
            <w:vAlign w:val="bottom"/>
          </w:tcPr>
          <w:p w14:paraId="45A79E95" w14:textId="6A2C2508"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77,638</w:t>
            </w:r>
          </w:p>
        </w:tc>
        <w:tc>
          <w:tcPr>
            <w:tcW w:w="933" w:type="dxa"/>
            <w:gridSpan w:val="2"/>
            <w:shd w:val="clear" w:color="auto" w:fill="auto"/>
            <w:vAlign w:val="bottom"/>
          </w:tcPr>
          <w:p w14:paraId="4A7B8847" w14:textId="157B8940"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88.0%</w:t>
            </w:r>
          </w:p>
        </w:tc>
        <w:tc>
          <w:tcPr>
            <w:tcW w:w="860" w:type="dxa"/>
            <w:shd w:val="clear" w:color="auto" w:fill="auto"/>
            <w:vAlign w:val="bottom"/>
          </w:tcPr>
          <w:p w14:paraId="0027F6F2" w14:textId="0A83A2B2"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74,246</w:t>
            </w:r>
          </w:p>
        </w:tc>
        <w:tc>
          <w:tcPr>
            <w:tcW w:w="933" w:type="dxa"/>
            <w:gridSpan w:val="2"/>
            <w:shd w:val="clear" w:color="auto" w:fill="auto"/>
            <w:vAlign w:val="bottom"/>
          </w:tcPr>
          <w:p w14:paraId="18394BA7" w14:textId="1CD99CAB"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90.0%</w:t>
            </w:r>
          </w:p>
        </w:tc>
        <w:tc>
          <w:tcPr>
            <w:tcW w:w="860" w:type="dxa"/>
            <w:shd w:val="clear" w:color="auto" w:fill="auto"/>
            <w:vAlign w:val="bottom"/>
          </w:tcPr>
          <w:p w14:paraId="6917FFD0" w14:textId="5E773F13"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72,182</w:t>
            </w:r>
          </w:p>
        </w:tc>
        <w:tc>
          <w:tcPr>
            <w:tcW w:w="933" w:type="dxa"/>
            <w:gridSpan w:val="2"/>
            <w:shd w:val="clear" w:color="auto" w:fill="auto"/>
            <w:vAlign w:val="bottom"/>
          </w:tcPr>
          <w:p w14:paraId="58BDB4F8" w14:textId="7ED8F8BD"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88.7%</w:t>
            </w:r>
          </w:p>
        </w:tc>
      </w:tr>
      <w:tr w:rsidR="00AC79BE" w:rsidRPr="00AC79BE" w14:paraId="56DB474A" w14:textId="77777777" w:rsidTr="001F07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vAlign w:val="center"/>
          </w:tcPr>
          <w:p w14:paraId="28C36096" w14:textId="6BBDCC88" w:rsidR="00AC79BE" w:rsidRPr="00AC79BE" w:rsidRDefault="00AC79BE" w:rsidP="00AC79BE">
            <w:pPr>
              <w:spacing w:line="240" w:lineRule="auto"/>
              <w:ind w:left="157"/>
              <w:rPr>
                <w:rFonts w:cs="Times New Roman"/>
                <w:b w:val="0"/>
                <w:bCs w:val="0"/>
                <w:sz w:val="20"/>
                <w:szCs w:val="20"/>
              </w:rPr>
            </w:pPr>
            <w:r w:rsidRPr="00AC79BE">
              <w:rPr>
                <w:rFonts w:cs="Times New Roman"/>
                <w:b w:val="0"/>
                <w:bCs w:val="0"/>
                <w:sz w:val="20"/>
                <w:szCs w:val="20"/>
              </w:rPr>
              <w:t>Unknown</w:t>
            </w:r>
          </w:p>
        </w:tc>
        <w:tc>
          <w:tcPr>
            <w:tcW w:w="861" w:type="dxa"/>
            <w:shd w:val="clear" w:color="auto" w:fill="auto"/>
            <w:vAlign w:val="bottom"/>
          </w:tcPr>
          <w:p w14:paraId="6A5D1E60" w14:textId="69C0A4C0"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0</w:t>
            </w:r>
          </w:p>
        </w:tc>
        <w:tc>
          <w:tcPr>
            <w:tcW w:w="933" w:type="dxa"/>
            <w:gridSpan w:val="2"/>
            <w:shd w:val="clear" w:color="auto" w:fill="auto"/>
            <w:vAlign w:val="bottom"/>
          </w:tcPr>
          <w:p w14:paraId="11633872" w14:textId="4A1335C3"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0.0%</w:t>
            </w:r>
          </w:p>
        </w:tc>
        <w:tc>
          <w:tcPr>
            <w:tcW w:w="860" w:type="dxa"/>
            <w:shd w:val="clear" w:color="auto" w:fill="auto"/>
            <w:vAlign w:val="bottom"/>
          </w:tcPr>
          <w:p w14:paraId="267932A6" w14:textId="18965FCD"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0</w:t>
            </w:r>
          </w:p>
        </w:tc>
        <w:tc>
          <w:tcPr>
            <w:tcW w:w="933" w:type="dxa"/>
            <w:gridSpan w:val="2"/>
            <w:shd w:val="clear" w:color="auto" w:fill="auto"/>
            <w:vAlign w:val="bottom"/>
          </w:tcPr>
          <w:p w14:paraId="1298DDDA" w14:textId="221A8EC6"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0.0%</w:t>
            </w:r>
          </w:p>
        </w:tc>
        <w:tc>
          <w:tcPr>
            <w:tcW w:w="860" w:type="dxa"/>
            <w:shd w:val="clear" w:color="auto" w:fill="auto"/>
            <w:vAlign w:val="bottom"/>
          </w:tcPr>
          <w:p w14:paraId="0D83BBFB" w14:textId="1BB6F580"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0</w:t>
            </w:r>
          </w:p>
        </w:tc>
        <w:tc>
          <w:tcPr>
            <w:tcW w:w="933" w:type="dxa"/>
            <w:gridSpan w:val="2"/>
            <w:shd w:val="clear" w:color="auto" w:fill="auto"/>
            <w:vAlign w:val="bottom"/>
          </w:tcPr>
          <w:p w14:paraId="11CF401D" w14:textId="5585B685"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0.0%</w:t>
            </w:r>
          </w:p>
        </w:tc>
      </w:tr>
      <w:tr w:rsidR="005F66E6" w:rsidRPr="00AC79BE" w14:paraId="0F15FD33" w14:textId="77777777" w:rsidTr="001F07BC">
        <w:trPr>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vAlign w:val="center"/>
          </w:tcPr>
          <w:p w14:paraId="0462180C" w14:textId="278C95E8" w:rsidR="005F66E6" w:rsidRPr="00AC79BE" w:rsidRDefault="005F66E6" w:rsidP="005F66E6">
            <w:pPr>
              <w:spacing w:line="240" w:lineRule="auto"/>
              <w:rPr>
                <w:rFonts w:cs="Times New Roman"/>
                <w:sz w:val="20"/>
                <w:szCs w:val="20"/>
              </w:rPr>
            </w:pPr>
            <w:r w:rsidRPr="00AC79BE">
              <w:rPr>
                <w:rFonts w:cs="Times New Roman"/>
                <w:sz w:val="20"/>
                <w:szCs w:val="20"/>
              </w:rPr>
              <w:t>Ethnicity</w:t>
            </w:r>
          </w:p>
        </w:tc>
        <w:tc>
          <w:tcPr>
            <w:tcW w:w="861" w:type="dxa"/>
            <w:shd w:val="clear" w:color="auto" w:fill="auto"/>
            <w:vAlign w:val="center"/>
          </w:tcPr>
          <w:p w14:paraId="424147DF" w14:textId="77777777" w:rsidR="005F66E6" w:rsidRPr="00AC79BE" w:rsidRDefault="005F66E6"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33" w:type="dxa"/>
            <w:gridSpan w:val="2"/>
            <w:shd w:val="clear" w:color="auto" w:fill="auto"/>
            <w:vAlign w:val="center"/>
          </w:tcPr>
          <w:p w14:paraId="5D6F02BD" w14:textId="77777777" w:rsidR="005F66E6" w:rsidRPr="00AC79BE" w:rsidRDefault="005F66E6"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860" w:type="dxa"/>
            <w:shd w:val="clear" w:color="auto" w:fill="auto"/>
            <w:vAlign w:val="center"/>
          </w:tcPr>
          <w:p w14:paraId="06C8E681" w14:textId="77777777" w:rsidR="005F66E6" w:rsidRPr="00AC79BE" w:rsidRDefault="005F66E6"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33" w:type="dxa"/>
            <w:gridSpan w:val="2"/>
            <w:shd w:val="clear" w:color="auto" w:fill="auto"/>
            <w:vAlign w:val="center"/>
          </w:tcPr>
          <w:p w14:paraId="643F8E2C" w14:textId="77777777" w:rsidR="005F66E6" w:rsidRPr="00AC79BE" w:rsidRDefault="005F66E6"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860" w:type="dxa"/>
            <w:shd w:val="clear" w:color="auto" w:fill="auto"/>
            <w:vAlign w:val="center"/>
          </w:tcPr>
          <w:p w14:paraId="753E075F" w14:textId="77777777" w:rsidR="005F66E6" w:rsidRPr="00AC79BE" w:rsidRDefault="005F66E6"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33" w:type="dxa"/>
            <w:gridSpan w:val="2"/>
            <w:shd w:val="clear" w:color="auto" w:fill="auto"/>
            <w:vAlign w:val="center"/>
          </w:tcPr>
          <w:p w14:paraId="67ADBC19" w14:textId="77777777" w:rsidR="005F66E6" w:rsidRPr="00AC79BE" w:rsidRDefault="005F66E6"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616805" w:rsidRPr="00AC79BE" w14:paraId="44BF0814" w14:textId="77777777" w:rsidTr="001F07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4BCF515C" w14:textId="62DE34E9" w:rsidR="00616805" w:rsidRPr="00AC79BE" w:rsidRDefault="00616805" w:rsidP="00616805">
            <w:pPr>
              <w:spacing w:line="240" w:lineRule="auto"/>
              <w:ind w:left="157"/>
              <w:rPr>
                <w:rFonts w:cs="Times New Roman"/>
                <w:b w:val="0"/>
                <w:bCs w:val="0"/>
                <w:sz w:val="20"/>
                <w:szCs w:val="20"/>
              </w:rPr>
            </w:pPr>
            <w:r w:rsidRPr="00AC79BE">
              <w:rPr>
                <w:rFonts w:cs="Times New Roman"/>
                <w:b w:val="0"/>
                <w:bCs w:val="0"/>
                <w:sz w:val="20"/>
                <w:szCs w:val="20"/>
              </w:rPr>
              <w:t>Hispanic/Latino</w:t>
            </w:r>
          </w:p>
        </w:tc>
        <w:tc>
          <w:tcPr>
            <w:tcW w:w="861" w:type="dxa"/>
            <w:shd w:val="clear" w:color="auto" w:fill="auto"/>
          </w:tcPr>
          <w:p w14:paraId="6B712431" w14:textId="568D33D6" w:rsidR="00616805" w:rsidRPr="00AC79BE" w:rsidRDefault="00616805" w:rsidP="00616805">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945</w:t>
            </w:r>
          </w:p>
        </w:tc>
        <w:tc>
          <w:tcPr>
            <w:tcW w:w="933" w:type="dxa"/>
            <w:gridSpan w:val="2"/>
            <w:shd w:val="clear" w:color="auto" w:fill="auto"/>
          </w:tcPr>
          <w:p w14:paraId="6E86499C" w14:textId="426AEC95" w:rsidR="00616805" w:rsidRPr="00AC79BE" w:rsidRDefault="00616805" w:rsidP="00616805">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1.1%</w:t>
            </w:r>
          </w:p>
        </w:tc>
        <w:tc>
          <w:tcPr>
            <w:tcW w:w="860" w:type="dxa"/>
            <w:shd w:val="clear" w:color="auto" w:fill="auto"/>
          </w:tcPr>
          <w:p w14:paraId="30C2CF66" w14:textId="69896561" w:rsidR="00616805" w:rsidRPr="00AC79BE" w:rsidRDefault="00616805" w:rsidP="00616805">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1,104</w:t>
            </w:r>
          </w:p>
        </w:tc>
        <w:tc>
          <w:tcPr>
            <w:tcW w:w="933" w:type="dxa"/>
            <w:gridSpan w:val="2"/>
            <w:shd w:val="clear" w:color="auto" w:fill="auto"/>
          </w:tcPr>
          <w:p w14:paraId="3C9B3AEC" w14:textId="1C45B116" w:rsidR="00616805" w:rsidRPr="00AC79BE" w:rsidRDefault="00616805" w:rsidP="00616805">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1.3%</w:t>
            </w:r>
          </w:p>
        </w:tc>
        <w:tc>
          <w:tcPr>
            <w:tcW w:w="860" w:type="dxa"/>
            <w:shd w:val="clear" w:color="auto" w:fill="auto"/>
          </w:tcPr>
          <w:p w14:paraId="2A30326C" w14:textId="307BBA06" w:rsidR="00616805" w:rsidRPr="00AC79BE" w:rsidRDefault="00616805" w:rsidP="00616805">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1,271</w:t>
            </w:r>
          </w:p>
        </w:tc>
        <w:tc>
          <w:tcPr>
            <w:tcW w:w="933" w:type="dxa"/>
            <w:gridSpan w:val="2"/>
            <w:shd w:val="clear" w:color="auto" w:fill="auto"/>
          </w:tcPr>
          <w:p w14:paraId="160B260A" w14:textId="7DA997F9" w:rsidR="00616805" w:rsidRPr="00AC79BE" w:rsidRDefault="00616805" w:rsidP="00616805">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1.6%</w:t>
            </w:r>
          </w:p>
        </w:tc>
      </w:tr>
      <w:tr w:rsidR="00616805" w:rsidRPr="00AC79BE" w14:paraId="2830B2D9" w14:textId="77777777" w:rsidTr="001F07BC">
        <w:trPr>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39945D5C" w14:textId="01A0B7A0" w:rsidR="00616805" w:rsidRPr="00AC79BE" w:rsidRDefault="00616805" w:rsidP="00616805">
            <w:pPr>
              <w:spacing w:line="240" w:lineRule="auto"/>
              <w:ind w:left="157"/>
              <w:rPr>
                <w:rFonts w:cs="Times New Roman"/>
                <w:b w:val="0"/>
                <w:bCs w:val="0"/>
                <w:sz w:val="20"/>
                <w:szCs w:val="20"/>
              </w:rPr>
            </w:pPr>
            <w:r w:rsidRPr="00AC79BE">
              <w:rPr>
                <w:rFonts w:cs="Times New Roman"/>
                <w:b w:val="0"/>
                <w:bCs w:val="0"/>
                <w:sz w:val="20"/>
                <w:szCs w:val="20"/>
              </w:rPr>
              <w:t>Not Hispanic/Latino</w:t>
            </w:r>
          </w:p>
        </w:tc>
        <w:tc>
          <w:tcPr>
            <w:tcW w:w="861" w:type="dxa"/>
            <w:shd w:val="clear" w:color="auto" w:fill="auto"/>
          </w:tcPr>
          <w:p w14:paraId="0BCE60A7" w14:textId="4674A9B5" w:rsidR="00616805" w:rsidRPr="00AC79BE" w:rsidRDefault="00616805" w:rsidP="00616805">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76,630</w:t>
            </w:r>
          </w:p>
        </w:tc>
        <w:tc>
          <w:tcPr>
            <w:tcW w:w="933" w:type="dxa"/>
            <w:gridSpan w:val="2"/>
            <w:shd w:val="clear" w:color="auto" w:fill="auto"/>
          </w:tcPr>
          <w:p w14:paraId="075E8C10" w14:textId="1B02D930" w:rsidR="00616805" w:rsidRPr="00AC79BE" w:rsidRDefault="00616805" w:rsidP="00616805">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86.8%</w:t>
            </w:r>
          </w:p>
        </w:tc>
        <w:tc>
          <w:tcPr>
            <w:tcW w:w="860" w:type="dxa"/>
            <w:shd w:val="clear" w:color="auto" w:fill="auto"/>
          </w:tcPr>
          <w:p w14:paraId="512FE76D" w14:textId="71C03618" w:rsidR="00616805" w:rsidRPr="00AC79BE" w:rsidRDefault="00616805" w:rsidP="00616805">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75,368</w:t>
            </w:r>
          </w:p>
        </w:tc>
        <w:tc>
          <w:tcPr>
            <w:tcW w:w="933" w:type="dxa"/>
            <w:gridSpan w:val="2"/>
            <w:shd w:val="clear" w:color="auto" w:fill="auto"/>
          </w:tcPr>
          <w:p w14:paraId="35CE217B" w14:textId="38A76006" w:rsidR="00616805" w:rsidRPr="00AC79BE" w:rsidRDefault="00616805" w:rsidP="00616805">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91.3%</w:t>
            </w:r>
          </w:p>
        </w:tc>
        <w:tc>
          <w:tcPr>
            <w:tcW w:w="860" w:type="dxa"/>
            <w:shd w:val="clear" w:color="auto" w:fill="auto"/>
          </w:tcPr>
          <w:p w14:paraId="3FE74034" w14:textId="66BE226E" w:rsidR="00616805" w:rsidRPr="00AC79BE" w:rsidRDefault="00616805" w:rsidP="00616805">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74,304</w:t>
            </w:r>
          </w:p>
        </w:tc>
        <w:tc>
          <w:tcPr>
            <w:tcW w:w="933" w:type="dxa"/>
            <w:gridSpan w:val="2"/>
            <w:shd w:val="clear" w:color="auto" w:fill="auto"/>
          </w:tcPr>
          <w:p w14:paraId="2596E089" w14:textId="6E3816AD" w:rsidR="00616805" w:rsidRPr="00AC79BE" w:rsidRDefault="00616805" w:rsidP="00616805">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sz w:val="20"/>
                <w:szCs w:val="20"/>
              </w:rPr>
              <w:t>91.3%</w:t>
            </w:r>
          </w:p>
        </w:tc>
      </w:tr>
      <w:tr w:rsidR="00616805" w:rsidRPr="00AC79BE" w14:paraId="0FC5A3EE" w14:textId="77777777" w:rsidTr="001F07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55A917BC" w14:textId="0DB11499" w:rsidR="00616805" w:rsidRPr="00AC79BE" w:rsidRDefault="00616805" w:rsidP="00616805">
            <w:pPr>
              <w:spacing w:line="240" w:lineRule="auto"/>
              <w:ind w:left="157"/>
              <w:rPr>
                <w:rFonts w:cs="Times New Roman"/>
                <w:b w:val="0"/>
                <w:bCs w:val="0"/>
                <w:sz w:val="20"/>
                <w:szCs w:val="20"/>
              </w:rPr>
            </w:pPr>
            <w:r w:rsidRPr="00AC79BE">
              <w:rPr>
                <w:rFonts w:cs="Times New Roman"/>
                <w:b w:val="0"/>
                <w:bCs w:val="0"/>
                <w:sz w:val="20"/>
                <w:szCs w:val="20"/>
              </w:rPr>
              <w:t>Unknown</w:t>
            </w:r>
          </w:p>
        </w:tc>
        <w:tc>
          <w:tcPr>
            <w:tcW w:w="861" w:type="dxa"/>
            <w:shd w:val="clear" w:color="auto" w:fill="auto"/>
          </w:tcPr>
          <w:p w14:paraId="53007810" w14:textId="044C89B1" w:rsidR="00616805" w:rsidRPr="00AC79BE" w:rsidRDefault="00616805" w:rsidP="00616805">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10,694</w:t>
            </w:r>
          </w:p>
        </w:tc>
        <w:tc>
          <w:tcPr>
            <w:tcW w:w="933" w:type="dxa"/>
            <w:gridSpan w:val="2"/>
            <w:shd w:val="clear" w:color="auto" w:fill="auto"/>
          </w:tcPr>
          <w:p w14:paraId="540AE5D0" w14:textId="5752BDBC" w:rsidR="00616805" w:rsidRPr="00AC79BE" w:rsidRDefault="00616805" w:rsidP="00616805">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12.1%</w:t>
            </w:r>
          </w:p>
        </w:tc>
        <w:tc>
          <w:tcPr>
            <w:tcW w:w="860" w:type="dxa"/>
            <w:shd w:val="clear" w:color="auto" w:fill="auto"/>
          </w:tcPr>
          <w:p w14:paraId="411F3AE6" w14:textId="60A1A68B" w:rsidR="00616805" w:rsidRPr="00AC79BE" w:rsidRDefault="00616805" w:rsidP="00616805">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6,058</w:t>
            </w:r>
          </w:p>
        </w:tc>
        <w:tc>
          <w:tcPr>
            <w:tcW w:w="933" w:type="dxa"/>
            <w:gridSpan w:val="2"/>
            <w:shd w:val="clear" w:color="auto" w:fill="auto"/>
          </w:tcPr>
          <w:p w14:paraId="66235754" w14:textId="081BA784" w:rsidR="00616805" w:rsidRPr="00AC79BE" w:rsidRDefault="00616805" w:rsidP="00616805">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7.3%</w:t>
            </w:r>
          </w:p>
        </w:tc>
        <w:tc>
          <w:tcPr>
            <w:tcW w:w="860" w:type="dxa"/>
            <w:shd w:val="clear" w:color="auto" w:fill="auto"/>
          </w:tcPr>
          <w:p w14:paraId="74DA202F" w14:textId="0AD370AE" w:rsidR="00616805" w:rsidRPr="00AC79BE" w:rsidRDefault="00616805" w:rsidP="00616805">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5,789</w:t>
            </w:r>
          </w:p>
        </w:tc>
        <w:tc>
          <w:tcPr>
            <w:tcW w:w="933" w:type="dxa"/>
            <w:gridSpan w:val="2"/>
            <w:shd w:val="clear" w:color="auto" w:fill="auto"/>
          </w:tcPr>
          <w:p w14:paraId="6F118FC6" w14:textId="78CAE859" w:rsidR="00616805" w:rsidRPr="00AC79BE" w:rsidRDefault="00616805" w:rsidP="00616805">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sz w:val="20"/>
                <w:szCs w:val="20"/>
              </w:rPr>
              <w:t>7.1%</w:t>
            </w:r>
          </w:p>
        </w:tc>
      </w:tr>
      <w:tr w:rsidR="002F3133" w:rsidRPr="00AC79BE" w14:paraId="667B6252" w14:textId="77777777" w:rsidTr="001F07BC">
        <w:trPr>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110F3873" w14:textId="77777777" w:rsidR="002F3133" w:rsidRPr="00AC79BE" w:rsidRDefault="002F3133" w:rsidP="002F3133">
            <w:pPr>
              <w:spacing w:line="240" w:lineRule="auto"/>
              <w:rPr>
                <w:rFonts w:cs="Times New Roman"/>
                <w:sz w:val="20"/>
                <w:szCs w:val="20"/>
              </w:rPr>
            </w:pPr>
            <w:r w:rsidRPr="00AC79BE">
              <w:rPr>
                <w:rFonts w:cs="Times New Roman"/>
                <w:sz w:val="20"/>
                <w:szCs w:val="20"/>
              </w:rPr>
              <w:t>Payor</w:t>
            </w:r>
          </w:p>
        </w:tc>
        <w:tc>
          <w:tcPr>
            <w:tcW w:w="861" w:type="dxa"/>
            <w:shd w:val="clear" w:color="auto" w:fill="auto"/>
          </w:tcPr>
          <w:p w14:paraId="0FF54C94"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5087711A"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60" w:type="dxa"/>
            <w:shd w:val="clear" w:color="auto" w:fill="auto"/>
          </w:tcPr>
          <w:p w14:paraId="770ADA25"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765FA643"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60" w:type="dxa"/>
            <w:shd w:val="clear" w:color="auto" w:fill="auto"/>
          </w:tcPr>
          <w:p w14:paraId="4E7A5D0A"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4750167C" w14:textId="77777777" w:rsidR="002F3133" w:rsidRPr="00AC79BE" w:rsidRDefault="002F3133" w:rsidP="002F313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AC79BE" w:rsidRPr="00AC79BE" w14:paraId="724A35B0" w14:textId="77777777" w:rsidTr="001F07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2677C460" w14:textId="77777777" w:rsidR="00AC79BE" w:rsidRPr="00AC79BE" w:rsidRDefault="00AC79BE" w:rsidP="00AC79BE">
            <w:pPr>
              <w:spacing w:line="240" w:lineRule="auto"/>
              <w:ind w:left="157"/>
              <w:rPr>
                <w:rFonts w:cs="Times New Roman"/>
                <w:b w:val="0"/>
                <w:bCs w:val="0"/>
                <w:sz w:val="20"/>
                <w:szCs w:val="20"/>
              </w:rPr>
            </w:pPr>
            <w:r w:rsidRPr="00AC79BE">
              <w:rPr>
                <w:rFonts w:cs="Times New Roman"/>
                <w:b w:val="0"/>
                <w:bCs w:val="0"/>
                <w:sz w:val="20"/>
                <w:szCs w:val="20"/>
              </w:rPr>
              <w:t>Commercial</w:t>
            </w:r>
          </w:p>
        </w:tc>
        <w:tc>
          <w:tcPr>
            <w:tcW w:w="861" w:type="dxa"/>
            <w:shd w:val="clear" w:color="auto" w:fill="auto"/>
            <w:vAlign w:val="bottom"/>
          </w:tcPr>
          <w:p w14:paraId="5BB54F85" w14:textId="78D75457"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34,877</w:t>
            </w:r>
          </w:p>
        </w:tc>
        <w:tc>
          <w:tcPr>
            <w:tcW w:w="933" w:type="dxa"/>
            <w:gridSpan w:val="2"/>
            <w:shd w:val="clear" w:color="auto" w:fill="auto"/>
            <w:vAlign w:val="bottom"/>
          </w:tcPr>
          <w:p w14:paraId="55B88771" w14:textId="552645E0"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39.5%</w:t>
            </w:r>
          </w:p>
        </w:tc>
        <w:tc>
          <w:tcPr>
            <w:tcW w:w="860" w:type="dxa"/>
            <w:shd w:val="clear" w:color="auto" w:fill="auto"/>
            <w:vAlign w:val="bottom"/>
          </w:tcPr>
          <w:p w14:paraId="2330E9FF" w14:textId="78BC7A06"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32,287</w:t>
            </w:r>
          </w:p>
        </w:tc>
        <w:tc>
          <w:tcPr>
            <w:tcW w:w="933" w:type="dxa"/>
            <w:gridSpan w:val="2"/>
            <w:shd w:val="clear" w:color="auto" w:fill="auto"/>
            <w:vAlign w:val="bottom"/>
          </w:tcPr>
          <w:p w14:paraId="268D9D5A" w14:textId="77B01577"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39.1%</w:t>
            </w:r>
          </w:p>
        </w:tc>
        <w:tc>
          <w:tcPr>
            <w:tcW w:w="860" w:type="dxa"/>
            <w:shd w:val="clear" w:color="auto" w:fill="auto"/>
            <w:vAlign w:val="bottom"/>
          </w:tcPr>
          <w:p w14:paraId="21DA44A3" w14:textId="2C65956F"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31,669</w:t>
            </w:r>
          </w:p>
        </w:tc>
        <w:tc>
          <w:tcPr>
            <w:tcW w:w="933" w:type="dxa"/>
            <w:gridSpan w:val="2"/>
            <w:shd w:val="clear" w:color="auto" w:fill="auto"/>
            <w:vAlign w:val="bottom"/>
          </w:tcPr>
          <w:p w14:paraId="4D87EADE" w14:textId="5ABD8863"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38.9%</w:t>
            </w:r>
          </w:p>
        </w:tc>
      </w:tr>
      <w:tr w:rsidR="00AC79BE" w:rsidRPr="00AC79BE" w14:paraId="325153D9" w14:textId="77777777" w:rsidTr="001F07BC">
        <w:trPr>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23FAA87C" w14:textId="77777777" w:rsidR="00AC79BE" w:rsidRPr="00AC79BE" w:rsidRDefault="00AC79BE" w:rsidP="00AC79BE">
            <w:pPr>
              <w:spacing w:line="240" w:lineRule="auto"/>
              <w:ind w:left="157"/>
              <w:rPr>
                <w:rFonts w:cs="Times New Roman"/>
                <w:b w:val="0"/>
                <w:bCs w:val="0"/>
                <w:sz w:val="20"/>
                <w:szCs w:val="20"/>
              </w:rPr>
            </w:pPr>
            <w:r w:rsidRPr="00AC79BE">
              <w:rPr>
                <w:rFonts w:cs="Times New Roman"/>
                <w:b w:val="0"/>
                <w:bCs w:val="0"/>
                <w:sz w:val="20"/>
                <w:szCs w:val="20"/>
              </w:rPr>
              <w:t>Medicare</w:t>
            </w:r>
          </w:p>
        </w:tc>
        <w:tc>
          <w:tcPr>
            <w:tcW w:w="861" w:type="dxa"/>
            <w:shd w:val="clear" w:color="auto" w:fill="auto"/>
            <w:vAlign w:val="bottom"/>
          </w:tcPr>
          <w:p w14:paraId="621E6726" w14:textId="34972992"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27,862</w:t>
            </w:r>
          </w:p>
        </w:tc>
        <w:tc>
          <w:tcPr>
            <w:tcW w:w="933" w:type="dxa"/>
            <w:gridSpan w:val="2"/>
            <w:shd w:val="clear" w:color="auto" w:fill="auto"/>
            <w:vAlign w:val="bottom"/>
          </w:tcPr>
          <w:p w14:paraId="43680F4C" w14:textId="15C755AB"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31.6%</w:t>
            </w:r>
          </w:p>
        </w:tc>
        <w:tc>
          <w:tcPr>
            <w:tcW w:w="860" w:type="dxa"/>
            <w:shd w:val="clear" w:color="auto" w:fill="auto"/>
            <w:vAlign w:val="bottom"/>
          </w:tcPr>
          <w:p w14:paraId="0A1F9F12" w14:textId="581D3250"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27,870</w:t>
            </w:r>
          </w:p>
        </w:tc>
        <w:tc>
          <w:tcPr>
            <w:tcW w:w="933" w:type="dxa"/>
            <w:gridSpan w:val="2"/>
            <w:shd w:val="clear" w:color="auto" w:fill="auto"/>
            <w:vAlign w:val="bottom"/>
          </w:tcPr>
          <w:p w14:paraId="7A261B73" w14:textId="2D53D527"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33.8%</w:t>
            </w:r>
          </w:p>
        </w:tc>
        <w:tc>
          <w:tcPr>
            <w:tcW w:w="860" w:type="dxa"/>
            <w:shd w:val="clear" w:color="auto" w:fill="auto"/>
            <w:vAlign w:val="bottom"/>
          </w:tcPr>
          <w:p w14:paraId="22F80789" w14:textId="1B181F44"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28,432</w:t>
            </w:r>
          </w:p>
        </w:tc>
        <w:tc>
          <w:tcPr>
            <w:tcW w:w="933" w:type="dxa"/>
            <w:gridSpan w:val="2"/>
            <w:shd w:val="clear" w:color="auto" w:fill="auto"/>
            <w:vAlign w:val="bottom"/>
          </w:tcPr>
          <w:p w14:paraId="2045D6E2" w14:textId="10C78217"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34.9%</w:t>
            </w:r>
          </w:p>
        </w:tc>
      </w:tr>
      <w:tr w:rsidR="00AC79BE" w:rsidRPr="00AC79BE" w14:paraId="45B4D917" w14:textId="77777777" w:rsidTr="001F07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750A8B10" w14:textId="77777777" w:rsidR="00AC79BE" w:rsidRPr="00AC79BE" w:rsidRDefault="00AC79BE" w:rsidP="00AC79BE">
            <w:pPr>
              <w:spacing w:line="240" w:lineRule="auto"/>
              <w:ind w:left="157"/>
              <w:rPr>
                <w:rFonts w:cs="Times New Roman"/>
                <w:sz w:val="20"/>
                <w:szCs w:val="20"/>
              </w:rPr>
            </w:pPr>
            <w:r w:rsidRPr="00AC79BE">
              <w:rPr>
                <w:rFonts w:cs="Times New Roman"/>
                <w:b w:val="0"/>
                <w:bCs w:val="0"/>
                <w:sz w:val="20"/>
                <w:szCs w:val="20"/>
              </w:rPr>
              <w:t>Medicaid</w:t>
            </w:r>
          </w:p>
        </w:tc>
        <w:tc>
          <w:tcPr>
            <w:tcW w:w="861" w:type="dxa"/>
            <w:shd w:val="clear" w:color="auto" w:fill="auto"/>
            <w:vAlign w:val="bottom"/>
          </w:tcPr>
          <w:p w14:paraId="3085DFD9" w14:textId="4B1BC091"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10,879</w:t>
            </w:r>
          </w:p>
        </w:tc>
        <w:tc>
          <w:tcPr>
            <w:tcW w:w="933" w:type="dxa"/>
            <w:gridSpan w:val="2"/>
            <w:shd w:val="clear" w:color="auto" w:fill="auto"/>
            <w:vAlign w:val="bottom"/>
          </w:tcPr>
          <w:p w14:paraId="1AE94533" w14:textId="509941F3"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12.3%</w:t>
            </w:r>
          </w:p>
        </w:tc>
        <w:tc>
          <w:tcPr>
            <w:tcW w:w="860" w:type="dxa"/>
            <w:shd w:val="clear" w:color="auto" w:fill="auto"/>
            <w:vAlign w:val="bottom"/>
          </w:tcPr>
          <w:p w14:paraId="0210864E" w14:textId="38602493"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10,911</w:t>
            </w:r>
          </w:p>
        </w:tc>
        <w:tc>
          <w:tcPr>
            <w:tcW w:w="933" w:type="dxa"/>
            <w:gridSpan w:val="2"/>
            <w:shd w:val="clear" w:color="auto" w:fill="auto"/>
            <w:vAlign w:val="bottom"/>
          </w:tcPr>
          <w:p w14:paraId="4EFD0A78" w14:textId="3CCB0D9F"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13.2%</w:t>
            </w:r>
          </w:p>
        </w:tc>
        <w:tc>
          <w:tcPr>
            <w:tcW w:w="860" w:type="dxa"/>
            <w:shd w:val="clear" w:color="auto" w:fill="auto"/>
            <w:vAlign w:val="bottom"/>
          </w:tcPr>
          <w:p w14:paraId="5C8776E9" w14:textId="3E0BAC0F"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11,270</w:t>
            </w:r>
          </w:p>
        </w:tc>
        <w:tc>
          <w:tcPr>
            <w:tcW w:w="933" w:type="dxa"/>
            <w:gridSpan w:val="2"/>
            <w:shd w:val="clear" w:color="auto" w:fill="auto"/>
            <w:vAlign w:val="bottom"/>
          </w:tcPr>
          <w:p w14:paraId="53E9A6E7" w14:textId="581C5649" w:rsidR="00AC79BE" w:rsidRPr="00AC79BE" w:rsidRDefault="00AC79BE" w:rsidP="00AC79B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AC79BE">
              <w:rPr>
                <w:rFonts w:cs="Times New Roman"/>
                <w:color w:val="000000"/>
                <w:sz w:val="20"/>
                <w:szCs w:val="20"/>
              </w:rPr>
              <w:t>13.9%</w:t>
            </w:r>
          </w:p>
        </w:tc>
      </w:tr>
      <w:tr w:rsidR="00AC79BE" w:rsidRPr="00AC79BE" w14:paraId="24EA1A03" w14:textId="77777777" w:rsidTr="001F07BC">
        <w:trPr>
          <w:cantSplit/>
        </w:trPr>
        <w:tc>
          <w:tcPr>
            <w:cnfStyle w:val="001000000000" w:firstRow="0" w:lastRow="0" w:firstColumn="1" w:lastColumn="0" w:oddVBand="0" w:evenVBand="0" w:oddHBand="0" w:evenHBand="0" w:firstRowFirstColumn="0" w:firstRowLastColumn="0" w:lastRowFirstColumn="0" w:lastRowLastColumn="0"/>
            <w:tcW w:w="3980" w:type="dxa"/>
            <w:shd w:val="clear" w:color="auto" w:fill="auto"/>
          </w:tcPr>
          <w:p w14:paraId="45F913C8" w14:textId="77777777" w:rsidR="00AC79BE" w:rsidRPr="00AC79BE" w:rsidRDefault="00AC79BE" w:rsidP="00AC79BE">
            <w:pPr>
              <w:spacing w:line="240" w:lineRule="auto"/>
              <w:ind w:left="157"/>
              <w:rPr>
                <w:rFonts w:cs="Times New Roman"/>
                <w:sz w:val="20"/>
                <w:szCs w:val="20"/>
              </w:rPr>
            </w:pPr>
            <w:r w:rsidRPr="00AC79BE">
              <w:rPr>
                <w:rFonts w:cs="Times New Roman"/>
                <w:b w:val="0"/>
                <w:bCs w:val="0"/>
                <w:sz w:val="20"/>
                <w:szCs w:val="20"/>
              </w:rPr>
              <w:t>Other</w:t>
            </w:r>
          </w:p>
        </w:tc>
        <w:tc>
          <w:tcPr>
            <w:tcW w:w="861" w:type="dxa"/>
            <w:shd w:val="clear" w:color="auto" w:fill="auto"/>
            <w:vAlign w:val="bottom"/>
          </w:tcPr>
          <w:p w14:paraId="7F78C3FB" w14:textId="6D7F3903"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14,651</w:t>
            </w:r>
          </w:p>
        </w:tc>
        <w:tc>
          <w:tcPr>
            <w:tcW w:w="933" w:type="dxa"/>
            <w:gridSpan w:val="2"/>
            <w:shd w:val="clear" w:color="auto" w:fill="auto"/>
            <w:vAlign w:val="bottom"/>
          </w:tcPr>
          <w:p w14:paraId="57037CB4" w14:textId="5A9E1BA6"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16.6%</w:t>
            </w:r>
          </w:p>
        </w:tc>
        <w:tc>
          <w:tcPr>
            <w:tcW w:w="860" w:type="dxa"/>
            <w:shd w:val="clear" w:color="auto" w:fill="auto"/>
            <w:vAlign w:val="bottom"/>
          </w:tcPr>
          <w:p w14:paraId="3BD3DD6F" w14:textId="16ABBFA9"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11,462</w:t>
            </w:r>
          </w:p>
        </w:tc>
        <w:tc>
          <w:tcPr>
            <w:tcW w:w="933" w:type="dxa"/>
            <w:gridSpan w:val="2"/>
            <w:shd w:val="clear" w:color="auto" w:fill="auto"/>
            <w:vAlign w:val="bottom"/>
          </w:tcPr>
          <w:p w14:paraId="49E2AF35" w14:textId="3673A50C"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13.9%</w:t>
            </w:r>
          </w:p>
        </w:tc>
        <w:tc>
          <w:tcPr>
            <w:tcW w:w="860" w:type="dxa"/>
            <w:shd w:val="clear" w:color="auto" w:fill="auto"/>
            <w:vAlign w:val="bottom"/>
          </w:tcPr>
          <w:p w14:paraId="186873D3" w14:textId="57665FAF"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9,993</w:t>
            </w:r>
          </w:p>
        </w:tc>
        <w:tc>
          <w:tcPr>
            <w:tcW w:w="933" w:type="dxa"/>
            <w:gridSpan w:val="2"/>
            <w:shd w:val="clear" w:color="auto" w:fill="auto"/>
            <w:vAlign w:val="bottom"/>
          </w:tcPr>
          <w:p w14:paraId="7A302AE2" w14:textId="59C0F0E3" w:rsidR="00AC79BE" w:rsidRPr="00AC79BE" w:rsidRDefault="00AC79BE" w:rsidP="00AC79BE">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AC79BE">
              <w:rPr>
                <w:rFonts w:cs="Times New Roman"/>
                <w:color w:val="000000"/>
                <w:sz w:val="20"/>
                <w:szCs w:val="20"/>
              </w:rPr>
              <w:t>12.3%</w:t>
            </w:r>
          </w:p>
        </w:tc>
      </w:tr>
    </w:tbl>
    <w:p w14:paraId="66440185" w14:textId="4D38F4CD" w:rsidR="00DB6E1B" w:rsidRDefault="00DB6E1B" w:rsidP="00DB6E1B">
      <w:pPr>
        <w:spacing w:after="0" w:line="240" w:lineRule="auto"/>
        <w:jc w:val="right"/>
        <w:rPr>
          <w:rFonts w:cs="Times New Roman"/>
          <w:b/>
          <w:bCs/>
        </w:rPr>
      </w:pPr>
    </w:p>
    <w:p w14:paraId="21969A03" w14:textId="77777777" w:rsidR="00EF1992" w:rsidRDefault="00EF1992" w:rsidP="006B4188">
      <w:pPr>
        <w:spacing w:before="120" w:after="120" w:line="240" w:lineRule="auto"/>
        <w:rPr>
          <w:rFonts w:cs="Times New Roman"/>
        </w:rPr>
        <w:sectPr w:rsidR="00EF1992">
          <w:pgSz w:w="12240" w:h="15840"/>
          <w:pgMar w:top="1440" w:right="1440" w:bottom="1440" w:left="1440" w:header="720" w:footer="720" w:gutter="0"/>
          <w:cols w:space="720"/>
          <w:docGrid w:linePitch="360"/>
        </w:sectPr>
      </w:pPr>
    </w:p>
    <w:p w14:paraId="720A0140" w14:textId="596DFE47" w:rsidR="009F6D8E" w:rsidRDefault="00EF56CD" w:rsidP="009F6D8E">
      <w:pPr>
        <w:spacing w:before="120" w:after="120" w:line="240" w:lineRule="auto"/>
        <w:rPr>
          <w:rFonts w:cs="Times New Roman"/>
        </w:rPr>
      </w:pPr>
      <w:r w:rsidRPr="000153E7">
        <w:rPr>
          <w:rFonts w:cs="Times New Roman"/>
        </w:rPr>
        <w:lastRenderedPageBreak/>
        <w:t>Of BID Plymouth</w:t>
      </w:r>
      <w:r w:rsidR="00FC1749">
        <w:rPr>
          <w:rFonts w:cs="Times New Roman"/>
        </w:rPr>
        <w:t>’</w:t>
      </w:r>
      <w:r w:rsidRPr="000153E7">
        <w:rPr>
          <w:rFonts w:cs="Times New Roman"/>
        </w:rPr>
        <w:t xml:space="preserve">s patient panel, </w:t>
      </w:r>
      <w:r w:rsidRPr="5DAF5AF0">
        <w:rPr>
          <w:rFonts w:cs="Times New Roman"/>
        </w:rPr>
        <w:t>37</w:t>
      </w:r>
      <w:r w:rsidRPr="000153E7">
        <w:rPr>
          <w:rFonts w:cs="Times New Roman"/>
        </w:rPr>
        <w:t>% originated from Plymouth</w:t>
      </w:r>
      <w:r w:rsidRPr="5DAF5AF0">
        <w:rPr>
          <w:rFonts w:cs="Times New Roman"/>
        </w:rPr>
        <w:t>, approximately 30% from other towns in Plymouth County</w:t>
      </w:r>
      <w:r>
        <w:rPr>
          <w:rFonts w:cs="Times New Roman"/>
        </w:rPr>
        <w:t>,</w:t>
      </w:r>
      <w:r w:rsidRPr="5DAF5AF0">
        <w:rPr>
          <w:rFonts w:cs="Times New Roman"/>
        </w:rPr>
        <w:t xml:space="preserve"> and approximately 8% from towns in Barnstable County</w:t>
      </w:r>
      <w:r w:rsidRPr="000153E7">
        <w:rPr>
          <w:rFonts w:cs="Times New Roman"/>
        </w:rPr>
        <w:t xml:space="preserve"> as detailed in</w:t>
      </w:r>
      <w:r w:rsidRPr="00C318F2">
        <w:rPr>
          <w:rFonts w:cs="Times New Roman"/>
        </w:rPr>
        <w:t xml:space="preserve"> </w:t>
      </w:r>
      <w:r w:rsidRPr="00033DDD">
        <w:rPr>
          <w:rFonts w:cs="Times New Roman"/>
          <w:u w:val="single"/>
        </w:rPr>
        <w:t>Table 2</w:t>
      </w:r>
      <w:r w:rsidRPr="000153E7">
        <w:rPr>
          <w:rFonts w:cs="Times New Roman"/>
        </w:rPr>
        <w:t>.</w:t>
      </w:r>
    </w:p>
    <w:p w14:paraId="76B6EA82" w14:textId="77777777" w:rsidR="009F6D8E" w:rsidRDefault="009F6D8E" w:rsidP="009F6D8E">
      <w:pPr>
        <w:spacing w:before="120" w:after="120" w:line="240" w:lineRule="auto"/>
        <w:rPr>
          <w:rFonts w:cs="Times New Roman"/>
        </w:rPr>
      </w:pPr>
    </w:p>
    <w:p w14:paraId="6FB2A986" w14:textId="04DEE9AB" w:rsidR="00D32413" w:rsidRDefault="00024D21" w:rsidP="009F6D8E">
      <w:pPr>
        <w:spacing w:before="120" w:after="120" w:line="240" w:lineRule="auto"/>
        <w:jc w:val="center"/>
        <w:rPr>
          <w:rFonts w:cs="Times New Roman"/>
          <w:b/>
          <w:bCs/>
        </w:rPr>
      </w:pPr>
      <w:r w:rsidRPr="000153E7">
        <w:rPr>
          <w:rFonts w:cs="Times New Roman"/>
          <w:b/>
          <w:bCs/>
        </w:rPr>
        <w:t>Table 2</w:t>
      </w:r>
    </w:p>
    <w:p w14:paraId="4BE69E16" w14:textId="6982338A" w:rsidR="00024D21" w:rsidRPr="000153E7" w:rsidRDefault="00024D21" w:rsidP="00D32413">
      <w:pPr>
        <w:spacing w:after="120" w:line="240" w:lineRule="auto"/>
        <w:jc w:val="center"/>
        <w:rPr>
          <w:rFonts w:cs="Times New Roman"/>
          <w:b/>
          <w:bCs/>
        </w:rPr>
      </w:pPr>
      <w:r w:rsidRPr="000153E7">
        <w:rPr>
          <w:rFonts w:cs="Times New Roman"/>
          <w:b/>
          <w:bCs/>
        </w:rPr>
        <w:t xml:space="preserve">BID Plymouth Patient Panel </w:t>
      </w:r>
      <w:r w:rsidR="00CD2B2E">
        <w:rPr>
          <w:rFonts w:cs="Times New Roman"/>
          <w:b/>
          <w:bCs/>
        </w:rPr>
        <w:t>Geography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170"/>
        <w:gridCol w:w="1170"/>
        <w:gridCol w:w="1170"/>
        <w:gridCol w:w="1170"/>
        <w:gridCol w:w="1170"/>
        <w:gridCol w:w="1170"/>
      </w:tblGrid>
      <w:tr w:rsidR="00EB1034" w:rsidRPr="00FC1749" w14:paraId="59F45D71" w14:textId="4BF4CF1E" w:rsidTr="00A8743E">
        <w:trPr>
          <w:cantSplit/>
          <w:tblHeader/>
          <w:jc w:val="center"/>
        </w:trPr>
        <w:tc>
          <w:tcPr>
            <w:tcW w:w="1890" w:type="dxa"/>
            <w:tcBorders>
              <w:bottom w:val="single" w:sz="4" w:space="0" w:color="auto"/>
            </w:tcBorders>
            <w:vAlign w:val="bottom"/>
          </w:tcPr>
          <w:p w14:paraId="199C20AD" w14:textId="56A492F8" w:rsidR="00EB1034" w:rsidRPr="00FC1749" w:rsidRDefault="00EB1034" w:rsidP="00EB1034">
            <w:pPr>
              <w:spacing w:line="240" w:lineRule="auto"/>
              <w:rPr>
                <w:rFonts w:cs="Times New Roman"/>
              </w:rPr>
            </w:pPr>
            <w:r w:rsidRPr="00FC1749">
              <w:rPr>
                <w:rFonts w:eastAsia="Times New Roman" w:cs="Times New Roman"/>
                <w:b/>
                <w:bCs/>
              </w:rPr>
              <w:t>Town</w:t>
            </w:r>
          </w:p>
        </w:tc>
        <w:tc>
          <w:tcPr>
            <w:tcW w:w="1170" w:type="dxa"/>
            <w:tcBorders>
              <w:bottom w:val="single" w:sz="4" w:space="0" w:color="auto"/>
            </w:tcBorders>
            <w:vAlign w:val="bottom"/>
          </w:tcPr>
          <w:p w14:paraId="159E4F2A" w14:textId="19A4DA5A" w:rsidR="00EB1034" w:rsidRPr="00FC1749" w:rsidRDefault="00EB1034" w:rsidP="00EB1034">
            <w:pPr>
              <w:spacing w:line="240" w:lineRule="auto"/>
              <w:jc w:val="right"/>
              <w:rPr>
                <w:rFonts w:cs="Times New Roman"/>
              </w:rPr>
            </w:pPr>
            <w:r w:rsidRPr="00FC1749">
              <w:rPr>
                <w:rFonts w:eastAsia="Times New Roman" w:cs="Times New Roman"/>
                <w:b/>
                <w:bCs/>
              </w:rPr>
              <w:t>FY21</w:t>
            </w:r>
          </w:p>
        </w:tc>
        <w:tc>
          <w:tcPr>
            <w:tcW w:w="1170" w:type="dxa"/>
            <w:tcBorders>
              <w:bottom w:val="single" w:sz="4" w:space="0" w:color="auto"/>
            </w:tcBorders>
          </w:tcPr>
          <w:p w14:paraId="39D6A95D" w14:textId="05A8DAE0" w:rsidR="00EB1034" w:rsidRPr="00FC1749" w:rsidRDefault="00EB1034" w:rsidP="00EB1034">
            <w:pPr>
              <w:spacing w:line="240" w:lineRule="auto"/>
              <w:jc w:val="right"/>
              <w:rPr>
                <w:rFonts w:eastAsia="Times New Roman" w:cs="Times New Roman"/>
                <w:b/>
                <w:bCs/>
              </w:rPr>
            </w:pPr>
            <w:r w:rsidRPr="00FC1749">
              <w:rPr>
                <w:rFonts w:eastAsia="Times New Roman" w:cs="Times New Roman"/>
                <w:b/>
                <w:bCs/>
              </w:rPr>
              <w:t>FY21 %</w:t>
            </w:r>
          </w:p>
        </w:tc>
        <w:tc>
          <w:tcPr>
            <w:tcW w:w="1170" w:type="dxa"/>
            <w:tcBorders>
              <w:bottom w:val="single" w:sz="4" w:space="0" w:color="auto"/>
            </w:tcBorders>
            <w:vAlign w:val="bottom"/>
          </w:tcPr>
          <w:p w14:paraId="754FA837" w14:textId="574E1EAB" w:rsidR="00EB1034" w:rsidRPr="00FC1749" w:rsidRDefault="00EB1034" w:rsidP="00EB1034">
            <w:pPr>
              <w:spacing w:line="240" w:lineRule="auto"/>
              <w:jc w:val="right"/>
              <w:rPr>
                <w:rFonts w:cs="Times New Roman"/>
              </w:rPr>
            </w:pPr>
            <w:r w:rsidRPr="00FC1749">
              <w:rPr>
                <w:rFonts w:eastAsia="Times New Roman" w:cs="Times New Roman"/>
                <w:b/>
                <w:bCs/>
              </w:rPr>
              <w:t>FY22</w:t>
            </w:r>
          </w:p>
        </w:tc>
        <w:tc>
          <w:tcPr>
            <w:tcW w:w="1170" w:type="dxa"/>
            <w:tcBorders>
              <w:bottom w:val="single" w:sz="4" w:space="0" w:color="auto"/>
            </w:tcBorders>
          </w:tcPr>
          <w:p w14:paraId="76E1513D" w14:textId="0A5A95AB" w:rsidR="00EB1034" w:rsidRPr="00FC1749" w:rsidRDefault="00EB1034" w:rsidP="00EB1034">
            <w:pPr>
              <w:spacing w:line="240" w:lineRule="auto"/>
              <w:jc w:val="right"/>
              <w:rPr>
                <w:rFonts w:eastAsia="Times New Roman" w:cs="Times New Roman"/>
                <w:b/>
                <w:bCs/>
              </w:rPr>
            </w:pPr>
            <w:r w:rsidRPr="00FC1749">
              <w:rPr>
                <w:rFonts w:eastAsia="Times New Roman" w:cs="Times New Roman"/>
                <w:b/>
                <w:bCs/>
              </w:rPr>
              <w:t>FY22 %</w:t>
            </w:r>
          </w:p>
        </w:tc>
        <w:tc>
          <w:tcPr>
            <w:tcW w:w="1170" w:type="dxa"/>
            <w:tcBorders>
              <w:bottom w:val="single" w:sz="4" w:space="0" w:color="auto"/>
            </w:tcBorders>
            <w:vAlign w:val="bottom"/>
          </w:tcPr>
          <w:p w14:paraId="0BF53B66" w14:textId="567BCC7E" w:rsidR="00EB1034" w:rsidRPr="00FC1749" w:rsidRDefault="00EB1034" w:rsidP="00EB1034">
            <w:pPr>
              <w:spacing w:line="240" w:lineRule="auto"/>
              <w:jc w:val="right"/>
              <w:rPr>
                <w:rFonts w:cs="Times New Roman"/>
              </w:rPr>
            </w:pPr>
            <w:r w:rsidRPr="00FC1749">
              <w:rPr>
                <w:rFonts w:eastAsia="Times New Roman" w:cs="Times New Roman"/>
                <w:b/>
                <w:bCs/>
              </w:rPr>
              <w:t>FY23</w:t>
            </w:r>
          </w:p>
        </w:tc>
        <w:tc>
          <w:tcPr>
            <w:tcW w:w="1170" w:type="dxa"/>
            <w:tcBorders>
              <w:bottom w:val="single" w:sz="4" w:space="0" w:color="auto"/>
            </w:tcBorders>
          </w:tcPr>
          <w:p w14:paraId="09BA96AE" w14:textId="2C702D11" w:rsidR="00EB1034" w:rsidRPr="00FC1749" w:rsidRDefault="00EB1034" w:rsidP="00EB1034">
            <w:pPr>
              <w:spacing w:line="240" w:lineRule="auto"/>
              <w:jc w:val="right"/>
              <w:rPr>
                <w:rFonts w:eastAsia="Times New Roman" w:cs="Times New Roman"/>
                <w:b/>
                <w:bCs/>
              </w:rPr>
            </w:pPr>
            <w:r w:rsidRPr="00FC1749">
              <w:rPr>
                <w:rFonts w:eastAsia="Times New Roman" w:cs="Times New Roman"/>
                <w:b/>
                <w:bCs/>
              </w:rPr>
              <w:t>FY23 %</w:t>
            </w:r>
          </w:p>
        </w:tc>
      </w:tr>
      <w:tr w:rsidR="00EB1034" w:rsidRPr="00FC1749" w14:paraId="16F23F81" w14:textId="56335073" w:rsidTr="00A8743E">
        <w:trPr>
          <w:cantSplit/>
          <w:jc w:val="center"/>
        </w:trPr>
        <w:tc>
          <w:tcPr>
            <w:tcW w:w="1890" w:type="dxa"/>
            <w:tcBorders>
              <w:top w:val="single" w:sz="4" w:space="0" w:color="auto"/>
            </w:tcBorders>
            <w:vAlign w:val="center"/>
          </w:tcPr>
          <w:p w14:paraId="0EB1AA65" w14:textId="625229D8" w:rsidR="00EB1034" w:rsidRPr="00FC1749" w:rsidRDefault="00EB1034" w:rsidP="00EB1034">
            <w:pPr>
              <w:spacing w:afterLines="40" w:after="96" w:line="240" w:lineRule="auto"/>
              <w:rPr>
                <w:rFonts w:cs="Times New Roman"/>
              </w:rPr>
            </w:pPr>
            <w:r w:rsidRPr="00FC1749">
              <w:rPr>
                <w:rFonts w:cs="Times New Roman"/>
                <w:color w:val="000000"/>
              </w:rPr>
              <w:t>Plymouth</w:t>
            </w:r>
          </w:p>
        </w:tc>
        <w:tc>
          <w:tcPr>
            <w:tcW w:w="1170" w:type="dxa"/>
            <w:tcBorders>
              <w:top w:val="single" w:sz="4" w:space="0" w:color="auto"/>
            </w:tcBorders>
            <w:vAlign w:val="center"/>
          </w:tcPr>
          <w:p w14:paraId="50E29F36" w14:textId="072DC920" w:rsidR="00EB1034" w:rsidRPr="00FC1749" w:rsidRDefault="00EB1034" w:rsidP="00EB1034">
            <w:pPr>
              <w:spacing w:afterLines="40" w:after="96" w:line="240" w:lineRule="auto"/>
              <w:jc w:val="right"/>
              <w:rPr>
                <w:rFonts w:cs="Times New Roman"/>
              </w:rPr>
            </w:pPr>
            <w:r w:rsidRPr="00FC1749">
              <w:rPr>
                <w:rFonts w:cs="Times New Roman"/>
              </w:rPr>
              <w:t>32,896</w:t>
            </w:r>
          </w:p>
        </w:tc>
        <w:tc>
          <w:tcPr>
            <w:tcW w:w="1170" w:type="dxa"/>
            <w:tcBorders>
              <w:top w:val="single" w:sz="4" w:space="0" w:color="auto"/>
            </w:tcBorders>
            <w:vAlign w:val="center"/>
          </w:tcPr>
          <w:p w14:paraId="65CC86E9" w14:textId="5040B725" w:rsidR="00EB1034" w:rsidRPr="00FC1749" w:rsidRDefault="00EB1034" w:rsidP="00EB1034">
            <w:pPr>
              <w:spacing w:afterLines="40" w:after="96" w:line="240" w:lineRule="auto"/>
              <w:jc w:val="right"/>
              <w:rPr>
                <w:rFonts w:eastAsia="Times New Roman" w:cs="Times New Roman"/>
              </w:rPr>
            </w:pPr>
            <w:r w:rsidRPr="00FC1749">
              <w:rPr>
                <w:rFonts w:cs="Times New Roman"/>
              </w:rPr>
              <w:t>37.3%</w:t>
            </w:r>
          </w:p>
        </w:tc>
        <w:tc>
          <w:tcPr>
            <w:tcW w:w="1170" w:type="dxa"/>
            <w:tcBorders>
              <w:top w:val="single" w:sz="4" w:space="0" w:color="auto"/>
            </w:tcBorders>
            <w:vAlign w:val="center"/>
          </w:tcPr>
          <w:p w14:paraId="2102AF23" w14:textId="67F1E0BF" w:rsidR="00EB1034" w:rsidRPr="00FC1749" w:rsidRDefault="00EB1034" w:rsidP="00EB1034">
            <w:pPr>
              <w:spacing w:afterLines="40" w:after="96" w:line="240" w:lineRule="auto"/>
              <w:jc w:val="right"/>
              <w:rPr>
                <w:rFonts w:cs="Times New Roman"/>
              </w:rPr>
            </w:pPr>
            <w:r w:rsidRPr="00FC1749">
              <w:rPr>
                <w:rFonts w:cs="Times New Roman"/>
              </w:rPr>
              <w:t>31,697</w:t>
            </w:r>
          </w:p>
        </w:tc>
        <w:tc>
          <w:tcPr>
            <w:tcW w:w="1170" w:type="dxa"/>
            <w:tcBorders>
              <w:top w:val="single" w:sz="4" w:space="0" w:color="auto"/>
            </w:tcBorders>
            <w:vAlign w:val="center"/>
          </w:tcPr>
          <w:p w14:paraId="5A27EF0C" w14:textId="6B387EDD" w:rsidR="00EB1034" w:rsidRPr="00FC1749" w:rsidRDefault="00EB1034" w:rsidP="00EB1034">
            <w:pPr>
              <w:spacing w:afterLines="40" w:after="96" w:line="240" w:lineRule="auto"/>
              <w:jc w:val="right"/>
              <w:rPr>
                <w:rFonts w:cs="Times New Roman"/>
              </w:rPr>
            </w:pPr>
            <w:r w:rsidRPr="00FC1749">
              <w:rPr>
                <w:rFonts w:cs="Times New Roman"/>
              </w:rPr>
              <w:t>38.4%</w:t>
            </w:r>
          </w:p>
        </w:tc>
        <w:tc>
          <w:tcPr>
            <w:tcW w:w="1170" w:type="dxa"/>
            <w:tcBorders>
              <w:top w:val="single" w:sz="4" w:space="0" w:color="auto"/>
            </w:tcBorders>
            <w:vAlign w:val="center"/>
          </w:tcPr>
          <w:p w14:paraId="7F05A75B" w14:textId="02BC3D3A" w:rsidR="00EB1034" w:rsidRPr="00FC1749" w:rsidRDefault="00EB1034" w:rsidP="00EB1034">
            <w:pPr>
              <w:spacing w:afterLines="40" w:after="96" w:line="240" w:lineRule="auto"/>
              <w:jc w:val="right"/>
              <w:rPr>
                <w:rFonts w:cs="Times New Roman"/>
              </w:rPr>
            </w:pPr>
            <w:r w:rsidRPr="00FC1749">
              <w:rPr>
                <w:rFonts w:cs="Times New Roman"/>
              </w:rPr>
              <w:t>30,167</w:t>
            </w:r>
          </w:p>
        </w:tc>
        <w:tc>
          <w:tcPr>
            <w:tcW w:w="1170" w:type="dxa"/>
            <w:tcBorders>
              <w:top w:val="single" w:sz="4" w:space="0" w:color="auto"/>
            </w:tcBorders>
            <w:vAlign w:val="center"/>
          </w:tcPr>
          <w:p w14:paraId="09A2314F" w14:textId="0DDF4C91" w:rsidR="00EB1034" w:rsidRPr="00FC1749" w:rsidRDefault="00EB1034" w:rsidP="00EB1034">
            <w:pPr>
              <w:spacing w:afterLines="40" w:after="96" w:line="240" w:lineRule="auto"/>
              <w:jc w:val="right"/>
              <w:rPr>
                <w:rFonts w:cs="Times New Roman"/>
              </w:rPr>
            </w:pPr>
            <w:r w:rsidRPr="00FC1749">
              <w:rPr>
                <w:rFonts w:cs="Times New Roman"/>
              </w:rPr>
              <w:t>37.1%</w:t>
            </w:r>
          </w:p>
        </w:tc>
      </w:tr>
      <w:tr w:rsidR="00EB1034" w:rsidRPr="00FC1749" w14:paraId="1841CF34" w14:textId="2E4A5BE6" w:rsidTr="00A8743E">
        <w:trPr>
          <w:cantSplit/>
          <w:jc w:val="center"/>
        </w:trPr>
        <w:tc>
          <w:tcPr>
            <w:tcW w:w="1890" w:type="dxa"/>
            <w:vAlign w:val="center"/>
          </w:tcPr>
          <w:p w14:paraId="667AEBA3" w14:textId="26A24313" w:rsidR="00EB1034" w:rsidRPr="00FC1749" w:rsidRDefault="00EB1034" w:rsidP="00EB1034">
            <w:pPr>
              <w:spacing w:afterLines="40" w:after="96" w:line="240" w:lineRule="auto"/>
              <w:rPr>
                <w:rFonts w:cs="Times New Roman"/>
              </w:rPr>
            </w:pPr>
            <w:r w:rsidRPr="00FC1749">
              <w:rPr>
                <w:rFonts w:cs="Times New Roman"/>
                <w:color w:val="000000"/>
              </w:rPr>
              <w:t>Carver</w:t>
            </w:r>
          </w:p>
        </w:tc>
        <w:tc>
          <w:tcPr>
            <w:tcW w:w="1170" w:type="dxa"/>
            <w:vAlign w:val="center"/>
          </w:tcPr>
          <w:p w14:paraId="14AEB9C3" w14:textId="72C87228" w:rsidR="00EB1034" w:rsidRPr="00FC1749" w:rsidRDefault="00EB1034" w:rsidP="00EB1034">
            <w:pPr>
              <w:spacing w:afterLines="40" w:after="96" w:line="240" w:lineRule="auto"/>
              <w:jc w:val="right"/>
              <w:rPr>
                <w:rFonts w:cs="Times New Roman"/>
              </w:rPr>
            </w:pPr>
            <w:r w:rsidRPr="00FC1749">
              <w:rPr>
                <w:rFonts w:cs="Times New Roman"/>
              </w:rPr>
              <w:t>5,151</w:t>
            </w:r>
          </w:p>
        </w:tc>
        <w:tc>
          <w:tcPr>
            <w:tcW w:w="1170" w:type="dxa"/>
            <w:vAlign w:val="center"/>
          </w:tcPr>
          <w:p w14:paraId="7DCC1A66" w14:textId="5DBEECDE" w:rsidR="00EB1034" w:rsidRPr="00FC1749" w:rsidRDefault="00EB1034" w:rsidP="00EB1034">
            <w:pPr>
              <w:spacing w:afterLines="40" w:after="96" w:line="240" w:lineRule="auto"/>
              <w:jc w:val="right"/>
              <w:rPr>
                <w:rFonts w:eastAsia="Times New Roman" w:cs="Times New Roman"/>
              </w:rPr>
            </w:pPr>
            <w:r w:rsidRPr="00FC1749">
              <w:rPr>
                <w:rFonts w:cs="Times New Roman"/>
              </w:rPr>
              <w:t>5.8%</w:t>
            </w:r>
          </w:p>
        </w:tc>
        <w:tc>
          <w:tcPr>
            <w:tcW w:w="1170" w:type="dxa"/>
            <w:vAlign w:val="center"/>
          </w:tcPr>
          <w:p w14:paraId="0E1936C0" w14:textId="7644B41A" w:rsidR="00EB1034" w:rsidRPr="00FC1749" w:rsidRDefault="00EB1034" w:rsidP="00EB1034">
            <w:pPr>
              <w:spacing w:afterLines="40" w:after="96" w:line="240" w:lineRule="auto"/>
              <w:jc w:val="right"/>
              <w:rPr>
                <w:rFonts w:cs="Times New Roman"/>
              </w:rPr>
            </w:pPr>
            <w:r w:rsidRPr="00FC1749">
              <w:rPr>
                <w:rFonts w:cs="Times New Roman"/>
              </w:rPr>
              <w:t>4,905</w:t>
            </w:r>
          </w:p>
        </w:tc>
        <w:tc>
          <w:tcPr>
            <w:tcW w:w="1170" w:type="dxa"/>
            <w:vAlign w:val="center"/>
          </w:tcPr>
          <w:p w14:paraId="354AE37F" w14:textId="7167CFA8" w:rsidR="00EB1034" w:rsidRPr="00FC1749" w:rsidRDefault="00EB1034" w:rsidP="00EB1034">
            <w:pPr>
              <w:spacing w:afterLines="40" w:after="96" w:line="240" w:lineRule="auto"/>
              <w:jc w:val="right"/>
              <w:rPr>
                <w:rFonts w:cs="Times New Roman"/>
              </w:rPr>
            </w:pPr>
            <w:r w:rsidRPr="00FC1749">
              <w:rPr>
                <w:rFonts w:cs="Times New Roman"/>
              </w:rPr>
              <w:t>5.9%</w:t>
            </w:r>
          </w:p>
        </w:tc>
        <w:tc>
          <w:tcPr>
            <w:tcW w:w="1170" w:type="dxa"/>
            <w:vAlign w:val="center"/>
          </w:tcPr>
          <w:p w14:paraId="78560D1B" w14:textId="46ABAF96" w:rsidR="00EB1034" w:rsidRPr="00FC1749" w:rsidRDefault="00EB1034" w:rsidP="00EB1034">
            <w:pPr>
              <w:spacing w:afterLines="40" w:after="96" w:line="240" w:lineRule="auto"/>
              <w:jc w:val="right"/>
              <w:rPr>
                <w:rFonts w:cs="Times New Roman"/>
              </w:rPr>
            </w:pPr>
            <w:r w:rsidRPr="00FC1749">
              <w:rPr>
                <w:rFonts w:cs="Times New Roman"/>
              </w:rPr>
              <w:t>4,678</w:t>
            </w:r>
          </w:p>
        </w:tc>
        <w:tc>
          <w:tcPr>
            <w:tcW w:w="1170" w:type="dxa"/>
            <w:vAlign w:val="center"/>
          </w:tcPr>
          <w:p w14:paraId="75B442DE" w14:textId="2ABF723B" w:rsidR="00EB1034" w:rsidRPr="00FC1749" w:rsidRDefault="00EB1034" w:rsidP="00EB1034">
            <w:pPr>
              <w:spacing w:afterLines="40" w:after="96" w:line="240" w:lineRule="auto"/>
              <w:jc w:val="right"/>
              <w:rPr>
                <w:rFonts w:cs="Times New Roman"/>
              </w:rPr>
            </w:pPr>
            <w:r w:rsidRPr="00FC1749">
              <w:rPr>
                <w:rFonts w:cs="Times New Roman"/>
              </w:rPr>
              <w:t>5.8%</w:t>
            </w:r>
          </w:p>
        </w:tc>
      </w:tr>
      <w:tr w:rsidR="00EB1034" w:rsidRPr="00FC1749" w14:paraId="46EBEF6D" w14:textId="1F764752" w:rsidTr="00A8743E">
        <w:trPr>
          <w:cantSplit/>
          <w:jc w:val="center"/>
        </w:trPr>
        <w:tc>
          <w:tcPr>
            <w:tcW w:w="1890" w:type="dxa"/>
            <w:vAlign w:val="center"/>
          </w:tcPr>
          <w:p w14:paraId="2FB6C440" w14:textId="5F74AEBB" w:rsidR="00EB1034" w:rsidRPr="00FC1749" w:rsidRDefault="00EB1034" w:rsidP="00EB1034">
            <w:pPr>
              <w:spacing w:afterLines="40" w:after="96" w:line="240" w:lineRule="auto"/>
              <w:rPr>
                <w:rFonts w:cs="Times New Roman"/>
              </w:rPr>
            </w:pPr>
            <w:r w:rsidRPr="00FC1749">
              <w:rPr>
                <w:rFonts w:cs="Times New Roman"/>
                <w:color w:val="000000"/>
              </w:rPr>
              <w:t>Kingston</w:t>
            </w:r>
          </w:p>
        </w:tc>
        <w:tc>
          <w:tcPr>
            <w:tcW w:w="1170" w:type="dxa"/>
            <w:vAlign w:val="center"/>
          </w:tcPr>
          <w:p w14:paraId="1193943C" w14:textId="6807AE51" w:rsidR="00EB1034" w:rsidRPr="00FC1749" w:rsidRDefault="00EB1034" w:rsidP="00EB1034">
            <w:pPr>
              <w:spacing w:afterLines="40" w:after="96" w:line="240" w:lineRule="auto"/>
              <w:jc w:val="right"/>
              <w:rPr>
                <w:rFonts w:cs="Times New Roman"/>
              </w:rPr>
            </w:pPr>
            <w:r w:rsidRPr="00FC1749">
              <w:rPr>
                <w:rFonts w:cs="Times New Roman"/>
              </w:rPr>
              <w:t>4,740</w:t>
            </w:r>
          </w:p>
        </w:tc>
        <w:tc>
          <w:tcPr>
            <w:tcW w:w="1170" w:type="dxa"/>
            <w:vAlign w:val="center"/>
          </w:tcPr>
          <w:p w14:paraId="00EDAD01" w14:textId="2F8C7F13" w:rsidR="00EB1034" w:rsidRPr="00FC1749" w:rsidRDefault="00EB1034" w:rsidP="00EB1034">
            <w:pPr>
              <w:spacing w:afterLines="40" w:after="96" w:line="240" w:lineRule="auto"/>
              <w:jc w:val="right"/>
              <w:rPr>
                <w:rFonts w:eastAsia="Times New Roman" w:cs="Times New Roman"/>
              </w:rPr>
            </w:pPr>
            <w:r w:rsidRPr="00FC1749">
              <w:rPr>
                <w:rFonts w:cs="Times New Roman"/>
              </w:rPr>
              <w:t>5.4%</w:t>
            </w:r>
          </w:p>
        </w:tc>
        <w:tc>
          <w:tcPr>
            <w:tcW w:w="1170" w:type="dxa"/>
            <w:vAlign w:val="center"/>
          </w:tcPr>
          <w:p w14:paraId="65AA7220" w14:textId="51FFA3C7" w:rsidR="00EB1034" w:rsidRPr="00FC1749" w:rsidRDefault="00EB1034" w:rsidP="00EB1034">
            <w:pPr>
              <w:spacing w:afterLines="40" w:after="96" w:line="240" w:lineRule="auto"/>
              <w:jc w:val="right"/>
              <w:rPr>
                <w:rFonts w:cs="Times New Roman"/>
              </w:rPr>
            </w:pPr>
            <w:r w:rsidRPr="00FC1749">
              <w:rPr>
                <w:rFonts w:cs="Times New Roman"/>
              </w:rPr>
              <w:t>4,645</w:t>
            </w:r>
          </w:p>
        </w:tc>
        <w:tc>
          <w:tcPr>
            <w:tcW w:w="1170" w:type="dxa"/>
            <w:vAlign w:val="center"/>
          </w:tcPr>
          <w:p w14:paraId="2F9E9FD9" w14:textId="369650A6" w:rsidR="00EB1034" w:rsidRPr="00FC1749" w:rsidRDefault="00EB1034" w:rsidP="00EB1034">
            <w:pPr>
              <w:spacing w:afterLines="40" w:after="96" w:line="240" w:lineRule="auto"/>
              <w:jc w:val="right"/>
              <w:rPr>
                <w:rFonts w:cs="Times New Roman"/>
              </w:rPr>
            </w:pPr>
            <w:r w:rsidRPr="00FC1749">
              <w:rPr>
                <w:rFonts w:cs="Times New Roman"/>
              </w:rPr>
              <w:t>5.6%</w:t>
            </w:r>
          </w:p>
        </w:tc>
        <w:tc>
          <w:tcPr>
            <w:tcW w:w="1170" w:type="dxa"/>
            <w:vAlign w:val="center"/>
          </w:tcPr>
          <w:p w14:paraId="56E91588" w14:textId="073FEC1B" w:rsidR="00EB1034" w:rsidRPr="00FC1749" w:rsidRDefault="00EB1034" w:rsidP="00EB1034">
            <w:pPr>
              <w:spacing w:afterLines="40" w:after="96" w:line="240" w:lineRule="auto"/>
              <w:jc w:val="right"/>
              <w:rPr>
                <w:rFonts w:cs="Times New Roman"/>
              </w:rPr>
            </w:pPr>
            <w:r w:rsidRPr="00FC1749">
              <w:rPr>
                <w:rFonts w:cs="Times New Roman"/>
              </w:rPr>
              <w:t>4,521</w:t>
            </w:r>
          </w:p>
        </w:tc>
        <w:tc>
          <w:tcPr>
            <w:tcW w:w="1170" w:type="dxa"/>
            <w:vAlign w:val="center"/>
          </w:tcPr>
          <w:p w14:paraId="179AD442" w14:textId="56C53076" w:rsidR="00EB1034" w:rsidRPr="00FC1749" w:rsidRDefault="00EB1034" w:rsidP="00EB1034">
            <w:pPr>
              <w:spacing w:afterLines="40" w:after="96" w:line="240" w:lineRule="auto"/>
              <w:jc w:val="right"/>
              <w:rPr>
                <w:rFonts w:cs="Times New Roman"/>
              </w:rPr>
            </w:pPr>
            <w:r w:rsidRPr="00FC1749">
              <w:rPr>
                <w:rFonts w:cs="Times New Roman"/>
              </w:rPr>
              <w:t>5.6%</w:t>
            </w:r>
          </w:p>
        </w:tc>
      </w:tr>
      <w:tr w:rsidR="00EB1034" w:rsidRPr="00FC1749" w14:paraId="538A0760" w14:textId="29CD95AF" w:rsidTr="00A8743E">
        <w:trPr>
          <w:cantSplit/>
          <w:jc w:val="center"/>
        </w:trPr>
        <w:tc>
          <w:tcPr>
            <w:tcW w:w="1890" w:type="dxa"/>
            <w:vAlign w:val="center"/>
          </w:tcPr>
          <w:p w14:paraId="644D0D73" w14:textId="779CABA5" w:rsidR="00EB1034" w:rsidRPr="00FC1749" w:rsidRDefault="00EB1034" w:rsidP="00EB1034">
            <w:pPr>
              <w:spacing w:afterLines="40" w:after="96" w:line="240" w:lineRule="auto"/>
              <w:rPr>
                <w:rFonts w:cs="Times New Roman"/>
              </w:rPr>
            </w:pPr>
            <w:r w:rsidRPr="00FC1749">
              <w:rPr>
                <w:rFonts w:cs="Times New Roman"/>
                <w:color w:val="000000"/>
              </w:rPr>
              <w:t>Middleboro</w:t>
            </w:r>
          </w:p>
        </w:tc>
        <w:tc>
          <w:tcPr>
            <w:tcW w:w="1170" w:type="dxa"/>
            <w:vAlign w:val="center"/>
          </w:tcPr>
          <w:p w14:paraId="7B09E158" w14:textId="592A3057" w:rsidR="00EB1034" w:rsidRPr="00FC1749" w:rsidRDefault="00EB1034" w:rsidP="00EB1034">
            <w:pPr>
              <w:spacing w:afterLines="40" w:after="96" w:line="240" w:lineRule="auto"/>
              <w:jc w:val="right"/>
              <w:rPr>
                <w:rFonts w:cs="Times New Roman"/>
              </w:rPr>
            </w:pPr>
            <w:r w:rsidRPr="00FC1749">
              <w:rPr>
                <w:rFonts w:cs="Times New Roman"/>
              </w:rPr>
              <w:t>3,784</w:t>
            </w:r>
          </w:p>
        </w:tc>
        <w:tc>
          <w:tcPr>
            <w:tcW w:w="1170" w:type="dxa"/>
            <w:vAlign w:val="center"/>
          </w:tcPr>
          <w:p w14:paraId="1DA5D0CE" w14:textId="6B133C63" w:rsidR="00EB1034" w:rsidRPr="00FC1749" w:rsidRDefault="00EB1034" w:rsidP="00EB1034">
            <w:pPr>
              <w:spacing w:afterLines="40" w:after="96" w:line="240" w:lineRule="auto"/>
              <w:jc w:val="right"/>
              <w:rPr>
                <w:rFonts w:eastAsia="Times New Roman" w:cs="Times New Roman"/>
              </w:rPr>
            </w:pPr>
            <w:r w:rsidRPr="00FC1749">
              <w:rPr>
                <w:rFonts w:cs="Times New Roman"/>
              </w:rPr>
              <w:t>4.3%</w:t>
            </w:r>
          </w:p>
        </w:tc>
        <w:tc>
          <w:tcPr>
            <w:tcW w:w="1170" w:type="dxa"/>
            <w:vAlign w:val="center"/>
          </w:tcPr>
          <w:p w14:paraId="4516F4BD" w14:textId="0CBD57C6" w:rsidR="00EB1034" w:rsidRPr="00FC1749" w:rsidRDefault="00EB1034" w:rsidP="00EB1034">
            <w:pPr>
              <w:spacing w:afterLines="40" w:after="96" w:line="240" w:lineRule="auto"/>
              <w:jc w:val="right"/>
              <w:rPr>
                <w:rFonts w:cs="Times New Roman"/>
              </w:rPr>
            </w:pPr>
            <w:r w:rsidRPr="00FC1749">
              <w:rPr>
                <w:rFonts w:cs="Times New Roman"/>
              </w:rPr>
              <w:t>3,781</w:t>
            </w:r>
          </w:p>
        </w:tc>
        <w:tc>
          <w:tcPr>
            <w:tcW w:w="1170" w:type="dxa"/>
            <w:vAlign w:val="center"/>
          </w:tcPr>
          <w:p w14:paraId="535BD97F" w14:textId="44053C7D" w:rsidR="00EB1034" w:rsidRPr="00FC1749" w:rsidRDefault="00EB1034" w:rsidP="00EB1034">
            <w:pPr>
              <w:spacing w:afterLines="40" w:after="96" w:line="240" w:lineRule="auto"/>
              <w:jc w:val="right"/>
              <w:rPr>
                <w:rFonts w:cs="Times New Roman"/>
              </w:rPr>
            </w:pPr>
            <w:r w:rsidRPr="00FC1749">
              <w:rPr>
                <w:rFonts w:cs="Times New Roman"/>
              </w:rPr>
              <w:t>4.6%</w:t>
            </w:r>
          </w:p>
        </w:tc>
        <w:tc>
          <w:tcPr>
            <w:tcW w:w="1170" w:type="dxa"/>
            <w:vAlign w:val="center"/>
          </w:tcPr>
          <w:p w14:paraId="1CB7D599" w14:textId="407A478F" w:rsidR="00EB1034" w:rsidRPr="00FC1749" w:rsidRDefault="00EB1034" w:rsidP="00EB1034">
            <w:pPr>
              <w:spacing w:afterLines="40" w:after="96" w:line="240" w:lineRule="auto"/>
              <w:jc w:val="right"/>
              <w:rPr>
                <w:rFonts w:cs="Times New Roman"/>
              </w:rPr>
            </w:pPr>
            <w:r w:rsidRPr="00FC1749">
              <w:rPr>
                <w:rFonts w:cs="Times New Roman"/>
              </w:rPr>
              <w:t>3,900</w:t>
            </w:r>
          </w:p>
        </w:tc>
        <w:tc>
          <w:tcPr>
            <w:tcW w:w="1170" w:type="dxa"/>
            <w:vAlign w:val="center"/>
          </w:tcPr>
          <w:p w14:paraId="4EF42CC5" w14:textId="65811111" w:rsidR="00EB1034" w:rsidRPr="00FC1749" w:rsidRDefault="00EB1034" w:rsidP="00EB1034">
            <w:pPr>
              <w:spacing w:afterLines="40" w:after="96" w:line="240" w:lineRule="auto"/>
              <w:jc w:val="right"/>
              <w:rPr>
                <w:rFonts w:cs="Times New Roman"/>
              </w:rPr>
            </w:pPr>
            <w:r w:rsidRPr="00FC1749">
              <w:rPr>
                <w:rFonts w:cs="Times New Roman"/>
              </w:rPr>
              <w:t>4.8%</w:t>
            </w:r>
          </w:p>
        </w:tc>
      </w:tr>
      <w:tr w:rsidR="00EB1034" w:rsidRPr="00FC1749" w14:paraId="57316F3F" w14:textId="08666560" w:rsidTr="00A8743E">
        <w:trPr>
          <w:cantSplit/>
          <w:jc w:val="center"/>
        </w:trPr>
        <w:tc>
          <w:tcPr>
            <w:tcW w:w="1890" w:type="dxa"/>
            <w:vAlign w:val="center"/>
          </w:tcPr>
          <w:p w14:paraId="7149E1F0" w14:textId="38B5C86F" w:rsidR="00EB1034" w:rsidRPr="00FC1749" w:rsidRDefault="00EB1034" w:rsidP="00EB1034">
            <w:pPr>
              <w:spacing w:afterLines="40" w:after="96" w:line="240" w:lineRule="auto"/>
              <w:rPr>
                <w:rFonts w:cs="Times New Roman"/>
              </w:rPr>
            </w:pPr>
            <w:r w:rsidRPr="00FC1749">
              <w:rPr>
                <w:rFonts w:cs="Times New Roman"/>
                <w:color w:val="000000"/>
              </w:rPr>
              <w:t>Duxbury</w:t>
            </w:r>
          </w:p>
        </w:tc>
        <w:tc>
          <w:tcPr>
            <w:tcW w:w="1170" w:type="dxa"/>
            <w:vAlign w:val="center"/>
          </w:tcPr>
          <w:p w14:paraId="3A6D9BE4" w14:textId="46508559" w:rsidR="00EB1034" w:rsidRPr="00FC1749" w:rsidRDefault="00EB1034" w:rsidP="00EB1034">
            <w:pPr>
              <w:spacing w:afterLines="40" w:after="96" w:line="240" w:lineRule="auto"/>
              <w:jc w:val="right"/>
              <w:rPr>
                <w:rFonts w:cs="Times New Roman"/>
              </w:rPr>
            </w:pPr>
            <w:r w:rsidRPr="00FC1749">
              <w:rPr>
                <w:rFonts w:cs="Times New Roman"/>
              </w:rPr>
              <w:t>3,719</w:t>
            </w:r>
          </w:p>
        </w:tc>
        <w:tc>
          <w:tcPr>
            <w:tcW w:w="1170" w:type="dxa"/>
            <w:vAlign w:val="center"/>
          </w:tcPr>
          <w:p w14:paraId="580AB2AD" w14:textId="5C00859E" w:rsidR="00EB1034" w:rsidRPr="00FC1749" w:rsidRDefault="00EB1034" w:rsidP="00EB1034">
            <w:pPr>
              <w:spacing w:afterLines="40" w:after="96" w:line="240" w:lineRule="auto"/>
              <w:jc w:val="right"/>
              <w:rPr>
                <w:rFonts w:eastAsia="Times New Roman" w:cs="Times New Roman"/>
              </w:rPr>
            </w:pPr>
            <w:r w:rsidRPr="00FC1749">
              <w:rPr>
                <w:rFonts w:cs="Times New Roman"/>
              </w:rPr>
              <w:t>4.2%</w:t>
            </w:r>
          </w:p>
        </w:tc>
        <w:tc>
          <w:tcPr>
            <w:tcW w:w="1170" w:type="dxa"/>
            <w:vAlign w:val="center"/>
          </w:tcPr>
          <w:p w14:paraId="1A023C4B" w14:textId="74E42BF2" w:rsidR="00EB1034" w:rsidRPr="00FC1749" w:rsidRDefault="00EB1034" w:rsidP="00EB1034">
            <w:pPr>
              <w:spacing w:afterLines="40" w:after="96" w:line="240" w:lineRule="auto"/>
              <w:jc w:val="right"/>
              <w:rPr>
                <w:rFonts w:cs="Times New Roman"/>
              </w:rPr>
            </w:pPr>
            <w:r w:rsidRPr="00FC1749">
              <w:rPr>
                <w:rFonts w:cs="Times New Roman"/>
              </w:rPr>
              <w:t>3,657</w:t>
            </w:r>
          </w:p>
        </w:tc>
        <w:tc>
          <w:tcPr>
            <w:tcW w:w="1170" w:type="dxa"/>
            <w:vAlign w:val="center"/>
          </w:tcPr>
          <w:p w14:paraId="5B821ADA" w14:textId="17EE5723" w:rsidR="00EB1034" w:rsidRPr="00FC1749" w:rsidRDefault="00EB1034" w:rsidP="00EB1034">
            <w:pPr>
              <w:spacing w:afterLines="40" w:after="96" w:line="240" w:lineRule="auto"/>
              <w:jc w:val="right"/>
              <w:rPr>
                <w:rFonts w:cs="Times New Roman"/>
              </w:rPr>
            </w:pPr>
            <w:r w:rsidRPr="00FC1749">
              <w:rPr>
                <w:rFonts w:cs="Times New Roman"/>
              </w:rPr>
              <w:t>4.4%</w:t>
            </w:r>
          </w:p>
        </w:tc>
        <w:tc>
          <w:tcPr>
            <w:tcW w:w="1170" w:type="dxa"/>
            <w:vAlign w:val="center"/>
          </w:tcPr>
          <w:p w14:paraId="62CFC124" w14:textId="6946114A" w:rsidR="00EB1034" w:rsidRPr="00FC1749" w:rsidRDefault="00EB1034" w:rsidP="00EB1034">
            <w:pPr>
              <w:spacing w:afterLines="40" w:after="96" w:line="240" w:lineRule="auto"/>
              <w:jc w:val="right"/>
              <w:rPr>
                <w:rFonts w:cs="Times New Roman"/>
              </w:rPr>
            </w:pPr>
            <w:r w:rsidRPr="00FC1749">
              <w:rPr>
                <w:rFonts w:cs="Times New Roman"/>
              </w:rPr>
              <w:t>3,497</w:t>
            </w:r>
          </w:p>
        </w:tc>
        <w:tc>
          <w:tcPr>
            <w:tcW w:w="1170" w:type="dxa"/>
            <w:vAlign w:val="center"/>
          </w:tcPr>
          <w:p w14:paraId="5B4BC540" w14:textId="23789844" w:rsidR="00EB1034" w:rsidRPr="00FC1749" w:rsidRDefault="00EB1034" w:rsidP="00EB1034">
            <w:pPr>
              <w:spacing w:afterLines="40" w:after="96" w:line="240" w:lineRule="auto"/>
              <w:jc w:val="right"/>
              <w:rPr>
                <w:rFonts w:cs="Times New Roman"/>
              </w:rPr>
            </w:pPr>
            <w:r w:rsidRPr="00FC1749">
              <w:rPr>
                <w:rFonts w:cs="Times New Roman"/>
              </w:rPr>
              <w:t>4.3%</w:t>
            </w:r>
          </w:p>
        </w:tc>
      </w:tr>
      <w:tr w:rsidR="00EB1034" w:rsidRPr="00FC1749" w14:paraId="71580F6C" w14:textId="04DB1CFE" w:rsidTr="00A8743E">
        <w:trPr>
          <w:cantSplit/>
          <w:jc w:val="center"/>
        </w:trPr>
        <w:tc>
          <w:tcPr>
            <w:tcW w:w="1890" w:type="dxa"/>
            <w:vAlign w:val="center"/>
          </w:tcPr>
          <w:p w14:paraId="1E85B6AE" w14:textId="468AE856" w:rsidR="00EB1034" w:rsidRPr="00FC1749" w:rsidRDefault="00EB1034" w:rsidP="00EB1034">
            <w:pPr>
              <w:spacing w:afterLines="40" w:after="96" w:line="240" w:lineRule="auto"/>
              <w:rPr>
                <w:rFonts w:cs="Times New Roman"/>
              </w:rPr>
            </w:pPr>
            <w:r w:rsidRPr="00FC1749">
              <w:rPr>
                <w:rFonts w:cs="Times New Roman"/>
                <w:color w:val="000000"/>
              </w:rPr>
              <w:t>Marshfield</w:t>
            </w:r>
          </w:p>
        </w:tc>
        <w:tc>
          <w:tcPr>
            <w:tcW w:w="1170" w:type="dxa"/>
            <w:vAlign w:val="center"/>
          </w:tcPr>
          <w:p w14:paraId="0ABDEF2E" w14:textId="39FD9CB3" w:rsidR="00EB1034" w:rsidRPr="00FC1749" w:rsidRDefault="00EB1034" w:rsidP="00EB1034">
            <w:pPr>
              <w:spacing w:afterLines="40" w:after="96" w:line="240" w:lineRule="auto"/>
              <w:jc w:val="right"/>
              <w:rPr>
                <w:rFonts w:cs="Times New Roman"/>
              </w:rPr>
            </w:pPr>
            <w:r w:rsidRPr="00FC1749">
              <w:rPr>
                <w:rFonts w:cs="Times New Roman"/>
              </w:rPr>
              <w:t>2,893</w:t>
            </w:r>
          </w:p>
        </w:tc>
        <w:tc>
          <w:tcPr>
            <w:tcW w:w="1170" w:type="dxa"/>
            <w:vAlign w:val="center"/>
          </w:tcPr>
          <w:p w14:paraId="0DEF5BEC" w14:textId="424C74F8" w:rsidR="00EB1034" w:rsidRPr="00FC1749" w:rsidRDefault="00EB1034" w:rsidP="00EB1034">
            <w:pPr>
              <w:spacing w:afterLines="40" w:after="96" w:line="240" w:lineRule="auto"/>
              <w:jc w:val="right"/>
              <w:rPr>
                <w:rFonts w:eastAsia="Times New Roman" w:cs="Times New Roman"/>
              </w:rPr>
            </w:pPr>
            <w:r w:rsidRPr="00FC1749">
              <w:rPr>
                <w:rFonts w:cs="Times New Roman"/>
              </w:rPr>
              <w:t>3.3%</w:t>
            </w:r>
          </w:p>
        </w:tc>
        <w:tc>
          <w:tcPr>
            <w:tcW w:w="1170" w:type="dxa"/>
            <w:vAlign w:val="center"/>
          </w:tcPr>
          <w:p w14:paraId="338D7381" w14:textId="183692CA" w:rsidR="00EB1034" w:rsidRPr="00FC1749" w:rsidRDefault="00EB1034" w:rsidP="00EB1034">
            <w:pPr>
              <w:spacing w:afterLines="40" w:after="96" w:line="240" w:lineRule="auto"/>
              <w:jc w:val="right"/>
              <w:rPr>
                <w:rFonts w:cs="Times New Roman"/>
              </w:rPr>
            </w:pPr>
            <w:r w:rsidRPr="00FC1749">
              <w:rPr>
                <w:rFonts w:cs="Times New Roman"/>
              </w:rPr>
              <w:t>2,688</w:t>
            </w:r>
          </w:p>
        </w:tc>
        <w:tc>
          <w:tcPr>
            <w:tcW w:w="1170" w:type="dxa"/>
            <w:vAlign w:val="center"/>
          </w:tcPr>
          <w:p w14:paraId="0A8550BC" w14:textId="7450D679" w:rsidR="00EB1034" w:rsidRPr="00FC1749" w:rsidRDefault="00EB1034" w:rsidP="00EB1034">
            <w:pPr>
              <w:spacing w:afterLines="40" w:after="96" w:line="240" w:lineRule="auto"/>
              <w:jc w:val="right"/>
              <w:rPr>
                <w:rFonts w:cs="Times New Roman"/>
              </w:rPr>
            </w:pPr>
            <w:r w:rsidRPr="00FC1749">
              <w:rPr>
                <w:rFonts w:cs="Times New Roman"/>
              </w:rPr>
              <w:t>3.3%</w:t>
            </w:r>
          </w:p>
        </w:tc>
        <w:tc>
          <w:tcPr>
            <w:tcW w:w="1170" w:type="dxa"/>
            <w:vAlign w:val="center"/>
          </w:tcPr>
          <w:p w14:paraId="5494F3C1" w14:textId="7A7FA43C" w:rsidR="00EB1034" w:rsidRPr="00FC1749" w:rsidRDefault="00EB1034" w:rsidP="00EB1034">
            <w:pPr>
              <w:spacing w:afterLines="40" w:after="96" w:line="240" w:lineRule="auto"/>
              <w:jc w:val="right"/>
              <w:rPr>
                <w:rFonts w:cs="Times New Roman"/>
              </w:rPr>
            </w:pPr>
            <w:r w:rsidRPr="00FC1749">
              <w:rPr>
                <w:rFonts w:cs="Times New Roman"/>
              </w:rPr>
              <w:t>2,704</w:t>
            </w:r>
          </w:p>
        </w:tc>
        <w:tc>
          <w:tcPr>
            <w:tcW w:w="1170" w:type="dxa"/>
            <w:vAlign w:val="center"/>
          </w:tcPr>
          <w:p w14:paraId="64F3EF99" w14:textId="64762013" w:rsidR="00EB1034" w:rsidRPr="00FC1749" w:rsidRDefault="00EB1034" w:rsidP="00EB1034">
            <w:pPr>
              <w:spacing w:afterLines="40" w:after="96" w:line="240" w:lineRule="auto"/>
              <w:jc w:val="right"/>
              <w:rPr>
                <w:rFonts w:cs="Times New Roman"/>
              </w:rPr>
            </w:pPr>
            <w:r w:rsidRPr="00FC1749">
              <w:rPr>
                <w:rFonts w:cs="Times New Roman"/>
              </w:rPr>
              <w:t>3.3%</w:t>
            </w:r>
          </w:p>
        </w:tc>
      </w:tr>
      <w:tr w:rsidR="00EB1034" w:rsidRPr="00FC1749" w14:paraId="0FBBD2C1" w14:textId="7D3BAAAD" w:rsidTr="00A8743E">
        <w:trPr>
          <w:cantSplit/>
          <w:jc w:val="center"/>
        </w:trPr>
        <w:tc>
          <w:tcPr>
            <w:tcW w:w="1890" w:type="dxa"/>
            <w:vAlign w:val="center"/>
          </w:tcPr>
          <w:p w14:paraId="5A549A0B" w14:textId="504B0BB8" w:rsidR="00EB1034" w:rsidRPr="00FC1749" w:rsidRDefault="00EB1034" w:rsidP="00EB1034">
            <w:pPr>
              <w:spacing w:afterLines="40" w:after="96" w:line="240" w:lineRule="auto"/>
              <w:rPr>
                <w:rFonts w:cs="Times New Roman"/>
              </w:rPr>
            </w:pPr>
            <w:r w:rsidRPr="00FC1749">
              <w:rPr>
                <w:rFonts w:cs="Times New Roman"/>
                <w:color w:val="000000"/>
              </w:rPr>
              <w:t>Pembroke</w:t>
            </w:r>
          </w:p>
        </w:tc>
        <w:tc>
          <w:tcPr>
            <w:tcW w:w="1170" w:type="dxa"/>
            <w:vAlign w:val="center"/>
          </w:tcPr>
          <w:p w14:paraId="7AA682EA" w14:textId="02CA4114" w:rsidR="00EB1034" w:rsidRPr="00FC1749" w:rsidRDefault="00EB1034" w:rsidP="00EB1034">
            <w:pPr>
              <w:spacing w:afterLines="40" w:after="96" w:line="240" w:lineRule="auto"/>
              <w:jc w:val="right"/>
              <w:rPr>
                <w:rFonts w:cs="Times New Roman"/>
              </w:rPr>
            </w:pPr>
            <w:r w:rsidRPr="00FC1749">
              <w:rPr>
                <w:rFonts w:cs="Times New Roman"/>
              </w:rPr>
              <w:t>2,067</w:t>
            </w:r>
          </w:p>
        </w:tc>
        <w:tc>
          <w:tcPr>
            <w:tcW w:w="1170" w:type="dxa"/>
            <w:vAlign w:val="center"/>
          </w:tcPr>
          <w:p w14:paraId="2BAFB7F6" w14:textId="0A3019A0" w:rsidR="00EB1034" w:rsidRPr="00FC1749" w:rsidRDefault="00EB1034" w:rsidP="00EB1034">
            <w:pPr>
              <w:spacing w:afterLines="40" w:after="96" w:line="240" w:lineRule="auto"/>
              <w:jc w:val="right"/>
              <w:rPr>
                <w:rFonts w:eastAsia="Times New Roman" w:cs="Times New Roman"/>
              </w:rPr>
            </w:pPr>
            <w:r w:rsidRPr="00FC1749">
              <w:rPr>
                <w:rFonts w:cs="Times New Roman"/>
              </w:rPr>
              <w:t>2.3%</w:t>
            </w:r>
          </w:p>
        </w:tc>
        <w:tc>
          <w:tcPr>
            <w:tcW w:w="1170" w:type="dxa"/>
            <w:vAlign w:val="center"/>
          </w:tcPr>
          <w:p w14:paraId="60F952ED" w14:textId="15F47B52" w:rsidR="00EB1034" w:rsidRPr="00FC1749" w:rsidRDefault="00EB1034" w:rsidP="00EB1034">
            <w:pPr>
              <w:spacing w:afterLines="40" w:after="96" w:line="240" w:lineRule="auto"/>
              <w:jc w:val="right"/>
              <w:rPr>
                <w:rFonts w:cs="Times New Roman"/>
              </w:rPr>
            </w:pPr>
            <w:r w:rsidRPr="00FC1749">
              <w:rPr>
                <w:rFonts w:cs="Times New Roman"/>
              </w:rPr>
              <w:t>1,971</w:t>
            </w:r>
          </w:p>
        </w:tc>
        <w:tc>
          <w:tcPr>
            <w:tcW w:w="1170" w:type="dxa"/>
            <w:vAlign w:val="center"/>
          </w:tcPr>
          <w:p w14:paraId="6AFB7807" w14:textId="4F6D32A5" w:rsidR="00EB1034" w:rsidRPr="00FC1749" w:rsidRDefault="00EB1034" w:rsidP="00EB1034">
            <w:pPr>
              <w:spacing w:afterLines="40" w:after="96" w:line="240" w:lineRule="auto"/>
              <w:jc w:val="right"/>
              <w:rPr>
                <w:rFonts w:cs="Times New Roman"/>
              </w:rPr>
            </w:pPr>
            <w:r w:rsidRPr="00FC1749">
              <w:rPr>
                <w:rFonts w:cs="Times New Roman"/>
              </w:rPr>
              <w:t>2.4%</w:t>
            </w:r>
          </w:p>
        </w:tc>
        <w:tc>
          <w:tcPr>
            <w:tcW w:w="1170" w:type="dxa"/>
            <w:vAlign w:val="center"/>
          </w:tcPr>
          <w:p w14:paraId="57EF3B1E" w14:textId="07AF8E0A" w:rsidR="00EB1034" w:rsidRPr="00FC1749" w:rsidRDefault="00EB1034" w:rsidP="00EB1034">
            <w:pPr>
              <w:spacing w:afterLines="40" w:after="96" w:line="240" w:lineRule="auto"/>
              <w:jc w:val="right"/>
              <w:rPr>
                <w:rFonts w:cs="Times New Roman"/>
              </w:rPr>
            </w:pPr>
            <w:r w:rsidRPr="00FC1749">
              <w:rPr>
                <w:rFonts w:cs="Times New Roman"/>
              </w:rPr>
              <w:t>1,987</w:t>
            </w:r>
          </w:p>
        </w:tc>
        <w:tc>
          <w:tcPr>
            <w:tcW w:w="1170" w:type="dxa"/>
            <w:vAlign w:val="center"/>
          </w:tcPr>
          <w:p w14:paraId="750FB6D7" w14:textId="22B95BA9" w:rsidR="00EB1034" w:rsidRPr="00FC1749" w:rsidRDefault="00EB1034" w:rsidP="00EB1034">
            <w:pPr>
              <w:spacing w:afterLines="40" w:after="96" w:line="240" w:lineRule="auto"/>
              <w:jc w:val="right"/>
              <w:rPr>
                <w:rFonts w:cs="Times New Roman"/>
              </w:rPr>
            </w:pPr>
            <w:r w:rsidRPr="00FC1749">
              <w:rPr>
                <w:rFonts w:cs="Times New Roman"/>
              </w:rPr>
              <w:t>2.4%</w:t>
            </w:r>
          </w:p>
        </w:tc>
      </w:tr>
      <w:tr w:rsidR="00EB1034" w:rsidRPr="00FC1749" w14:paraId="1187E876" w14:textId="76E64A04" w:rsidTr="00A8743E">
        <w:trPr>
          <w:cantSplit/>
          <w:jc w:val="center"/>
        </w:trPr>
        <w:tc>
          <w:tcPr>
            <w:tcW w:w="1890" w:type="dxa"/>
            <w:vAlign w:val="center"/>
          </w:tcPr>
          <w:p w14:paraId="77428260" w14:textId="2155F9D3" w:rsidR="00EB1034" w:rsidRPr="00FC1749" w:rsidRDefault="00EB1034" w:rsidP="00EB1034">
            <w:pPr>
              <w:spacing w:afterLines="40" w:after="96" w:line="240" w:lineRule="auto"/>
              <w:rPr>
                <w:rFonts w:eastAsia="Times New Roman" w:cs="Times New Roman"/>
              </w:rPr>
            </w:pPr>
            <w:r w:rsidRPr="00FC1749">
              <w:rPr>
                <w:rFonts w:cs="Times New Roman"/>
                <w:color w:val="000000"/>
              </w:rPr>
              <w:t>Buzzards Bay</w:t>
            </w:r>
          </w:p>
        </w:tc>
        <w:tc>
          <w:tcPr>
            <w:tcW w:w="1170" w:type="dxa"/>
            <w:vAlign w:val="center"/>
          </w:tcPr>
          <w:p w14:paraId="4D909A01" w14:textId="4391FA8A" w:rsidR="00EB1034" w:rsidRPr="00FC1749" w:rsidRDefault="00EB1034" w:rsidP="00EB1034">
            <w:pPr>
              <w:spacing w:afterLines="40" w:after="96" w:line="240" w:lineRule="auto"/>
              <w:jc w:val="right"/>
              <w:rPr>
                <w:rFonts w:eastAsia="Times New Roman" w:cs="Times New Roman"/>
              </w:rPr>
            </w:pPr>
            <w:r w:rsidRPr="00FC1749">
              <w:rPr>
                <w:rFonts w:cs="Times New Roman"/>
              </w:rPr>
              <w:t>1,883</w:t>
            </w:r>
          </w:p>
        </w:tc>
        <w:tc>
          <w:tcPr>
            <w:tcW w:w="1170" w:type="dxa"/>
            <w:vAlign w:val="center"/>
          </w:tcPr>
          <w:p w14:paraId="6B0A07D3" w14:textId="7253C632" w:rsidR="00EB1034" w:rsidRPr="00FC1749" w:rsidRDefault="00EB1034" w:rsidP="00EB1034">
            <w:pPr>
              <w:spacing w:afterLines="40" w:after="96" w:line="240" w:lineRule="auto"/>
              <w:jc w:val="right"/>
              <w:rPr>
                <w:rFonts w:eastAsia="Times New Roman" w:cs="Times New Roman"/>
              </w:rPr>
            </w:pPr>
            <w:r w:rsidRPr="00FC1749">
              <w:rPr>
                <w:rFonts w:cs="Times New Roman"/>
              </w:rPr>
              <w:t>2.1%</w:t>
            </w:r>
          </w:p>
        </w:tc>
        <w:tc>
          <w:tcPr>
            <w:tcW w:w="1170" w:type="dxa"/>
            <w:vAlign w:val="center"/>
          </w:tcPr>
          <w:p w14:paraId="3F70FF64" w14:textId="2A234261" w:rsidR="00EB1034" w:rsidRPr="00FC1749" w:rsidRDefault="00EB1034" w:rsidP="00EB1034">
            <w:pPr>
              <w:spacing w:afterLines="40" w:after="96" w:line="240" w:lineRule="auto"/>
              <w:jc w:val="right"/>
              <w:rPr>
                <w:rFonts w:eastAsia="Times New Roman" w:cs="Times New Roman"/>
              </w:rPr>
            </w:pPr>
            <w:r w:rsidRPr="00FC1749">
              <w:rPr>
                <w:rFonts w:cs="Times New Roman"/>
              </w:rPr>
              <w:t>1,851</w:t>
            </w:r>
          </w:p>
        </w:tc>
        <w:tc>
          <w:tcPr>
            <w:tcW w:w="1170" w:type="dxa"/>
            <w:vAlign w:val="center"/>
          </w:tcPr>
          <w:p w14:paraId="31A82112" w14:textId="5C18FCBE" w:rsidR="00EB1034" w:rsidRPr="00FC1749" w:rsidRDefault="00EB1034" w:rsidP="00EB1034">
            <w:pPr>
              <w:spacing w:afterLines="40" w:after="96" w:line="240" w:lineRule="auto"/>
              <w:jc w:val="right"/>
              <w:rPr>
                <w:rFonts w:eastAsia="Times New Roman" w:cs="Times New Roman"/>
              </w:rPr>
            </w:pPr>
            <w:r w:rsidRPr="00FC1749">
              <w:rPr>
                <w:rFonts w:cs="Times New Roman"/>
              </w:rPr>
              <w:t>2.2%</w:t>
            </w:r>
          </w:p>
        </w:tc>
        <w:tc>
          <w:tcPr>
            <w:tcW w:w="1170" w:type="dxa"/>
            <w:vAlign w:val="center"/>
          </w:tcPr>
          <w:p w14:paraId="6D026FCC" w14:textId="57943BE4" w:rsidR="00EB1034" w:rsidRPr="00FC1749" w:rsidRDefault="00EB1034" w:rsidP="00EB1034">
            <w:pPr>
              <w:spacing w:afterLines="40" w:after="96" w:line="240" w:lineRule="auto"/>
              <w:jc w:val="right"/>
              <w:rPr>
                <w:rFonts w:eastAsia="Times New Roman" w:cs="Times New Roman"/>
              </w:rPr>
            </w:pPr>
            <w:r w:rsidRPr="00FC1749">
              <w:rPr>
                <w:rFonts w:cs="Times New Roman"/>
              </w:rPr>
              <w:t>1,776</w:t>
            </w:r>
          </w:p>
        </w:tc>
        <w:tc>
          <w:tcPr>
            <w:tcW w:w="1170" w:type="dxa"/>
            <w:vAlign w:val="center"/>
          </w:tcPr>
          <w:p w14:paraId="7BB27BA7" w14:textId="6F839170" w:rsidR="00EB1034" w:rsidRPr="00FC1749" w:rsidRDefault="00EB1034" w:rsidP="00EB1034">
            <w:pPr>
              <w:spacing w:afterLines="40" w:after="96" w:line="240" w:lineRule="auto"/>
              <w:jc w:val="right"/>
              <w:rPr>
                <w:rFonts w:eastAsia="Times New Roman" w:cs="Times New Roman"/>
              </w:rPr>
            </w:pPr>
            <w:r w:rsidRPr="00FC1749">
              <w:rPr>
                <w:rFonts w:cs="Times New Roman"/>
              </w:rPr>
              <w:t>2.2%</w:t>
            </w:r>
          </w:p>
        </w:tc>
      </w:tr>
      <w:tr w:rsidR="00EB1034" w:rsidRPr="00FC1749" w14:paraId="0BF2B355" w14:textId="093EADC8" w:rsidTr="00A8743E">
        <w:trPr>
          <w:cantSplit/>
          <w:jc w:val="center"/>
        </w:trPr>
        <w:tc>
          <w:tcPr>
            <w:tcW w:w="1890" w:type="dxa"/>
            <w:vAlign w:val="center"/>
          </w:tcPr>
          <w:p w14:paraId="0E7D3EA8" w14:textId="7CA9D7C4" w:rsidR="00EB1034" w:rsidRPr="00FC1749" w:rsidRDefault="00EB1034" w:rsidP="00EB1034">
            <w:pPr>
              <w:spacing w:afterLines="40" w:after="96" w:line="240" w:lineRule="auto"/>
              <w:rPr>
                <w:rFonts w:eastAsia="Times New Roman" w:cs="Times New Roman"/>
              </w:rPr>
            </w:pPr>
            <w:r w:rsidRPr="00FC1749">
              <w:rPr>
                <w:rFonts w:cs="Times New Roman"/>
                <w:color w:val="000000"/>
              </w:rPr>
              <w:t>Sandwich</w:t>
            </w:r>
          </w:p>
        </w:tc>
        <w:tc>
          <w:tcPr>
            <w:tcW w:w="1170" w:type="dxa"/>
            <w:vAlign w:val="center"/>
          </w:tcPr>
          <w:p w14:paraId="75D96F1F" w14:textId="46F8D564" w:rsidR="00EB1034" w:rsidRPr="00FC1749" w:rsidRDefault="00EB1034" w:rsidP="00EB1034">
            <w:pPr>
              <w:spacing w:afterLines="40" w:after="96" w:line="240" w:lineRule="auto"/>
              <w:jc w:val="right"/>
              <w:rPr>
                <w:rFonts w:eastAsia="Times New Roman" w:cs="Times New Roman"/>
              </w:rPr>
            </w:pPr>
            <w:r w:rsidRPr="00FC1749">
              <w:rPr>
                <w:rFonts w:cs="Times New Roman"/>
              </w:rPr>
              <w:t>1,595</w:t>
            </w:r>
          </w:p>
        </w:tc>
        <w:tc>
          <w:tcPr>
            <w:tcW w:w="1170" w:type="dxa"/>
            <w:vAlign w:val="center"/>
          </w:tcPr>
          <w:p w14:paraId="410A7489" w14:textId="12E7596A" w:rsidR="00EB1034" w:rsidRPr="00FC1749" w:rsidRDefault="00EB1034" w:rsidP="00EB1034">
            <w:pPr>
              <w:spacing w:afterLines="40" w:after="96" w:line="240" w:lineRule="auto"/>
              <w:jc w:val="right"/>
              <w:rPr>
                <w:rFonts w:eastAsia="Times New Roman" w:cs="Times New Roman"/>
              </w:rPr>
            </w:pPr>
            <w:r w:rsidRPr="00FC1749">
              <w:rPr>
                <w:rFonts w:cs="Times New Roman"/>
              </w:rPr>
              <w:t>1.8%</w:t>
            </w:r>
          </w:p>
        </w:tc>
        <w:tc>
          <w:tcPr>
            <w:tcW w:w="1170" w:type="dxa"/>
            <w:vAlign w:val="center"/>
          </w:tcPr>
          <w:p w14:paraId="3188EC07" w14:textId="5B29F2F8" w:rsidR="00EB1034" w:rsidRPr="00FC1749" w:rsidRDefault="00EB1034" w:rsidP="00EB1034">
            <w:pPr>
              <w:spacing w:afterLines="40" w:after="96" w:line="240" w:lineRule="auto"/>
              <w:jc w:val="right"/>
              <w:rPr>
                <w:rFonts w:eastAsia="Times New Roman" w:cs="Times New Roman"/>
              </w:rPr>
            </w:pPr>
            <w:r w:rsidRPr="00FC1749">
              <w:rPr>
                <w:rFonts w:cs="Times New Roman"/>
              </w:rPr>
              <w:t>1,519</w:t>
            </w:r>
          </w:p>
        </w:tc>
        <w:tc>
          <w:tcPr>
            <w:tcW w:w="1170" w:type="dxa"/>
            <w:vAlign w:val="center"/>
          </w:tcPr>
          <w:p w14:paraId="774D696C" w14:textId="45A4FE42" w:rsidR="00EB1034" w:rsidRPr="00FC1749" w:rsidRDefault="00EB1034" w:rsidP="00EB1034">
            <w:pPr>
              <w:spacing w:afterLines="40" w:after="96" w:line="240" w:lineRule="auto"/>
              <w:jc w:val="right"/>
              <w:rPr>
                <w:rFonts w:eastAsia="Times New Roman" w:cs="Times New Roman"/>
              </w:rPr>
            </w:pPr>
            <w:r w:rsidRPr="00FC1749">
              <w:rPr>
                <w:rFonts w:cs="Times New Roman"/>
              </w:rPr>
              <w:t>1.8%</w:t>
            </w:r>
          </w:p>
        </w:tc>
        <w:tc>
          <w:tcPr>
            <w:tcW w:w="1170" w:type="dxa"/>
            <w:vAlign w:val="center"/>
          </w:tcPr>
          <w:p w14:paraId="6CD39471" w14:textId="69AF6B31" w:rsidR="00EB1034" w:rsidRPr="00FC1749" w:rsidRDefault="00EB1034" w:rsidP="00EB1034">
            <w:pPr>
              <w:spacing w:afterLines="40" w:after="96" w:line="240" w:lineRule="auto"/>
              <w:jc w:val="right"/>
              <w:rPr>
                <w:rFonts w:eastAsia="Times New Roman" w:cs="Times New Roman"/>
              </w:rPr>
            </w:pPr>
            <w:r w:rsidRPr="00FC1749">
              <w:rPr>
                <w:rFonts w:cs="Times New Roman"/>
              </w:rPr>
              <w:t>1,377</w:t>
            </w:r>
          </w:p>
        </w:tc>
        <w:tc>
          <w:tcPr>
            <w:tcW w:w="1170" w:type="dxa"/>
            <w:vAlign w:val="center"/>
          </w:tcPr>
          <w:p w14:paraId="449D8BBA" w14:textId="3E878EEC" w:rsidR="00EB1034" w:rsidRPr="00FC1749" w:rsidRDefault="00EB1034" w:rsidP="00EB1034">
            <w:pPr>
              <w:spacing w:afterLines="40" w:after="96" w:line="240" w:lineRule="auto"/>
              <w:jc w:val="right"/>
              <w:rPr>
                <w:rFonts w:eastAsia="Times New Roman" w:cs="Times New Roman"/>
              </w:rPr>
            </w:pPr>
            <w:r w:rsidRPr="00FC1749">
              <w:rPr>
                <w:rFonts w:cs="Times New Roman"/>
              </w:rPr>
              <w:t>1.7%</w:t>
            </w:r>
          </w:p>
        </w:tc>
      </w:tr>
      <w:tr w:rsidR="00EB1034" w:rsidRPr="00FC1749" w14:paraId="547D439C" w14:textId="6B062FA4" w:rsidTr="00A8743E">
        <w:trPr>
          <w:cantSplit/>
          <w:jc w:val="center"/>
        </w:trPr>
        <w:tc>
          <w:tcPr>
            <w:tcW w:w="1890" w:type="dxa"/>
            <w:vAlign w:val="center"/>
          </w:tcPr>
          <w:p w14:paraId="62E34EE1" w14:textId="718D3B14" w:rsidR="00EB1034" w:rsidRPr="00FC1749" w:rsidRDefault="00EB1034" w:rsidP="00EB1034">
            <w:pPr>
              <w:spacing w:afterLines="40" w:after="96" w:line="240" w:lineRule="auto"/>
              <w:rPr>
                <w:rFonts w:eastAsia="Times New Roman" w:cs="Times New Roman"/>
              </w:rPr>
            </w:pPr>
            <w:r w:rsidRPr="00FC1749">
              <w:rPr>
                <w:rFonts w:cs="Times New Roman"/>
                <w:color w:val="000000"/>
              </w:rPr>
              <w:t>Halifax</w:t>
            </w:r>
          </w:p>
        </w:tc>
        <w:tc>
          <w:tcPr>
            <w:tcW w:w="1170" w:type="dxa"/>
            <w:vAlign w:val="center"/>
          </w:tcPr>
          <w:p w14:paraId="455605EC" w14:textId="704C3603" w:rsidR="00EB1034" w:rsidRPr="00FC1749" w:rsidRDefault="00EB1034" w:rsidP="00EB1034">
            <w:pPr>
              <w:spacing w:afterLines="40" w:after="96" w:line="240" w:lineRule="auto"/>
              <w:jc w:val="right"/>
              <w:rPr>
                <w:rFonts w:eastAsia="Times New Roman" w:cs="Times New Roman"/>
              </w:rPr>
            </w:pPr>
            <w:r w:rsidRPr="00FC1749">
              <w:rPr>
                <w:rFonts w:cs="Times New Roman"/>
              </w:rPr>
              <w:t>1,356</w:t>
            </w:r>
          </w:p>
        </w:tc>
        <w:tc>
          <w:tcPr>
            <w:tcW w:w="1170" w:type="dxa"/>
            <w:vAlign w:val="center"/>
          </w:tcPr>
          <w:p w14:paraId="3EFF494B" w14:textId="505DE4B0" w:rsidR="00EB1034" w:rsidRPr="00FC1749" w:rsidRDefault="00EB1034" w:rsidP="00EB1034">
            <w:pPr>
              <w:spacing w:afterLines="40" w:after="96" w:line="240" w:lineRule="auto"/>
              <w:jc w:val="right"/>
              <w:rPr>
                <w:rFonts w:eastAsia="Times New Roman" w:cs="Times New Roman"/>
              </w:rPr>
            </w:pPr>
            <w:r w:rsidRPr="00FC1749">
              <w:rPr>
                <w:rFonts w:cs="Times New Roman"/>
              </w:rPr>
              <w:t>1.5%</w:t>
            </w:r>
          </w:p>
        </w:tc>
        <w:tc>
          <w:tcPr>
            <w:tcW w:w="1170" w:type="dxa"/>
            <w:vAlign w:val="center"/>
          </w:tcPr>
          <w:p w14:paraId="102E1610" w14:textId="047A8393" w:rsidR="00EB1034" w:rsidRPr="00FC1749" w:rsidRDefault="00EB1034" w:rsidP="00EB1034">
            <w:pPr>
              <w:spacing w:afterLines="40" w:after="96" w:line="240" w:lineRule="auto"/>
              <w:jc w:val="right"/>
              <w:rPr>
                <w:rFonts w:eastAsia="Times New Roman" w:cs="Times New Roman"/>
              </w:rPr>
            </w:pPr>
            <w:r w:rsidRPr="00FC1749">
              <w:rPr>
                <w:rFonts w:cs="Times New Roman"/>
              </w:rPr>
              <w:t>1,226</w:t>
            </w:r>
          </w:p>
        </w:tc>
        <w:tc>
          <w:tcPr>
            <w:tcW w:w="1170" w:type="dxa"/>
            <w:vAlign w:val="center"/>
          </w:tcPr>
          <w:p w14:paraId="6FF32167" w14:textId="729082DF" w:rsidR="00EB1034" w:rsidRPr="00FC1749" w:rsidRDefault="00EB1034" w:rsidP="00EB1034">
            <w:pPr>
              <w:spacing w:afterLines="40" w:after="96" w:line="240" w:lineRule="auto"/>
              <w:jc w:val="right"/>
              <w:rPr>
                <w:rFonts w:eastAsia="Times New Roman" w:cs="Times New Roman"/>
              </w:rPr>
            </w:pPr>
            <w:r w:rsidRPr="00FC1749">
              <w:rPr>
                <w:rFonts w:cs="Times New Roman"/>
              </w:rPr>
              <w:t>1.5%</w:t>
            </w:r>
          </w:p>
        </w:tc>
        <w:tc>
          <w:tcPr>
            <w:tcW w:w="1170" w:type="dxa"/>
            <w:vAlign w:val="center"/>
          </w:tcPr>
          <w:p w14:paraId="531129CB" w14:textId="2917DA59" w:rsidR="00EB1034" w:rsidRPr="00FC1749" w:rsidRDefault="00EB1034" w:rsidP="00EB1034">
            <w:pPr>
              <w:spacing w:afterLines="40" w:after="96" w:line="240" w:lineRule="auto"/>
              <w:jc w:val="right"/>
              <w:rPr>
                <w:rFonts w:eastAsia="Times New Roman" w:cs="Times New Roman"/>
              </w:rPr>
            </w:pPr>
            <w:r w:rsidRPr="00FC1749">
              <w:rPr>
                <w:rFonts w:cs="Times New Roman"/>
              </w:rPr>
              <w:t>1,347</w:t>
            </w:r>
          </w:p>
        </w:tc>
        <w:tc>
          <w:tcPr>
            <w:tcW w:w="1170" w:type="dxa"/>
            <w:vAlign w:val="center"/>
          </w:tcPr>
          <w:p w14:paraId="675E94F2" w14:textId="4ED446C3" w:rsidR="00EB1034" w:rsidRPr="00FC1749" w:rsidRDefault="00EB1034" w:rsidP="00EB1034">
            <w:pPr>
              <w:spacing w:afterLines="40" w:after="96" w:line="240" w:lineRule="auto"/>
              <w:jc w:val="right"/>
              <w:rPr>
                <w:rFonts w:eastAsia="Times New Roman" w:cs="Times New Roman"/>
              </w:rPr>
            </w:pPr>
            <w:r w:rsidRPr="00FC1749">
              <w:rPr>
                <w:rFonts w:cs="Times New Roman"/>
              </w:rPr>
              <w:t>1.7%</w:t>
            </w:r>
          </w:p>
        </w:tc>
      </w:tr>
      <w:tr w:rsidR="00EB1034" w:rsidRPr="00FC1749" w14:paraId="283A8E05" w14:textId="3284F72F" w:rsidTr="00A8743E">
        <w:trPr>
          <w:cantSplit/>
          <w:jc w:val="center"/>
        </w:trPr>
        <w:tc>
          <w:tcPr>
            <w:tcW w:w="1890" w:type="dxa"/>
            <w:vAlign w:val="center"/>
          </w:tcPr>
          <w:p w14:paraId="22826099" w14:textId="3E1E873D" w:rsidR="00EB1034" w:rsidRPr="00FC1749" w:rsidRDefault="00EB1034" w:rsidP="00EB1034">
            <w:pPr>
              <w:spacing w:afterLines="40" w:after="96" w:line="240" w:lineRule="auto"/>
              <w:rPr>
                <w:rFonts w:eastAsia="Times New Roman" w:cs="Times New Roman"/>
              </w:rPr>
            </w:pPr>
            <w:r w:rsidRPr="00FC1749">
              <w:rPr>
                <w:rFonts w:cs="Times New Roman"/>
                <w:color w:val="000000"/>
              </w:rPr>
              <w:t>Sagamore Beach</w:t>
            </w:r>
          </w:p>
        </w:tc>
        <w:tc>
          <w:tcPr>
            <w:tcW w:w="1170" w:type="dxa"/>
            <w:vAlign w:val="center"/>
          </w:tcPr>
          <w:p w14:paraId="7EC094AF" w14:textId="2867F47E" w:rsidR="00EB1034" w:rsidRPr="00FC1749" w:rsidRDefault="00EB1034" w:rsidP="00EB1034">
            <w:pPr>
              <w:spacing w:afterLines="40" w:after="96" w:line="240" w:lineRule="auto"/>
              <w:jc w:val="right"/>
              <w:rPr>
                <w:rFonts w:eastAsia="Times New Roman" w:cs="Times New Roman"/>
              </w:rPr>
            </w:pPr>
            <w:r w:rsidRPr="00FC1749">
              <w:rPr>
                <w:rFonts w:cs="Times New Roman"/>
              </w:rPr>
              <w:t>1,310</w:t>
            </w:r>
          </w:p>
        </w:tc>
        <w:tc>
          <w:tcPr>
            <w:tcW w:w="1170" w:type="dxa"/>
            <w:vAlign w:val="center"/>
          </w:tcPr>
          <w:p w14:paraId="6C284E51" w14:textId="3041617E" w:rsidR="00EB1034" w:rsidRPr="00FC1749" w:rsidRDefault="00EB1034" w:rsidP="00EB1034">
            <w:pPr>
              <w:spacing w:afterLines="40" w:after="96" w:line="240" w:lineRule="auto"/>
              <w:jc w:val="right"/>
              <w:rPr>
                <w:rFonts w:eastAsia="Times New Roman" w:cs="Times New Roman"/>
              </w:rPr>
            </w:pPr>
            <w:r w:rsidRPr="00FC1749">
              <w:rPr>
                <w:rFonts w:cs="Times New Roman"/>
              </w:rPr>
              <w:t>1.5%</w:t>
            </w:r>
          </w:p>
        </w:tc>
        <w:tc>
          <w:tcPr>
            <w:tcW w:w="1170" w:type="dxa"/>
            <w:vAlign w:val="center"/>
          </w:tcPr>
          <w:p w14:paraId="3D150C3D" w14:textId="52FC6EA6" w:rsidR="00EB1034" w:rsidRPr="00FC1749" w:rsidRDefault="00EB1034" w:rsidP="00EB1034">
            <w:pPr>
              <w:spacing w:afterLines="40" w:after="96" w:line="240" w:lineRule="auto"/>
              <w:jc w:val="right"/>
              <w:rPr>
                <w:rFonts w:eastAsia="Times New Roman" w:cs="Times New Roman"/>
              </w:rPr>
            </w:pPr>
            <w:r w:rsidRPr="00FC1749">
              <w:rPr>
                <w:rFonts w:cs="Times New Roman"/>
              </w:rPr>
              <w:t>1,288</w:t>
            </w:r>
          </w:p>
        </w:tc>
        <w:tc>
          <w:tcPr>
            <w:tcW w:w="1170" w:type="dxa"/>
            <w:vAlign w:val="center"/>
          </w:tcPr>
          <w:p w14:paraId="31CA5AC9" w14:textId="45CD9C49" w:rsidR="00EB1034" w:rsidRPr="00FC1749" w:rsidRDefault="00EB1034" w:rsidP="00EB1034">
            <w:pPr>
              <w:spacing w:afterLines="40" w:after="96" w:line="240" w:lineRule="auto"/>
              <w:jc w:val="right"/>
              <w:rPr>
                <w:rFonts w:eastAsia="Times New Roman" w:cs="Times New Roman"/>
              </w:rPr>
            </w:pPr>
            <w:r w:rsidRPr="00FC1749">
              <w:rPr>
                <w:rFonts w:cs="Times New Roman"/>
              </w:rPr>
              <w:t>1.6%</w:t>
            </w:r>
          </w:p>
        </w:tc>
        <w:tc>
          <w:tcPr>
            <w:tcW w:w="1170" w:type="dxa"/>
            <w:vAlign w:val="center"/>
          </w:tcPr>
          <w:p w14:paraId="6B835401" w14:textId="1F0003E2" w:rsidR="00EB1034" w:rsidRPr="00FC1749" w:rsidRDefault="00EB1034" w:rsidP="00EB1034">
            <w:pPr>
              <w:spacing w:afterLines="40" w:after="96" w:line="240" w:lineRule="auto"/>
              <w:jc w:val="right"/>
              <w:rPr>
                <w:rFonts w:eastAsia="Times New Roman" w:cs="Times New Roman"/>
              </w:rPr>
            </w:pPr>
            <w:r w:rsidRPr="00FC1749">
              <w:rPr>
                <w:rFonts w:cs="Times New Roman"/>
              </w:rPr>
              <w:t>1,181</w:t>
            </w:r>
          </w:p>
        </w:tc>
        <w:tc>
          <w:tcPr>
            <w:tcW w:w="1170" w:type="dxa"/>
            <w:vAlign w:val="center"/>
          </w:tcPr>
          <w:p w14:paraId="320B95CD" w14:textId="04EDE2CA" w:rsidR="00EB1034" w:rsidRPr="00FC1749" w:rsidRDefault="00EB1034" w:rsidP="00EB1034">
            <w:pPr>
              <w:spacing w:afterLines="40" w:after="96" w:line="240" w:lineRule="auto"/>
              <w:jc w:val="right"/>
              <w:rPr>
                <w:rFonts w:eastAsia="Times New Roman" w:cs="Times New Roman"/>
              </w:rPr>
            </w:pPr>
            <w:r w:rsidRPr="00FC1749">
              <w:rPr>
                <w:rFonts w:cs="Times New Roman"/>
              </w:rPr>
              <w:t>1.5%</w:t>
            </w:r>
          </w:p>
        </w:tc>
      </w:tr>
      <w:tr w:rsidR="00EB1034" w:rsidRPr="00FC1749" w14:paraId="37866BCC" w14:textId="017E9725" w:rsidTr="00A8743E">
        <w:trPr>
          <w:cantSplit/>
          <w:jc w:val="center"/>
        </w:trPr>
        <w:tc>
          <w:tcPr>
            <w:tcW w:w="1890" w:type="dxa"/>
            <w:vAlign w:val="center"/>
          </w:tcPr>
          <w:p w14:paraId="07EB8026" w14:textId="3EFF2F8F" w:rsidR="00EB1034" w:rsidRPr="00FC1749" w:rsidRDefault="00EB1034" w:rsidP="00EB1034">
            <w:pPr>
              <w:spacing w:afterLines="40" w:after="96" w:line="240" w:lineRule="auto"/>
              <w:rPr>
                <w:rFonts w:eastAsia="Times New Roman" w:cs="Times New Roman"/>
              </w:rPr>
            </w:pPr>
            <w:r w:rsidRPr="00FC1749">
              <w:rPr>
                <w:rFonts w:cs="Times New Roman"/>
                <w:color w:val="000000"/>
              </w:rPr>
              <w:t>Plympton</w:t>
            </w:r>
          </w:p>
        </w:tc>
        <w:tc>
          <w:tcPr>
            <w:tcW w:w="1170" w:type="dxa"/>
            <w:vAlign w:val="center"/>
          </w:tcPr>
          <w:p w14:paraId="709FF34A" w14:textId="2FD6BFB8" w:rsidR="00EB1034" w:rsidRPr="00FC1749" w:rsidRDefault="00EB1034" w:rsidP="00EB1034">
            <w:pPr>
              <w:spacing w:afterLines="40" w:after="96" w:line="240" w:lineRule="auto"/>
              <w:jc w:val="right"/>
              <w:rPr>
                <w:rFonts w:eastAsia="Times New Roman" w:cs="Times New Roman"/>
              </w:rPr>
            </w:pPr>
            <w:r w:rsidRPr="00FC1749">
              <w:rPr>
                <w:rFonts w:cs="Times New Roman"/>
              </w:rPr>
              <w:t>979</w:t>
            </w:r>
          </w:p>
        </w:tc>
        <w:tc>
          <w:tcPr>
            <w:tcW w:w="1170" w:type="dxa"/>
            <w:vAlign w:val="center"/>
          </w:tcPr>
          <w:p w14:paraId="0CDF30CF" w14:textId="5745DF6F" w:rsidR="00EB1034" w:rsidRPr="00FC1749" w:rsidRDefault="00EB1034" w:rsidP="00EB1034">
            <w:pPr>
              <w:spacing w:afterLines="40" w:after="96" w:line="240" w:lineRule="auto"/>
              <w:jc w:val="right"/>
              <w:rPr>
                <w:rFonts w:eastAsia="Times New Roman" w:cs="Times New Roman"/>
              </w:rPr>
            </w:pPr>
            <w:r w:rsidRPr="00FC1749">
              <w:rPr>
                <w:rFonts w:cs="Times New Roman"/>
              </w:rPr>
              <w:t>1.1%</w:t>
            </w:r>
          </w:p>
        </w:tc>
        <w:tc>
          <w:tcPr>
            <w:tcW w:w="1170" w:type="dxa"/>
            <w:vAlign w:val="center"/>
          </w:tcPr>
          <w:p w14:paraId="434554A5" w14:textId="2BF028E7" w:rsidR="00EB1034" w:rsidRPr="00FC1749" w:rsidRDefault="00EB1034" w:rsidP="00EB1034">
            <w:pPr>
              <w:spacing w:afterLines="40" w:after="96" w:line="240" w:lineRule="auto"/>
              <w:jc w:val="right"/>
              <w:rPr>
                <w:rFonts w:eastAsia="Times New Roman" w:cs="Times New Roman"/>
              </w:rPr>
            </w:pPr>
            <w:r w:rsidRPr="00FC1749">
              <w:rPr>
                <w:rFonts w:cs="Times New Roman"/>
              </w:rPr>
              <w:t>987</w:t>
            </w:r>
          </w:p>
        </w:tc>
        <w:tc>
          <w:tcPr>
            <w:tcW w:w="1170" w:type="dxa"/>
            <w:vAlign w:val="center"/>
          </w:tcPr>
          <w:p w14:paraId="7A884723" w14:textId="7BF18318" w:rsidR="00EB1034" w:rsidRPr="00FC1749" w:rsidRDefault="00EB1034" w:rsidP="00EB1034">
            <w:pPr>
              <w:spacing w:afterLines="40" w:after="96" w:line="240" w:lineRule="auto"/>
              <w:jc w:val="right"/>
              <w:rPr>
                <w:rFonts w:eastAsia="Times New Roman" w:cs="Times New Roman"/>
              </w:rPr>
            </w:pPr>
            <w:r w:rsidRPr="00FC1749">
              <w:rPr>
                <w:rFonts w:cs="Times New Roman"/>
              </w:rPr>
              <w:t>1.2%</w:t>
            </w:r>
          </w:p>
        </w:tc>
        <w:tc>
          <w:tcPr>
            <w:tcW w:w="1170" w:type="dxa"/>
            <w:vAlign w:val="center"/>
          </w:tcPr>
          <w:p w14:paraId="55CD1408" w14:textId="4FABE861" w:rsidR="00EB1034" w:rsidRPr="00FC1749" w:rsidRDefault="00EB1034" w:rsidP="00EB1034">
            <w:pPr>
              <w:spacing w:afterLines="40" w:after="96" w:line="240" w:lineRule="auto"/>
              <w:jc w:val="right"/>
              <w:rPr>
                <w:rFonts w:eastAsia="Times New Roman" w:cs="Times New Roman"/>
              </w:rPr>
            </w:pPr>
            <w:r w:rsidRPr="00FC1749">
              <w:rPr>
                <w:rFonts w:cs="Times New Roman"/>
              </w:rPr>
              <w:t>894</w:t>
            </w:r>
          </w:p>
        </w:tc>
        <w:tc>
          <w:tcPr>
            <w:tcW w:w="1170" w:type="dxa"/>
            <w:vAlign w:val="center"/>
          </w:tcPr>
          <w:p w14:paraId="7079065C" w14:textId="35220DC4" w:rsidR="00EB1034" w:rsidRPr="00FC1749" w:rsidRDefault="00EB1034" w:rsidP="00EB1034">
            <w:pPr>
              <w:spacing w:afterLines="40" w:after="96" w:line="240" w:lineRule="auto"/>
              <w:jc w:val="right"/>
              <w:rPr>
                <w:rFonts w:eastAsia="Times New Roman" w:cs="Times New Roman"/>
              </w:rPr>
            </w:pPr>
            <w:r w:rsidRPr="00FC1749">
              <w:rPr>
                <w:rFonts w:cs="Times New Roman"/>
              </w:rPr>
              <w:t>1.1%</w:t>
            </w:r>
          </w:p>
        </w:tc>
      </w:tr>
      <w:tr w:rsidR="00EB1034" w:rsidRPr="00FC1749" w14:paraId="42B8EB1B" w14:textId="6DF5DFCC" w:rsidTr="00A8743E">
        <w:trPr>
          <w:cantSplit/>
          <w:jc w:val="center"/>
        </w:trPr>
        <w:tc>
          <w:tcPr>
            <w:tcW w:w="1890" w:type="dxa"/>
            <w:vAlign w:val="center"/>
          </w:tcPr>
          <w:p w14:paraId="1E91AFD0" w14:textId="7AADA3C0" w:rsidR="00EB1034" w:rsidRPr="00FC1749" w:rsidRDefault="00EB1034" w:rsidP="00EB1034">
            <w:pPr>
              <w:spacing w:afterLines="40" w:after="96" w:line="240" w:lineRule="auto"/>
              <w:rPr>
                <w:rFonts w:eastAsia="Times New Roman" w:cs="Times New Roman"/>
              </w:rPr>
            </w:pPr>
            <w:r w:rsidRPr="00FC1749">
              <w:rPr>
                <w:rFonts w:cs="Times New Roman"/>
                <w:color w:val="000000"/>
              </w:rPr>
              <w:t>Wareham</w:t>
            </w:r>
          </w:p>
        </w:tc>
        <w:tc>
          <w:tcPr>
            <w:tcW w:w="1170" w:type="dxa"/>
            <w:vAlign w:val="center"/>
          </w:tcPr>
          <w:p w14:paraId="56127FD3" w14:textId="10920B62" w:rsidR="00EB1034" w:rsidRPr="00FC1749" w:rsidRDefault="00EB1034" w:rsidP="00EB1034">
            <w:pPr>
              <w:spacing w:afterLines="40" w:after="96" w:line="240" w:lineRule="auto"/>
              <w:jc w:val="right"/>
              <w:rPr>
                <w:rFonts w:eastAsia="Times New Roman" w:cs="Times New Roman"/>
              </w:rPr>
            </w:pPr>
            <w:r w:rsidRPr="00FC1749">
              <w:rPr>
                <w:rFonts w:cs="Times New Roman"/>
              </w:rPr>
              <w:t>970</w:t>
            </w:r>
          </w:p>
        </w:tc>
        <w:tc>
          <w:tcPr>
            <w:tcW w:w="1170" w:type="dxa"/>
            <w:vAlign w:val="center"/>
          </w:tcPr>
          <w:p w14:paraId="29B49EA2" w14:textId="2E999C29" w:rsidR="00EB1034" w:rsidRPr="00FC1749" w:rsidRDefault="00EB1034" w:rsidP="00EB1034">
            <w:pPr>
              <w:spacing w:afterLines="40" w:after="96" w:line="240" w:lineRule="auto"/>
              <w:jc w:val="right"/>
              <w:rPr>
                <w:rFonts w:eastAsia="Times New Roman" w:cs="Times New Roman"/>
              </w:rPr>
            </w:pPr>
            <w:r w:rsidRPr="00FC1749">
              <w:rPr>
                <w:rFonts w:cs="Times New Roman"/>
              </w:rPr>
              <w:t>1.1%</w:t>
            </w:r>
          </w:p>
        </w:tc>
        <w:tc>
          <w:tcPr>
            <w:tcW w:w="1170" w:type="dxa"/>
            <w:vAlign w:val="center"/>
          </w:tcPr>
          <w:p w14:paraId="1EBEA383" w14:textId="2BA54D19" w:rsidR="00EB1034" w:rsidRPr="00FC1749" w:rsidRDefault="00EB1034" w:rsidP="00EB1034">
            <w:pPr>
              <w:spacing w:afterLines="40" w:after="96" w:line="240" w:lineRule="auto"/>
              <w:jc w:val="right"/>
              <w:rPr>
                <w:rFonts w:eastAsia="Times New Roman" w:cs="Times New Roman"/>
              </w:rPr>
            </w:pPr>
            <w:r w:rsidRPr="00FC1749">
              <w:rPr>
                <w:rFonts w:cs="Times New Roman"/>
              </w:rPr>
              <w:t>910</w:t>
            </w:r>
          </w:p>
        </w:tc>
        <w:tc>
          <w:tcPr>
            <w:tcW w:w="1170" w:type="dxa"/>
            <w:vAlign w:val="center"/>
          </w:tcPr>
          <w:p w14:paraId="6FAEB6B5" w14:textId="7B3F2E92" w:rsidR="00EB1034" w:rsidRPr="00FC1749" w:rsidRDefault="00EB1034" w:rsidP="00EB1034">
            <w:pPr>
              <w:spacing w:afterLines="40" w:after="96" w:line="240" w:lineRule="auto"/>
              <w:jc w:val="right"/>
              <w:rPr>
                <w:rFonts w:eastAsia="Times New Roman" w:cs="Times New Roman"/>
              </w:rPr>
            </w:pPr>
            <w:r w:rsidRPr="00FC1749">
              <w:rPr>
                <w:rFonts w:cs="Times New Roman"/>
              </w:rPr>
              <w:t>1.1%</w:t>
            </w:r>
          </w:p>
        </w:tc>
        <w:tc>
          <w:tcPr>
            <w:tcW w:w="1170" w:type="dxa"/>
            <w:vAlign w:val="center"/>
          </w:tcPr>
          <w:p w14:paraId="1293949C" w14:textId="35B86706" w:rsidR="00EB1034" w:rsidRPr="00FC1749" w:rsidRDefault="00EB1034" w:rsidP="00EB1034">
            <w:pPr>
              <w:spacing w:afterLines="40" w:after="96" w:line="240" w:lineRule="auto"/>
              <w:jc w:val="right"/>
              <w:rPr>
                <w:rFonts w:eastAsia="Times New Roman" w:cs="Times New Roman"/>
              </w:rPr>
            </w:pPr>
            <w:r w:rsidRPr="00FC1749">
              <w:rPr>
                <w:rFonts w:cs="Times New Roman"/>
              </w:rPr>
              <w:t>894</w:t>
            </w:r>
          </w:p>
        </w:tc>
        <w:tc>
          <w:tcPr>
            <w:tcW w:w="1170" w:type="dxa"/>
            <w:vAlign w:val="center"/>
          </w:tcPr>
          <w:p w14:paraId="0C977B8A" w14:textId="7676DC63" w:rsidR="00EB1034" w:rsidRPr="00FC1749" w:rsidRDefault="00EB1034" w:rsidP="00EB1034">
            <w:pPr>
              <w:spacing w:afterLines="40" w:after="96" w:line="240" w:lineRule="auto"/>
              <w:jc w:val="right"/>
              <w:rPr>
                <w:rFonts w:eastAsia="Times New Roman" w:cs="Times New Roman"/>
              </w:rPr>
            </w:pPr>
            <w:r w:rsidRPr="00FC1749">
              <w:rPr>
                <w:rFonts w:cs="Times New Roman"/>
              </w:rPr>
              <w:t>1.1%</w:t>
            </w:r>
          </w:p>
        </w:tc>
      </w:tr>
      <w:tr w:rsidR="00EB1034" w:rsidRPr="00FC1749" w14:paraId="054D703D" w14:textId="2A6B1C4D" w:rsidTr="00A8743E">
        <w:trPr>
          <w:cantSplit/>
          <w:jc w:val="center"/>
        </w:trPr>
        <w:tc>
          <w:tcPr>
            <w:tcW w:w="1890" w:type="dxa"/>
            <w:vAlign w:val="center"/>
          </w:tcPr>
          <w:p w14:paraId="220958A1" w14:textId="5638BC48" w:rsidR="00EB1034" w:rsidRPr="00FC1749" w:rsidRDefault="00EB1034" w:rsidP="00EB1034">
            <w:pPr>
              <w:spacing w:afterLines="40" w:after="96" w:line="240" w:lineRule="auto"/>
              <w:rPr>
                <w:rFonts w:cs="Times New Roman"/>
                <w:color w:val="000000"/>
              </w:rPr>
            </w:pPr>
            <w:r w:rsidRPr="00FC1749">
              <w:rPr>
                <w:rFonts w:cs="Times New Roman"/>
                <w:color w:val="000000"/>
              </w:rPr>
              <w:t>Mashpee</w:t>
            </w:r>
          </w:p>
        </w:tc>
        <w:tc>
          <w:tcPr>
            <w:tcW w:w="1170" w:type="dxa"/>
            <w:vAlign w:val="center"/>
          </w:tcPr>
          <w:p w14:paraId="5B99CC43" w14:textId="4DCB746F" w:rsidR="00EB1034" w:rsidRPr="00FC1749" w:rsidRDefault="00EB1034" w:rsidP="00EB1034">
            <w:pPr>
              <w:spacing w:afterLines="40" w:after="96" w:line="240" w:lineRule="auto"/>
              <w:jc w:val="right"/>
              <w:rPr>
                <w:rFonts w:eastAsia="Times New Roman" w:cs="Times New Roman"/>
              </w:rPr>
            </w:pPr>
            <w:r w:rsidRPr="00FC1749">
              <w:rPr>
                <w:rFonts w:cs="Times New Roman"/>
              </w:rPr>
              <w:t>945</w:t>
            </w:r>
          </w:p>
        </w:tc>
        <w:tc>
          <w:tcPr>
            <w:tcW w:w="1170" w:type="dxa"/>
            <w:vAlign w:val="center"/>
          </w:tcPr>
          <w:p w14:paraId="709B4B58" w14:textId="6E80C5E3" w:rsidR="00EB1034" w:rsidRPr="00FC1749" w:rsidRDefault="00EB1034" w:rsidP="00EB1034">
            <w:pPr>
              <w:spacing w:afterLines="40" w:after="96" w:line="240" w:lineRule="auto"/>
              <w:jc w:val="right"/>
              <w:rPr>
                <w:rFonts w:eastAsia="Times New Roman" w:cs="Times New Roman"/>
              </w:rPr>
            </w:pPr>
            <w:r w:rsidRPr="00FC1749">
              <w:rPr>
                <w:rFonts w:cs="Times New Roman"/>
              </w:rPr>
              <w:t>1.1%</w:t>
            </w:r>
          </w:p>
        </w:tc>
        <w:tc>
          <w:tcPr>
            <w:tcW w:w="1170" w:type="dxa"/>
            <w:vAlign w:val="center"/>
          </w:tcPr>
          <w:p w14:paraId="363E13E3" w14:textId="7F8B8F38" w:rsidR="00EB1034" w:rsidRPr="00FC1749" w:rsidRDefault="00EB1034" w:rsidP="00EB1034">
            <w:pPr>
              <w:spacing w:afterLines="40" w:after="96" w:line="240" w:lineRule="auto"/>
              <w:jc w:val="right"/>
              <w:rPr>
                <w:rFonts w:eastAsia="Times New Roman" w:cs="Times New Roman"/>
              </w:rPr>
            </w:pPr>
            <w:r w:rsidRPr="00FC1749">
              <w:rPr>
                <w:rFonts w:cs="Times New Roman"/>
              </w:rPr>
              <w:t>920</w:t>
            </w:r>
          </w:p>
        </w:tc>
        <w:tc>
          <w:tcPr>
            <w:tcW w:w="1170" w:type="dxa"/>
            <w:vAlign w:val="center"/>
          </w:tcPr>
          <w:p w14:paraId="5F3B07C1" w14:textId="41EA84CF" w:rsidR="00EB1034" w:rsidRPr="00FC1749" w:rsidRDefault="00EB1034" w:rsidP="00EB1034">
            <w:pPr>
              <w:spacing w:afterLines="40" w:after="96" w:line="240" w:lineRule="auto"/>
              <w:jc w:val="right"/>
              <w:rPr>
                <w:rFonts w:eastAsia="Times New Roman" w:cs="Times New Roman"/>
              </w:rPr>
            </w:pPr>
            <w:r w:rsidRPr="00FC1749">
              <w:rPr>
                <w:rFonts w:cs="Times New Roman"/>
              </w:rPr>
              <w:t>1.1%</w:t>
            </w:r>
          </w:p>
        </w:tc>
        <w:tc>
          <w:tcPr>
            <w:tcW w:w="1170" w:type="dxa"/>
            <w:vAlign w:val="center"/>
          </w:tcPr>
          <w:p w14:paraId="068DB460" w14:textId="25742902" w:rsidR="00EB1034" w:rsidRPr="00FC1749" w:rsidRDefault="00EB1034" w:rsidP="00EB1034">
            <w:pPr>
              <w:spacing w:afterLines="40" w:after="96" w:line="240" w:lineRule="auto"/>
              <w:jc w:val="right"/>
              <w:rPr>
                <w:rFonts w:eastAsia="Times New Roman" w:cs="Times New Roman"/>
              </w:rPr>
            </w:pPr>
            <w:r w:rsidRPr="00FC1749">
              <w:rPr>
                <w:rFonts w:cs="Times New Roman"/>
              </w:rPr>
              <w:t>904</w:t>
            </w:r>
          </w:p>
        </w:tc>
        <w:tc>
          <w:tcPr>
            <w:tcW w:w="1170" w:type="dxa"/>
            <w:vAlign w:val="center"/>
          </w:tcPr>
          <w:p w14:paraId="6A296E2B" w14:textId="48F1A70B" w:rsidR="00EB1034" w:rsidRPr="00FC1749" w:rsidRDefault="00EB1034" w:rsidP="00EB1034">
            <w:pPr>
              <w:spacing w:afterLines="40" w:after="96" w:line="240" w:lineRule="auto"/>
              <w:jc w:val="right"/>
              <w:rPr>
                <w:rFonts w:eastAsia="Times New Roman" w:cs="Times New Roman"/>
              </w:rPr>
            </w:pPr>
            <w:r w:rsidRPr="00FC1749">
              <w:rPr>
                <w:rFonts w:cs="Times New Roman"/>
              </w:rPr>
              <w:t>1.1%</w:t>
            </w:r>
          </w:p>
        </w:tc>
      </w:tr>
      <w:tr w:rsidR="00EB1034" w:rsidRPr="00FC1749" w14:paraId="49C0BC92" w14:textId="52744A4D" w:rsidTr="00A8743E">
        <w:trPr>
          <w:cantSplit/>
          <w:jc w:val="center"/>
        </w:trPr>
        <w:tc>
          <w:tcPr>
            <w:tcW w:w="1890" w:type="dxa"/>
            <w:vAlign w:val="center"/>
          </w:tcPr>
          <w:p w14:paraId="629B011F" w14:textId="599C0127" w:rsidR="00EB1034" w:rsidRPr="00FC1749" w:rsidRDefault="00EB1034" w:rsidP="00EB1034">
            <w:pPr>
              <w:spacing w:afterLines="40" w:after="96" w:line="240" w:lineRule="auto"/>
              <w:rPr>
                <w:rFonts w:cs="Times New Roman"/>
                <w:color w:val="000000"/>
              </w:rPr>
            </w:pPr>
            <w:r w:rsidRPr="00FC1749">
              <w:rPr>
                <w:rFonts w:cs="Times New Roman"/>
                <w:color w:val="000000"/>
              </w:rPr>
              <w:t>East Falmouth</w:t>
            </w:r>
          </w:p>
        </w:tc>
        <w:tc>
          <w:tcPr>
            <w:tcW w:w="1170" w:type="dxa"/>
            <w:vAlign w:val="center"/>
          </w:tcPr>
          <w:p w14:paraId="6F86DDBF" w14:textId="113EAB41" w:rsidR="00EB1034" w:rsidRPr="00FC1749" w:rsidRDefault="00EB1034" w:rsidP="00EB1034">
            <w:pPr>
              <w:spacing w:afterLines="40" w:after="96" w:line="240" w:lineRule="auto"/>
              <w:jc w:val="right"/>
              <w:rPr>
                <w:rFonts w:eastAsia="Times New Roman" w:cs="Times New Roman"/>
              </w:rPr>
            </w:pPr>
            <w:r w:rsidRPr="00FC1749">
              <w:rPr>
                <w:rFonts w:cs="Times New Roman"/>
              </w:rPr>
              <w:t>780</w:t>
            </w:r>
          </w:p>
        </w:tc>
        <w:tc>
          <w:tcPr>
            <w:tcW w:w="1170" w:type="dxa"/>
            <w:vAlign w:val="center"/>
          </w:tcPr>
          <w:p w14:paraId="5C349A75" w14:textId="0958CEDE" w:rsidR="00EB1034" w:rsidRPr="00FC1749" w:rsidRDefault="00EB1034" w:rsidP="00EB1034">
            <w:pPr>
              <w:spacing w:afterLines="40" w:after="96" w:line="240" w:lineRule="auto"/>
              <w:jc w:val="right"/>
              <w:rPr>
                <w:rFonts w:eastAsia="Times New Roman" w:cs="Times New Roman"/>
              </w:rPr>
            </w:pPr>
            <w:r w:rsidRPr="00FC1749">
              <w:rPr>
                <w:rFonts w:cs="Times New Roman"/>
              </w:rPr>
              <w:t>0.9%</w:t>
            </w:r>
          </w:p>
        </w:tc>
        <w:tc>
          <w:tcPr>
            <w:tcW w:w="1170" w:type="dxa"/>
            <w:vAlign w:val="center"/>
          </w:tcPr>
          <w:p w14:paraId="23F5E046" w14:textId="28026110" w:rsidR="00EB1034" w:rsidRPr="00FC1749" w:rsidRDefault="00EB1034" w:rsidP="00EB1034">
            <w:pPr>
              <w:spacing w:afterLines="40" w:after="96" w:line="240" w:lineRule="auto"/>
              <w:jc w:val="right"/>
              <w:rPr>
                <w:rFonts w:eastAsia="Times New Roman" w:cs="Times New Roman"/>
              </w:rPr>
            </w:pPr>
            <w:r w:rsidRPr="00FC1749">
              <w:rPr>
                <w:rFonts w:cs="Times New Roman"/>
              </w:rPr>
              <w:t>737</w:t>
            </w:r>
          </w:p>
        </w:tc>
        <w:tc>
          <w:tcPr>
            <w:tcW w:w="1170" w:type="dxa"/>
            <w:vAlign w:val="center"/>
          </w:tcPr>
          <w:p w14:paraId="3FF7089D" w14:textId="38F5F7D2" w:rsidR="00EB1034" w:rsidRPr="00FC1749" w:rsidRDefault="00EB1034" w:rsidP="00EB1034">
            <w:pPr>
              <w:spacing w:afterLines="40" w:after="96" w:line="240" w:lineRule="auto"/>
              <w:jc w:val="right"/>
              <w:rPr>
                <w:rFonts w:eastAsia="Times New Roman" w:cs="Times New Roman"/>
              </w:rPr>
            </w:pPr>
            <w:r w:rsidRPr="00FC1749">
              <w:rPr>
                <w:rFonts w:cs="Times New Roman"/>
              </w:rPr>
              <w:t>0.9%</w:t>
            </w:r>
          </w:p>
        </w:tc>
        <w:tc>
          <w:tcPr>
            <w:tcW w:w="1170" w:type="dxa"/>
            <w:vAlign w:val="center"/>
          </w:tcPr>
          <w:p w14:paraId="2AA9A8E2" w14:textId="4C064E46" w:rsidR="00EB1034" w:rsidRPr="00FC1749" w:rsidRDefault="00EB1034" w:rsidP="00EB1034">
            <w:pPr>
              <w:spacing w:afterLines="40" w:after="96" w:line="240" w:lineRule="auto"/>
              <w:jc w:val="right"/>
              <w:rPr>
                <w:rFonts w:eastAsia="Times New Roman" w:cs="Times New Roman"/>
              </w:rPr>
            </w:pPr>
            <w:r w:rsidRPr="00FC1749">
              <w:rPr>
                <w:rFonts w:cs="Times New Roman"/>
              </w:rPr>
              <w:t>772</w:t>
            </w:r>
          </w:p>
        </w:tc>
        <w:tc>
          <w:tcPr>
            <w:tcW w:w="1170" w:type="dxa"/>
            <w:vAlign w:val="center"/>
          </w:tcPr>
          <w:p w14:paraId="52534E47" w14:textId="1CAA4DA7" w:rsidR="00EB1034" w:rsidRPr="00FC1749" w:rsidRDefault="00EB1034" w:rsidP="00EB1034">
            <w:pPr>
              <w:spacing w:afterLines="40" w:after="96" w:line="240" w:lineRule="auto"/>
              <w:jc w:val="right"/>
              <w:rPr>
                <w:rFonts w:eastAsia="Times New Roman" w:cs="Times New Roman"/>
              </w:rPr>
            </w:pPr>
            <w:r w:rsidRPr="00FC1749">
              <w:rPr>
                <w:rFonts w:cs="Times New Roman"/>
              </w:rPr>
              <w:t>1.0%</w:t>
            </w:r>
          </w:p>
        </w:tc>
      </w:tr>
      <w:tr w:rsidR="00EB1034" w:rsidRPr="00FC1749" w14:paraId="2CA3A0F1" w14:textId="60EEDF9E" w:rsidTr="00A8743E">
        <w:trPr>
          <w:cantSplit/>
          <w:jc w:val="center"/>
        </w:trPr>
        <w:tc>
          <w:tcPr>
            <w:tcW w:w="1890" w:type="dxa"/>
            <w:vAlign w:val="center"/>
          </w:tcPr>
          <w:p w14:paraId="0613D69B" w14:textId="50E51DB1" w:rsidR="00EB1034" w:rsidRPr="00FC1749" w:rsidRDefault="00EB1034" w:rsidP="00EB1034">
            <w:pPr>
              <w:spacing w:afterLines="40" w:after="96" w:line="240" w:lineRule="auto"/>
              <w:rPr>
                <w:rFonts w:cs="Times New Roman"/>
                <w:color w:val="000000"/>
              </w:rPr>
            </w:pPr>
            <w:r w:rsidRPr="00FC1749">
              <w:rPr>
                <w:rFonts w:cs="Times New Roman"/>
                <w:color w:val="000000"/>
              </w:rPr>
              <w:t>East Sandwich</w:t>
            </w:r>
          </w:p>
        </w:tc>
        <w:tc>
          <w:tcPr>
            <w:tcW w:w="1170" w:type="dxa"/>
            <w:vAlign w:val="center"/>
          </w:tcPr>
          <w:p w14:paraId="421CA6C4" w14:textId="2C3CA9CA" w:rsidR="00EB1034" w:rsidRPr="00FC1749" w:rsidRDefault="00EB1034" w:rsidP="00EB1034">
            <w:pPr>
              <w:spacing w:afterLines="40" w:after="96" w:line="240" w:lineRule="auto"/>
              <w:jc w:val="right"/>
              <w:rPr>
                <w:rFonts w:eastAsia="Times New Roman" w:cs="Times New Roman"/>
              </w:rPr>
            </w:pPr>
            <w:r w:rsidRPr="00FC1749">
              <w:rPr>
                <w:rFonts w:cs="Times New Roman"/>
              </w:rPr>
              <w:t>881</w:t>
            </w:r>
          </w:p>
        </w:tc>
        <w:tc>
          <w:tcPr>
            <w:tcW w:w="1170" w:type="dxa"/>
            <w:vAlign w:val="center"/>
          </w:tcPr>
          <w:p w14:paraId="199D1AE9" w14:textId="2F04CEE0" w:rsidR="00EB1034" w:rsidRPr="00FC1749" w:rsidRDefault="00EB1034" w:rsidP="00EB1034">
            <w:pPr>
              <w:spacing w:afterLines="40" w:after="96" w:line="240" w:lineRule="auto"/>
              <w:jc w:val="right"/>
              <w:rPr>
                <w:rFonts w:eastAsia="Times New Roman" w:cs="Times New Roman"/>
              </w:rPr>
            </w:pPr>
            <w:r w:rsidRPr="00FC1749">
              <w:rPr>
                <w:rFonts w:cs="Times New Roman"/>
              </w:rPr>
              <w:t>1.0%</w:t>
            </w:r>
          </w:p>
        </w:tc>
        <w:tc>
          <w:tcPr>
            <w:tcW w:w="1170" w:type="dxa"/>
            <w:vAlign w:val="center"/>
          </w:tcPr>
          <w:p w14:paraId="6036785B" w14:textId="7E527741" w:rsidR="00EB1034" w:rsidRPr="00FC1749" w:rsidRDefault="00EB1034" w:rsidP="00EB1034">
            <w:pPr>
              <w:spacing w:afterLines="40" w:after="96" w:line="240" w:lineRule="auto"/>
              <w:jc w:val="right"/>
              <w:rPr>
                <w:rFonts w:eastAsia="Times New Roman" w:cs="Times New Roman"/>
              </w:rPr>
            </w:pPr>
            <w:r w:rsidRPr="00FC1749">
              <w:rPr>
                <w:rFonts w:cs="Times New Roman"/>
              </w:rPr>
              <w:t>831</w:t>
            </w:r>
          </w:p>
        </w:tc>
        <w:tc>
          <w:tcPr>
            <w:tcW w:w="1170" w:type="dxa"/>
            <w:vAlign w:val="center"/>
          </w:tcPr>
          <w:p w14:paraId="6F20CF71" w14:textId="4F3115BF" w:rsidR="00EB1034" w:rsidRPr="00FC1749" w:rsidRDefault="00EB1034" w:rsidP="00EB1034">
            <w:pPr>
              <w:spacing w:afterLines="40" w:after="96" w:line="240" w:lineRule="auto"/>
              <w:jc w:val="right"/>
              <w:rPr>
                <w:rFonts w:eastAsia="Times New Roman" w:cs="Times New Roman"/>
              </w:rPr>
            </w:pPr>
            <w:r w:rsidRPr="00FC1749">
              <w:rPr>
                <w:rFonts w:cs="Times New Roman"/>
              </w:rPr>
              <w:t>1.0%</w:t>
            </w:r>
          </w:p>
        </w:tc>
        <w:tc>
          <w:tcPr>
            <w:tcW w:w="1170" w:type="dxa"/>
            <w:vAlign w:val="center"/>
          </w:tcPr>
          <w:p w14:paraId="24B41C05" w14:textId="0D4A9140" w:rsidR="00EB1034" w:rsidRPr="00FC1749" w:rsidRDefault="00EB1034" w:rsidP="00EB1034">
            <w:pPr>
              <w:spacing w:afterLines="40" w:after="96" w:line="240" w:lineRule="auto"/>
              <w:jc w:val="right"/>
              <w:rPr>
                <w:rFonts w:eastAsia="Times New Roman" w:cs="Times New Roman"/>
              </w:rPr>
            </w:pPr>
            <w:r w:rsidRPr="00FC1749">
              <w:rPr>
                <w:rFonts w:cs="Times New Roman"/>
              </w:rPr>
              <w:t>725</w:t>
            </w:r>
          </w:p>
        </w:tc>
        <w:tc>
          <w:tcPr>
            <w:tcW w:w="1170" w:type="dxa"/>
            <w:vAlign w:val="center"/>
          </w:tcPr>
          <w:p w14:paraId="4705AAD5" w14:textId="199C5D1D" w:rsidR="00EB1034" w:rsidRPr="00FC1749" w:rsidRDefault="00EB1034" w:rsidP="00EB1034">
            <w:pPr>
              <w:spacing w:afterLines="40" w:after="96" w:line="240" w:lineRule="auto"/>
              <w:jc w:val="right"/>
              <w:rPr>
                <w:rFonts w:eastAsia="Times New Roman" w:cs="Times New Roman"/>
              </w:rPr>
            </w:pPr>
            <w:r w:rsidRPr="00FC1749">
              <w:rPr>
                <w:rFonts w:cs="Times New Roman"/>
              </w:rPr>
              <w:t>0.9%</w:t>
            </w:r>
          </w:p>
        </w:tc>
      </w:tr>
    </w:tbl>
    <w:p w14:paraId="6034EC91" w14:textId="77777777" w:rsidR="00CD2B2E" w:rsidRPr="00E32033" w:rsidRDefault="00CD2B2E" w:rsidP="00E32033">
      <w:pPr>
        <w:spacing w:after="120" w:line="240" w:lineRule="auto"/>
        <w:rPr>
          <w:rFonts w:cs="Times New Roman"/>
        </w:rPr>
        <w:sectPr w:rsidR="00CD2B2E" w:rsidRPr="00E32033">
          <w:pgSz w:w="12240" w:h="15840"/>
          <w:pgMar w:top="1440" w:right="1440" w:bottom="1440" w:left="1440" w:header="720" w:footer="720" w:gutter="0"/>
          <w:cols w:space="720"/>
          <w:docGrid w:linePitch="360"/>
        </w:sectPr>
      </w:pPr>
    </w:p>
    <w:p w14:paraId="64D2F9C5" w14:textId="7F532187" w:rsidR="005C3A36" w:rsidRPr="005C3A36" w:rsidRDefault="005C3A36" w:rsidP="00E60F39">
      <w:pPr>
        <w:spacing w:after="120" w:line="240" w:lineRule="auto"/>
        <w:jc w:val="both"/>
        <w:rPr>
          <w:rFonts w:cs="Times New Roman"/>
        </w:rPr>
      </w:pPr>
      <w:r w:rsidRPr="2A8A7BAD">
        <w:rPr>
          <w:rFonts w:cs="Times New Roman"/>
        </w:rPr>
        <w:lastRenderedPageBreak/>
        <w:t xml:space="preserve">BID Plymouth saw approximately 3,853 patients seeking oncology care in FY23, an increase of </w:t>
      </w:r>
      <w:r w:rsidR="00AC4D87" w:rsidRPr="2A8A7BAD">
        <w:rPr>
          <w:rFonts w:cs="Times New Roman"/>
        </w:rPr>
        <w:t xml:space="preserve">approximately 18% over FY21. The majority of these patients were over the age of 65 and covered by Medicare. </w:t>
      </w:r>
    </w:p>
    <w:p w14:paraId="7A14BD69" w14:textId="77777777" w:rsidR="005C3A36" w:rsidRDefault="005C3A36" w:rsidP="006270F3">
      <w:pPr>
        <w:spacing w:after="120" w:line="240" w:lineRule="auto"/>
        <w:jc w:val="center"/>
        <w:rPr>
          <w:rFonts w:cs="Times New Roman"/>
          <w:b/>
          <w:bCs/>
        </w:rPr>
      </w:pPr>
    </w:p>
    <w:p w14:paraId="7DF1AD83" w14:textId="0CC4EF15" w:rsidR="002C135B" w:rsidRDefault="002C135B" w:rsidP="006270F3">
      <w:pPr>
        <w:spacing w:after="120" w:line="240" w:lineRule="auto"/>
        <w:jc w:val="center"/>
        <w:rPr>
          <w:rFonts w:cs="Times New Roman"/>
          <w:b/>
          <w:bCs/>
        </w:rPr>
      </w:pPr>
      <w:r w:rsidRPr="000153E7">
        <w:rPr>
          <w:rFonts w:cs="Times New Roman"/>
          <w:b/>
          <w:bCs/>
        </w:rPr>
        <w:t xml:space="preserve">Table </w:t>
      </w:r>
      <w:r>
        <w:rPr>
          <w:rFonts w:cs="Times New Roman"/>
          <w:b/>
          <w:bCs/>
        </w:rPr>
        <w:t>3</w:t>
      </w:r>
    </w:p>
    <w:p w14:paraId="3B9A7F70" w14:textId="1DA6B377" w:rsidR="002C135B" w:rsidRDefault="002C135B" w:rsidP="002C135B">
      <w:pPr>
        <w:spacing w:after="120" w:line="240" w:lineRule="auto"/>
        <w:jc w:val="center"/>
        <w:rPr>
          <w:rFonts w:cs="Times New Roman"/>
          <w:b/>
          <w:bCs/>
        </w:rPr>
      </w:pPr>
      <w:r w:rsidRPr="000153E7">
        <w:rPr>
          <w:rFonts w:cs="Times New Roman"/>
          <w:b/>
          <w:bCs/>
        </w:rPr>
        <w:t>BID Plymouth Patient Panel Demographics</w:t>
      </w:r>
      <w:r>
        <w:rPr>
          <w:rFonts w:cs="Times New Roman"/>
          <w:b/>
          <w:bCs/>
        </w:rPr>
        <w:t xml:space="preserve"> (</w:t>
      </w:r>
      <w:r w:rsidR="00663729">
        <w:rPr>
          <w:rFonts w:cs="Times New Roman"/>
          <w:b/>
          <w:bCs/>
        </w:rPr>
        <w:t>Oncology</w:t>
      </w:r>
      <w:r>
        <w:rPr>
          <w:rFonts w:cs="Times New Roman"/>
          <w:b/>
          <w:bCs/>
        </w:rPr>
        <w:t>)</w:t>
      </w:r>
    </w:p>
    <w:tbl>
      <w:tblPr>
        <w:tblStyle w:val="ListTable2-Accent3"/>
        <w:tblW w:w="0" w:type="auto"/>
        <w:tblBorders>
          <w:top w:val="none" w:sz="0" w:space="0" w:color="auto"/>
          <w:bottom w:val="none" w:sz="0" w:space="0" w:color="auto"/>
          <w:insideH w:val="none" w:sz="0" w:space="0" w:color="auto"/>
        </w:tblBorders>
        <w:tblLook w:val="04A0" w:firstRow="1" w:lastRow="0" w:firstColumn="1" w:lastColumn="0" w:noHBand="0" w:noVBand="1"/>
      </w:tblPr>
      <w:tblGrid>
        <w:gridCol w:w="3918"/>
        <w:gridCol w:w="903"/>
        <w:gridCol w:w="15"/>
        <w:gridCol w:w="918"/>
        <w:gridCol w:w="870"/>
        <w:gridCol w:w="31"/>
        <w:gridCol w:w="902"/>
        <w:gridCol w:w="870"/>
        <w:gridCol w:w="31"/>
        <w:gridCol w:w="902"/>
      </w:tblGrid>
      <w:tr w:rsidR="001F07BC" w:rsidRPr="006270F3" w14:paraId="0DEEA261" w14:textId="77777777" w:rsidTr="002D2B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3117C77A" w14:textId="77777777" w:rsidR="001F07BC" w:rsidRPr="006270F3" w:rsidRDefault="001F07BC" w:rsidP="00A8743E">
            <w:pPr>
              <w:spacing w:line="240" w:lineRule="auto"/>
              <w:rPr>
                <w:rFonts w:cs="Times New Roman"/>
                <w:sz w:val="20"/>
                <w:szCs w:val="20"/>
              </w:rPr>
            </w:pPr>
          </w:p>
        </w:tc>
        <w:tc>
          <w:tcPr>
            <w:tcW w:w="918" w:type="dxa"/>
            <w:gridSpan w:val="2"/>
            <w:tcBorders>
              <w:bottom w:val="single" w:sz="4" w:space="0" w:color="auto"/>
            </w:tcBorders>
            <w:shd w:val="clear" w:color="auto" w:fill="auto"/>
          </w:tcPr>
          <w:p w14:paraId="6B231319" w14:textId="77777777" w:rsidR="001F07BC" w:rsidRPr="006270F3" w:rsidRDefault="001F07BC" w:rsidP="00A8743E">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6270F3">
              <w:rPr>
                <w:rFonts w:cs="Times New Roman"/>
                <w:sz w:val="20"/>
                <w:szCs w:val="20"/>
              </w:rPr>
              <w:t>FY2021</w:t>
            </w:r>
          </w:p>
        </w:tc>
        <w:tc>
          <w:tcPr>
            <w:tcW w:w="918" w:type="dxa"/>
            <w:tcBorders>
              <w:bottom w:val="single" w:sz="4" w:space="0" w:color="auto"/>
            </w:tcBorders>
            <w:shd w:val="clear" w:color="auto" w:fill="auto"/>
          </w:tcPr>
          <w:p w14:paraId="784C5A59" w14:textId="4AB4B492" w:rsidR="001F07BC" w:rsidRPr="006270F3" w:rsidRDefault="001F07BC" w:rsidP="00A8743E">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FY2021</w:t>
            </w:r>
          </w:p>
        </w:tc>
        <w:tc>
          <w:tcPr>
            <w:tcW w:w="901" w:type="dxa"/>
            <w:gridSpan w:val="2"/>
            <w:tcBorders>
              <w:bottom w:val="single" w:sz="4" w:space="0" w:color="auto"/>
            </w:tcBorders>
            <w:shd w:val="clear" w:color="auto" w:fill="auto"/>
          </w:tcPr>
          <w:p w14:paraId="4C9BF625" w14:textId="77777777" w:rsidR="001F07BC" w:rsidRPr="006270F3" w:rsidRDefault="001F07BC" w:rsidP="00A8743E">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6270F3">
              <w:rPr>
                <w:rFonts w:cs="Times New Roman"/>
                <w:sz w:val="20"/>
                <w:szCs w:val="20"/>
              </w:rPr>
              <w:t>FY2022</w:t>
            </w:r>
          </w:p>
        </w:tc>
        <w:tc>
          <w:tcPr>
            <w:tcW w:w="902" w:type="dxa"/>
            <w:tcBorders>
              <w:bottom w:val="single" w:sz="4" w:space="0" w:color="auto"/>
            </w:tcBorders>
            <w:shd w:val="clear" w:color="auto" w:fill="auto"/>
          </w:tcPr>
          <w:p w14:paraId="24331007" w14:textId="266824FC" w:rsidR="001F07BC" w:rsidRPr="006270F3" w:rsidRDefault="001F07BC" w:rsidP="00A8743E">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FY2022</w:t>
            </w:r>
          </w:p>
        </w:tc>
        <w:tc>
          <w:tcPr>
            <w:tcW w:w="901" w:type="dxa"/>
            <w:gridSpan w:val="2"/>
            <w:tcBorders>
              <w:bottom w:val="single" w:sz="4" w:space="0" w:color="auto"/>
            </w:tcBorders>
            <w:shd w:val="clear" w:color="auto" w:fill="auto"/>
          </w:tcPr>
          <w:p w14:paraId="64CE97FB" w14:textId="77777777" w:rsidR="001F07BC" w:rsidRPr="006270F3" w:rsidRDefault="001F07BC" w:rsidP="00A8743E">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6270F3">
              <w:rPr>
                <w:rFonts w:cs="Times New Roman"/>
                <w:sz w:val="20"/>
                <w:szCs w:val="20"/>
              </w:rPr>
              <w:t>FY2023</w:t>
            </w:r>
          </w:p>
        </w:tc>
        <w:tc>
          <w:tcPr>
            <w:tcW w:w="902" w:type="dxa"/>
            <w:tcBorders>
              <w:bottom w:val="single" w:sz="4" w:space="0" w:color="auto"/>
            </w:tcBorders>
            <w:shd w:val="clear" w:color="auto" w:fill="auto"/>
          </w:tcPr>
          <w:p w14:paraId="55FAB495" w14:textId="78840D9E" w:rsidR="001F07BC" w:rsidRPr="006270F3" w:rsidRDefault="001F07BC" w:rsidP="00A8743E">
            <w:pPr>
              <w:spacing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FY2023</w:t>
            </w:r>
          </w:p>
        </w:tc>
      </w:tr>
      <w:tr w:rsidR="002C135B" w:rsidRPr="006270F3" w14:paraId="218F3E7D" w14:textId="77777777" w:rsidTr="008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16D82C72" w14:textId="77777777" w:rsidR="002C135B" w:rsidRPr="006270F3" w:rsidRDefault="002C135B" w:rsidP="00A8743E">
            <w:pPr>
              <w:spacing w:line="240" w:lineRule="auto"/>
              <w:rPr>
                <w:rFonts w:cs="Times New Roman"/>
                <w:b w:val="0"/>
                <w:bCs w:val="0"/>
                <w:sz w:val="20"/>
                <w:szCs w:val="20"/>
              </w:rPr>
            </w:pPr>
          </w:p>
        </w:tc>
        <w:tc>
          <w:tcPr>
            <w:tcW w:w="903" w:type="dxa"/>
            <w:tcBorders>
              <w:top w:val="single" w:sz="4" w:space="0" w:color="auto"/>
              <w:bottom w:val="single" w:sz="4" w:space="0" w:color="auto"/>
            </w:tcBorders>
            <w:shd w:val="clear" w:color="auto" w:fill="auto"/>
          </w:tcPr>
          <w:p w14:paraId="7E2DD6A5" w14:textId="77777777" w:rsidR="002C135B" w:rsidRPr="006270F3" w:rsidRDefault="002C135B" w:rsidP="00A8743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6270F3">
              <w:rPr>
                <w:rFonts w:cs="Times New Roman"/>
                <w:b/>
                <w:bCs/>
                <w:sz w:val="20"/>
                <w:szCs w:val="20"/>
              </w:rPr>
              <w:t>Count</w:t>
            </w:r>
          </w:p>
        </w:tc>
        <w:tc>
          <w:tcPr>
            <w:tcW w:w="933" w:type="dxa"/>
            <w:gridSpan w:val="2"/>
            <w:tcBorders>
              <w:top w:val="single" w:sz="4" w:space="0" w:color="auto"/>
              <w:bottom w:val="single" w:sz="4" w:space="0" w:color="auto"/>
            </w:tcBorders>
            <w:shd w:val="clear" w:color="auto" w:fill="auto"/>
          </w:tcPr>
          <w:p w14:paraId="3F9071DA" w14:textId="77777777" w:rsidR="002C135B" w:rsidRPr="006270F3" w:rsidRDefault="002C135B" w:rsidP="00A8743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6270F3">
              <w:rPr>
                <w:rFonts w:cs="Times New Roman"/>
                <w:b/>
                <w:bCs/>
                <w:sz w:val="20"/>
                <w:szCs w:val="20"/>
              </w:rPr>
              <w:t>%</w:t>
            </w:r>
          </w:p>
        </w:tc>
        <w:tc>
          <w:tcPr>
            <w:tcW w:w="870" w:type="dxa"/>
            <w:tcBorders>
              <w:top w:val="single" w:sz="4" w:space="0" w:color="auto"/>
              <w:bottom w:val="single" w:sz="4" w:space="0" w:color="auto"/>
            </w:tcBorders>
            <w:shd w:val="clear" w:color="auto" w:fill="auto"/>
          </w:tcPr>
          <w:p w14:paraId="236C800E" w14:textId="77777777" w:rsidR="002C135B" w:rsidRPr="006270F3" w:rsidRDefault="002C135B" w:rsidP="00A8743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6270F3">
              <w:rPr>
                <w:rFonts w:cs="Times New Roman"/>
                <w:b/>
                <w:bCs/>
                <w:sz w:val="20"/>
                <w:szCs w:val="20"/>
              </w:rPr>
              <w:t>Count</w:t>
            </w:r>
          </w:p>
        </w:tc>
        <w:tc>
          <w:tcPr>
            <w:tcW w:w="933" w:type="dxa"/>
            <w:gridSpan w:val="2"/>
            <w:tcBorders>
              <w:top w:val="single" w:sz="4" w:space="0" w:color="auto"/>
              <w:bottom w:val="single" w:sz="4" w:space="0" w:color="auto"/>
            </w:tcBorders>
            <w:shd w:val="clear" w:color="auto" w:fill="auto"/>
          </w:tcPr>
          <w:p w14:paraId="147953FC" w14:textId="77777777" w:rsidR="002C135B" w:rsidRPr="006270F3" w:rsidRDefault="002C135B" w:rsidP="00A8743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6270F3">
              <w:rPr>
                <w:rFonts w:cs="Times New Roman"/>
                <w:b/>
                <w:bCs/>
                <w:sz w:val="20"/>
                <w:szCs w:val="20"/>
              </w:rPr>
              <w:t>%</w:t>
            </w:r>
          </w:p>
        </w:tc>
        <w:tc>
          <w:tcPr>
            <w:tcW w:w="870" w:type="dxa"/>
            <w:tcBorders>
              <w:top w:val="single" w:sz="4" w:space="0" w:color="auto"/>
              <w:bottom w:val="single" w:sz="4" w:space="0" w:color="auto"/>
            </w:tcBorders>
            <w:shd w:val="clear" w:color="auto" w:fill="auto"/>
          </w:tcPr>
          <w:p w14:paraId="0D97952F" w14:textId="77777777" w:rsidR="002C135B" w:rsidRPr="006270F3" w:rsidRDefault="002C135B" w:rsidP="00A8743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6270F3">
              <w:rPr>
                <w:rFonts w:cs="Times New Roman"/>
                <w:b/>
                <w:bCs/>
                <w:sz w:val="20"/>
                <w:szCs w:val="20"/>
              </w:rPr>
              <w:t>Count</w:t>
            </w:r>
          </w:p>
        </w:tc>
        <w:tc>
          <w:tcPr>
            <w:tcW w:w="933" w:type="dxa"/>
            <w:gridSpan w:val="2"/>
            <w:tcBorders>
              <w:top w:val="single" w:sz="4" w:space="0" w:color="auto"/>
              <w:bottom w:val="single" w:sz="4" w:space="0" w:color="auto"/>
            </w:tcBorders>
            <w:shd w:val="clear" w:color="auto" w:fill="auto"/>
          </w:tcPr>
          <w:p w14:paraId="0B42ED1E" w14:textId="77777777" w:rsidR="002C135B" w:rsidRPr="006270F3" w:rsidRDefault="002C135B" w:rsidP="00A8743E">
            <w:pPr>
              <w:spacing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6270F3">
              <w:rPr>
                <w:rFonts w:cs="Times New Roman"/>
                <w:b/>
                <w:bCs/>
                <w:sz w:val="20"/>
                <w:szCs w:val="20"/>
              </w:rPr>
              <w:t>%</w:t>
            </w:r>
          </w:p>
        </w:tc>
      </w:tr>
      <w:tr w:rsidR="00F60B5E" w:rsidRPr="006270F3" w14:paraId="66B7C692" w14:textId="77777777" w:rsidTr="008A05D6">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0F5D09CB" w14:textId="77777777" w:rsidR="00F60B5E" w:rsidRPr="006270F3" w:rsidRDefault="00F60B5E" w:rsidP="00F60B5E">
            <w:pPr>
              <w:spacing w:line="240" w:lineRule="auto"/>
              <w:rPr>
                <w:rFonts w:cs="Times New Roman"/>
                <w:sz w:val="20"/>
                <w:szCs w:val="20"/>
              </w:rPr>
            </w:pPr>
            <w:r w:rsidRPr="006270F3">
              <w:rPr>
                <w:rFonts w:cs="Times New Roman"/>
                <w:sz w:val="20"/>
                <w:szCs w:val="20"/>
              </w:rPr>
              <w:t>Total Unique Patients</w:t>
            </w:r>
          </w:p>
        </w:tc>
        <w:tc>
          <w:tcPr>
            <w:tcW w:w="903" w:type="dxa"/>
            <w:tcBorders>
              <w:top w:val="single" w:sz="4" w:space="0" w:color="auto"/>
              <w:bottom w:val="single" w:sz="4" w:space="0" w:color="auto"/>
            </w:tcBorders>
            <w:shd w:val="clear" w:color="auto" w:fill="auto"/>
          </w:tcPr>
          <w:p w14:paraId="7F4D760D" w14:textId="0E166994" w:rsidR="00F60B5E" w:rsidRPr="006270F3" w:rsidRDefault="00F60B5E" w:rsidP="00F60B5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3,253</w:t>
            </w:r>
          </w:p>
        </w:tc>
        <w:tc>
          <w:tcPr>
            <w:tcW w:w="933" w:type="dxa"/>
            <w:gridSpan w:val="2"/>
            <w:tcBorders>
              <w:top w:val="single" w:sz="4" w:space="0" w:color="auto"/>
              <w:bottom w:val="single" w:sz="4" w:space="0" w:color="auto"/>
            </w:tcBorders>
            <w:shd w:val="clear" w:color="auto" w:fill="auto"/>
          </w:tcPr>
          <w:p w14:paraId="59B6D199" w14:textId="17B259C6" w:rsidR="00F60B5E" w:rsidRPr="006270F3" w:rsidRDefault="00F60B5E" w:rsidP="00F60B5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100.00%</w:t>
            </w:r>
          </w:p>
        </w:tc>
        <w:tc>
          <w:tcPr>
            <w:tcW w:w="870" w:type="dxa"/>
            <w:tcBorders>
              <w:top w:val="single" w:sz="4" w:space="0" w:color="auto"/>
              <w:bottom w:val="single" w:sz="4" w:space="0" w:color="auto"/>
            </w:tcBorders>
            <w:shd w:val="clear" w:color="auto" w:fill="auto"/>
          </w:tcPr>
          <w:p w14:paraId="5593C49B" w14:textId="7354948F" w:rsidR="00F60B5E" w:rsidRPr="006270F3" w:rsidRDefault="00F60B5E" w:rsidP="00F60B5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3,303</w:t>
            </w:r>
          </w:p>
        </w:tc>
        <w:tc>
          <w:tcPr>
            <w:tcW w:w="933" w:type="dxa"/>
            <w:gridSpan w:val="2"/>
            <w:tcBorders>
              <w:top w:val="single" w:sz="4" w:space="0" w:color="auto"/>
              <w:bottom w:val="single" w:sz="4" w:space="0" w:color="auto"/>
            </w:tcBorders>
            <w:shd w:val="clear" w:color="auto" w:fill="auto"/>
          </w:tcPr>
          <w:p w14:paraId="20EA48F9" w14:textId="7D6F75AB" w:rsidR="00F60B5E" w:rsidRPr="006270F3" w:rsidRDefault="00F60B5E" w:rsidP="00F60B5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100.00%</w:t>
            </w:r>
          </w:p>
        </w:tc>
        <w:tc>
          <w:tcPr>
            <w:tcW w:w="870" w:type="dxa"/>
            <w:tcBorders>
              <w:top w:val="single" w:sz="4" w:space="0" w:color="auto"/>
              <w:bottom w:val="single" w:sz="4" w:space="0" w:color="auto"/>
            </w:tcBorders>
            <w:shd w:val="clear" w:color="auto" w:fill="auto"/>
          </w:tcPr>
          <w:p w14:paraId="56FE4A0E" w14:textId="43526FA8" w:rsidR="00F60B5E" w:rsidRPr="006270F3" w:rsidRDefault="00F60B5E" w:rsidP="00F60B5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3,853</w:t>
            </w:r>
          </w:p>
        </w:tc>
        <w:tc>
          <w:tcPr>
            <w:tcW w:w="933" w:type="dxa"/>
            <w:gridSpan w:val="2"/>
            <w:tcBorders>
              <w:top w:val="single" w:sz="4" w:space="0" w:color="auto"/>
              <w:bottom w:val="single" w:sz="4" w:space="0" w:color="auto"/>
            </w:tcBorders>
            <w:shd w:val="clear" w:color="auto" w:fill="auto"/>
          </w:tcPr>
          <w:p w14:paraId="746BCD81" w14:textId="26C223D9" w:rsidR="00F60B5E" w:rsidRPr="006270F3" w:rsidRDefault="00F60B5E" w:rsidP="00F60B5E">
            <w:pPr>
              <w:spacing w:line="240" w:lineRule="auto"/>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100.00%</w:t>
            </w:r>
          </w:p>
        </w:tc>
      </w:tr>
      <w:tr w:rsidR="002C135B" w:rsidRPr="006270F3" w14:paraId="17309E42" w14:textId="77777777" w:rsidTr="008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3349C0DB" w14:textId="77777777" w:rsidR="002C135B" w:rsidRPr="006270F3" w:rsidRDefault="002C135B" w:rsidP="00A8743E">
            <w:pPr>
              <w:spacing w:line="240" w:lineRule="auto"/>
              <w:rPr>
                <w:rFonts w:cs="Times New Roman"/>
                <w:sz w:val="20"/>
                <w:szCs w:val="20"/>
              </w:rPr>
            </w:pPr>
            <w:r w:rsidRPr="006270F3">
              <w:rPr>
                <w:rFonts w:cs="Times New Roman"/>
                <w:sz w:val="20"/>
                <w:szCs w:val="20"/>
              </w:rPr>
              <w:t>Gender</w:t>
            </w:r>
          </w:p>
        </w:tc>
        <w:tc>
          <w:tcPr>
            <w:tcW w:w="903" w:type="dxa"/>
            <w:tcBorders>
              <w:top w:val="single" w:sz="4" w:space="0" w:color="auto"/>
            </w:tcBorders>
            <w:shd w:val="clear" w:color="auto" w:fill="auto"/>
          </w:tcPr>
          <w:p w14:paraId="2F786807"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tcBorders>
              <w:top w:val="single" w:sz="4" w:space="0" w:color="auto"/>
            </w:tcBorders>
            <w:shd w:val="clear" w:color="auto" w:fill="auto"/>
          </w:tcPr>
          <w:p w14:paraId="393B9F8C"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70" w:type="dxa"/>
            <w:tcBorders>
              <w:top w:val="single" w:sz="4" w:space="0" w:color="auto"/>
            </w:tcBorders>
            <w:shd w:val="clear" w:color="auto" w:fill="auto"/>
          </w:tcPr>
          <w:p w14:paraId="3F6490E1"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tcBorders>
              <w:top w:val="single" w:sz="4" w:space="0" w:color="auto"/>
            </w:tcBorders>
            <w:shd w:val="clear" w:color="auto" w:fill="auto"/>
          </w:tcPr>
          <w:p w14:paraId="1016EB79"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70" w:type="dxa"/>
            <w:tcBorders>
              <w:top w:val="single" w:sz="4" w:space="0" w:color="auto"/>
            </w:tcBorders>
            <w:shd w:val="clear" w:color="auto" w:fill="auto"/>
          </w:tcPr>
          <w:p w14:paraId="5A542B5D"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tcBorders>
              <w:top w:val="single" w:sz="4" w:space="0" w:color="auto"/>
            </w:tcBorders>
            <w:shd w:val="clear" w:color="auto" w:fill="auto"/>
          </w:tcPr>
          <w:p w14:paraId="6A1087A4"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r>
      <w:tr w:rsidR="006270F3" w:rsidRPr="006270F3" w14:paraId="38DB81A9" w14:textId="77777777" w:rsidTr="008A05D6">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14:paraId="3F34113C" w14:textId="77777777"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Male</w:t>
            </w:r>
          </w:p>
        </w:tc>
        <w:tc>
          <w:tcPr>
            <w:tcW w:w="903" w:type="dxa"/>
            <w:shd w:val="clear" w:color="auto" w:fill="auto"/>
          </w:tcPr>
          <w:p w14:paraId="4B85FAAC" w14:textId="614863F3"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1,411</w:t>
            </w:r>
          </w:p>
        </w:tc>
        <w:tc>
          <w:tcPr>
            <w:tcW w:w="933" w:type="dxa"/>
            <w:gridSpan w:val="2"/>
            <w:shd w:val="clear" w:color="auto" w:fill="auto"/>
          </w:tcPr>
          <w:p w14:paraId="6DEE6416" w14:textId="72617F6A"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43.</w:t>
            </w:r>
            <w:r w:rsidR="00011F48">
              <w:rPr>
                <w:rFonts w:cs="Times New Roman"/>
                <w:sz w:val="20"/>
                <w:szCs w:val="20"/>
              </w:rPr>
              <w:t>4</w:t>
            </w:r>
            <w:r w:rsidRPr="006270F3">
              <w:rPr>
                <w:rFonts w:cs="Times New Roman"/>
                <w:sz w:val="20"/>
                <w:szCs w:val="20"/>
              </w:rPr>
              <w:t>%</w:t>
            </w:r>
          </w:p>
        </w:tc>
        <w:tc>
          <w:tcPr>
            <w:tcW w:w="870" w:type="dxa"/>
            <w:shd w:val="clear" w:color="auto" w:fill="auto"/>
          </w:tcPr>
          <w:p w14:paraId="6D828465" w14:textId="4E7F6A02"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1,491</w:t>
            </w:r>
          </w:p>
        </w:tc>
        <w:tc>
          <w:tcPr>
            <w:tcW w:w="933" w:type="dxa"/>
            <w:gridSpan w:val="2"/>
            <w:shd w:val="clear" w:color="auto" w:fill="auto"/>
          </w:tcPr>
          <w:p w14:paraId="431DFFD1" w14:textId="68A4E5DD"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45.1%</w:t>
            </w:r>
          </w:p>
        </w:tc>
        <w:tc>
          <w:tcPr>
            <w:tcW w:w="870" w:type="dxa"/>
            <w:shd w:val="clear" w:color="auto" w:fill="auto"/>
          </w:tcPr>
          <w:p w14:paraId="70EBC8C5" w14:textId="0437817A"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1,616</w:t>
            </w:r>
          </w:p>
        </w:tc>
        <w:tc>
          <w:tcPr>
            <w:tcW w:w="933" w:type="dxa"/>
            <w:gridSpan w:val="2"/>
            <w:shd w:val="clear" w:color="auto" w:fill="auto"/>
          </w:tcPr>
          <w:p w14:paraId="20821139" w14:textId="02E2C837"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41.9%</w:t>
            </w:r>
          </w:p>
        </w:tc>
      </w:tr>
      <w:tr w:rsidR="006270F3" w:rsidRPr="006270F3" w14:paraId="3039F41D" w14:textId="77777777" w:rsidTr="008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14:paraId="580A14F2" w14:textId="77777777"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Female</w:t>
            </w:r>
          </w:p>
        </w:tc>
        <w:tc>
          <w:tcPr>
            <w:tcW w:w="903" w:type="dxa"/>
            <w:shd w:val="clear" w:color="auto" w:fill="auto"/>
          </w:tcPr>
          <w:p w14:paraId="15D27EFA" w14:textId="41E7E226"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sz w:val="20"/>
                <w:szCs w:val="20"/>
              </w:rPr>
              <w:t>1,839</w:t>
            </w:r>
          </w:p>
        </w:tc>
        <w:tc>
          <w:tcPr>
            <w:tcW w:w="933" w:type="dxa"/>
            <w:gridSpan w:val="2"/>
            <w:shd w:val="clear" w:color="auto" w:fill="auto"/>
          </w:tcPr>
          <w:p w14:paraId="475E0859" w14:textId="2161FEF8"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sz w:val="20"/>
                <w:szCs w:val="20"/>
              </w:rPr>
              <w:t>56.5%</w:t>
            </w:r>
          </w:p>
        </w:tc>
        <w:tc>
          <w:tcPr>
            <w:tcW w:w="870" w:type="dxa"/>
            <w:shd w:val="clear" w:color="auto" w:fill="auto"/>
          </w:tcPr>
          <w:p w14:paraId="7D731BC4" w14:textId="72F746EF"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sz w:val="20"/>
                <w:szCs w:val="20"/>
              </w:rPr>
              <w:t>1,811</w:t>
            </w:r>
          </w:p>
        </w:tc>
        <w:tc>
          <w:tcPr>
            <w:tcW w:w="933" w:type="dxa"/>
            <w:gridSpan w:val="2"/>
            <w:shd w:val="clear" w:color="auto" w:fill="auto"/>
          </w:tcPr>
          <w:p w14:paraId="43FD1B73" w14:textId="1913339E"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sz w:val="20"/>
                <w:szCs w:val="20"/>
              </w:rPr>
              <w:t>54.8%</w:t>
            </w:r>
          </w:p>
        </w:tc>
        <w:tc>
          <w:tcPr>
            <w:tcW w:w="870" w:type="dxa"/>
            <w:shd w:val="clear" w:color="auto" w:fill="auto"/>
          </w:tcPr>
          <w:p w14:paraId="6012DE52" w14:textId="7DF09631"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sz w:val="20"/>
                <w:szCs w:val="20"/>
              </w:rPr>
              <w:t>2,233</w:t>
            </w:r>
          </w:p>
        </w:tc>
        <w:tc>
          <w:tcPr>
            <w:tcW w:w="933" w:type="dxa"/>
            <w:gridSpan w:val="2"/>
            <w:shd w:val="clear" w:color="auto" w:fill="auto"/>
          </w:tcPr>
          <w:p w14:paraId="4EE7DDEF" w14:textId="60B4813D"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sz w:val="20"/>
                <w:szCs w:val="20"/>
              </w:rPr>
              <w:t>5</w:t>
            </w:r>
            <w:r w:rsidR="00011F48">
              <w:rPr>
                <w:rFonts w:cs="Times New Roman"/>
                <w:sz w:val="20"/>
                <w:szCs w:val="20"/>
              </w:rPr>
              <w:t>8.0</w:t>
            </w:r>
            <w:r w:rsidRPr="006270F3">
              <w:rPr>
                <w:rFonts w:cs="Times New Roman"/>
                <w:sz w:val="20"/>
                <w:szCs w:val="20"/>
              </w:rPr>
              <w:t>%</w:t>
            </w:r>
          </w:p>
        </w:tc>
      </w:tr>
      <w:tr w:rsidR="006270F3" w:rsidRPr="006270F3" w14:paraId="09A82555" w14:textId="77777777" w:rsidTr="008A05D6">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14:paraId="3A56D1A8" w14:textId="77777777"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Other</w:t>
            </w:r>
          </w:p>
        </w:tc>
        <w:tc>
          <w:tcPr>
            <w:tcW w:w="903" w:type="dxa"/>
            <w:shd w:val="clear" w:color="auto" w:fill="auto"/>
          </w:tcPr>
          <w:p w14:paraId="2FB5DAB2" w14:textId="1F2A21BA"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sidRPr="006270F3">
              <w:rPr>
                <w:rFonts w:cs="Times New Roman"/>
                <w:i/>
                <w:iCs/>
                <w:sz w:val="20"/>
                <w:szCs w:val="20"/>
              </w:rPr>
              <w:t>Masked</w:t>
            </w:r>
            <w:r w:rsidR="008D2D91">
              <w:rPr>
                <w:rStyle w:val="FootnoteReference"/>
                <w:rFonts w:cs="Times New Roman"/>
                <w:i/>
                <w:iCs/>
                <w:sz w:val="20"/>
                <w:szCs w:val="20"/>
              </w:rPr>
              <w:footnoteReference w:id="2"/>
            </w:r>
          </w:p>
        </w:tc>
        <w:tc>
          <w:tcPr>
            <w:tcW w:w="933" w:type="dxa"/>
            <w:gridSpan w:val="2"/>
            <w:shd w:val="clear" w:color="auto" w:fill="auto"/>
          </w:tcPr>
          <w:p w14:paraId="6E93AF22" w14:textId="484F9100"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i/>
                <w:iCs/>
                <w:sz w:val="20"/>
                <w:szCs w:val="20"/>
              </w:rPr>
              <w:t>Masked</w:t>
            </w:r>
          </w:p>
        </w:tc>
        <w:tc>
          <w:tcPr>
            <w:tcW w:w="870" w:type="dxa"/>
            <w:shd w:val="clear" w:color="auto" w:fill="auto"/>
          </w:tcPr>
          <w:p w14:paraId="32B2AEB4" w14:textId="0A6B7997"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i/>
                <w:iCs/>
                <w:sz w:val="20"/>
                <w:szCs w:val="20"/>
              </w:rPr>
              <w:t>Masked</w:t>
            </w:r>
          </w:p>
        </w:tc>
        <w:tc>
          <w:tcPr>
            <w:tcW w:w="933" w:type="dxa"/>
            <w:gridSpan w:val="2"/>
            <w:shd w:val="clear" w:color="auto" w:fill="auto"/>
          </w:tcPr>
          <w:p w14:paraId="0BE4F2E8" w14:textId="05F272F7"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i/>
                <w:iCs/>
                <w:sz w:val="20"/>
                <w:szCs w:val="20"/>
              </w:rPr>
              <w:t>Masked</w:t>
            </w:r>
          </w:p>
        </w:tc>
        <w:tc>
          <w:tcPr>
            <w:tcW w:w="870" w:type="dxa"/>
            <w:shd w:val="clear" w:color="auto" w:fill="auto"/>
          </w:tcPr>
          <w:p w14:paraId="694754A4" w14:textId="145B055C"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i/>
                <w:iCs/>
                <w:sz w:val="20"/>
                <w:szCs w:val="20"/>
              </w:rPr>
              <w:t>Masked</w:t>
            </w:r>
          </w:p>
        </w:tc>
        <w:tc>
          <w:tcPr>
            <w:tcW w:w="933" w:type="dxa"/>
            <w:gridSpan w:val="2"/>
            <w:shd w:val="clear" w:color="auto" w:fill="auto"/>
          </w:tcPr>
          <w:p w14:paraId="708717C7" w14:textId="4E3E211E"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i/>
                <w:iCs/>
                <w:sz w:val="20"/>
                <w:szCs w:val="20"/>
              </w:rPr>
              <w:t>Masked</w:t>
            </w:r>
          </w:p>
        </w:tc>
      </w:tr>
      <w:tr w:rsidR="002C135B" w:rsidRPr="006270F3" w14:paraId="4FEB0B2D" w14:textId="77777777" w:rsidTr="008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12ACE10F" w14:textId="77777777" w:rsidR="002C135B" w:rsidRPr="006270F3" w:rsidRDefault="002C135B" w:rsidP="00A8743E">
            <w:pPr>
              <w:spacing w:line="240" w:lineRule="auto"/>
              <w:rPr>
                <w:rFonts w:cs="Times New Roman"/>
                <w:sz w:val="20"/>
                <w:szCs w:val="20"/>
              </w:rPr>
            </w:pPr>
            <w:r w:rsidRPr="006270F3">
              <w:rPr>
                <w:rFonts w:cs="Times New Roman"/>
                <w:sz w:val="20"/>
                <w:szCs w:val="20"/>
              </w:rPr>
              <w:t>Age</w:t>
            </w:r>
          </w:p>
        </w:tc>
        <w:tc>
          <w:tcPr>
            <w:tcW w:w="903" w:type="dxa"/>
            <w:shd w:val="clear" w:color="auto" w:fill="auto"/>
          </w:tcPr>
          <w:p w14:paraId="0D42B240"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tcPr>
          <w:p w14:paraId="52BD04C2"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70" w:type="dxa"/>
            <w:shd w:val="clear" w:color="auto" w:fill="auto"/>
          </w:tcPr>
          <w:p w14:paraId="386C7991"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tcPr>
          <w:p w14:paraId="34808984"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70" w:type="dxa"/>
            <w:shd w:val="clear" w:color="auto" w:fill="auto"/>
          </w:tcPr>
          <w:p w14:paraId="42285EA0"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tcPr>
          <w:p w14:paraId="21C2F984"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r>
      <w:tr w:rsidR="006270F3" w:rsidRPr="006270F3" w14:paraId="4D733F6E" w14:textId="77777777" w:rsidTr="008A05D6">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0718AF78" w14:textId="77777777"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0 to 17</w:t>
            </w:r>
          </w:p>
        </w:tc>
        <w:tc>
          <w:tcPr>
            <w:tcW w:w="903" w:type="dxa"/>
            <w:shd w:val="clear" w:color="auto" w:fill="auto"/>
          </w:tcPr>
          <w:p w14:paraId="59103435" w14:textId="27CE6D65"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i/>
                <w:iCs/>
                <w:sz w:val="20"/>
                <w:szCs w:val="20"/>
              </w:rPr>
              <w:t>Masked</w:t>
            </w:r>
          </w:p>
        </w:tc>
        <w:tc>
          <w:tcPr>
            <w:tcW w:w="933" w:type="dxa"/>
            <w:gridSpan w:val="2"/>
            <w:shd w:val="clear" w:color="auto" w:fill="auto"/>
          </w:tcPr>
          <w:p w14:paraId="5DAFB622" w14:textId="138B9340"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i/>
                <w:iCs/>
                <w:sz w:val="20"/>
                <w:szCs w:val="20"/>
              </w:rPr>
              <w:t>Masked</w:t>
            </w:r>
          </w:p>
        </w:tc>
        <w:tc>
          <w:tcPr>
            <w:tcW w:w="870" w:type="dxa"/>
            <w:shd w:val="clear" w:color="auto" w:fill="auto"/>
          </w:tcPr>
          <w:p w14:paraId="38EB313C" w14:textId="51A5E664"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i/>
                <w:iCs/>
                <w:sz w:val="20"/>
                <w:szCs w:val="20"/>
              </w:rPr>
              <w:t>Masked</w:t>
            </w:r>
          </w:p>
        </w:tc>
        <w:tc>
          <w:tcPr>
            <w:tcW w:w="933" w:type="dxa"/>
            <w:gridSpan w:val="2"/>
            <w:shd w:val="clear" w:color="auto" w:fill="auto"/>
          </w:tcPr>
          <w:p w14:paraId="31CCA071" w14:textId="449F2754"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i/>
                <w:iCs/>
                <w:sz w:val="20"/>
                <w:szCs w:val="20"/>
              </w:rPr>
              <w:t>Masked</w:t>
            </w:r>
          </w:p>
        </w:tc>
        <w:tc>
          <w:tcPr>
            <w:tcW w:w="870" w:type="dxa"/>
            <w:shd w:val="clear" w:color="auto" w:fill="auto"/>
          </w:tcPr>
          <w:p w14:paraId="1233DA22" w14:textId="357EEF4C"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i/>
                <w:iCs/>
                <w:sz w:val="20"/>
                <w:szCs w:val="20"/>
              </w:rPr>
              <w:t>Masked</w:t>
            </w:r>
          </w:p>
        </w:tc>
        <w:tc>
          <w:tcPr>
            <w:tcW w:w="933" w:type="dxa"/>
            <w:gridSpan w:val="2"/>
            <w:shd w:val="clear" w:color="auto" w:fill="auto"/>
          </w:tcPr>
          <w:p w14:paraId="6A43FDFA" w14:textId="142DDC6B"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i/>
                <w:iCs/>
                <w:sz w:val="20"/>
                <w:szCs w:val="20"/>
              </w:rPr>
              <w:t>Masked</w:t>
            </w:r>
          </w:p>
        </w:tc>
      </w:tr>
      <w:tr w:rsidR="006270F3" w:rsidRPr="006270F3" w14:paraId="32DABE25" w14:textId="77777777" w:rsidTr="008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5955301B" w14:textId="77777777"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18 to 64</w:t>
            </w:r>
          </w:p>
        </w:tc>
        <w:tc>
          <w:tcPr>
            <w:tcW w:w="903" w:type="dxa"/>
            <w:shd w:val="clear" w:color="auto" w:fill="auto"/>
            <w:vAlign w:val="bottom"/>
          </w:tcPr>
          <w:p w14:paraId="34237126" w14:textId="286678A2"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1,261</w:t>
            </w:r>
          </w:p>
        </w:tc>
        <w:tc>
          <w:tcPr>
            <w:tcW w:w="933" w:type="dxa"/>
            <w:gridSpan w:val="2"/>
            <w:shd w:val="clear" w:color="auto" w:fill="auto"/>
            <w:vAlign w:val="bottom"/>
          </w:tcPr>
          <w:p w14:paraId="4EB88383" w14:textId="1401BFCD"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38.</w:t>
            </w:r>
            <w:r w:rsidR="00011F48">
              <w:rPr>
                <w:rFonts w:cs="Times New Roman"/>
                <w:color w:val="000000"/>
                <w:sz w:val="20"/>
                <w:szCs w:val="20"/>
              </w:rPr>
              <w:t>8</w:t>
            </w:r>
            <w:r w:rsidRPr="006270F3">
              <w:rPr>
                <w:rFonts w:cs="Times New Roman"/>
                <w:color w:val="000000"/>
                <w:sz w:val="20"/>
                <w:szCs w:val="20"/>
              </w:rPr>
              <w:t>%</w:t>
            </w:r>
          </w:p>
        </w:tc>
        <w:tc>
          <w:tcPr>
            <w:tcW w:w="870" w:type="dxa"/>
            <w:shd w:val="clear" w:color="auto" w:fill="auto"/>
            <w:vAlign w:val="bottom"/>
          </w:tcPr>
          <w:p w14:paraId="179A2816" w14:textId="48219E81"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1,226</w:t>
            </w:r>
          </w:p>
        </w:tc>
        <w:tc>
          <w:tcPr>
            <w:tcW w:w="933" w:type="dxa"/>
            <w:gridSpan w:val="2"/>
            <w:shd w:val="clear" w:color="auto" w:fill="auto"/>
            <w:vAlign w:val="bottom"/>
          </w:tcPr>
          <w:p w14:paraId="10009243" w14:textId="10AFF032"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37.1%</w:t>
            </w:r>
          </w:p>
        </w:tc>
        <w:tc>
          <w:tcPr>
            <w:tcW w:w="870" w:type="dxa"/>
            <w:shd w:val="clear" w:color="auto" w:fill="auto"/>
            <w:vAlign w:val="bottom"/>
          </w:tcPr>
          <w:p w14:paraId="00F7C5A6" w14:textId="58B47F0F"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1,413</w:t>
            </w:r>
          </w:p>
        </w:tc>
        <w:tc>
          <w:tcPr>
            <w:tcW w:w="933" w:type="dxa"/>
            <w:gridSpan w:val="2"/>
            <w:shd w:val="clear" w:color="auto" w:fill="auto"/>
            <w:vAlign w:val="bottom"/>
          </w:tcPr>
          <w:p w14:paraId="3C661259" w14:textId="07AA5BBF"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36.</w:t>
            </w:r>
            <w:r w:rsidR="00011F48">
              <w:rPr>
                <w:rFonts w:cs="Times New Roman"/>
                <w:color w:val="000000"/>
                <w:sz w:val="20"/>
                <w:szCs w:val="20"/>
              </w:rPr>
              <w:t>7</w:t>
            </w:r>
            <w:r w:rsidRPr="006270F3">
              <w:rPr>
                <w:rFonts w:cs="Times New Roman"/>
                <w:color w:val="000000"/>
                <w:sz w:val="20"/>
                <w:szCs w:val="20"/>
              </w:rPr>
              <w:t>%</w:t>
            </w:r>
          </w:p>
        </w:tc>
      </w:tr>
      <w:tr w:rsidR="006270F3" w:rsidRPr="006270F3" w14:paraId="6B94E69D" w14:textId="77777777" w:rsidTr="008A05D6">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0CBD6045" w14:textId="77777777"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65+</w:t>
            </w:r>
          </w:p>
        </w:tc>
        <w:tc>
          <w:tcPr>
            <w:tcW w:w="903" w:type="dxa"/>
            <w:shd w:val="clear" w:color="auto" w:fill="auto"/>
            <w:vAlign w:val="bottom"/>
          </w:tcPr>
          <w:p w14:paraId="5822EDD6" w14:textId="7B3869B5"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1,988</w:t>
            </w:r>
          </w:p>
        </w:tc>
        <w:tc>
          <w:tcPr>
            <w:tcW w:w="933" w:type="dxa"/>
            <w:gridSpan w:val="2"/>
            <w:shd w:val="clear" w:color="auto" w:fill="auto"/>
            <w:vAlign w:val="bottom"/>
          </w:tcPr>
          <w:p w14:paraId="4F0B227A" w14:textId="2227CB5B"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61.1%</w:t>
            </w:r>
          </w:p>
        </w:tc>
        <w:tc>
          <w:tcPr>
            <w:tcW w:w="870" w:type="dxa"/>
            <w:shd w:val="clear" w:color="auto" w:fill="auto"/>
            <w:vAlign w:val="bottom"/>
          </w:tcPr>
          <w:p w14:paraId="79368632" w14:textId="429F7CE9"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2,075</w:t>
            </w:r>
          </w:p>
        </w:tc>
        <w:tc>
          <w:tcPr>
            <w:tcW w:w="933" w:type="dxa"/>
            <w:gridSpan w:val="2"/>
            <w:shd w:val="clear" w:color="auto" w:fill="auto"/>
            <w:vAlign w:val="bottom"/>
          </w:tcPr>
          <w:p w14:paraId="3BC7313D" w14:textId="489E5FB1"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62.8%</w:t>
            </w:r>
          </w:p>
        </w:tc>
        <w:tc>
          <w:tcPr>
            <w:tcW w:w="870" w:type="dxa"/>
            <w:shd w:val="clear" w:color="auto" w:fill="auto"/>
            <w:vAlign w:val="bottom"/>
          </w:tcPr>
          <w:p w14:paraId="63B8BB6A" w14:textId="70434437"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2,436</w:t>
            </w:r>
          </w:p>
        </w:tc>
        <w:tc>
          <w:tcPr>
            <w:tcW w:w="933" w:type="dxa"/>
            <w:gridSpan w:val="2"/>
            <w:shd w:val="clear" w:color="auto" w:fill="auto"/>
            <w:vAlign w:val="bottom"/>
          </w:tcPr>
          <w:p w14:paraId="40FAAB92" w14:textId="2D8E6310"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63.2%</w:t>
            </w:r>
          </w:p>
        </w:tc>
      </w:tr>
      <w:tr w:rsidR="002C135B" w:rsidRPr="006270F3" w14:paraId="5A673C8F" w14:textId="77777777" w:rsidTr="008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4A60086D" w14:textId="77777777" w:rsidR="002C135B" w:rsidRPr="006270F3" w:rsidRDefault="002C135B" w:rsidP="00A8743E">
            <w:pPr>
              <w:spacing w:line="240" w:lineRule="auto"/>
              <w:rPr>
                <w:rFonts w:cs="Times New Roman"/>
                <w:sz w:val="20"/>
                <w:szCs w:val="20"/>
              </w:rPr>
            </w:pPr>
            <w:r w:rsidRPr="006270F3">
              <w:rPr>
                <w:rFonts w:cs="Times New Roman"/>
                <w:sz w:val="20"/>
                <w:szCs w:val="20"/>
              </w:rPr>
              <w:t>Race/Ethnicity</w:t>
            </w:r>
          </w:p>
        </w:tc>
        <w:tc>
          <w:tcPr>
            <w:tcW w:w="903" w:type="dxa"/>
            <w:shd w:val="clear" w:color="auto" w:fill="auto"/>
          </w:tcPr>
          <w:p w14:paraId="61300CF2"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tcPr>
          <w:p w14:paraId="0B6D8778"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70" w:type="dxa"/>
            <w:shd w:val="clear" w:color="auto" w:fill="auto"/>
          </w:tcPr>
          <w:p w14:paraId="03F2BB1F"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tcPr>
          <w:p w14:paraId="12015467"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70" w:type="dxa"/>
            <w:shd w:val="clear" w:color="auto" w:fill="auto"/>
          </w:tcPr>
          <w:p w14:paraId="580FB97A"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tcPr>
          <w:p w14:paraId="6E4B50CA" w14:textId="77777777" w:rsidR="002C135B" w:rsidRPr="006270F3" w:rsidRDefault="002C135B" w:rsidP="00A8743E">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r>
      <w:tr w:rsidR="008A05D6" w:rsidRPr="006270F3" w14:paraId="4C46DA28" w14:textId="77777777" w:rsidTr="000A1BEA">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14:paraId="443A9E22" w14:textId="77777777" w:rsidR="008A05D6" w:rsidRPr="006270F3" w:rsidRDefault="008A05D6" w:rsidP="008A05D6">
            <w:pPr>
              <w:spacing w:line="240" w:lineRule="auto"/>
              <w:ind w:left="157"/>
              <w:rPr>
                <w:rFonts w:cs="Times New Roman"/>
                <w:b w:val="0"/>
                <w:bCs w:val="0"/>
                <w:sz w:val="20"/>
                <w:szCs w:val="20"/>
              </w:rPr>
            </w:pPr>
            <w:r w:rsidRPr="006270F3">
              <w:rPr>
                <w:rFonts w:cs="Times New Roman"/>
                <w:b w:val="0"/>
                <w:bCs w:val="0"/>
                <w:sz w:val="20"/>
                <w:szCs w:val="20"/>
              </w:rPr>
              <w:t>American Indian/ Alaskan Native</w:t>
            </w:r>
          </w:p>
        </w:tc>
        <w:tc>
          <w:tcPr>
            <w:tcW w:w="903" w:type="dxa"/>
            <w:shd w:val="clear" w:color="auto" w:fill="auto"/>
            <w:vAlign w:val="bottom"/>
          </w:tcPr>
          <w:p w14:paraId="17D14B28" w14:textId="39BC18D4" w:rsidR="008A05D6" w:rsidRPr="006270F3" w:rsidRDefault="008A05D6" w:rsidP="008A05D6">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0</w:t>
            </w:r>
          </w:p>
        </w:tc>
        <w:tc>
          <w:tcPr>
            <w:tcW w:w="933" w:type="dxa"/>
            <w:gridSpan w:val="2"/>
            <w:shd w:val="clear" w:color="auto" w:fill="auto"/>
            <w:vAlign w:val="bottom"/>
          </w:tcPr>
          <w:p w14:paraId="533CF7F9" w14:textId="340A238F" w:rsidR="008A05D6" w:rsidRPr="006270F3" w:rsidRDefault="008A05D6" w:rsidP="008A05D6">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0.0%</w:t>
            </w:r>
          </w:p>
        </w:tc>
        <w:tc>
          <w:tcPr>
            <w:tcW w:w="870" w:type="dxa"/>
            <w:shd w:val="clear" w:color="auto" w:fill="auto"/>
          </w:tcPr>
          <w:p w14:paraId="6501FF5F" w14:textId="6DFE17AE" w:rsidR="008A05D6" w:rsidRPr="006270F3" w:rsidRDefault="008A05D6" w:rsidP="008A05D6">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i/>
                <w:iCs/>
                <w:sz w:val="20"/>
                <w:szCs w:val="20"/>
              </w:rPr>
              <w:t>Masked</w:t>
            </w:r>
          </w:p>
        </w:tc>
        <w:tc>
          <w:tcPr>
            <w:tcW w:w="933" w:type="dxa"/>
            <w:gridSpan w:val="2"/>
            <w:shd w:val="clear" w:color="auto" w:fill="auto"/>
          </w:tcPr>
          <w:p w14:paraId="18AEB947" w14:textId="60F211CF" w:rsidR="008A05D6" w:rsidRPr="006270F3" w:rsidRDefault="008A05D6" w:rsidP="008A05D6">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i/>
                <w:iCs/>
                <w:sz w:val="20"/>
                <w:szCs w:val="20"/>
              </w:rPr>
              <w:t>Masked</w:t>
            </w:r>
          </w:p>
        </w:tc>
        <w:tc>
          <w:tcPr>
            <w:tcW w:w="870" w:type="dxa"/>
            <w:shd w:val="clear" w:color="auto" w:fill="auto"/>
            <w:vAlign w:val="bottom"/>
          </w:tcPr>
          <w:p w14:paraId="0206A380" w14:textId="26A1E50E" w:rsidR="008A05D6" w:rsidRPr="006270F3" w:rsidRDefault="008A05D6" w:rsidP="008A05D6">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0</w:t>
            </w:r>
          </w:p>
        </w:tc>
        <w:tc>
          <w:tcPr>
            <w:tcW w:w="933" w:type="dxa"/>
            <w:gridSpan w:val="2"/>
            <w:shd w:val="clear" w:color="auto" w:fill="auto"/>
            <w:vAlign w:val="bottom"/>
          </w:tcPr>
          <w:p w14:paraId="53BB1CA5" w14:textId="5D7D1F6B" w:rsidR="008A05D6" w:rsidRPr="006270F3" w:rsidRDefault="008A05D6" w:rsidP="008A05D6">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0.0%</w:t>
            </w:r>
          </w:p>
        </w:tc>
      </w:tr>
      <w:tr w:rsidR="006270F3" w:rsidRPr="006270F3" w14:paraId="006A7970" w14:textId="77777777" w:rsidTr="008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14:paraId="552C16CF" w14:textId="77777777"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Asian</w:t>
            </w:r>
          </w:p>
        </w:tc>
        <w:tc>
          <w:tcPr>
            <w:tcW w:w="903" w:type="dxa"/>
            <w:shd w:val="clear" w:color="auto" w:fill="auto"/>
            <w:vAlign w:val="bottom"/>
          </w:tcPr>
          <w:p w14:paraId="1773DAB8" w14:textId="60771E2C"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11</w:t>
            </w:r>
          </w:p>
        </w:tc>
        <w:tc>
          <w:tcPr>
            <w:tcW w:w="933" w:type="dxa"/>
            <w:gridSpan w:val="2"/>
            <w:shd w:val="clear" w:color="auto" w:fill="auto"/>
            <w:vAlign w:val="bottom"/>
          </w:tcPr>
          <w:p w14:paraId="529A7E50" w14:textId="6BB11828"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0.3%</w:t>
            </w:r>
          </w:p>
        </w:tc>
        <w:tc>
          <w:tcPr>
            <w:tcW w:w="870" w:type="dxa"/>
            <w:shd w:val="clear" w:color="auto" w:fill="auto"/>
            <w:vAlign w:val="bottom"/>
          </w:tcPr>
          <w:p w14:paraId="0BECA91E" w14:textId="7380D61C"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14</w:t>
            </w:r>
          </w:p>
        </w:tc>
        <w:tc>
          <w:tcPr>
            <w:tcW w:w="933" w:type="dxa"/>
            <w:gridSpan w:val="2"/>
            <w:shd w:val="clear" w:color="auto" w:fill="auto"/>
            <w:vAlign w:val="bottom"/>
          </w:tcPr>
          <w:p w14:paraId="1120A683" w14:textId="7EC9E59C"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0.4%</w:t>
            </w:r>
          </w:p>
        </w:tc>
        <w:tc>
          <w:tcPr>
            <w:tcW w:w="870" w:type="dxa"/>
            <w:shd w:val="clear" w:color="auto" w:fill="auto"/>
            <w:vAlign w:val="bottom"/>
          </w:tcPr>
          <w:p w14:paraId="2CA0B56D" w14:textId="0EC37627"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16</w:t>
            </w:r>
          </w:p>
        </w:tc>
        <w:tc>
          <w:tcPr>
            <w:tcW w:w="933" w:type="dxa"/>
            <w:gridSpan w:val="2"/>
            <w:shd w:val="clear" w:color="auto" w:fill="auto"/>
            <w:vAlign w:val="bottom"/>
          </w:tcPr>
          <w:p w14:paraId="2C5CD52A" w14:textId="4A7B2AE3"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0.4%</w:t>
            </w:r>
          </w:p>
        </w:tc>
      </w:tr>
      <w:tr w:rsidR="006270F3" w:rsidRPr="006270F3" w14:paraId="0BDB2C85" w14:textId="77777777" w:rsidTr="008A05D6">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14:paraId="0FC1749D" w14:textId="77777777"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Black or African American</w:t>
            </w:r>
          </w:p>
        </w:tc>
        <w:tc>
          <w:tcPr>
            <w:tcW w:w="903" w:type="dxa"/>
            <w:shd w:val="clear" w:color="auto" w:fill="auto"/>
            <w:vAlign w:val="bottom"/>
          </w:tcPr>
          <w:p w14:paraId="0BA363FC" w14:textId="6B5AD73A"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45</w:t>
            </w:r>
          </w:p>
        </w:tc>
        <w:tc>
          <w:tcPr>
            <w:tcW w:w="933" w:type="dxa"/>
            <w:gridSpan w:val="2"/>
            <w:shd w:val="clear" w:color="auto" w:fill="auto"/>
            <w:vAlign w:val="bottom"/>
          </w:tcPr>
          <w:p w14:paraId="163F7B53" w14:textId="68D2863E"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1.</w:t>
            </w:r>
            <w:r w:rsidR="00011F48">
              <w:rPr>
                <w:rFonts w:cs="Times New Roman"/>
                <w:color w:val="000000"/>
                <w:sz w:val="20"/>
                <w:szCs w:val="20"/>
              </w:rPr>
              <w:t>4</w:t>
            </w:r>
            <w:r w:rsidRPr="006270F3">
              <w:rPr>
                <w:rFonts w:cs="Times New Roman"/>
                <w:color w:val="000000"/>
                <w:sz w:val="20"/>
                <w:szCs w:val="20"/>
              </w:rPr>
              <w:t>%</w:t>
            </w:r>
          </w:p>
        </w:tc>
        <w:tc>
          <w:tcPr>
            <w:tcW w:w="870" w:type="dxa"/>
            <w:shd w:val="clear" w:color="auto" w:fill="auto"/>
            <w:vAlign w:val="bottom"/>
          </w:tcPr>
          <w:p w14:paraId="1C6AE6E6" w14:textId="5E1599D1"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50</w:t>
            </w:r>
          </w:p>
        </w:tc>
        <w:tc>
          <w:tcPr>
            <w:tcW w:w="933" w:type="dxa"/>
            <w:gridSpan w:val="2"/>
            <w:shd w:val="clear" w:color="auto" w:fill="auto"/>
            <w:vAlign w:val="bottom"/>
          </w:tcPr>
          <w:p w14:paraId="4C28C92D" w14:textId="227A897C"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1.5%</w:t>
            </w:r>
          </w:p>
        </w:tc>
        <w:tc>
          <w:tcPr>
            <w:tcW w:w="870" w:type="dxa"/>
            <w:shd w:val="clear" w:color="auto" w:fill="auto"/>
            <w:vAlign w:val="bottom"/>
          </w:tcPr>
          <w:p w14:paraId="53BAADB5" w14:textId="1016A3C8"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55</w:t>
            </w:r>
          </w:p>
        </w:tc>
        <w:tc>
          <w:tcPr>
            <w:tcW w:w="933" w:type="dxa"/>
            <w:gridSpan w:val="2"/>
            <w:shd w:val="clear" w:color="auto" w:fill="auto"/>
            <w:vAlign w:val="bottom"/>
          </w:tcPr>
          <w:p w14:paraId="3BA6DF8E" w14:textId="72292AA4"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1.4%</w:t>
            </w:r>
          </w:p>
        </w:tc>
      </w:tr>
      <w:tr w:rsidR="008A05D6" w:rsidRPr="006270F3" w14:paraId="3614DA0C" w14:textId="77777777" w:rsidTr="009362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14:paraId="7247AD4D" w14:textId="77777777" w:rsidR="008A05D6" w:rsidRPr="006270F3" w:rsidRDefault="008A05D6" w:rsidP="008A05D6">
            <w:pPr>
              <w:spacing w:line="240" w:lineRule="auto"/>
              <w:ind w:left="157"/>
              <w:rPr>
                <w:rFonts w:cs="Times New Roman"/>
                <w:b w:val="0"/>
                <w:bCs w:val="0"/>
                <w:sz w:val="20"/>
                <w:szCs w:val="20"/>
              </w:rPr>
            </w:pPr>
            <w:r w:rsidRPr="006270F3">
              <w:rPr>
                <w:rFonts w:cs="Times New Roman"/>
                <w:b w:val="0"/>
                <w:bCs w:val="0"/>
                <w:sz w:val="20"/>
                <w:szCs w:val="20"/>
              </w:rPr>
              <w:t>Native Hawaiian or Other Pacific Islander</w:t>
            </w:r>
          </w:p>
        </w:tc>
        <w:tc>
          <w:tcPr>
            <w:tcW w:w="903" w:type="dxa"/>
            <w:shd w:val="clear" w:color="auto" w:fill="auto"/>
          </w:tcPr>
          <w:p w14:paraId="42D04BA6" w14:textId="1856E4FD" w:rsidR="008A05D6" w:rsidRPr="006270F3" w:rsidRDefault="008A05D6" w:rsidP="008A05D6">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i/>
                <w:iCs/>
                <w:sz w:val="20"/>
                <w:szCs w:val="20"/>
              </w:rPr>
              <w:t>Masked</w:t>
            </w:r>
          </w:p>
        </w:tc>
        <w:tc>
          <w:tcPr>
            <w:tcW w:w="933" w:type="dxa"/>
            <w:gridSpan w:val="2"/>
            <w:shd w:val="clear" w:color="auto" w:fill="auto"/>
          </w:tcPr>
          <w:p w14:paraId="4BF2EFB4" w14:textId="60FD363E" w:rsidR="008A05D6" w:rsidRPr="006270F3" w:rsidRDefault="008A05D6" w:rsidP="008A05D6">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i/>
                <w:iCs/>
                <w:sz w:val="20"/>
                <w:szCs w:val="20"/>
              </w:rPr>
              <w:t>Masked</w:t>
            </w:r>
          </w:p>
        </w:tc>
        <w:tc>
          <w:tcPr>
            <w:tcW w:w="870" w:type="dxa"/>
            <w:shd w:val="clear" w:color="auto" w:fill="auto"/>
            <w:vAlign w:val="bottom"/>
          </w:tcPr>
          <w:p w14:paraId="41E2A269" w14:textId="5D39559B" w:rsidR="008A05D6" w:rsidRPr="006270F3" w:rsidRDefault="008A05D6" w:rsidP="008A05D6">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0</w:t>
            </w:r>
          </w:p>
        </w:tc>
        <w:tc>
          <w:tcPr>
            <w:tcW w:w="933" w:type="dxa"/>
            <w:gridSpan w:val="2"/>
            <w:shd w:val="clear" w:color="auto" w:fill="auto"/>
            <w:vAlign w:val="bottom"/>
          </w:tcPr>
          <w:p w14:paraId="2E7D5DB4" w14:textId="46CD17BB" w:rsidR="008A05D6" w:rsidRPr="006270F3" w:rsidRDefault="008A05D6" w:rsidP="008A05D6">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0.0%</w:t>
            </w:r>
          </w:p>
        </w:tc>
        <w:tc>
          <w:tcPr>
            <w:tcW w:w="870" w:type="dxa"/>
            <w:shd w:val="clear" w:color="auto" w:fill="auto"/>
          </w:tcPr>
          <w:p w14:paraId="1A8087C7" w14:textId="0DDE14AA" w:rsidR="008A05D6" w:rsidRPr="006270F3" w:rsidRDefault="008A05D6" w:rsidP="008A05D6">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i/>
                <w:iCs/>
                <w:sz w:val="20"/>
                <w:szCs w:val="20"/>
              </w:rPr>
              <w:t>Masked</w:t>
            </w:r>
          </w:p>
        </w:tc>
        <w:tc>
          <w:tcPr>
            <w:tcW w:w="933" w:type="dxa"/>
            <w:gridSpan w:val="2"/>
            <w:shd w:val="clear" w:color="auto" w:fill="auto"/>
          </w:tcPr>
          <w:p w14:paraId="4FE59869" w14:textId="650370A4" w:rsidR="008A05D6" w:rsidRPr="006270F3" w:rsidRDefault="008A05D6" w:rsidP="008A05D6">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i/>
                <w:iCs/>
                <w:sz w:val="20"/>
                <w:szCs w:val="20"/>
              </w:rPr>
              <w:t>Masked</w:t>
            </w:r>
          </w:p>
        </w:tc>
      </w:tr>
      <w:tr w:rsidR="006270F3" w:rsidRPr="006270F3" w14:paraId="71F5755B" w14:textId="77777777" w:rsidTr="008A05D6">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14:paraId="58FDD965" w14:textId="77777777"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Other</w:t>
            </w:r>
          </w:p>
        </w:tc>
        <w:tc>
          <w:tcPr>
            <w:tcW w:w="903" w:type="dxa"/>
            <w:shd w:val="clear" w:color="auto" w:fill="auto"/>
          </w:tcPr>
          <w:p w14:paraId="1D89EC22" w14:textId="26ECF647"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134</w:t>
            </w:r>
          </w:p>
        </w:tc>
        <w:tc>
          <w:tcPr>
            <w:tcW w:w="933" w:type="dxa"/>
            <w:gridSpan w:val="2"/>
            <w:shd w:val="clear" w:color="auto" w:fill="auto"/>
          </w:tcPr>
          <w:p w14:paraId="4F34922B" w14:textId="6F74DE59"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4.1%</w:t>
            </w:r>
          </w:p>
        </w:tc>
        <w:tc>
          <w:tcPr>
            <w:tcW w:w="870" w:type="dxa"/>
            <w:shd w:val="clear" w:color="auto" w:fill="auto"/>
          </w:tcPr>
          <w:p w14:paraId="2ED84FD8" w14:textId="30DC051A"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128</w:t>
            </w:r>
          </w:p>
        </w:tc>
        <w:tc>
          <w:tcPr>
            <w:tcW w:w="933" w:type="dxa"/>
            <w:gridSpan w:val="2"/>
            <w:shd w:val="clear" w:color="auto" w:fill="auto"/>
          </w:tcPr>
          <w:p w14:paraId="3B7BCB3D" w14:textId="7D0C6827"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3.</w:t>
            </w:r>
            <w:r w:rsidR="00011F48">
              <w:rPr>
                <w:rFonts w:cs="Times New Roman"/>
                <w:sz w:val="20"/>
                <w:szCs w:val="20"/>
              </w:rPr>
              <w:t>9</w:t>
            </w:r>
            <w:r w:rsidRPr="006270F3">
              <w:rPr>
                <w:rFonts w:cs="Times New Roman"/>
                <w:sz w:val="20"/>
                <w:szCs w:val="20"/>
              </w:rPr>
              <w:t>%</w:t>
            </w:r>
          </w:p>
        </w:tc>
        <w:tc>
          <w:tcPr>
            <w:tcW w:w="870" w:type="dxa"/>
            <w:shd w:val="clear" w:color="auto" w:fill="auto"/>
          </w:tcPr>
          <w:p w14:paraId="1730BEBA" w14:textId="74114333"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183</w:t>
            </w:r>
          </w:p>
        </w:tc>
        <w:tc>
          <w:tcPr>
            <w:tcW w:w="933" w:type="dxa"/>
            <w:gridSpan w:val="2"/>
            <w:shd w:val="clear" w:color="auto" w:fill="auto"/>
          </w:tcPr>
          <w:p w14:paraId="441197B3" w14:textId="41A5091B"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4.</w:t>
            </w:r>
            <w:r w:rsidR="00011F48">
              <w:rPr>
                <w:rFonts w:cs="Times New Roman"/>
                <w:sz w:val="20"/>
                <w:szCs w:val="20"/>
              </w:rPr>
              <w:t>8</w:t>
            </w:r>
            <w:r w:rsidRPr="006270F3">
              <w:rPr>
                <w:rFonts w:cs="Times New Roman"/>
                <w:sz w:val="20"/>
                <w:szCs w:val="20"/>
              </w:rPr>
              <w:t>%</w:t>
            </w:r>
          </w:p>
        </w:tc>
      </w:tr>
      <w:tr w:rsidR="006270F3" w:rsidRPr="006270F3" w14:paraId="241FD20A" w14:textId="77777777" w:rsidTr="008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14:paraId="70A42143" w14:textId="77777777"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White</w:t>
            </w:r>
          </w:p>
        </w:tc>
        <w:tc>
          <w:tcPr>
            <w:tcW w:w="903" w:type="dxa"/>
            <w:shd w:val="clear" w:color="auto" w:fill="auto"/>
            <w:vAlign w:val="bottom"/>
          </w:tcPr>
          <w:p w14:paraId="639CF542" w14:textId="649635A3"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3,062</w:t>
            </w:r>
          </w:p>
        </w:tc>
        <w:tc>
          <w:tcPr>
            <w:tcW w:w="933" w:type="dxa"/>
            <w:gridSpan w:val="2"/>
            <w:shd w:val="clear" w:color="auto" w:fill="auto"/>
            <w:vAlign w:val="bottom"/>
          </w:tcPr>
          <w:p w14:paraId="1779D0CD" w14:textId="7182F6C3"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94.1%</w:t>
            </w:r>
          </w:p>
        </w:tc>
        <w:tc>
          <w:tcPr>
            <w:tcW w:w="870" w:type="dxa"/>
            <w:shd w:val="clear" w:color="auto" w:fill="auto"/>
            <w:vAlign w:val="bottom"/>
          </w:tcPr>
          <w:p w14:paraId="374C0A8F" w14:textId="5551AA66"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3,110</w:t>
            </w:r>
          </w:p>
        </w:tc>
        <w:tc>
          <w:tcPr>
            <w:tcW w:w="933" w:type="dxa"/>
            <w:gridSpan w:val="2"/>
            <w:shd w:val="clear" w:color="auto" w:fill="auto"/>
            <w:vAlign w:val="bottom"/>
          </w:tcPr>
          <w:p w14:paraId="7B3DF1BA" w14:textId="590378BA"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94.</w:t>
            </w:r>
            <w:r w:rsidR="00011F48">
              <w:rPr>
                <w:rFonts w:cs="Times New Roman"/>
                <w:color w:val="000000"/>
                <w:sz w:val="20"/>
                <w:szCs w:val="20"/>
              </w:rPr>
              <w:t>2</w:t>
            </w:r>
            <w:r w:rsidRPr="006270F3">
              <w:rPr>
                <w:rFonts w:cs="Times New Roman"/>
                <w:color w:val="000000"/>
                <w:sz w:val="20"/>
                <w:szCs w:val="20"/>
              </w:rPr>
              <w:t>%</w:t>
            </w:r>
          </w:p>
        </w:tc>
        <w:tc>
          <w:tcPr>
            <w:tcW w:w="870" w:type="dxa"/>
            <w:shd w:val="clear" w:color="auto" w:fill="auto"/>
            <w:vAlign w:val="bottom"/>
          </w:tcPr>
          <w:p w14:paraId="126F6E59" w14:textId="3464AD20"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3,596</w:t>
            </w:r>
          </w:p>
        </w:tc>
        <w:tc>
          <w:tcPr>
            <w:tcW w:w="933" w:type="dxa"/>
            <w:gridSpan w:val="2"/>
            <w:shd w:val="clear" w:color="auto" w:fill="auto"/>
            <w:vAlign w:val="bottom"/>
          </w:tcPr>
          <w:p w14:paraId="57E916E2" w14:textId="735B294C"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color w:val="000000"/>
                <w:sz w:val="20"/>
                <w:szCs w:val="20"/>
              </w:rPr>
              <w:t>93.3%</w:t>
            </w:r>
          </w:p>
        </w:tc>
      </w:tr>
      <w:tr w:rsidR="006270F3" w:rsidRPr="006270F3" w14:paraId="075D32A5" w14:textId="77777777" w:rsidTr="008A05D6">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14:paraId="73C99FB9" w14:textId="77777777"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Unknown</w:t>
            </w:r>
          </w:p>
        </w:tc>
        <w:tc>
          <w:tcPr>
            <w:tcW w:w="903" w:type="dxa"/>
            <w:shd w:val="clear" w:color="auto" w:fill="auto"/>
            <w:vAlign w:val="bottom"/>
          </w:tcPr>
          <w:p w14:paraId="19017119" w14:textId="5B7C0B3A"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0</w:t>
            </w:r>
          </w:p>
        </w:tc>
        <w:tc>
          <w:tcPr>
            <w:tcW w:w="933" w:type="dxa"/>
            <w:gridSpan w:val="2"/>
            <w:shd w:val="clear" w:color="auto" w:fill="auto"/>
            <w:vAlign w:val="bottom"/>
          </w:tcPr>
          <w:p w14:paraId="675C8D58" w14:textId="48418F8D"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0.0%</w:t>
            </w:r>
          </w:p>
        </w:tc>
        <w:tc>
          <w:tcPr>
            <w:tcW w:w="870" w:type="dxa"/>
            <w:shd w:val="clear" w:color="auto" w:fill="auto"/>
            <w:vAlign w:val="bottom"/>
          </w:tcPr>
          <w:p w14:paraId="64A74AD3" w14:textId="42B4B94C"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0</w:t>
            </w:r>
          </w:p>
        </w:tc>
        <w:tc>
          <w:tcPr>
            <w:tcW w:w="933" w:type="dxa"/>
            <w:gridSpan w:val="2"/>
            <w:shd w:val="clear" w:color="auto" w:fill="auto"/>
            <w:vAlign w:val="bottom"/>
          </w:tcPr>
          <w:p w14:paraId="00EE630A" w14:textId="753B5D8B"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0.0%</w:t>
            </w:r>
          </w:p>
        </w:tc>
        <w:tc>
          <w:tcPr>
            <w:tcW w:w="870" w:type="dxa"/>
            <w:shd w:val="clear" w:color="auto" w:fill="auto"/>
            <w:vAlign w:val="bottom"/>
          </w:tcPr>
          <w:p w14:paraId="545A16B4" w14:textId="615761B9"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0</w:t>
            </w:r>
          </w:p>
        </w:tc>
        <w:tc>
          <w:tcPr>
            <w:tcW w:w="933" w:type="dxa"/>
            <w:gridSpan w:val="2"/>
            <w:shd w:val="clear" w:color="auto" w:fill="auto"/>
            <w:vAlign w:val="bottom"/>
          </w:tcPr>
          <w:p w14:paraId="1F25C758" w14:textId="0B4C364F"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color w:val="000000"/>
                <w:sz w:val="20"/>
                <w:szCs w:val="20"/>
              </w:rPr>
              <w:t>0.0%</w:t>
            </w:r>
          </w:p>
        </w:tc>
      </w:tr>
      <w:tr w:rsidR="006270F3" w:rsidRPr="006270F3" w14:paraId="775D4F89" w14:textId="77777777" w:rsidTr="008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1ADB1CDA" w14:textId="3149059D" w:rsidR="006270F3" w:rsidRPr="006270F3" w:rsidRDefault="006270F3" w:rsidP="006270F3">
            <w:pPr>
              <w:spacing w:line="240" w:lineRule="auto"/>
              <w:rPr>
                <w:rFonts w:cs="Times New Roman"/>
                <w:b w:val="0"/>
                <w:bCs w:val="0"/>
                <w:sz w:val="20"/>
                <w:szCs w:val="20"/>
              </w:rPr>
            </w:pPr>
            <w:r w:rsidRPr="006270F3">
              <w:rPr>
                <w:rFonts w:cs="Times New Roman"/>
                <w:sz w:val="20"/>
                <w:szCs w:val="20"/>
              </w:rPr>
              <w:t>Ethnicity</w:t>
            </w:r>
          </w:p>
        </w:tc>
        <w:tc>
          <w:tcPr>
            <w:tcW w:w="903" w:type="dxa"/>
            <w:shd w:val="clear" w:color="auto" w:fill="auto"/>
          </w:tcPr>
          <w:p w14:paraId="62EEA305" w14:textId="77777777"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33" w:type="dxa"/>
            <w:gridSpan w:val="2"/>
            <w:shd w:val="clear" w:color="auto" w:fill="auto"/>
          </w:tcPr>
          <w:p w14:paraId="77F0F01F" w14:textId="77777777"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70" w:type="dxa"/>
            <w:shd w:val="clear" w:color="auto" w:fill="auto"/>
          </w:tcPr>
          <w:p w14:paraId="7138D862" w14:textId="77777777"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33" w:type="dxa"/>
            <w:gridSpan w:val="2"/>
            <w:shd w:val="clear" w:color="auto" w:fill="auto"/>
          </w:tcPr>
          <w:p w14:paraId="2CD22303" w14:textId="77777777"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870" w:type="dxa"/>
            <w:shd w:val="clear" w:color="auto" w:fill="auto"/>
          </w:tcPr>
          <w:p w14:paraId="1495E3DD" w14:textId="77777777"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c>
          <w:tcPr>
            <w:tcW w:w="933" w:type="dxa"/>
            <w:gridSpan w:val="2"/>
            <w:shd w:val="clear" w:color="auto" w:fill="auto"/>
          </w:tcPr>
          <w:p w14:paraId="55534A7C" w14:textId="77777777"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p>
        </w:tc>
      </w:tr>
      <w:tr w:rsidR="006270F3" w:rsidRPr="006270F3" w14:paraId="579AAE85" w14:textId="77777777" w:rsidTr="008A05D6">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07FFAA23" w14:textId="59692C07"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Hispanic or Latino</w:t>
            </w:r>
          </w:p>
        </w:tc>
        <w:tc>
          <w:tcPr>
            <w:tcW w:w="903" w:type="dxa"/>
            <w:shd w:val="clear" w:color="auto" w:fill="auto"/>
          </w:tcPr>
          <w:p w14:paraId="762EB5D6" w14:textId="30F0266A"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14</w:t>
            </w:r>
          </w:p>
        </w:tc>
        <w:tc>
          <w:tcPr>
            <w:tcW w:w="933" w:type="dxa"/>
            <w:gridSpan w:val="2"/>
            <w:shd w:val="clear" w:color="auto" w:fill="auto"/>
          </w:tcPr>
          <w:p w14:paraId="7902CAA0" w14:textId="162CDFAE"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0.4%</w:t>
            </w:r>
          </w:p>
        </w:tc>
        <w:tc>
          <w:tcPr>
            <w:tcW w:w="870" w:type="dxa"/>
            <w:shd w:val="clear" w:color="auto" w:fill="auto"/>
          </w:tcPr>
          <w:p w14:paraId="7B244DF0" w14:textId="240C70DA"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13</w:t>
            </w:r>
          </w:p>
        </w:tc>
        <w:tc>
          <w:tcPr>
            <w:tcW w:w="933" w:type="dxa"/>
            <w:gridSpan w:val="2"/>
            <w:shd w:val="clear" w:color="auto" w:fill="auto"/>
          </w:tcPr>
          <w:p w14:paraId="3ACEED18" w14:textId="13C59B81"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0.</w:t>
            </w:r>
            <w:r w:rsidR="00011F48">
              <w:rPr>
                <w:rFonts w:cs="Times New Roman"/>
                <w:sz w:val="20"/>
                <w:szCs w:val="20"/>
              </w:rPr>
              <w:t>4</w:t>
            </w:r>
            <w:r w:rsidRPr="006270F3">
              <w:rPr>
                <w:rFonts w:cs="Times New Roman"/>
                <w:sz w:val="20"/>
                <w:szCs w:val="20"/>
              </w:rPr>
              <w:t>%</w:t>
            </w:r>
          </w:p>
        </w:tc>
        <w:tc>
          <w:tcPr>
            <w:tcW w:w="870" w:type="dxa"/>
            <w:shd w:val="clear" w:color="auto" w:fill="auto"/>
          </w:tcPr>
          <w:p w14:paraId="2F6A83C4" w14:textId="1A0D602C"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15</w:t>
            </w:r>
          </w:p>
        </w:tc>
        <w:tc>
          <w:tcPr>
            <w:tcW w:w="933" w:type="dxa"/>
            <w:gridSpan w:val="2"/>
            <w:shd w:val="clear" w:color="auto" w:fill="auto"/>
          </w:tcPr>
          <w:p w14:paraId="244DCC13" w14:textId="3C5BC594"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0.</w:t>
            </w:r>
            <w:r w:rsidR="00011F48">
              <w:rPr>
                <w:rFonts w:cs="Times New Roman"/>
                <w:sz w:val="20"/>
                <w:szCs w:val="20"/>
              </w:rPr>
              <w:t>4</w:t>
            </w:r>
            <w:r w:rsidRPr="006270F3">
              <w:rPr>
                <w:rFonts w:cs="Times New Roman"/>
                <w:sz w:val="20"/>
                <w:szCs w:val="20"/>
              </w:rPr>
              <w:t>%</w:t>
            </w:r>
          </w:p>
        </w:tc>
      </w:tr>
      <w:tr w:rsidR="006270F3" w:rsidRPr="006270F3" w14:paraId="3F35D1E7" w14:textId="77777777" w:rsidTr="008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4287C10B" w14:textId="172EB4C8"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Not Hispanic or Latino</w:t>
            </w:r>
          </w:p>
        </w:tc>
        <w:tc>
          <w:tcPr>
            <w:tcW w:w="903" w:type="dxa"/>
            <w:shd w:val="clear" w:color="auto" w:fill="auto"/>
          </w:tcPr>
          <w:p w14:paraId="6D05AD18" w14:textId="2F13B310"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sz w:val="20"/>
                <w:szCs w:val="20"/>
              </w:rPr>
              <w:t>3,050</w:t>
            </w:r>
          </w:p>
        </w:tc>
        <w:tc>
          <w:tcPr>
            <w:tcW w:w="933" w:type="dxa"/>
            <w:gridSpan w:val="2"/>
            <w:shd w:val="clear" w:color="auto" w:fill="auto"/>
          </w:tcPr>
          <w:p w14:paraId="0DCE535B" w14:textId="5CFE3AFB"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sz w:val="20"/>
                <w:szCs w:val="20"/>
              </w:rPr>
              <w:t>93.</w:t>
            </w:r>
            <w:r w:rsidR="00011F48">
              <w:rPr>
                <w:rFonts w:cs="Times New Roman"/>
                <w:sz w:val="20"/>
                <w:szCs w:val="20"/>
              </w:rPr>
              <w:t>8</w:t>
            </w:r>
            <w:r w:rsidRPr="006270F3">
              <w:rPr>
                <w:rFonts w:cs="Times New Roman"/>
                <w:sz w:val="20"/>
                <w:szCs w:val="20"/>
              </w:rPr>
              <w:t>%</w:t>
            </w:r>
          </w:p>
        </w:tc>
        <w:tc>
          <w:tcPr>
            <w:tcW w:w="870" w:type="dxa"/>
            <w:shd w:val="clear" w:color="auto" w:fill="auto"/>
          </w:tcPr>
          <w:p w14:paraId="3F60713F" w14:textId="65D4B6DA"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sz w:val="20"/>
                <w:szCs w:val="20"/>
              </w:rPr>
              <w:t>3,163</w:t>
            </w:r>
          </w:p>
        </w:tc>
        <w:tc>
          <w:tcPr>
            <w:tcW w:w="933" w:type="dxa"/>
            <w:gridSpan w:val="2"/>
            <w:shd w:val="clear" w:color="auto" w:fill="auto"/>
          </w:tcPr>
          <w:p w14:paraId="71E557A6" w14:textId="13872DCC"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sz w:val="20"/>
                <w:szCs w:val="20"/>
              </w:rPr>
              <w:t>95.</w:t>
            </w:r>
            <w:r w:rsidR="00011F48">
              <w:rPr>
                <w:rFonts w:cs="Times New Roman"/>
                <w:sz w:val="20"/>
                <w:szCs w:val="20"/>
              </w:rPr>
              <w:t>8</w:t>
            </w:r>
            <w:r w:rsidRPr="006270F3">
              <w:rPr>
                <w:rFonts w:cs="Times New Roman"/>
                <w:sz w:val="20"/>
                <w:szCs w:val="20"/>
              </w:rPr>
              <w:t>%</w:t>
            </w:r>
          </w:p>
        </w:tc>
        <w:tc>
          <w:tcPr>
            <w:tcW w:w="870" w:type="dxa"/>
            <w:shd w:val="clear" w:color="auto" w:fill="auto"/>
          </w:tcPr>
          <w:p w14:paraId="06606C60" w14:textId="69B0897C"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sz w:val="20"/>
                <w:szCs w:val="20"/>
              </w:rPr>
              <w:t>3,708</w:t>
            </w:r>
          </w:p>
        </w:tc>
        <w:tc>
          <w:tcPr>
            <w:tcW w:w="933" w:type="dxa"/>
            <w:gridSpan w:val="2"/>
            <w:shd w:val="clear" w:color="auto" w:fill="auto"/>
          </w:tcPr>
          <w:p w14:paraId="3C2A5619" w14:textId="27B7A45F"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rFonts w:cs="Times New Roman"/>
                <w:sz w:val="20"/>
                <w:szCs w:val="20"/>
              </w:rPr>
              <w:t>96.2%</w:t>
            </w:r>
          </w:p>
        </w:tc>
      </w:tr>
      <w:tr w:rsidR="006270F3" w:rsidRPr="006270F3" w14:paraId="71F89422" w14:textId="77777777" w:rsidTr="008A05D6">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234CAE38" w14:textId="41F7D84C"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Unknown</w:t>
            </w:r>
          </w:p>
        </w:tc>
        <w:tc>
          <w:tcPr>
            <w:tcW w:w="903" w:type="dxa"/>
            <w:shd w:val="clear" w:color="auto" w:fill="auto"/>
          </w:tcPr>
          <w:p w14:paraId="4FC456BC" w14:textId="376BFB88"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189</w:t>
            </w:r>
          </w:p>
        </w:tc>
        <w:tc>
          <w:tcPr>
            <w:tcW w:w="933" w:type="dxa"/>
            <w:gridSpan w:val="2"/>
            <w:shd w:val="clear" w:color="auto" w:fill="auto"/>
          </w:tcPr>
          <w:p w14:paraId="3A405392" w14:textId="202992EA"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5.8%</w:t>
            </w:r>
          </w:p>
        </w:tc>
        <w:tc>
          <w:tcPr>
            <w:tcW w:w="870" w:type="dxa"/>
            <w:shd w:val="clear" w:color="auto" w:fill="auto"/>
          </w:tcPr>
          <w:p w14:paraId="50D2E9BF" w14:textId="66E0122F"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127</w:t>
            </w:r>
          </w:p>
        </w:tc>
        <w:tc>
          <w:tcPr>
            <w:tcW w:w="933" w:type="dxa"/>
            <w:gridSpan w:val="2"/>
            <w:shd w:val="clear" w:color="auto" w:fill="auto"/>
          </w:tcPr>
          <w:p w14:paraId="465E18D5" w14:textId="43F49E96"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3.8%</w:t>
            </w:r>
          </w:p>
        </w:tc>
        <w:tc>
          <w:tcPr>
            <w:tcW w:w="870" w:type="dxa"/>
            <w:shd w:val="clear" w:color="auto" w:fill="auto"/>
          </w:tcPr>
          <w:p w14:paraId="22EB720E" w14:textId="30912945"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130</w:t>
            </w:r>
          </w:p>
        </w:tc>
        <w:tc>
          <w:tcPr>
            <w:tcW w:w="933" w:type="dxa"/>
            <w:gridSpan w:val="2"/>
            <w:shd w:val="clear" w:color="auto" w:fill="auto"/>
          </w:tcPr>
          <w:p w14:paraId="3D835249" w14:textId="1D8A7E77"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rFonts w:cs="Times New Roman"/>
                <w:sz w:val="20"/>
                <w:szCs w:val="20"/>
              </w:rPr>
              <w:t>3.</w:t>
            </w:r>
            <w:r w:rsidR="00011F48">
              <w:rPr>
                <w:rFonts w:cs="Times New Roman"/>
                <w:sz w:val="20"/>
                <w:szCs w:val="20"/>
              </w:rPr>
              <w:t>4</w:t>
            </w:r>
            <w:r w:rsidRPr="006270F3">
              <w:rPr>
                <w:rFonts w:cs="Times New Roman"/>
                <w:sz w:val="20"/>
                <w:szCs w:val="20"/>
              </w:rPr>
              <w:t>%</w:t>
            </w:r>
          </w:p>
        </w:tc>
      </w:tr>
      <w:tr w:rsidR="006270F3" w:rsidRPr="006270F3" w14:paraId="76CC4EBE" w14:textId="77777777" w:rsidTr="008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1D6C95D9" w14:textId="79CD0768" w:rsidR="006270F3" w:rsidRPr="006270F3" w:rsidRDefault="006270F3" w:rsidP="006270F3">
            <w:pPr>
              <w:spacing w:line="240" w:lineRule="auto"/>
              <w:rPr>
                <w:rFonts w:cs="Times New Roman"/>
                <w:sz w:val="20"/>
                <w:szCs w:val="20"/>
              </w:rPr>
            </w:pPr>
            <w:r w:rsidRPr="006270F3">
              <w:rPr>
                <w:rFonts w:cs="Times New Roman"/>
                <w:sz w:val="20"/>
                <w:szCs w:val="20"/>
              </w:rPr>
              <w:t>Payor</w:t>
            </w:r>
          </w:p>
        </w:tc>
        <w:tc>
          <w:tcPr>
            <w:tcW w:w="903" w:type="dxa"/>
            <w:shd w:val="clear" w:color="auto" w:fill="auto"/>
          </w:tcPr>
          <w:p w14:paraId="69BD5842" w14:textId="77777777"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tcPr>
          <w:p w14:paraId="1FEFBF2F" w14:textId="77777777"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70" w:type="dxa"/>
            <w:shd w:val="clear" w:color="auto" w:fill="auto"/>
          </w:tcPr>
          <w:p w14:paraId="4B86346E" w14:textId="77777777"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tcPr>
          <w:p w14:paraId="76964F4D" w14:textId="77777777"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70" w:type="dxa"/>
            <w:shd w:val="clear" w:color="auto" w:fill="auto"/>
          </w:tcPr>
          <w:p w14:paraId="7F6D3A06" w14:textId="77777777"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tcPr>
          <w:p w14:paraId="1C57FE87" w14:textId="77777777"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r>
      <w:tr w:rsidR="006270F3" w:rsidRPr="006270F3" w14:paraId="2A48E00C" w14:textId="77777777" w:rsidTr="008A05D6">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16F5B6BA" w14:textId="77777777"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Commercial</w:t>
            </w:r>
          </w:p>
        </w:tc>
        <w:tc>
          <w:tcPr>
            <w:tcW w:w="903" w:type="dxa"/>
            <w:shd w:val="clear" w:color="auto" w:fill="auto"/>
          </w:tcPr>
          <w:p w14:paraId="6B6FC008" w14:textId="522C04A4"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sz w:val="20"/>
                <w:szCs w:val="20"/>
              </w:rPr>
              <w:t>855</w:t>
            </w:r>
          </w:p>
        </w:tc>
        <w:tc>
          <w:tcPr>
            <w:tcW w:w="933" w:type="dxa"/>
            <w:gridSpan w:val="2"/>
            <w:shd w:val="clear" w:color="auto" w:fill="auto"/>
          </w:tcPr>
          <w:p w14:paraId="3926D12B" w14:textId="5554F38E"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sz w:val="20"/>
                <w:szCs w:val="20"/>
              </w:rPr>
              <w:t>26.</w:t>
            </w:r>
            <w:r w:rsidR="00011F48">
              <w:rPr>
                <w:sz w:val="20"/>
                <w:szCs w:val="20"/>
              </w:rPr>
              <w:t>3</w:t>
            </w:r>
            <w:r w:rsidRPr="006270F3">
              <w:rPr>
                <w:sz w:val="20"/>
                <w:szCs w:val="20"/>
              </w:rPr>
              <w:t>%</w:t>
            </w:r>
          </w:p>
        </w:tc>
        <w:tc>
          <w:tcPr>
            <w:tcW w:w="870" w:type="dxa"/>
            <w:shd w:val="clear" w:color="auto" w:fill="auto"/>
          </w:tcPr>
          <w:p w14:paraId="21332595" w14:textId="2BB5E2BB"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sz w:val="20"/>
                <w:szCs w:val="20"/>
              </w:rPr>
              <w:t>877</w:t>
            </w:r>
          </w:p>
        </w:tc>
        <w:tc>
          <w:tcPr>
            <w:tcW w:w="933" w:type="dxa"/>
            <w:gridSpan w:val="2"/>
            <w:shd w:val="clear" w:color="auto" w:fill="auto"/>
          </w:tcPr>
          <w:p w14:paraId="42357921" w14:textId="082CB95C"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sz w:val="20"/>
                <w:szCs w:val="20"/>
              </w:rPr>
              <w:t>26.</w:t>
            </w:r>
            <w:r w:rsidR="00011F48">
              <w:rPr>
                <w:sz w:val="20"/>
                <w:szCs w:val="20"/>
              </w:rPr>
              <w:t>6</w:t>
            </w:r>
            <w:r w:rsidRPr="006270F3">
              <w:rPr>
                <w:sz w:val="20"/>
                <w:szCs w:val="20"/>
              </w:rPr>
              <w:t>%</w:t>
            </w:r>
          </w:p>
        </w:tc>
        <w:tc>
          <w:tcPr>
            <w:tcW w:w="870" w:type="dxa"/>
            <w:shd w:val="clear" w:color="auto" w:fill="auto"/>
          </w:tcPr>
          <w:p w14:paraId="1874C314" w14:textId="2EB10ECA"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sz w:val="20"/>
                <w:szCs w:val="20"/>
              </w:rPr>
              <w:t>1,018</w:t>
            </w:r>
          </w:p>
        </w:tc>
        <w:tc>
          <w:tcPr>
            <w:tcW w:w="933" w:type="dxa"/>
            <w:gridSpan w:val="2"/>
            <w:shd w:val="clear" w:color="auto" w:fill="auto"/>
          </w:tcPr>
          <w:p w14:paraId="526C92CF" w14:textId="6522572C"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sz w:val="20"/>
                <w:szCs w:val="20"/>
              </w:rPr>
              <w:t>26.4%</w:t>
            </w:r>
          </w:p>
        </w:tc>
      </w:tr>
      <w:tr w:rsidR="006270F3" w:rsidRPr="006270F3" w14:paraId="3600DFC2" w14:textId="77777777" w:rsidTr="008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48C805D3" w14:textId="77777777" w:rsidR="006270F3" w:rsidRPr="006270F3" w:rsidRDefault="006270F3" w:rsidP="006270F3">
            <w:pPr>
              <w:spacing w:line="240" w:lineRule="auto"/>
              <w:ind w:left="157"/>
              <w:rPr>
                <w:rFonts w:cs="Times New Roman"/>
                <w:b w:val="0"/>
                <w:bCs w:val="0"/>
                <w:sz w:val="20"/>
                <w:szCs w:val="20"/>
              </w:rPr>
            </w:pPr>
            <w:r w:rsidRPr="006270F3">
              <w:rPr>
                <w:rFonts w:cs="Times New Roman"/>
                <w:b w:val="0"/>
                <w:bCs w:val="0"/>
                <w:sz w:val="20"/>
                <w:szCs w:val="20"/>
              </w:rPr>
              <w:t>Medicare</w:t>
            </w:r>
          </w:p>
        </w:tc>
        <w:tc>
          <w:tcPr>
            <w:tcW w:w="903" w:type="dxa"/>
            <w:shd w:val="clear" w:color="auto" w:fill="auto"/>
          </w:tcPr>
          <w:p w14:paraId="3C9444D9" w14:textId="5A21B22C"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sz w:val="20"/>
                <w:szCs w:val="20"/>
              </w:rPr>
              <w:t>1,919</w:t>
            </w:r>
          </w:p>
        </w:tc>
        <w:tc>
          <w:tcPr>
            <w:tcW w:w="933" w:type="dxa"/>
            <w:gridSpan w:val="2"/>
            <w:shd w:val="clear" w:color="auto" w:fill="auto"/>
          </w:tcPr>
          <w:p w14:paraId="1F220077" w14:textId="00626011"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sz w:val="20"/>
                <w:szCs w:val="20"/>
              </w:rPr>
              <w:t>5</w:t>
            </w:r>
            <w:r w:rsidR="00011F48">
              <w:rPr>
                <w:sz w:val="20"/>
                <w:szCs w:val="20"/>
              </w:rPr>
              <w:t>9.0</w:t>
            </w:r>
            <w:r w:rsidRPr="006270F3">
              <w:rPr>
                <w:sz w:val="20"/>
                <w:szCs w:val="20"/>
              </w:rPr>
              <w:t>%</w:t>
            </w:r>
          </w:p>
        </w:tc>
        <w:tc>
          <w:tcPr>
            <w:tcW w:w="870" w:type="dxa"/>
            <w:shd w:val="clear" w:color="auto" w:fill="auto"/>
          </w:tcPr>
          <w:p w14:paraId="7678A194" w14:textId="331EFE64"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sz w:val="20"/>
                <w:szCs w:val="20"/>
              </w:rPr>
              <w:t>1,975</w:t>
            </w:r>
          </w:p>
        </w:tc>
        <w:tc>
          <w:tcPr>
            <w:tcW w:w="933" w:type="dxa"/>
            <w:gridSpan w:val="2"/>
            <w:shd w:val="clear" w:color="auto" w:fill="auto"/>
          </w:tcPr>
          <w:p w14:paraId="0CDBAE7E" w14:textId="4E138743"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sz w:val="20"/>
                <w:szCs w:val="20"/>
              </w:rPr>
              <w:t>59.</w:t>
            </w:r>
            <w:r w:rsidR="00011F48">
              <w:rPr>
                <w:sz w:val="20"/>
                <w:szCs w:val="20"/>
              </w:rPr>
              <w:t>8</w:t>
            </w:r>
            <w:r w:rsidRPr="006270F3">
              <w:rPr>
                <w:sz w:val="20"/>
                <w:szCs w:val="20"/>
              </w:rPr>
              <w:t>%</w:t>
            </w:r>
          </w:p>
        </w:tc>
        <w:tc>
          <w:tcPr>
            <w:tcW w:w="870" w:type="dxa"/>
            <w:shd w:val="clear" w:color="auto" w:fill="auto"/>
          </w:tcPr>
          <w:p w14:paraId="62C1D7D6" w14:textId="57C3AC91"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sz w:val="20"/>
                <w:szCs w:val="20"/>
              </w:rPr>
              <w:t>2,322</w:t>
            </w:r>
          </w:p>
        </w:tc>
        <w:tc>
          <w:tcPr>
            <w:tcW w:w="933" w:type="dxa"/>
            <w:gridSpan w:val="2"/>
            <w:shd w:val="clear" w:color="auto" w:fill="auto"/>
          </w:tcPr>
          <w:p w14:paraId="41821232" w14:textId="6D349432"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sz w:val="20"/>
                <w:szCs w:val="20"/>
              </w:rPr>
              <w:t>60.</w:t>
            </w:r>
            <w:r w:rsidR="00011F48">
              <w:rPr>
                <w:sz w:val="20"/>
                <w:szCs w:val="20"/>
              </w:rPr>
              <w:t>3</w:t>
            </w:r>
            <w:r w:rsidRPr="006270F3">
              <w:rPr>
                <w:sz w:val="20"/>
                <w:szCs w:val="20"/>
              </w:rPr>
              <w:t>%</w:t>
            </w:r>
          </w:p>
        </w:tc>
      </w:tr>
      <w:tr w:rsidR="006270F3" w:rsidRPr="006270F3" w14:paraId="79BFD144" w14:textId="77777777" w:rsidTr="008A05D6">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5A94D5EA" w14:textId="77777777" w:rsidR="006270F3" w:rsidRPr="006270F3" w:rsidRDefault="006270F3" w:rsidP="006270F3">
            <w:pPr>
              <w:spacing w:line="240" w:lineRule="auto"/>
              <w:ind w:left="157"/>
              <w:rPr>
                <w:rFonts w:cs="Times New Roman"/>
                <w:sz w:val="20"/>
                <w:szCs w:val="20"/>
              </w:rPr>
            </w:pPr>
            <w:r w:rsidRPr="006270F3">
              <w:rPr>
                <w:rFonts w:cs="Times New Roman"/>
                <w:b w:val="0"/>
                <w:bCs w:val="0"/>
                <w:sz w:val="20"/>
                <w:szCs w:val="20"/>
              </w:rPr>
              <w:t>Medicaid</w:t>
            </w:r>
          </w:p>
        </w:tc>
        <w:tc>
          <w:tcPr>
            <w:tcW w:w="903" w:type="dxa"/>
            <w:shd w:val="clear" w:color="auto" w:fill="auto"/>
          </w:tcPr>
          <w:p w14:paraId="1ADF53F1" w14:textId="019D8F79"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sz w:val="20"/>
                <w:szCs w:val="20"/>
              </w:rPr>
              <w:t>246</w:t>
            </w:r>
          </w:p>
        </w:tc>
        <w:tc>
          <w:tcPr>
            <w:tcW w:w="933" w:type="dxa"/>
            <w:gridSpan w:val="2"/>
            <w:shd w:val="clear" w:color="auto" w:fill="auto"/>
          </w:tcPr>
          <w:p w14:paraId="04A4078A" w14:textId="188C93F8"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sz w:val="20"/>
                <w:szCs w:val="20"/>
              </w:rPr>
              <w:t>7.</w:t>
            </w:r>
            <w:r w:rsidR="00011F48">
              <w:rPr>
                <w:sz w:val="20"/>
                <w:szCs w:val="20"/>
              </w:rPr>
              <w:t>6</w:t>
            </w:r>
            <w:r w:rsidRPr="006270F3">
              <w:rPr>
                <w:sz w:val="20"/>
                <w:szCs w:val="20"/>
              </w:rPr>
              <w:t>%</w:t>
            </w:r>
          </w:p>
        </w:tc>
        <w:tc>
          <w:tcPr>
            <w:tcW w:w="870" w:type="dxa"/>
            <w:shd w:val="clear" w:color="auto" w:fill="auto"/>
          </w:tcPr>
          <w:p w14:paraId="23C1FB72" w14:textId="283B01A9"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sz w:val="20"/>
                <w:szCs w:val="20"/>
              </w:rPr>
              <w:t>237</w:t>
            </w:r>
          </w:p>
        </w:tc>
        <w:tc>
          <w:tcPr>
            <w:tcW w:w="933" w:type="dxa"/>
            <w:gridSpan w:val="2"/>
            <w:shd w:val="clear" w:color="auto" w:fill="auto"/>
          </w:tcPr>
          <w:p w14:paraId="63D814BC" w14:textId="4222E2EE"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sz w:val="20"/>
                <w:szCs w:val="20"/>
              </w:rPr>
              <w:t>7.</w:t>
            </w:r>
            <w:r w:rsidR="00011F48">
              <w:rPr>
                <w:sz w:val="20"/>
                <w:szCs w:val="20"/>
              </w:rPr>
              <w:t>2</w:t>
            </w:r>
            <w:r w:rsidRPr="006270F3">
              <w:rPr>
                <w:sz w:val="20"/>
                <w:szCs w:val="20"/>
              </w:rPr>
              <w:t>%</w:t>
            </w:r>
          </w:p>
        </w:tc>
        <w:tc>
          <w:tcPr>
            <w:tcW w:w="870" w:type="dxa"/>
            <w:shd w:val="clear" w:color="auto" w:fill="auto"/>
          </w:tcPr>
          <w:p w14:paraId="73A065B5" w14:textId="52891469"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sz w:val="20"/>
                <w:szCs w:val="20"/>
              </w:rPr>
              <w:t>274</w:t>
            </w:r>
          </w:p>
        </w:tc>
        <w:tc>
          <w:tcPr>
            <w:tcW w:w="933" w:type="dxa"/>
            <w:gridSpan w:val="2"/>
            <w:shd w:val="clear" w:color="auto" w:fill="auto"/>
          </w:tcPr>
          <w:p w14:paraId="6B6AC2CB" w14:textId="152633E9" w:rsidR="006270F3" w:rsidRPr="006270F3" w:rsidRDefault="006270F3" w:rsidP="006270F3">
            <w:pPr>
              <w:spacing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6270F3">
              <w:rPr>
                <w:sz w:val="20"/>
                <w:szCs w:val="20"/>
              </w:rPr>
              <w:t>7.1%</w:t>
            </w:r>
          </w:p>
        </w:tc>
      </w:tr>
      <w:tr w:rsidR="006270F3" w:rsidRPr="006270F3" w14:paraId="4D836754" w14:textId="77777777" w:rsidTr="008A05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tcPr>
          <w:p w14:paraId="4ECC10B8" w14:textId="77777777" w:rsidR="006270F3" w:rsidRPr="006270F3" w:rsidRDefault="006270F3" w:rsidP="006270F3">
            <w:pPr>
              <w:spacing w:line="240" w:lineRule="auto"/>
              <w:ind w:left="157"/>
              <w:rPr>
                <w:rFonts w:cs="Times New Roman"/>
                <w:sz w:val="20"/>
                <w:szCs w:val="20"/>
              </w:rPr>
            </w:pPr>
            <w:r w:rsidRPr="006270F3">
              <w:rPr>
                <w:rFonts w:cs="Times New Roman"/>
                <w:b w:val="0"/>
                <w:bCs w:val="0"/>
                <w:sz w:val="20"/>
                <w:szCs w:val="20"/>
              </w:rPr>
              <w:t>Other</w:t>
            </w:r>
          </w:p>
        </w:tc>
        <w:tc>
          <w:tcPr>
            <w:tcW w:w="903" w:type="dxa"/>
            <w:shd w:val="clear" w:color="auto" w:fill="auto"/>
          </w:tcPr>
          <w:p w14:paraId="05AA35CB" w14:textId="4A9FD0C2"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sz w:val="20"/>
                <w:szCs w:val="20"/>
              </w:rPr>
              <w:t>233</w:t>
            </w:r>
          </w:p>
        </w:tc>
        <w:tc>
          <w:tcPr>
            <w:tcW w:w="933" w:type="dxa"/>
            <w:gridSpan w:val="2"/>
            <w:shd w:val="clear" w:color="auto" w:fill="auto"/>
          </w:tcPr>
          <w:p w14:paraId="6DDE6324" w14:textId="5E26512D"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sz w:val="20"/>
                <w:szCs w:val="20"/>
              </w:rPr>
              <w:t>7.</w:t>
            </w:r>
            <w:r w:rsidR="00011F48">
              <w:rPr>
                <w:sz w:val="20"/>
                <w:szCs w:val="20"/>
              </w:rPr>
              <w:t>2</w:t>
            </w:r>
            <w:r w:rsidRPr="006270F3">
              <w:rPr>
                <w:sz w:val="20"/>
                <w:szCs w:val="20"/>
              </w:rPr>
              <w:t>%</w:t>
            </w:r>
          </w:p>
        </w:tc>
        <w:tc>
          <w:tcPr>
            <w:tcW w:w="870" w:type="dxa"/>
            <w:shd w:val="clear" w:color="auto" w:fill="auto"/>
          </w:tcPr>
          <w:p w14:paraId="078E5757" w14:textId="46455EE6"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sz w:val="20"/>
                <w:szCs w:val="20"/>
              </w:rPr>
              <w:t>214</w:t>
            </w:r>
          </w:p>
        </w:tc>
        <w:tc>
          <w:tcPr>
            <w:tcW w:w="933" w:type="dxa"/>
            <w:gridSpan w:val="2"/>
            <w:shd w:val="clear" w:color="auto" w:fill="auto"/>
          </w:tcPr>
          <w:p w14:paraId="7AB9506F" w14:textId="122A7BF9"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sz w:val="20"/>
                <w:szCs w:val="20"/>
              </w:rPr>
              <w:t>6.</w:t>
            </w:r>
            <w:r w:rsidR="00011F48">
              <w:rPr>
                <w:sz w:val="20"/>
                <w:szCs w:val="20"/>
              </w:rPr>
              <w:t>5</w:t>
            </w:r>
            <w:r w:rsidRPr="006270F3">
              <w:rPr>
                <w:sz w:val="20"/>
                <w:szCs w:val="20"/>
              </w:rPr>
              <w:t>%</w:t>
            </w:r>
          </w:p>
        </w:tc>
        <w:tc>
          <w:tcPr>
            <w:tcW w:w="870" w:type="dxa"/>
            <w:shd w:val="clear" w:color="auto" w:fill="auto"/>
          </w:tcPr>
          <w:p w14:paraId="324FBC7E" w14:textId="512CEB0B"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sz w:val="20"/>
                <w:szCs w:val="20"/>
              </w:rPr>
              <w:t>239</w:t>
            </w:r>
          </w:p>
        </w:tc>
        <w:tc>
          <w:tcPr>
            <w:tcW w:w="933" w:type="dxa"/>
            <w:gridSpan w:val="2"/>
            <w:shd w:val="clear" w:color="auto" w:fill="auto"/>
          </w:tcPr>
          <w:p w14:paraId="37FF0584" w14:textId="75A22651" w:rsidR="006270F3" w:rsidRPr="006270F3" w:rsidRDefault="006270F3" w:rsidP="006270F3">
            <w:pPr>
              <w:spacing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6270F3">
              <w:rPr>
                <w:sz w:val="20"/>
                <w:szCs w:val="20"/>
              </w:rPr>
              <w:t>6.2%</w:t>
            </w:r>
          </w:p>
        </w:tc>
      </w:tr>
    </w:tbl>
    <w:p w14:paraId="1B14DEAB" w14:textId="447E5199" w:rsidR="006270F3" w:rsidRDefault="006270F3">
      <w:pPr>
        <w:spacing w:line="259" w:lineRule="auto"/>
        <w:rPr>
          <w:rFonts w:cs="Times New Roman"/>
        </w:rPr>
      </w:pPr>
    </w:p>
    <w:p w14:paraId="7CB15F5C" w14:textId="63ED059B" w:rsidR="00663729" w:rsidRPr="00663729" w:rsidRDefault="00663729" w:rsidP="00663729">
      <w:pPr>
        <w:spacing w:before="120" w:after="120" w:line="240" w:lineRule="auto"/>
        <w:jc w:val="center"/>
        <w:rPr>
          <w:rFonts w:cs="Times New Roman"/>
          <w:b/>
          <w:bCs/>
        </w:rPr>
      </w:pPr>
      <w:r>
        <w:rPr>
          <w:rFonts w:cs="Times New Roman"/>
        </w:rPr>
        <w:br w:type="page"/>
      </w:r>
      <w:r w:rsidRPr="00663729">
        <w:rPr>
          <w:rFonts w:cs="Times New Roman"/>
          <w:b/>
          <w:bCs/>
        </w:rPr>
        <w:lastRenderedPageBreak/>
        <w:t xml:space="preserve">Table </w:t>
      </w:r>
      <w:r>
        <w:rPr>
          <w:rFonts w:cs="Times New Roman"/>
          <w:b/>
          <w:bCs/>
        </w:rPr>
        <w:t>4</w:t>
      </w:r>
    </w:p>
    <w:p w14:paraId="3BA444FB" w14:textId="05586862" w:rsidR="00663729" w:rsidRPr="000153E7" w:rsidRDefault="00663729" w:rsidP="00663729">
      <w:pPr>
        <w:spacing w:after="120" w:line="240" w:lineRule="auto"/>
        <w:jc w:val="center"/>
        <w:rPr>
          <w:rFonts w:cs="Times New Roman"/>
          <w:b/>
          <w:bCs/>
        </w:rPr>
      </w:pPr>
      <w:r w:rsidRPr="000153E7">
        <w:rPr>
          <w:rFonts w:cs="Times New Roman"/>
          <w:b/>
          <w:bCs/>
        </w:rPr>
        <w:t xml:space="preserve">BID Plymouth Patient Panel </w:t>
      </w:r>
      <w:r>
        <w:rPr>
          <w:rFonts w:cs="Times New Roman"/>
          <w:b/>
          <w:bCs/>
        </w:rPr>
        <w:t>Geography (Oncology)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170"/>
        <w:gridCol w:w="1170"/>
        <w:gridCol w:w="1170"/>
        <w:gridCol w:w="1170"/>
        <w:gridCol w:w="1170"/>
        <w:gridCol w:w="1170"/>
      </w:tblGrid>
      <w:tr w:rsidR="00663729" w:rsidRPr="00FC1749" w14:paraId="2AB21298" w14:textId="77777777" w:rsidTr="00A8743E">
        <w:trPr>
          <w:cantSplit/>
          <w:tblHeader/>
          <w:jc w:val="center"/>
        </w:trPr>
        <w:tc>
          <w:tcPr>
            <w:tcW w:w="1890" w:type="dxa"/>
            <w:tcBorders>
              <w:bottom w:val="single" w:sz="4" w:space="0" w:color="auto"/>
            </w:tcBorders>
            <w:vAlign w:val="bottom"/>
          </w:tcPr>
          <w:p w14:paraId="27F73511" w14:textId="77777777" w:rsidR="00663729" w:rsidRPr="00FC1749" w:rsidRDefault="00663729" w:rsidP="00A8743E">
            <w:pPr>
              <w:spacing w:line="240" w:lineRule="auto"/>
              <w:rPr>
                <w:rFonts w:cs="Times New Roman"/>
              </w:rPr>
            </w:pPr>
            <w:r w:rsidRPr="00FC1749">
              <w:rPr>
                <w:rFonts w:eastAsia="Times New Roman" w:cs="Times New Roman"/>
                <w:b/>
                <w:bCs/>
              </w:rPr>
              <w:t>Town</w:t>
            </w:r>
          </w:p>
        </w:tc>
        <w:tc>
          <w:tcPr>
            <w:tcW w:w="1170" w:type="dxa"/>
            <w:tcBorders>
              <w:bottom w:val="single" w:sz="4" w:space="0" w:color="auto"/>
            </w:tcBorders>
            <w:vAlign w:val="bottom"/>
          </w:tcPr>
          <w:p w14:paraId="51BB8585" w14:textId="77777777" w:rsidR="00663729" w:rsidRPr="00FC1749" w:rsidRDefault="00663729" w:rsidP="00A8743E">
            <w:pPr>
              <w:spacing w:line="240" w:lineRule="auto"/>
              <w:jc w:val="right"/>
              <w:rPr>
                <w:rFonts w:cs="Times New Roman"/>
              </w:rPr>
            </w:pPr>
            <w:r w:rsidRPr="00FC1749">
              <w:rPr>
                <w:rFonts w:eastAsia="Times New Roman" w:cs="Times New Roman"/>
                <w:b/>
                <w:bCs/>
              </w:rPr>
              <w:t>FY21</w:t>
            </w:r>
          </w:p>
        </w:tc>
        <w:tc>
          <w:tcPr>
            <w:tcW w:w="1170" w:type="dxa"/>
            <w:tcBorders>
              <w:bottom w:val="single" w:sz="4" w:space="0" w:color="auto"/>
            </w:tcBorders>
          </w:tcPr>
          <w:p w14:paraId="21FE2FF0" w14:textId="77777777" w:rsidR="00663729" w:rsidRPr="00FC1749" w:rsidRDefault="00663729" w:rsidP="00A8743E">
            <w:pPr>
              <w:spacing w:line="240" w:lineRule="auto"/>
              <w:jc w:val="right"/>
              <w:rPr>
                <w:rFonts w:eastAsia="Times New Roman" w:cs="Times New Roman"/>
                <w:b/>
                <w:bCs/>
              </w:rPr>
            </w:pPr>
            <w:r w:rsidRPr="00FC1749">
              <w:rPr>
                <w:rFonts w:eastAsia="Times New Roman" w:cs="Times New Roman"/>
                <w:b/>
                <w:bCs/>
              </w:rPr>
              <w:t>FY21 %</w:t>
            </w:r>
          </w:p>
        </w:tc>
        <w:tc>
          <w:tcPr>
            <w:tcW w:w="1170" w:type="dxa"/>
            <w:tcBorders>
              <w:bottom w:val="single" w:sz="4" w:space="0" w:color="auto"/>
            </w:tcBorders>
            <w:vAlign w:val="bottom"/>
          </w:tcPr>
          <w:p w14:paraId="2F81BDE4" w14:textId="77777777" w:rsidR="00663729" w:rsidRPr="00FC1749" w:rsidRDefault="00663729" w:rsidP="00A8743E">
            <w:pPr>
              <w:spacing w:line="240" w:lineRule="auto"/>
              <w:jc w:val="right"/>
              <w:rPr>
                <w:rFonts w:cs="Times New Roman"/>
              </w:rPr>
            </w:pPr>
            <w:r w:rsidRPr="00FC1749">
              <w:rPr>
                <w:rFonts w:eastAsia="Times New Roman" w:cs="Times New Roman"/>
                <w:b/>
                <w:bCs/>
              </w:rPr>
              <w:t>FY22</w:t>
            </w:r>
          </w:p>
        </w:tc>
        <w:tc>
          <w:tcPr>
            <w:tcW w:w="1170" w:type="dxa"/>
            <w:tcBorders>
              <w:bottom w:val="single" w:sz="4" w:space="0" w:color="auto"/>
            </w:tcBorders>
          </w:tcPr>
          <w:p w14:paraId="1F5E940B" w14:textId="77777777" w:rsidR="00663729" w:rsidRPr="00FC1749" w:rsidRDefault="00663729" w:rsidP="00A8743E">
            <w:pPr>
              <w:spacing w:line="240" w:lineRule="auto"/>
              <w:jc w:val="right"/>
              <w:rPr>
                <w:rFonts w:eastAsia="Times New Roman" w:cs="Times New Roman"/>
                <w:b/>
                <w:bCs/>
              </w:rPr>
            </w:pPr>
            <w:r w:rsidRPr="00FC1749">
              <w:rPr>
                <w:rFonts w:eastAsia="Times New Roman" w:cs="Times New Roman"/>
                <w:b/>
                <w:bCs/>
              </w:rPr>
              <w:t>FY22 %</w:t>
            </w:r>
          </w:p>
        </w:tc>
        <w:tc>
          <w:tcPr>
            <w:tcW w:w="1170" w:type="dxa"/>
            <w:tcBorders>
              <w:bottom w:val="single" w:sz="4" w:space="0" w:color="auto"/>
            </w:tcBorders>
            <w:vAlign w:val="bottom"/>
          </w:tcPr>
          <w:p w14:paraId="0A623707" w14:textId="77777777" w:rsidR="00663729" w:rsidRPr="00FC1749" w:rsidRDefault="00663729" w:rsidP="00A8743E">
            <w:pPr>
              <w:spacing w:line="240" w:lineRule="auto"/>
              <w:jc w:val="right"/>
              <w:rPr>
                <w:rFonts w:cs="Times New Roman"/>
              </w:rPr>
            </w:pPr>
            <w:r w:rsidRPr="00FC1749">
              <w:rPr>
                <w:rFonts w:eastAsia="Times New Roman" w:cs="Times New Roman"/>
                <w:b/>
                <w:bCs/>
              </w:rPr>
              <w:t>FY23</w:t>
            </w:r>
          </w:p>
        </w:tc>
        <w:tc>
          <w:tcPr>
            <w:tcW w:w="1170" w:type="dxa"/>
            <w:tcBorders>
              <w:bottom w:val="single" w:sz="4" w:space="0" w:color="auto"/>
            </w:tcBorders>
          </w:tcPr>
          <w:p w14:paraId="74E5B087" w14:textId="77777777" w:rsidR="00663729" w:rsidRPr="00FC1749" w:rsidRDefault="00663729" w:rsidP="00A8743E">
            <w:pPr>
              <w:spacing w:line="240" w:lineRule="auto"/>
              <w:jc w:val="right"/>
              <w:rPr>
                <w:rFonts w:eastAsia="Times New Roman" w:cs="Times New Roman"/>
                <w:b/>
                <w:bCs/>
              </w:rPr>
            </w:pPr>
            <w:r w:rsidRPr="00FC1749">
              <w:rPr>
                <w:rFonts w:eastAsia="Times New Roman" w:cs="Times New Roman"/>
                <w:b/>
                <w:bCs/>
              </w:rPr>
              <w:t>FY23 %</w:t>
            </w:r>
          </w:p>
        </w:tc>
      </w:tr>
      <w:tr w:rsidR="00663729" w:rsidRPr="00FC1749" w14:paraId="0D382569" w14:textId="77777777" w:rsidTr="00A8743E">
        <w:trPr>
          <w:cantSplit/>
          <w:jc w:val="center"/>
        </w:trPr>
        <w:tc>
          <w:tcPr>
            <w:tcW w:w="1890" w:type="dxa"/>
            <w:tcBorders>
              <w:top w:val="single" w:sz="4" w:space="0" w:color="auto"/>
            </w:tcBorders>
            <w:vAlign w:val="center"/>
          </w:tcPr>
          <w:p w14:paraId="0C802C43" w14:textId="77777777" w:rsidR="00663729" w:rsidRPr="00FC1749" w:rsidRDefault="00663729" w:rsidP="00663729">
            <w:pPr>
              <w:spacing w:afterLines="40" w:after="96" w:line="240" w:lineRule="auto"/>
              <w:rPr>
                <w:rFonts w:cs="Times New Roman"/>
              </w:rPr>
            </w:pPr>
            <w:r w:rsidRPr="00FC1749">
              <w:rPr>
                <w:rFonts w:cs="Times New Roman"/>
                <w:color w:val="000000"/>
              </w:rPr>
              <w:t>Plymouth</w:t>
            </w:r>
          </w:p>
        </w:tc>
        <w:tc>
          <w:tcPr>
            <w:tcW w:w="1170" w:type="dxa"/>
            <w:tcBorders>
              <w:top w:val="single" w:sz="4" w:space="0" w:color="auto"/>
            </w:tcBorders>
          </w:tcPr>
          <w:p w14:paraId="2C2EAE0E" w14:textId="286E17AF" w:rsidR="00663729" w:rsidRPr="00FC1749" w:rsidRDefault="00663729" w:rsidP="00663729">
            <w:pPr>
              <w:spacing w:afterLines="40" w:after="96" w:line="240" w:lineRule="auto"/>
              <w:jc w:val="right"/>
              <w:rPr>
                <w:rFonts w:cs="Times New Roman"/>
              </w:rPr>
            </w:pPr>
            <w:r w:rsidRPr="00FC1749">
              <w:t>1,245</w:t>
            </w:r>
          </w:p>
        </w:tc>
        <w:tc>
          <w:tcPr>
            <w:tcW w:w="1170" w:type="dxa"/>
            <w:tcBorders>
              <w:top w:val="single" w:sz="4" w:space="0" w:color="auto"/>
            </w:tcBorders>
          </w:tcPr>
          <w:p w14:paraId="15D80CE8" w14:textId="4C81C812" w:rsidR="00663729" w:rsidRPr="00FC1749" w:rsidRDefault="00663729" w:rsidP="00663729">
            <w:pPr>
              <w:spacing w:afterLines="40" w:after="96" w:line="240" w:lineRule="auto"/>
              <w:jc w:val="right"/>
              <w:rPr>
                <w:rFonts w:eastAsia="Times New Roman" w:cs="Times New Roman"/>
              </w:rPr>
            </w:pPr>
            <w:r w:rsidRPr="00FC1749">
              <w:t>38.</w:t>
            </w:r>
            <w:r w:rsidR="00011F48">
              <w:t>3</w:t>
            </w:r>
            <w:r w:rsidRPr="00FC1749">
              <w:t>%</w:t>
            </w:r>
          </w:p>
        </w:tc>
        <w:tc>
          <w:tcPr>
            <w:tcW w:w="1170" w:type="dxa"/>
            <w:tcBorders>
              <w:top w:val="single" w:sz="4" w:space="0" w:color="auto"/>
            </w:tcBorders>
          </w:tcPr>
          <w:p w14:paraId="1C73CE24" w14:textId="5D3A4167" w:rsidR="00663729" w:rsidRPr="00FC1749" w:rsidRDefault="00663729" w:rsidP="00663729">
            <w:pPr>
              <w:spacing w:afterLines="40" w:after="96" w:line="240" w:lineRule="auto"/>
              <w:jc w:val="right"/>
              <w:rPr>
                <w:rFonts w:cs="Times New Roman"/>
              </w:rPr>
            </w:pPr>
            <w:r w:rsidRPr="00FC1749">
              <w:t>1,227</w:t>
            </w:r>
          </w:p>
        </w:tc>
        <w:tc>
          <w:tcPr>
            <w:tcW w:w="1170" w:type="dxa"/>
            <w:tcBorders>
              <w:top w:val="single" w:sz="4" w:space="0" w:color="auto"/>
            </w:tcBorders>
          </w:tcPr>
          <w:p w14:paraId="21B7F4DA" w14:textId="6800A3FE" w:rsidR="00663729" w:rsidRPr="00FC1749" w:rsidRDefault="00663729" w:rsidP="00663729">
            <w:pPr>
              <w:spacing w:afterLines="40" w:after="96" w:line="240" w:lineRule="auto"/>
              <w:jc w:val="right"/>
              <w:rPr>
                <w:rFonts w:cs="Times New Roman"/>
              </w:rPr>
            </w:pPr>
            <w:r w:rsidRPr="00FC1749">
              <w:t>37.</w:t>
            </w:r>
            <w:r w:rsidR="00011F48">
              <w:t>2</w:t>
            </w:r>
            <w:r w:rsidRPr="00FC1749">
              <w:t>%</w:t>
            </w:r>
          </w:p>
        </w:tc>
        <w:tc>
          <w:tcPr>
            <w:tcW w:w="1170" w:type="dxa"/>
            <w:tcBorders>
              <w:top w:val="single" w:sz="4" w:space="0" w:color="auto"/>
            </w:tcBorders>
          </w:tcPr>
          <w:p w14:paraId="29390465" w14:textId="146DCA1A" w:rsidR="00663729" w:rsidRPr="00FC1749" w:rsidRDefault="00663729" w:rsidP="00663729">
            <w:pPr>
              <w:spacing w:afterLines="40" w:after="96" w:line="240" w:lineRule="auto"/>
              <w:jc w:val="right"/>
              <w:rPr>
                <w:rFonts w:cs="Times New Roman"/>
              </w:rPr>
            </w:pPr>
            <w:r w:rsidRPr="00FC1749">
              <w:t>1,417</w:t>
            </w:r>
          </w:p>
        </w:tc>
        <w:tc>
          <w:tcPr>
            <w:tcW w:w="1170" w:type="dxa"/>
            <w:tcBorders>
              <w:top w:val="single" w:sz="4" w:space="0" w:color="auto"/>
            </w:tcBorders>
          </w:tcPr>
          <w:p w14:paraId="0B6A6F2F" w14:textId="41AD0BDB" w:rsidR="00663729" w:rsidRPr="00FC1749" w:rsidRDefault="00663729" w:rsidP="00663729">
            <w:pPr>
              <w:spacing w:afterLines="40" w:after="96" w:line="240" w:lineRule="auto"/>
              <w:jc w:val="right"/>
              <w:rPr>
                <w:rFonts w:cs="Times New Roman"/>
              </w:rPr>
            </w:pPr>
            <w:r w:rsidRPr="00FC1749">
              <w:t>36.</w:t>
            </w:r>
            <w:r w:rsidR="00011F48">
              <w:t>8</w:t>
            </w:r>
            <w:r w:rsidRPr="00FC1749">
              <w:t>%</w:t>
            </w:r>
          </w:p>
        </w:tc>
      </w:tr>
      <w:tr w:rsidR="00663729" w:rsidRPr="00FC1749" w14:paraId="72516643" w14:textId="77777777" w:rsidTr="00A8743E">
        <w:trPr>
          <w:cantSplit/>
          <w:jc w:val="center"/>
        </w:trPr>
        <w:tc>
          <w:tcPr>
            <w:tcW w:w="1890" w:type="dxa"/>
            <w:vAlign w:val="center"/>
          </w:tcPr>
          <w:p w14:paraId="3DFFDDA0" w14:textId="77777777" w:rsidR="00663729" w:rsidRPr="00FC1749" w:rsidRDefault="00663729" w:rsidP="00663729">
            <w:pPr>
              <w:spacing w:afterLines="40" w:after="96" w:line="240" w:lineRule="auto"/>
              <w:rPr>
                <w:rFonts w:cs="Times New Roman"/>
              </w:rPr>
            </w:pPr>
            <w:r w:rsidRPr="00FC1749">
              <w:rPr>
                <w:rFonts w:cs="Times New Roman"/>
                <w:color w:val="000000"/>
              </w:rPr>
              <w:t>Carver</w:t>
            </w:r>
          </w:p>
        </w:tc>
        <w:tc>
          <w:tcPr>
            <w:tcW w:w="1170" w:type="dxa"/>
          </w:tcPr>
          <w:p w14:paraId="1BE60A9C" w14:textId="5FF0180D" w:rsidR="00663729" w:rsidRPr="00FC1749" w:rsidRDefault="00663729" w:rsidP="00663729">
            <w:pPr>
              <w:spacing w:afterLines="40" w:after="96" w:line="240" w:lineRule="auto"/>
              <w:jc w:val="right"/>
              <w:rPr>
                <w:rFonts w:cs="Times New Roman"/>
              </w:rPr>
            </w:pPr>
            <w:r w:rsidRPr="00FC1749">
              <w:t>186</w:t>
            </w:r>
          </w:p>
        </w:tc>
        <w:tc>
          <w:tcPr>
            <w:tcW w:w="1170" w:type="dxa"/>
          </w:tcPr>
          <w:p w14:paraId="6331C116" w14:textId="29E53C8C" w:rsidR="00663729" w:rsidRPr="00FC1749" w:rsidRDefault="00663729" w:rsidP="00663729">
            <w:pPr>
              <w:spacing w:afterLines="40" w:after="96" w:line="240" w:lineRule="auto"/>
              <w:jc w:val="right"/>
              <w:rPr>
                <w:rFonts w:eastAsia="Times New Roman" w:cs="Times New Roman"/>
              </w:rPr>
            </w:pPr>
            <w:r w:rsidRPr="00FC1749">
              <w:t>5.7%</w:t>
            </w:r>
          </w:p>
        </w:tc>
        <w:tc>
          <w:tcPr>
            <w:tcW w:w="1170" w:type="dxa"/>
          </w:tcPr>
          <w:p w14:paraId="06C94E99" w14:textId="561373AF" w:rsidR="00663729" w:rsidRPr="00FC1749" w:rsidRDefault="00663729" w:rsidP="00663729">
            <w:pPr>
              <w:spacing w:afterLines="40" w:after="96" w:line="240" w:lineRule="auto"/>
              <w:jc w:val="right"/>
              <w:rPr>
                <w:rFonts w:cs="Times New Roman"/>
              </w:rPr>
            </w:pPr>
            <w:r w:rsidRPr="00FC1749">
              <w:t>206</w:t>
            </w:r>
          </w:p>
        </w:tc>
        <w:tc>
          <w:tcPr>
            <w:tcW w:w="1170" w:type="dxa"/>
          </w:tcPr>
          <w:p w14:paraId="73D902BE" w14:textId="7BA03CAF" w:rsidR="00663729" w:rsidRPr="00FC1749" w:rsidRDefault="00663729" w:rsidP="00663729">
            <w:pPr>
              <w:spacing w:afterLines="40" w:after="96" w:line="240" w:lineRule="auto"/>
              <w:jc w:val="right"/>
              <w:rPr>
                <w:rFonts w:cs="Times New Roman"/>
              </w:rPr>
            </w:pPr>
            <w:r w:rsidRPr="00FC1749">
              <w:t>6.2%</w:t>
            </w:r>
          </w:p>
        </w:tc>
        <w:tc>
          <w:tcPr>
            <w:tcW w:w="1170" w:type="dxa"/>
          </w:tcPr>
          <w:p w14:paraId="674B37F2" w14:textId="7D67A187" w:rsidR="00663729" w:rsidRPr="00FC1749" w:rsidRDefault="00663729" w:rsidP="00663729">
            <w:pPr>
              <w:spacing w:afterLines="40" w:after="96" w:line="240" w:lineRule="auto"/>
              <w:jc w:val="right"/>
              <w:rPr>
                <w:rFonts w:cs="Times New Roman"/>
              </w:rPr>
            </w:pPr>
            <w:r w:rsidRPr="00FC1749">
              <w:t>249</w:t>
            </w:r>
          </w:p>
        </w:tc>
        <w:tc>
          <w:tcPr>
            <w:tcW w:w="1170" w:type="dxa"/>
          </w:tcPr>
          <w:p w14:paraId="4BAE21BE" w14:textId="317608FF" w:rsidR="00663729" w:rsidRPr="00FC1749" w:rsidRDefault="00663729" w:rsidP="00663729">
            <w:pPr>
              <w:spacing w:afterLines="40" w:after="96" w:line="240" w:lineRule="auto"/>
              <w:jc w:val="right"/>
              <w:rPr>
                <w:rFonts w:cs="Times New Roman"/>
              </w:rPr>
            </w:pPr>
            <w:r w:rsidRPr="00FC1749">
              <w:t>6.</w:t>
            </w:r>
            <w:r w:rsidR="00011F48">
              <w:t>5</w:t>
            </w:r>
            <w:r w:rsidRPr="00FC1749">
              <w:t>%</w:t>
            </w:r>
          </w:p>
        </w:tc>
      </w:tr>
      <w:tr w:rsidR="00663729" w:rsidRPr="00FC1749" w14:paraId="41876FE6" w14:textId="77777777" w:rsidTr="00A8743E">
        <w:trPr>
          <w:cantSplit/>
          <w:jc w:val="center"/>
        </w:trPr>
        <w:tc>
          <w:tcPr>
            <w:tcW w:w="1890" w:type="dxa"/>
            <w:vAlign w:val="center"/>
          </w:tcPr>
          <w:p w14:paraId="37CD1C4A" w14:textId="77777777" w:rsidR="00663729" w:rsidRPr="00FC1749" w:rsidRDefault="00663729" w:rsidP="00663729">
            <w:pPr>
              <w:spacing w:afterLines="40" w:after="96" w:line="240" w:lineRule="auto"/>
              <w:rPr>
                <w:rFonts w:cs="Times New Roman"/>
              </w:rPr>
            </w:pPr>
            <w:r w:rsidRPr="00FC1749">
              <w:rPr>
                <w:rFonts w:cs="Times New Roman"/>
                <w:color w:val="000000"/>
              </w:rPr>
              <w:t>Kingston</w:t>
            </w:r>
          </w:p>
        </w:tc>
        <w:tc>
          <w:tcPr>
            <w:tcW w:w="1170" w:type="dxa"/>
          </w:tcPr>
          <w:p w14:paraId="52C317C7" w14:textId="2C2C7031" w:rsidR="00663729" w:rsidRPr="00FC1749" w:rsidRDefault="00663729" w:rsidP="00663729">
            <w:pPr>
              <w:spacing w:afterLines="40" w:after="96" w:line="240" w:lineRule="auto"/>
              <w:jc w:val="right"/>
              <w:rPr>
                <w:rFonts w:cs="Times New Roman"/>
              </w:rPr>
            </w:pPr>
            <w:r w:rsidRPr="00FC1749">
              <w:t>150</w:t>
            </w:r>
          </w:p>
        </w:tc>
        <w:tc>
          <w:tcPr>
            <w:tcW w:w="1170" w:type="dxa"/>
          </w:tcPr>
          <w:p w14:paraId="2173FF6B" w14:textId="5A5090D0" w:rsidR="00663729" w:rsidRPr="00FC1749" w:rsidRDefault="00663729" w:rsidP="00663729">
            <w:pPr>
              <w:spacing w:afterLines="40" w:after="96" w:line="240" w:lineRule="auto"/>
              <w:jc w:val="right"/>
              <w:rPr>
                <w:rFonts w:eastAsia="Times New Roman" w:cs="Times New Roman"/>
              </w:rPr>
            </w:pPr>
            <w:r w:rsidRPr="00FC1749">
              <w:t>4.6%</w:t>
            </w:r>
          </w:p>
        </w:tc>
        <w:tc>
          <w:tcPr>
            <w:tcW w:w="1170" w:type="dxa"/>
          </w:tcPr>
          <w:p w14:paraId="7A1A6257" w14:textId="4BABEDFB" w:rsidR="00663729" w:rsidRPr="00FC1749" w:rsidRDefault="00663729" w:rsidP="00663729">
            <w:pPr>
              <w:spacing w:afterLines="40" w:after="96" w:line="240" w:lineRule="auto"/>
              <w:jc w:val="right"/>
              <w:rPr>
                <w:rFonts w:cs="Times New Roman"/>
              </w:rPr>
            </w:pPr>
            <w:r w:rsidRPr="00FC1749">
              <w:t>162</w:t>
            </w:r>
          </w:p>
        </w:tc>
        <w:tc>
          <w:tcPr>
            <w:tcW w:w="1170" w:type="dxa"/>
          </w:tcPr>
          <w:p w14:paraId="613BA5D4" w14:textId="4D44F79D" w:rsidR="00663729" w:rsidRPr="00FC1749" w:rsidRDefault="00663729" w:rsidP="00663729">
            <w:pPr>
              <w:spacing w:afterLines="40" w:after="96" w:line="240" w:lineRule="auto"/>
              <w:jc w:val="right"/>
              <w:rPr>
                <w:rFonts w:cs="Times New Roman"/>
              </w:rPr>
            </w:pPr>
            <w:r w:rsidRPr="00FC1749">
              <w:t>4.9%</w:t>
            </w:r>
          </w:p>
        </w:tc>
        <w:tc>
          <w:tcPr>
            <w:tcW w:w="1170" w:type="dxa"/>
          </w:tcPr>
          <w:p w14:paraId="4855AA87" w14:textId="76602F88" w:rsidR="00663729" w:rsidRPr="00FC1749" w:rsidRDefault="00663729" w:rsidP="00663729">
            <w:pPr>
              <w:spacing w:afterLines="40" w:after="96" w:line="240" w:lineRule="auto"/>
              <w:jc w:val="right"/>
              <w:rPr>
                <w:rFonts w:cs="Times New Roman"/>
              </w:rPr>
            </w:pPr>
            <w:r w:rsidRPr="00FC1749">
              <w:t>200</w:t>
            </w:r>
          </w:p>
        </w:tc>
        <w:tc>
          <w:tcPr>
            <w:tcW w:w="1170" w:type="dxa"/>
          </w:tcPr>
          <w:p w14:paraId="197BE831" w14:textId="79FEC5C5" w:rsidR="00663729" w:rsidRPr="00FC1749" w:rsidRDefault="00663729" w:rsidP="00663729">
            <w:pPr>
              <w:spacing w:afterLines="40" w:after="96" w:line="240" w:lineRule="auto"/>
              <w:jc w:val="right"/>
              <w:rPr>
                <w:rFonts w:cs="Times New Roman"/>
              </w:rPr>
            </w:pPr>
            <w:r w:rsidRPr="00FC1749">
              <w:t>5.</w:t>
            </w:r>
            <w:r w:rsidR="00011F48">
              <w:t>2</w:t>
            </w:r>
            <w:r w:rsidRPr="00FC1749">
              <w:t>%</w:t>
            </w:r>
          </w:p>
        </w:tc>
      </w:tr>
      <w:tr w:rsidR="00663729" w:rsidRPr="00FC1749" w14:paraId="39B7F2D9" w14:textId="77777777" w:rsidTr="00A8743E">
        <w:trPr>
          <w:cantSplit/>
          <w:jc w:val="center"/>
        </w:trPr>
        <w:tc>
          <w:tcPr>
            <w:tcW w:w="1890" w:type="dxa"/>
            <w:vAlign w:val="center"/>
          </w:tcPr>
          <w:p w14:paraId="03DCAB11" w14:textId="77777777" w:rsidR="00663729" w:rsidRPr="00FC1749" w:rsidRDefault="00663729" w:rsidP="00663729">
            <w:pPr>
              <w:spacing w:afterLines="40" w:after="96" w:line="240" w:lineRule="auto"/>
              <w:rPr>
                <w:rFonts w:cs="Times New Roman"/>
              </w:rPr>
            </w:pPr>
            <w:r w:rsidRPr="00FC1749">
              <w:rPr>
                <w:rFonts w:cs="Times New Roman"/>
                <w:color w:val="000000"/>
              </w:rPr>
              <w:t>Middleboro</w:t>
            </w:r>
          </w:p>
        </w:tc>
        <w:tc>
          <w:tcPr>
            <w:tcW w:w="1170" w:type="dxa"/>
          </w:tcPr>
          <w:p w14:paraId="439B5CDA" w14:textId="6B63F3BC" w:rsidR="00663729" w:rsidRPr="00FC1749" w:rsidRDefault="00663729" w:rsidP="00663729">
            <w:pPr>
              <w:spacing w:afterLines="40" w:after="96" w:line="240" w:lineRule="auto"/>
              <w:jc w:val="right"/>
              <w:rPr>
                <w:rFonts w:cs="Times New Roman"/>
              </w:rPr>
            </w:pPr>
            <w:r w:rsidRPr="00FC1749">
              <w:t>155</w:t>
            </w:r>
          </w:p>
        </w:tc>
        <w:tc>
          <w:tcPr>
            <w:tcW w:w="1170" w:type="dxa"/>
          </w:tcPr>
          <w:p w14:paraId="3A460172" w14:textId="33A2CC1C" w:rsidR="00663729" w:rsidRPr="00FC1749" w:rsidRDefault="00663729" w:rsidP="00663729">
            <w:pPr>
              <w:spacing w:afterLines="40" w:after="96" w:line="240" w:lineRule="auto"/>
              <w:jc w:val="right"/>
              <w:rPr>
                <w:rFonts w:eastAsia="Times New Roman" w:cs="Times New Roman"/>
              </w:rPr>
            </w:pPr>
            <w:r w:rsidRPr="00FC1749">
              <w:t>4.</w:t>
            </w:r>
            <w:r w:rsidR="00011F48">
              <w:t>8</w:t>
            </w:r>
            <w:r w:rsidRPr="00FC1749">
              <w:t>%</w:t>
            </w:r>
          </w:p>
        </w:tc>
        <w:tc>
          <w:tcPr>
            <w:tcW w:w="1170" w:type="dxa"/>
          </w:tcPr>
          <w:p w14:paraId="2AB23B9F" w14:textId="55B83195" w:rsidR="00663729" w:rsidRPr="00FC1749" w:rsidRDefault="00663729" w:rsidP="00663729">
            <w:pPr>
              <w:spacing w:afterLines="40" w:after="96" w:line="240" w:lineRule="auto"/>
              <w:jc w:val="right"/>
              <w:rPr>
                <w:rFonts w:cs="Times New Roman"/>
              </w:rPr>
            </w:pPr>
            <w:r w:rsidRPr="00FC1749">
              <w:t>153</w:t>
            </w:r>
          </w:p>
        </w:tc>
        <w:tc>
          <w:tcPr>
            <w:tcW w:w="1170" w:type="dxa"/>
          </w:tcPr>
          <w:p w14:paraId="12A60800" w14:textId="69DC2D8E" w:rsidR="00663729" w:rsidRPr="00FC1749" w:rsidRDefault="00663729" w:rsidP="00663729">
            <w:pPr>
              <w:spacing w:afterLines="40" w:after="96" w:line="240" w:lineRule="auto"/>
              <w:jc w:val="right"/>
              <w:rPr>
                <w:rFonts w:cs="Times New Roman"/>
              </w:rPr>
            </w:pPr>
            <w:r w:rsidRPr="00FC1749">
              <w:t>4.6%</w:t>
            </w:r>
          </w:p>
        </w:tc>
        <w:tc>
          <w:tcPr>
            <w:tcW w:w="1170" w:type="dxa"/>
          </w:tcPr>
          <w:p w14:paraId="068D9530" w14:textId="56DC5E68" w:rsidR="00663729" w:rsidRPr="00FC1749" w:rsidRDefault="00663729" w:rsidP="00663729">
            <w:pPr>
              <w:spacing w:afterLines="40" w:after="96" w:line="240" w:lineRule="auto"/>
              <w:jc w:val="right"/>
              <w:rPr>
                <w:rFonts w:cs="Times New Roman"/>
              </w:rPr>
            </w:pPr>
            <w:r w:rsidRPr="00FC1749">
              <w:t>187</w:t>
            </w:r>
          </w:p>
        </w:tc>
        <w:tc>
          <w:tcPr>
            <w:tcW w:w="1170" w:type="dxa"/>
          </w:tcPr>
          <w:p w14:paraId="00A0F3DC" w14:textId="704B855A" w:rsidR="00663729" w:rsidRPr="00FC1749" w:rsidRDefault="00663729" w:rsidP="00663729">
            <w:pPr>
              <w:spacing w:afterLines="40" w:after="96" w:line="240" w:lineRule="auto"/>
              <w:jc w:val="right"/>
              <w:rPr>
                <w:rFonts w:cs="Times New Roman"/>
              </w:rPr>
            </w:pPr>
            <w:r w:rsidRPr="00FC1749">
              <w:t>4.</w:t>
            </w:r>
            <w:r w:rsidR="00011F48">
              <w:t>9</w:t>
            </w:r>
            <w:r w:rsidRPr="00FC1749">
              <w:t>%</w:t>
            </w:r>
          </w:p>
        </w:tc>
      </w:tr>
      <w:tr w:rsidR="00663729" w:rsidRPr="00FC1749" w14:paraId="304A80FE" w14:textId="77777777" w:rsidTr="00A8743E">
        <w:trPr>
          <w:cantSplit/>
          <w:jc w:val="center"/>
        </w:trPr>
        <w:tc>
          <w:tcPr>
            <w:tcW w:w="1890" w:type="dxa"/>
            <w:vAlign w:val="center"/>
          </w:tcPr>
          <w:p w14:paraId="60EC43F3" w14:textId="77777777" w:rsidR="00663729" w:rsidRPr="00FC1749" w:rsidRDefault="00663729" w:rsidP="00663729">
            <w:pPr>
              <w:spacing w:afterLines="40" w:after="96" w:line="240" w:lineRule="auto"/>
              <w:rPr>
                <w:rFonts w:cs="Times New Roman"/>
              </w:rPr>
            </w:pPr>
            <w:r w:rsidRPr="00FC1749">
              <w:rPr>
                <w:rFonts w:cs="Times New Roman"/>
                <w:color w:val="000000"/>
              </w:rPr>
              <w:t>Duxbury</w:t>
            </w:r>
          </w:p>
        </w:tc>
        <w:tc>
          <w:tcPr>
            <w:tcW w:w="1170" w:type="dxa"/>
          </w:tcPr>
          <w:p w14:paraId="62F7B3C4" w14:textId="4ACE2636" w:rsidR="00663729" w:rsidRPr="00FC1749" w:rsidRDefault="00663729" w:rsidP="00663729">
            <w:pPr>
              <w:spacing w:afterLines="40" w:after="96" w:line="240" w:lineRule="auto"/>
              <w:jc w:val="right"/>
              <w:rPr>
                <w:rFonts w:cs="Times New Roman"/>
              </w:rPr>
            </w:pPr>
            <w:r w:rsidRPr="00FC1749">
              <w:t>127</w:t>
            </w:r>
          </w:p>
        </w:tc>
        <w:tc>
          <w:tcPr>
            <w:tcW w:w="1170" w:type="dxa"/>
          </w:tcPr>
          <w:p w14:paraId="53B85505" w14:textId="077D2B9C" w:rsidR="00663729" w:rsidRPr="00FC1749" w:rsidRDefault="00663729" w:rsidP="00663729">
            <w:pPr>
              <w:spacing w:afterLines="40" w:after="96" w:line="240" w:lineRule="auto"/>
              <w:jc w:val="right"/>
              <w:rPr>
                <w:rFonts w:eastAsia="Times New Roman" w:cs="Times New Roman"/>
              </w:rPr>
            </w:pPr>
            <w:r w:rsidRPr="00FC1749">
              <w:t>3.9%</w:t>
            </w:r>
          </w:p>
        </w:tc>
        <w:tc>
          <w:tcPr>
            <w:tcW w:w="1170" w:type="dxa"/>
          </w:tcPr>
          <w:p w14:paraId="61A29374" w14:textId="69EA7EE9" w:rsidR="00663729" w:rsidRPr="00FC1749" w:rsidRDefault="00663729" w:rsidP="00663729">
            <w:pPr>
              <w:spacing w:afterLines="40" w:after="96" w:line="240" w:lineRule="auto"/>
              <w:jc w:val="right"/>
              <w:rPr>
                <w:rFonts w:cs="Times New Roman"/>
              </w:rPr>
            </w:pPr>
            <w:r w:rsidRPr="00FC1749">
              <w:t>139</w:t>
            </w:r>
          </w:p>
        </w:tc>
        <w:tc>
          <w:tcPr>
            <w:tcW w:w="1170" w:type="dxa"/>
          </w:tcPr>
          <w:p w14:paraId="34FFC5E6" w14:textId="3ECC9387" w:rsidR="00663729" w:rsidRPr="00FC1749" w:rsidRDefault="00663729" w:rsidP="00663729">
            <w:pPr>
              <w:spacing w:afterLines="40" w:after="96" w:line="240" w:lineRule="auto"/>
              <w:jc w:val="right"/>
              <w:rPr>
                <w:rFonts w:cs="Times New Roman"/>
              </w:rPr>
            </w:pPr>
            <w:r w:rsidRPr="00FC1749">
              <w:t>4.2%</w:t>
            </w:r>
          </w:p>
        </w:tc>
        <w:tc>
          <w:tcPr>
            <w:tcW w:w="1170" w:type="dxa"/>
          </w:tcPr>
          <w:p w14:paraId="5357CC97" w14:textId="4147528C" w:rsidR="00663729" w:rsidRPr="00FC1749" w:rsidRDefault="00663729" w:rsidP="00663729">
            <w:pPr>
              <w:spacing w:afterLines="40" w:after="96" w:line="240" w:lineRule="auto"/>
              <w:jc w:val="right"/>
              <w:rPr>
                <w:rFonts w:cs="Times New Roman"/>
              </w:rPr>
            </w:pPr>
            <w:r w:rsidRPr="00FC1749">
              <w:t>159</w:t>
            </w:r>
          </w:p>
        </w:tc>
        <w:tc>
          <w:tcPr>
            <w:tcW w:w="1170" w:type="dxa"/>
          </w:tcPr>
          <w:p w14:paraId="6A5093FF" w14:textId="1C47B254" w:rsidR="00663729" w:rsidRPr="00FC1749" w:rsidRDefault="00663729" w:rsidP="00663729">
            <w:pPr>
              <w:spacing w:afterLines="40" w:after="96" w:line="240" w:lineRule="auto"/>
              <w:jc w:val="right"/>
              <w:rPr>
                <w:rFonts w:cs="Times New Roman"/>
              </w:rPr>
            </w:pPr>
            <w:r w:rsidRPr="00FC1749">
              <w:t>4.1%</w:t>
            </w:r>
          </w:p>
        </w:tc>
      </w:tr>
      <w:tr w:rsidR="00663729" w:rsidRPr="00FC1749" w14:paraId="0DCFAFD9" w14:textId="77777777" w:rsidTr="00A8743E">
        <w:trPr>
          <w:cantSplit/>
          <w:jc w:val="center"/>
        </w:trPr>
        <w:tc>
          <w:tcPr>
            <w:tcW w:w="1890" w:type="dxa"/>
            <w:vAlign w:val="center"/>
          </w:tcPr>
          <w:p w14:paraId="35436492" w14:textId="77777777" w:rsidR="00663729" w:rsidRPr="00FC1749" w:rsidRDefault="00663729" w:rsidP="00663729">
            <w:pPr>
              <w:spacing w:afterLines="40" w:after="96" w:line="240" w:lineRule="auto"/>
              <w:rPr>
                <w:rFonts w:cs="Times New Roman"/>
              </w:rPr>
            </w:pPr>
            <w:r w:rsidRPr="00FC1749">
              <w:rPr>
                <w:rFonts w:cs="Times New Roman"/>
                <w:color w:val="000000"/>
              </w:rPr>
              <w:t>Marshfield</w:t>
            </w:r>
          </w:p>
        </w:tc>
        <w:tc>
          <w:tcPr>
            <w:tcW w:w="1170" w:type="dxa"/>
          </w:tcPr>
          <w:p w14:paraId="7575F5C6" w14:textId="0732B949" w:rsidR="00663729" w:rsidRPr="00FC1749" w:rsidRDefault="00663729" w:rsidP="00663729">
            <w:pPr>
              <w:spacing w:afterLines="40" w:after="96" w:line="240" w:lineRule="auto"/>
              <w:jc w:val="right"/>
              <w:rPr>
                <w:rFonts w:cs="Times New Roman"/>
              </w:rPr>
            </w:pPr>
            <w:r w:rsidRPr="00FC1749">
              <w:t>129</w:t>
            </w:r>
          </w:p>
        </w:tc>
        <w:tc>
          <w:tcPr>
            <w:tcW w:w="1170" w:type="dxa"/>
          </w:tcPr>
          <w:p w14:paraId="4962AABC" w14:textId="44C28045" w:rsidR="00663729" w:rsidRPr="00FC1749" w:rsidRDefault="00011F48" w:rsidP="00663729">
            <w:pPr>
              <w:spacing w:afterLines="40" w:after="96" w:line="240" w:lineRule="auto"/>
              <w:jc w:val="right"/>
              <w:rPr>
                <w:rFonts w:eastAsia="Times New Roman" w:cs="Times New Roman"/>
              </w:rPr>
            </w:pPr>
            <w:r>
              <w:t>4.0</w:t>
            </w:r>
            <w:r w:rsidR="00663729" w:rsidRPr="00FC1749">
              <w:t>%</w:t>
            </w:r>
          </w:p>
        </w:tc>
        <w:tc>
          <w:tcPr>
            <w:tcW w:w="1170" w:type="dxa"/>
          </w:tcPr>
          <w:p w14:paraId="693CC73C" w14:textId="07675368" w:rsidR="00663729" w:rsidRPr="00FC1749" w:rsidRDefault="00663729" w:rsidP="00663729">
            <w:pPr>
              <w:spacing w:afterLines="40" w:after="96" w:line="240" w:lineRule="auto"/>
              <w:jc w:val="right"/>
              <w:rPr>
                <w:rFonts w:cs="Times New Roman"/>
              </w:rPr>
            </w:pPr>
            <w:r w:rsidRPr="00FC1749">
              <w:t>118</w:t>
            </w:r>
          </w:p>
        </w:tc>
        <w:tc>
          <w:tcPr>
            <w:tcW w:w="1170" w:type="dxa"/>
          </w:tcPr>
          <w:p w14:paraId="5BB439F0" w14:textId="2484BBA8" w:rsidR="00663729" w:rsidRPr="00FC1749" w:rsidRDefault="00663729" w:rsidP="00663729">
            <w:pPr>
              <w:spacing w:afterLines="40" w:after="96" w:line="240" w:lineRule="auto"/>
              <w:jc w:val="right"/>
              <w:rPr>
                <w:rFonts w:cs="Times New Roman"/>
              </w:rPr>
            </w:pPr>
            <w:r w:rsidRPr="00FC1749">
              <w:t>3.</w:t>
            </w:r>
            <w:r w:rsidR="00011F48">
              <w:t>6</w:t>
            </w:r>
            <w:r w:rsidRPr="00FC1749">
              <w:t>%</w:t>
            </w:r>
          </w:p>
        </w:tc>
        <w:tc>
          <w:tcPr>
            <w:tcW w:w="1170" w:type="dxa"/>
          </w:tcPr>
          <w:p w14:paraId="2C1F90AB" w14:textId="49FFC352" w:rsidR="00663729" w:rsidRPr="00FC1749" w:rsidRDefault="00663729" w:rsidP="00663729">
            <w:pPr>
              <w:spacing w:afterLines="40" w:after="96" w:line="240" w:lineRule="auto"/>
              <w:jc w:val="right"/>
              <w:rPr>
                <w:rFonts w:cs="Times New Roman"/>
              </w:rPr>
            </w:pPr>
            <w:r w:rsidRPr="00FC1749">
              <w:t>128</w:t>
            </w:r>
          </w:p>
        </w:tc>
        <w:tc>
          <w:tcPr>
            <w:tcW w:w="1170" w:type="dxa"/>
          </w:tcPr>
          <w:p w14:paraId="51FDB9DA" w14:textId="0590F1E6" w:rsidR="00663729" w:rsidRPr="00FC1749" w:rsidRDefault="00663729" w:rsidP="00663729">
            <w:pPr>
              <w:spacing w:afterLines="40" w:after="96" w:line="240" w:lineRule="auto"/>
              <w:jc w:val="right"/>
              <w:rPr>
                <w:rFonts w:cs="Times New Roman"/>
              </w:rPr>
            </w:pPr>
            <w:r w:rsidRPr="00FC1749">
              <w:t>3.3%</w:t>
            </w:r>
          </w:p>
        </w:tc>
      </w:tr>
      <w:tr w:rsidR="00663729" w:rsidRPr="00FC1749" w14:paraId="047461DC" w14:textId="77777777" w:rsidTr="00A8743E">
        <w:trPr>
          <w:cantSplit/>
          <w:jc w:val="center"/>
        </w:trPr>
        <w:tc>
          <w:tcPr>
            <w:tcW w:w="1890" w:type="dxa"/>
            <w:vAlign w:val="center"/>
          </w:tcPr>
          <w:p w14:paraId="7399CE87" w14:textId="77777777" w:rsidR="00663729" w:rsidRPr="00FC1749" w:rsidRDefault="00663729" w:rsidP="00663729">
            <w:pPr>
              <w:spacing w:afterLines="40" w:after="96" w:line="240" w:lineRule="auto"/>
              <w:rPr>
                <w:rFonts w:cs="Times New Roman"/>
              </w:rPr>
            </w:pPr>
            <w:r w:rsidRPr="00FC1749">
              <w:rPr>
                <w:rFonts w:cs="Times New Roman"/>
                <w:color w:val="000000"/>
              </w:rPr>
              <w:t>Pembroke</w:t>
            </w:r>
          </w:p>
        </w:tc>
        <w:tc>
          <w:tcPr>
            <w:tcW w:w="1170" w:type="dxa"/>
          </w:tcPr>
          <w:p w14:paraId="6E9501CF" w14:textId="19A55788" w:rsidR="00663729" w:rsidRPr="00FC1749" w:rsidRDefault="00663729" w:rsidP="00663729">
            <w:pPr>
              <w:spacing w:afterLines="40" w:after="96" w:line="240" w:lineRule="auto"/>
              <w:jc w:val="right"/>
              <w:rPr>
                <w:rFonts w:cs="Times New Roman"/>
              </w:rPr>
            </w:pPr>
            <w:r w:rsidRPr="00FC1749">
              <w:t>84</w:t>
            </w:r>
          </w:p>
        </w:tc>
        <w:tc>
          <w:tcPr>
            <w:tcW w:w="1170" w:type="dxa"/>
          </w:tcPr>
          <w:p w14:paraId="65734A46" w14:textId="5047699E" w:rsidR="00663729" w:rsidRPr="00FC1749" w:rsidRDefault="00663729" w:rsidP="00663729">
            <w:pPr>
              <w:spacing w:afterLines="40" w:after="96" w:line="240" w:lineRule="auto"/>
              <w:jc w:val="right"/>
              <w:rPr>
                <w:rFonts w:eastAsia="Times New Roman" w:cs="Times New Roman"/>
              </w:rPr>
            </w:pPr>
            <w:r w:rsidRPr="00FC1749">
              <w:t>2.</w:t>
            </w:r>
            <w:r w:rsidR="00011F48">
              <w:t>6</w:t>
            </w:r>
            <w:r w:rsidRPr="00FC1749">
              <w:t>%</w:t>
            </w:r>
          </w:p>
        </w:tc>
        <w:tc>
          <w:tcPr>
            <w:tcW w:w="1170" w:type="dxa"/>
          </w:tcPr>
          <w:p w14:paraId="12F544D0" w14:textId="26E1A7AA" w:rsidR="00663729" w:rsidRPr="00FC1749" w:rsidRDefault="00663729" w:rsidP="00663729">
            <w:pPr>
              <w:spacing w:afterLines="40" w:after="96" w:line="240" w:lineRule="auto"/>
              <w:jc w:val="right"/>
              <w:rPr>
                <w:rFonts w:cs="Times New Roman"/>
              </w:rPr>
            </w:pPr>
            <w:r w:rsidRPr="00FC1749">
              <w:t>72</w:t>
            </w:r>
          </w:p>
        </w:tc>
        <w:tc>
          <w:tcPr>
            <w:tcW w:w="1170" w:type="dxa"/>
          </w:tcPr>
          <w:p w14:paraId="665D89D2" w14:textId="780C00A1" w:rsidR="00663729" w:rsidRPr="00FC1749" w:rsidRDefault="00663729" w:rsidP="00663729">
            <w:pPr>
              <w:spacing w:afterLines="40" w:after="96" w:line="240" w:lineRule="auto"/>
              <w:jc w:val="right"/>
              <w:rPr>
                <w:rFonts w:cs="Times New Roman"/>
              </w:rPr>
            </w:pPr>
            <w:r w:rsidRPr="00FC1749">
              <w:t>2.</w:t>
            </w:r>
            <w:r w:rsidR="00011F48">
              <w:t>2</w:t>
            </w:r>
            <w:r w:rsidRPr="00FC1749">
              <w:t>%</w:t>
            </w:r>
          </w:p>
        </w:tc>
        <w:tc>
          <w:tcPr>
            <w:tcW w:w="1170" w:type="dxa"/>
          </w:tcPr>
          <w:p w14:paraId="2D7D2837" w14:textId="01E9118D" w:rsidR="00663729" w:rsidRPr="00FC1749" w:rsidRDefault="00663729" w:rsidP="00663729">
            <w:pPr>
              <w:spacing w:afterLines="40" w:after="96" w:line="240" w:lineRule="auto"/>
              <w:jc w:val="right"/>
              <w:rPr>
                <w:rFonts w:cs="Times New Roman"/>
              </w:rPr>
            </w:pPr>
            <w:r w:rsidRPr="00FC1749">
              <w:t>102</w:t>
            </w:r>
          </w:p>
        </w:tc>
        <w:tc>
          <w:tcPr>
            <w:tcW w:w="1170" w:type="dxa"/>
          </w:tcPr>
          <w:p w14:paraId="357C812D" w14:textId="56A1A9E2" w:rsidR="00663729" w:rsidRPr="00FC1749" w:rsidRDefault="00663729" w:rsidP="00663729">
            <w:pPr>
              <w:spacing w:afterLines="40" w:after="96" w:line="240" w:lineRule="auto"/>
              <w:jc w:val="right"/>
              <w:rPr>
                <w:rFonts w:cs="Times New Roman"/>
              </w:rPr>
            </w:pPr>
            <w:r w:rsidRPr="00FC1749">
              <w:t>2.</w:t>
            </w:r>
            <w:r w:rsidR="00011F48">
              <w:t>7</w:t>
            </w:r>
            <w:r w:rsidRPr="00FC1749">
              <w:t>%</w:t>
            </w:r>
          </w:p>
        </w:tc>
      </w:tr>
      <w:tr w:rsidR="00663729" w:rsidRPr="00FC1749" w14:paraId="4D384315" w14:textId="77777777" w:rsidTr="00A8743E">
        <w:trPr>
          <w:cantSplit/>
          <w:jc w:val="center"/>
        </w:trPr>
        <w:tc>
          <w:tcPr>
            <w:tcW w:w="1890" w:type="dxa"/>
            <w:vAlign w:val="center"/>
          </w:tcPr>
          <w:p w14:paraId="7FDAE579" w14:textId="77777777" w:rsidR="00663729" w:rsidRPr="00FC1749" w:rsidRDefault="00663729" w:rsidP="00663729">
            <w:pPr>
              <w:spacing w:afterLines="40" w:after="96" w:line="240" w:lineRule="auto"/>
              <w:rPr>
                <w:rFonts w:eastAsia="Times New Roman" w:cs="Times New Roman"/>
              </w:rPr>
            </w:pPr>
            <w:r w:rsidRPr="00FC1749">
              <w:rPr>
                <w:rFonts w:cs="Times New Roman"/>
                <w:color w:val="000000"/>
              </w:rPr>
              <w:t>Buzzards Bay</w:t>
            </w:r>
          </w:p>
        </w:tc>
        <w:tc>
          <w:tcPr>
            <w:tcW w:w="1170" w:type="dxa"/>
          </w:tcPr>
          <w:p w14:paraId="0BA247C6" w14:textId="7A2774C7" w:rsidR="00663729" w:rsidRPr="00FC1749" w:rsidRDefault="00663729" w:rsidP="00663729">
            <w:pPr>
              <w:spacing w:afterLines="40" w:after="96" w:line="240" w:lineRule="auto"/>
              <w:jc w:val="right"/>
              <w:rPr>
                <w:rFonts w:eastAsia="Times New Roman" w:cs="Times New Roman"/>
              </w:rPr>
            </w:pPr>
            <w:r w:rsidRPr="00FC1749">
              <w:t>77</w:t>
            </w:r>
          </w:p>
        </w:tc>
        <w:tc>
          <w:tcPr>
            <w:tcW w:w="1170" w:type="dxa"/>
          </w:tcPr>
          <w:p w14:paraId="6BA8314C" w14:textId="38CB1795" w:rsidR="00663729" w:rsidRPr="00FC1749" w:rsidRDefault="00663729" w:rsidP="00663729">
            <w:pPr>
              <w:spacing w:afterLines="40" w:after="96" w:line="240" w:lineRule="auto"/>
              <w:jc w:val="right"/>
              <w:rPr>
                <w:rFonts w:eastAsia="Times New Roman" w:cs="Times New Roman"/>
              </w:rPr>
            </w:pPr>
            <w:r w:rsidRPr="00FC1749">
              <w:t>2.</w:t>
            </w:r>
            <w:r w:rsidR="00011F48">
              <w:t>4</w:t>
            </w:r>
            <w:r w:rsidRPr="00FC1749">
              <w:t>%</w:t>
            </w:r>
          </w:p>
        </w:tc>
        <w:tc>
          <w:tcPr>
            <w:tcW w:w="1170" w:type="dxa"/>
          </w:tcPr>
          <w:p w14:paraId="2E781D8E" w14:textId="78F7312D" w:rsidR="00663729" w:rsidRPr="00FC1749" w:rsidRDefault="00663729" w:rsidP="00663729">
            <w:pPr>
              <w:spacing w:afterLines="40" w:after="96" w:line="240" w:lineRule="auto"/>
              <w:jc w:val="right"/>
              <w:rPr>
                <w:rFonts w:eastAsia="Times New Roman" w:cs="Times New Roman"/>
              </w:rPr>
            </w:pPr>
            <w:r w:rsidRPr="00FC1749">
              <w:t>91</w:t>
            </w:r>
          </w:p>
        </w:tc>
        <w:tc>
          <w:tcPr>
            <w:tcW w:w="1170" w:type="dxa"/>
          </w:tcPr>
          <w:p w14:paraId="5112AE9F" w14:textId="06B9471C" w:rsidR="00663729" w:rsidRPr="00FC1749" w:rsidRDefault="00663729" w:rsidP="00663729">
            <w:pPr>
              <w:spacing w:afterLines="40" w:after="96" w:line="240" w:lineRule="auto"/>
              <w:jc w:val="right"/>
              <w:rPr>
                <w:rFonts w:eastAsia="Times New Roman" w:cs="Times New Roman"/>
              </w:rPr>
            </w:pPr>
            <w:r w:rsidRPr="00FC1749">
              <w:t>2.</w:t>
            </w:r>
            <w:r w:rsidR="00011F48">
              <w:t>8</w:t>
            </w:r>
            <w:r w:rsidRPr="00FC1749">
              <w:t>%</w:t>
            </w:r>
          </w:p>
        </w:tc>
        <w:tc>
          <w:tcPr>
            <w:tcW w:w="1170" w:type="dxa"/>
          </w:tcPr>
          <w:p w14:paraId="54C1E207" w14:textId="1C8E25FE" w:rsidR="00663729" w:rsidRPr="00FC1749" w:rsidRDefault="00663729" w:rsidP="00663729">
            <w:pPr>
              <w:spacing w:afterLines="40" w:after="96" w:line="240" w:lineRule="auto"/>
              <w:jc w:val="right"/>
              <w:rPr>
                <w:rFonts w:eastAsia="Times New Roman" w:cs="Times New Roman"/>
              </w:rPr>
            </w:pPr>
            <w:r w:rsidRPr="00FC1749">
              <w:t>84</w:t>
            </w:r>
          </w:p>
        </w:tc>
        <w:tc>
          <w:tcPr>
            <w:tcW w:w="1170" w:type="dxa"/>
          </w:tcPr>
          <w:p w14:paraId="2D08FF56" w14:textId="63E3C758" w:rsidR="00663729" w:rsidRPr="00FC1749" w:rsidRDefault="00663729" w:rsidP="00663729">
            <w:pPr>
              <w:spacing w:afterLines="40" w:after="96" w:line="240" w:lineRule="auto"/>
              <w:jc w:val="right"/>
              <w:rPr>
                <w:rFonts w:eastAsia="Times New Roman" w:cs="Times New Roman"/>
              </w:rPr>
            </w:pPr>
            <w:r w:rsidRPr="00FC1749">
              <w:t>2.</w:t>
            </w:r>
            <w:r w:rsidR="00011F48">
              <w:t>2</w:t>
            </w:r>
            <w:r w:rsidRPr="00FC1749">
              <w:t>%</w:t>
            </w:r>
          </w:p>
        </w:tc>
      </w:tr>
      <w:tr w:rsidR="00663729" w:rsidRPr="00FC1749" w14:paraId="2053AC07" w14:textId="77777777" w:rsidTr="00A8743E">
        <w:trPr>
          <w:cantSplit/>
          <w:jc w:val="center"/>
        </w:trPr>
        <w:tc>
          <w:tcPr>
            <w:tcW w:w="1890" w:type="dxa"/>
            <w:vAlign w:val="center"/>
          </w:tcPr>
          <w:p w14:paraId="0272695B" w14:textId="77777777" w:rsidR="00663729" w:rsidRPr="00FC1749" w:rsidRDefault="00663729" w:rsidP="00663729">
            <w:pPr>
              <w:spacing w:afterLines="40" w:after="96" w:line="240" w:lineRule="auto"/>
              <w:rPr>
                <w:rFonts w:eastAsia="Times New Roman" w:cs="Times New Roman"/>
              </w:rPr>
            </w:pPr>
            <w:r w:rsidRPr="00FC1749">
              <w:rPr>
                <w:rFonts w:cs="Times New Roman"/>
                <w:color w:val="000000"/>
              </w:rPr>
              <w:t>Sandwich</w:t>
            </w:r>
          </w:p>
        </w:tc>
        <w:tc>
          <w:tcPr>
            <w:tcW w:w="1170" w:type="dxa"/>
          </w:tcPr>
          <w:p w14:paraId="7A406AAC" w14:textId="18B41BBE" w:rsidR="00663729" w:rsidRPr="00FC1749" w:rsidRDefault="00663729" w:rsidP="00663729">
            <w:pPr>
              <w:spacing w:afterLines="40" w:after="96" w:line="240" w:lineRule="auto"/>
              <w:jc w:val="right"/>
              <w:rPr>
                <w:rFonts w:eastAsia="Times New Roman" w:cs="Times New Roman"/>
              </w:rPr>
            </w:pPr>
            <w:r w:rsidRPr="00FC1749">
              <w:t>55</w:t>
            </w:r>
          </w:p>
        </w:tc>
        <w:tc>
          <w:tcPr>
            <w:tcW w:w="1170" w:type="dxa"/>
          </w:tcPr>
          <w:p w14:paraId="1449458C" w14:textId="3980D97F" w:rsidR="00663729" w:rsidRPr="00FC1749" w:rsidRDefault="00663729" w:rsidP="00663729">
            <w:pPr>
              <w:spacing w:afterLines="40" w:after="96" w:line="240" w:lineRule="auto"/>
              <w:jc w:val="right"/>
              <w:rPr>
                <w:rFonts w:eastAsia="Times New Roman" w:cs="Times New Roman"/>
              </w:rPr>
            </w:pPr>
            <w:r w:rsidRPr="00FC1749">
              <w:t>1.</w:t>
            </w:r>
            <w:r w:rsidR="00011F48">
              <w:t>7</w:t>
            </w:r>
            <w:r w:rsidRPr="00FC1749">
              <w:t>%</w:t>
            </w:r>
          </w:p>
        </w:tc>
        <w:tc>
          <w:tcPr>
            <w:tcW w:w="1170" w:type="dxa"/>
          </w:tcPr>
          <w:p w14:paraId="59FDB60B" w14:textId="4697D5BA" w:rsidR="00663729" w:rsidRPr="00FC1749" w:rsidRDefault="00663729" w:rsidP="00663729">
            <w:pPr>
              <w:spacing w:afterLines="40" w:after="96" w:line="240" w:lineRule="auto"/>
              <w:jc w:val="right"/>
              <w:rPr>
                <w:rFonts w:eastAsia="Times New Roman" w:cs="Times New Roman"/>
              </w:rPr>
            </w:pPr>
            <w:r w:rsidRPr="00FC1749">
              <w:t>59</w:t>
            </w:r>
          </w:p>
        </w:tc>
        <w:tc>
          <w:tcPr>
            <w:tcW w:w="1170" w:type="dxa"/>
          </w:tcPr>
          <w:p w14:paraId="753DA7F3" w14:textId="23E9F394" w:rsidR="00663729" w:rsidRPr="00FC1749" w:rsidRDefault="00663729" w:rsidP="00663729">
            <w:pPr>
              <w:spacing w:afterLines="40" w:after="96" w:line="240" w:lineRule="auto"/>
              <w:jc w:val="right"/>
              <w:rPr>
                <w:rFonts w:eastAsia="Times New Roman" w:cs="Times New Roman"/>
              </w:rPr>
            </w:pPr>
            <w:r w:rsidRPr="00FC1749">
              <w:t>1.</w:t>
            </w:r>
            <w:r w:rsidR="00011F48">
              <w:t>8</w:t>
            </w:r>
            <w:r w:rsidRPr="00FC1749">
              <w:t>%</w:t>
            </w:r>
          </w:p>
        </w:tc>
        <w:tc>
          <w:tcPr>
            <w:tcW w:w="1170" w:type="dxa"/>
          </w:tcPr>
          <w:p w14:paraId="5960FAF4" w14:textId="771EB2AC" w:rsidR="00663729" w:rsidRPr="00FC1749" w:rsidRDefault="00663729" w:rsidP="00663729">
            <w:pPr>
              <w:spacing w:afterLines="40" w:after="96" w:line="240" w:lineRule="auto"/>
              <w:jc w:val="right"/>
              <w:rPr>
                <w:rFonts w:eastAsia="Times New Roman" w:cs="Times New Roman"/>
              </w:rPr>
            </w:pPr>
            <w:r w:rsidRPr="00FC1749">
              <w:t>71</w:t>
            </w:r>
          </w:p>
        </w:tc>
        <w:tc>
          <w:tcPr>
            <w:tcW w:w="1170" w:type="dxa"/>
          </w:tcPr>
          <w:p w14:paraId="78884F35" w14:textId="34636854" w:rsidR="00663729" w:rsidRPr="00FC1749" w:rsidRDefault="00663729" w:rsidP="00663729">
            <w:pPr>
              <w:spacing w:afterLines="40" w:after="96" w:line="240" w:lineRule="auto"/>
              <w:jc w:val="right"/>
              <w:rPr>
                <w:rFonts w:eastAsia="Times New Roman" w:cs="Times New Roman"/>
              </w:rPr>
            </w:pPr>
            <w:r w:rsidRPr="00FC1749">
              <w:t>1.8%</w:t>
            </w:r>
          </w:p>
        </w:tc>
      </w:tr>
      <w:tr w:rsidR="00663729" w:rsidRPr="00FC1749" w14:paraId="505C6B1B" w14:textId="77777777" w:rsidTr="00A8743E">
        <w:trPr>
          <w:cantSplit/>
          <w:jc w:val="center"/>
        </w:trPr>
        <w:tc>
          <w:tcPr>
            <w:tcW w:w="1890" w:type="dxa"/>
            <w:vAlign w:val="center"/>
          </w:tcPr>
          <w:p w14:paraId="44FB411D" w14:textId="77777777" w:rsidR="00663729" w:rsidRPr="00FC1749" w:rsidRDefault="00663729" w:rsidP="00663729">
            <w:pPr>
              <w:spacing w:afterLines="40" w:after="96" w:line="240" w:lineRule="auto"/>
              <w:rPr>
                <w:rFonts w:eastAsia="Times New Roman" w:cs="Times New Roman"/>
              </w:rPr>
            </w:pPr>
            <w:r w:rsidRPr="00FC1749">
              <w:rPr>
                <w:rFonts w:cs="Times New Roman"/>
                <w:color w:val="000000"/>
              </w:rPr>
              <w:t>Halifax</w:t>
            </w:r>
          </w:p>
        </w:tc>
        <w:tc>
          <w:tcPr>
            <w:tcW w:w="1170" w:type="dxa"/>
          </w:tcPr>
          <w:p w14:paraId="75FDD4B1" w14:textId="06B8AA34" w:rsidR="00663729" w:rsidRPr="00FC1749" w:rsidRDefault="00663729" w:rsidP="00663729">
            <w:pPr>
              <w:spacing w:afterLines="40" w:after="96" w:line="240" w:lineRule="auto"/>
              <w:jc w:val="right"/>
              <w:rPr>
                <w:rFonts w:eastAsia="Times New Roman" w:cs="Times New Roman"/>
              </w:rPr>
            </w:pPr>
            <w:r w:rsidRPr="00FC1749">
              <w:t>42</w:t>
            </w:r>
          </w:p>
        </w:tc>
        <w:tc>
          <w:tcPr>
            <w:tcW w:w="1170" w:type="dxa"/>
          </w:tcPr>
          <w:p w14:paraId="25D57E5E" w14:textId="4532C5A7" w:rsidR="00663729" w:rsidRPr="00FC1749" w:rsidRDefault="00663729" w:rsidP="00663729">
            <w:pPr>
              <w:spacing w:afterLines="40" w:after="96" w:line="240" w:lineRule="auto"/>
              <w:jc w:val="right"/>
              <w:rPr>
                <w:rFonts w:eastAsia="Times New Roman" w:cs="Times New Roman"/>
              </w:rPr>
            </w:pPr>
            <w:r w:rsidRPr="00FC1749">
              <w:t>1.</w:t>
            </w:r>
            <w:r w:rsidR="00011F48">
              <w:t>3</w:t>
            </w:r>
            <w:r w:rsidRPr="00FC1749">
              <w:t>%</w:t>
            </w:r>
          </w:p>
        </w:tc>
        <w:tc>
          <w:tcPr>
            <w:tcW w:w="1170" w:type="dxa"/>
          </w:tcPr>
          <w:p w14:paraId="0A5D9D90" w14:textId="739D7CA9" w:rsidR="00663729" w:rsidRPr="00FC1749" w:rsidRDefault="00663729" w:rsidP="00663729">
            <w:pPr>
              <w:spacing w:afterLines="40" w:after="96" w:line="240" w:lineRule="auto"/>
              <w:jc w:val="right"/>
              <w:rPr>
                <w:rFonts w:eastAsia="Times New Roman" w:cs="Times New Roman"/>
              </w:rPr>
            </w:pPr>
            <w:r w:rsidRPr="00FC1749">
              <w:t>43</w:t>
            </w:r>
          </w:p>
        </w:tc>
        <w:tc>
          <w:tcPr>
            <w:tcW w:w="1170" w:type="dxa"/>
          </w:tcPr>
          <w:p w14:paraId="447266BE" w14:textId="61322BD6" w:rsidR="00663729" w:rsidRPr="00FC1749" w:rsidRDefault="00663729" w:rsidP="00663729">
            <w:pPr>
              <w:spacing w:afterLines="40" w:after="96" w:line="240" w:lineRule="auto"/>
              <w:jc w:val="right"/>
              <w:rPr>
                <w:rFonts w:eastAsia="Times New Roman" w:cs="Times New Roman"/>
              </w:rPr>
            </w:pPr>
            <w:r w:rsidRPr="00FC1749">
              <w:t>1.3%</w:t>
            </w:r>
          </w:p>
        </w:tc>
        <w:tc>
          <w:tcPr>
            <w:tcW w:w="1170" w:type="dxa"/>
          </w:tcPr>
          <w:p w14:paraId="73DC6129" w14:textId="02D4DE1C" w:rsidR="00663729" w:rsidRPr="00FC1749" w:rsidRDefault="00663729" w:rsidP="00663729">
            <w:pPr>
              <w:spacing w:afterLines="40" w:after="96" w:line="240" w:lineRule="auto"/>
              <w:jc w:val="right"/>
              <w:rPr>
                <w:rFonts w:eastAsia="Times New Roman" w:cs="Times New Roman"/>
              </w:rPr>
            </w:pPr>
            <w:r w:rsidRPr="00FC1749">
              <w:t>63</w:t>
            </w:r>
          </w:p>
        </w:tc>
        <w:tc>
          <w:tcPr>
            <w:tcW w:w="1170" w:type="dxa"/>
          </w:tcPr>
          <w:p w14:paraId="68884F70" w14:textId="64A62924" w:rsidR="00663729" w:rsidRPr="00FC1749" w:rsidRDefault="00663729" w:rsidP="00663729">
            <w:pPr>
              <w:spacing w:afterLines="40" w:after="96" w:line="240" w:lineRule="auto"/>
              <w:jc w:val="right"/>
              <w:rPr>
                <w:rFonts w:eastAsia="Times New Roman" w:cs="Times New Roman"/>
              </w:rPr>
            </w:pPr>
            <w:r w:rsidRPr="00FC1749">
              <w:t>1.6%</w:t>
            </w:r>
          </w:p>
        </w:tc>
      </w:tr>
      <w:tr w:rsidR="00663729" w:rsidRPr="00FC1749" w14:paraId="3A47AFC1" w14:textId="77777777" w:rsidTr="00A8743E">
        <w:trPr>
          <w:cantSplit/>
          <w:jc w:val="center"/>
        </w:trPr>
        <w:tc>
          <w:tcPr>
            <w:tcW w:w="1890" w:type="dxa"/>
            <w:vAlign w:val="center"/>
          </w:tcPr>
          <w:p w14:paraId="0485C879" w14:textId="77777777" w:rsidR="00663729" w:rsidRPr="00FC1749" w:rsidRDefault="00663729" w:rsidP="00663729">
            <w:pPr>
              <w:spacing w:afterLines="40" w:after="96" w:line="240" w:lineRule="auto"/>
              <w:rPr>
                <w:rFonts w:eastAsia="Times New Roman" w:cs="Times New Roman"/>
              </w:rPr>
            </w:pPr>
            <w:r w:rsidRPr="00FC1749">
              <w:rPr>
                <w:rFonts w:cs="Times New Roman"/>
                <w:color w:val="000000"/>
              </w:rPr>
              <w:t>Sagamore Beach</w:t>
            </w:r>
          </w:p>
        </w:tc>
        <w:tc>
          <w:tcPr>
            <w:tcW w:w="1170" w:type="dxa"/>
          </w:tcPr>
          <w:p w14:paraId="1B687F62" w14:textId="133D1977" w:rsidR="00663729" w:rsidRPr="00FC1749" w:rsidRDefault="00663729" w:rsidP="00663729">
            <w:pPr>
              <w:spacing w:afterLines="40" w:after="96" w:line="240" w:lineRule="auto"/>
              <w:jc w:val="right"/>
              <w:rPr>
                <w:rFonts w:eastAsia="Times New Roman" w:cs="Times New Roman"/>
              </w:rPr>
            </w:pPr>
            <w:r w:rsidRPr="00FC1749">
              <w:t>59</w:t>
            </w:r>
          </w:p>
        </w:tc>
        <w:tc>
          <w:tcPr>
            <w:tcW w:w="1170" w:type="dxa"/>
          </w:tcPr>
          <w:p w14:paraId="12EB99A3" w14:textId="47D56020" w:rsidR="00663729" w:rsidRPr="00FC1749" w:rsidRDefault="00663729" w:rsidP="00663729">
            <w:pPr>
              <w:spacing w:afterLines="40" w:after="96" w:line="240" w:lineRule="auto"/>
              <w:jc w:val="right"/>
              <w:rPr>
                <w:rFonts w:eastAsia="Times New Roman" w:cs="Times New Roman"/>
              </w:rPr>
            </w:pPr>
            <w:r w:rsidRPr="00FC1749">
              <w:t>1.8%</w:t>
            </w:r>
          </w:p>
        </w:tc>
        <w:tc>
          <w:tcPr>
            <w:tcW w:w="1170" w:type="dxa"/>
          </w:tcPr>
          <w:p w14:paraId="7371BD2E" w14:textId="6D794ABB" w:rsidR="00663729" w:rsidRPr="00FC1749" w:rsidRDefault="00663729" w:rsidP="00663729">
            <w:pPr>
              <w:spacing w:afterLines="40" w:after="96" w:line="240" w:lineRule="auto"/>
              <w:jc w:val="right"/>
              <w:rPr>
                <w:rFonts w:eastAsia="Times New Roman" w:cs="Times New Roman"/>
              </w:rPr>
            </w:pPr>
            <w:r w:rsidRPr="00FC1749">
              <w:t>53</w:t>
            </w:r>
          </w:p>
        </w:tc>
        <w:tc>
          <w:tcPr>
            <w:tcW w:w="1170" w:type="dxa"/>
          </w:tcPr>
          <w:p w14:paraId="6D738C0A" w14:textId="5CC89DFC" w:rsidR="00663729" w:rsidRPr="00FC1749" w:rsidRDefault="00663729" w:rsidP="00663729">
            <w:pPr>
              <w:spacing w:afterLines="40" w:after="96" w:line="240" w:lineRule="auto"/>
              <w:jc w:val="right"/>
              <w:rPr>
                <w:rFonts w:eastAsia="Times New Roman" w:cs="Times New Roman"/>
              </w:rPr>
            </w:pPr>
            <w:r w:rsidRPr="00FC1749">
              <w:t>1.6%</w:t>
            </w:r>
          </w:p>
        </w:tc>
        <w:tc>
          <w:tcPr>
            <w:tcW w:w="1170" w:type="dxa"/>
          </w:tcPr>
          <w:p w14:paraId="04D03F11" w14:textId="1C57C080" w:rsidR="00663729" w:rsidRPr="00FC1749" w:rsidRDefault="00663729" w:rsidP="00663729">
            <w:pPr>
              <w:spacing w:afterLines="40" w:after="96" w:line="240" w:lineRule="auto"/>
              <w:jc w:val="right"/>
              <w:rPr>
                <w:rFonts w:eastAsia="Times New Roman" w:cs="Times New Roman"/>
              </w:rPr>
            </w:pPr>
            <w:r w:rsidRPr="00FC1749">
              <w:t>56</w:t>
            </w:r>
          </w:p>
        </w:tc>
        <w:tc>
          <w:tcPr>
            <w:tcW w:w="1170" w:type="dxa"/>
          </w:tcPr>
          <w:p w14:paraId="44102426" w14:textId="5101FF82" w:rsidR="00663729" w:rsidRPr="00FC1749" w:rsidRDefault="00663729" w:rsidP="00663729">
            <w:pPr>
              <w:spacing w:afterLines="40" w:after="96" w:line="240" w:lineRule="auto"/>
              <w:jc w:val="right"/>
              <w:rPr>
                <w:rFonts w:eastAsia="Times New Roman" w:cs="Times New Roman"/>
              </w:rPr>
            </w:pPr>
            <w:r w:rsidRPr="00FC1749">
              <w:t>1.</w:t>
            </w:r>
            <w:r w:rsidR="00011F48">
              <w:t>5</w:t>
            </w:r>
            <w:r w:rsidRPr="00FC1749">
              <w:t>%</w:t>
            </w:r>
          </w:p>
        </w:tc>
      </w:tr>
      <w:tr w:rsidR="00663729" w:rsidRPr="00FC1749" w14:paraId="7BCC3918" w14:textId="77777777" w:rsidTr="00A8743E">
        <w:trPr>
          <w:cantSplit/>
          <w:jc w:val="center"/>
        </w:trPr>
        <w:tc>
          <w:tcPr>
            <w:tcW w:w="1890" w:type="dxa"/>
            <w:vAlign w:val="center"/>
          </w:tcPr>
          <w:p w14:paraId="6B2E52CE" w14:textId="77777777" w:rsidR="00663729" w:rsidRPr="00FC1749" w:rsidRDefault="00663729" w:rsidP="00663729">
            <w:pPr>
              <w:spacing w:afterLines="40" w:after="96" w:line="240" w:lineRule="auto"/>
              <w:rPr>
                <w:rFonts w:eastAsia="Times New Roman" w:cs="Times New Roman"/>
              </w:rPr>
            </w:pPr>
            <w:r w:rsidRPr="00FC1749">
              <w:rPr>
                <w:rFonts w:cs="Times New Roman"/>
                <w:color w:val="000000"/>
              </w:rPr>
              <w:t>Plympton</w:t>
            </w:r>
          </w:p>
        </w:tc>
        <w:tc>
          <w:tcPr>
            <w:tcW w:w="1170" w:type="dxa"/>
          </w:tcPr>
          <w:p w14:paraId="6B2BA4EA" w14:textId="18CABB88" w:rsidR="00663729" w:rsidRPr="00FC1749" w:rsidRDefault="00663729" w:rsidP="00663729">
            <w:pPr>
              <w:spacing w:afterLines="40" w:after="96" w:line="240" w:lineRule="auto"/>
              <w:jc w:val="right"/>
              <w:rPr>
                <w:rFonts w:eastAsia="Times New Roman" w:cs="Times New Roman"/>
              </w:rPr>
            </w:pPr>
            <w:r w:rsidRPr="00FC1749">
              <w:t>35</w:t>
            </w:r>
          </w:p>
        </w:tc>
        <w:tc>
          <w:tcPr>
            <w:tcW w:w="1170" w:type="dxa"/>
          </w:tcPr>
          <w:p w14:paraId="04629D6C" w14:textId="27035419" w:rsidR="00663729" w:rsidRPr="00FC1749" w:rsidRDefault="00663729" w:rsidP="00663729">
            <w:pPr>
              <w:spacing w:afterLines="40" w:after="96" w:line="240" w:lineRule="auto"/>
              <w:jc w:val="right"/>
              <w:rPr>
                <w:rFonts w:eastAsia="Times New Roman" w:cs="Times New Roman"/>
              </w:rPr>
            </w:pPr>
            <w:r w:rsidRPr="00FC1749">
              <w:t>1.</w:t>
            </w:r>
            <w:r w:rsidR="00011F48">
              <w:t>1</w:t>
            </w:r>
            <w:r w:rsidRPr="00FC1749">
              <w:t>%</w:t>
            </w:r>
          </w:p>
        </w:tc>
        <w:tc>
          <w:tcPr>
            <w:tcW w:w="1170" w:type="dxa"/>
          </w:tcPr>
          <w:p w14:paraId="563DE7D0" w14:textId="5679A802" w:rsidR="00663729" w:rsidRPr="00FC1749" w:rsidRDefault="00663729" w:rsidP="00663729">
            <w:pPr>
              <w:spacing w:afterLines="40" w:after="96" w:line="240" w:lineRule="auto"/>
              <w:jc w:val="right"/>
              <w:rPr>
                <w:rFonts w:eastAsia="Times New Roman" w:cs="Times New Roman"/>
              </w:rPr>
            </w:pPr>
            <w:r w:rsidRPr="00FC1749">
              <w:t>44</w:t>
            </w:r>
          </w:p>
        </w:tc>
        <w:tc>
          <w:tcPr>
            <w:tcW w:w="1170" w:type="dxa"/>
          </w:tcPr>
          <w:p w14:paraId="1FF2FD84" w14:textId="1761C64F" w:rsidR="00663729" w:rsidRPr="00FC1749" w:rsidRDefault="00663729" w:rsidP="00663729">
            <w:pPr>
              <w:spacing w:afterLines="40" w:after="96" w:line="240" w:lineRule="auto"/>
              <w:jc w:val="right"/>
              <w:rPr>
                <w:rFonts w:eastAsia="Times New Roman" w:cs="Times New Roman"/>
              </w:rPr>
            </w:pPr>
            <w:r w:rsidRPr="00FC1749">
              <w:t>1.3%</w:t>
            </w:r>
          </w:p>
        </w:tc>
        <w:tc>
          <w:tcPr>
            <w:tcW w:w="1170" w:type="dxa"/>
          </w:tcPr>
          <w:p w14:paraId="47F47A75" w14:textId="226B6957" w:rsidR="00663729" w:rsidRPr="00FC1749" w:rsidRDefault="00663729" w:rsidP="00663729">
            <w:pPr>
              <w:spacing w:afterLines="40" w:after="96" w:line="240" w:lineRule="auto"/>
              <w:jc w:val="right"/>
              <w:rPr>
                <w:rFonts w:eastAsia="Times New Roman" w:cs="Times New Roman"/>
              </w:rPr>
            </w:pPr>
            <w:r w:rsidRPr="00FC1749">
              <w:t>46</w:t>
            </w:r>
          </w:p>
        </w:tc>
        <w:tc>
          <w:tcPr>
            <w:tcW w:w="1170" w:type="dxa"/>
          </w:tcPr>
          <w:p w14:paraId="090ABB9D" w14:textId="63F55398" w:rsidR="00663729" w:rsidRPr="00FC1749" w:rsidRDefault="00663729" w:rsidP="00663729">
            <w:pPr>
              <w:spacing w:afterLines="40" w:after="96" w:line="240" w:lineRule="auto"/>
              <w:jc w:val="right"/>
              <w:rPr>
                <w:rFonts w:eastAsia="Times New Roman" w:cs="Times New Roman"/>
              </w:rPr>
            </w:pPr>
            <w:r w:rsidRPr="00FC1749">
              <w:t>1.</w:t>
            </w:r>
            <w:r w:rsidR="00011F48">
              <w:t>2</w:t>
            </w:r>
            <w:r w:rsidRPr="00FC1749">
              <w:t>%</w:t>
            </w:r>
          </w:p>
        </w:tc>
      </w:tr>
      <w:tr w:rsidR="00663729" w:rsidRPr="00FC1749" w14:paraId="19A69E12" w14:textId="77777777" w:rsidTr="00A8743E">
        <w:trPr>
          <w:cantSplit/>
          <w:jc w:val="center"/>
        </w:trPr>
        <w:tc>
          <w:tcPr>
            <w:tcW w:w="1890" w:type="dxa"/>
            <w:vAlign w:val="center"/>
          </w:tcPr>
          <w:p w14:paraId="64B73D5C" w14:textId="77777777" w:rsidR="00663729" w:rsidRPr="00FC1749" w:rsidRDefault="00663729" w:rsidP="00663729">
            <w:pPr>
              <w:spacing w:afterLines="40" w:after="96" w:line="240" w:lineRule="auto"/>
              <w:rPr>
                <w:rFonts w:eastAsia="Times New Roman" w:cs="Times New Roman"/>
              </w:rPr>
            </w:pPr>
            <w:r w:rsidRPr="00FC1749">
              <w:rPr>
                <w:rFonts w:cs="Times New Roman"/>
                <w:color w:val="000000"/>
              </w:rPr>
              <w:t>Wareham</w:t>
            </w:r>
          </w:p>
        </w:tc>
        <w:tc>
          <w:tcPr>
            <w:tcW w:w="1170" w:type="dxa"/>
          </w:tcPr>
          <w:p w14:paraId="64B9E523" w14:textId="0FAD3AC1" w:rsidR="00663729" w:rsidRPr="00FC1749" w:rsidRDefault="00663729" w:rsidP="00663729">
            <w:pPr>
              <w:spacing w:afterLines="40" w:after="96" w:line="240" w:lineRule="auto"/>
              <w:jc w:val="right"/>
              <w:rPr>
                <w:rFonts w:eastAsia="Times New Roman" w:cs="Times New Roman"/>
              </w:rPr>
            </w:pPr>
            <w:r w:rsidRPr="00FC1749">
              <w:t>29</w:t>
            </w:r>
          </w:p>
        </w:tc>
        <w:tc>
          <w:tcPr>
            <w:tcW w:w="1170" w:type="dxa"/>
          </w:tcPr>
          <w:p w14:paraId="4A984D13" w14:textId="21A09A1C" w:rsidR="00663729" w:rsidRPr="00FC1749" w:rsidRDefault="00663729" w:rsidP="00663729">
            <w:pPr>
              <w:spacing w:afterLines="40" w:after="96" w:line="240" w:lineRule="auto"/>
              <w:jc w:val="right"/>
              <w:rPr>
                <w:rFonts w:eastAsia="Times New Roman" w:cs="Times New Roman"/>
              </w:rPr>
            </w:pPr>
            <w:r w:rsidRPr="00FC1749">
              <w:t>0.</w:t>
            </w:r>
            <w:r w:rsidR="00011F48">
              <w:t>9</w:t>
            </w:r>
            <w:r w:rsidRPr="00FC1749">
              <w:t>%</w:t>
            </w:r>
          </w:p>
        </w:tc>
        <w:tc>
          <w:tcPr>
            <w:tcW w:w="1170" w:type="dxa"/>
          </w:tcPr>
          <w:p w14:paraId="4FD1B82E" w14:textId="1B3B713B" w:rsidR="00663729" w:rsidRPr="00FC1749" w:rsidRDefault="00663729" w:rsidP="00663729">
            <w:pPr>
              <w:spacing w:afterLines="40" w:after="96" w:line="240" w:lineRule="auto"/>
              <w:jc w:val="right"/>
              <w:rPr>
                <w:rFonts w:eastAsia="Times New Roman" w:cs="Times New Roman"/>
              </w:rPr>
            </w:pPr>
            <w:r w:rsidRPr="00FC1749">
              <w:t>28</w:t>
            </w:r>
          </w:p>
        </w:tc>
        <w:tc>
          <w:tcPr>
            <w:tcW w:w="1170" w:type="dxa"/>
          </w:tcPr>
          <w:p w14:paraId="3B93943A" w14:textId="59A949E9" w:rsidR="00663729" w:rsidRPr="00FC1749" w:rsidRDefault="00663729" w:rsidP="00663729">
            <w:pPr>
              <w:spacing w:afterLines="40" w:after="96" w:line="240" w:lineRule="auto"/>
              <w:jc w:val="right"/>
              <w:rPr>
                <w:rFonts w:eastAsia="Times New Roman" w:cs="Times New Roman"/>
              </w:rPr>
            </w:pPr>
            <w:r w:rsidRPr="00FC1749">
              <w:t>0.</w:t>
            </w:r>
            <w:r w:rsidR="00011F48">
              <w:t>9</w:t>
            </w:r>
            <w:r w:rsidRPr="00FC1749">
              <w:t>%</w:t>
            </w:r>
          </w:p>
        </w:tc>
        <w:tc>
          <w:tcPr>
            <w:tcW w:w="1170" w:type="dxa"/>
          </w:tcPr>
          <w:p w14:paraId="27AA54E8" w14:textId="4BB241A4" w:rsidR="00663729" w:rsidRPr="00FC1749" w:rsidRDefault="00663729" w:rsidP="00663729">
            <w:pPr>
              <w:spacing w:afterLines="40" w:after="96" w:line="240" w:lineRule="auto"/>
              <w:jc w:val="right"/>
              <w:rPr>
                <w:rFonts w:eastAsia="Times New Roman" w:cs="Times New Roman"/>
              </w:rPr>
            </w:pPr>
            <w:r w:rsidRPr="00FC1749">
              <w:t>39</w:t>
            </w:r>
          </w:p>
        </w:tc>
        <w:tc>
          <w:tcPr>
            <w:tcW w:w="1170" w:type="dxa"/>
          </w:tcPr>
          <w:p w14:paraId="4C8807F8" w14:textId="5594D3D2" w:rsidR="00663729" w:rsidRPr="00FC1749" w:rsidRDefault="00663729" w:rsidP="00663729">
            <w:pPr>
              <w:spacing w:afterLines="40" w:after="96" w:line="240" w:lineRule="auto"/>
              <w:jc w:val="right"/>
              <w:rPr>
                <w:rFonts w:eastAsia="Times New Roman" w:cs="Times New Roman"/>
              </w:rPr>
            </w:pPr>
            <w:r w:rsidRPr="00FC1749">
              <w:t>1.0%</w:t>
            </w:r>
          </w:p>
        </w:tc>
      </w:tr>
      <w:tr w:rsidR="00663729" w:rsidRPr="00FC1749" w14:paraId="73C8A3E4" w14:textId="77777777" w:rsidTr="00A8743E">
        <w:trPr>
          <w:cantSplit/>
          <w:jc w:val="center"/>
        </w:trPr>
        <w:tc>
          <w:tcPr>
            <w:tcW w:w="1890" w:type="dxa"/>
            <w:vAlign w:val="center"/>
          </w:tcPr>
          <w:p w14:paraId="280ADE60" w14:textId="77777777" w:rsidR="00663729" w:rsidRPr="00FC1749" w:rsidRDefault="00663729" w:rsidP="00663729">
            <w:pPr>
              <w:spacing w:afterLines="40" w:after="96" w:line="240" w:lineRule="auto"/>
              <w:rPr>
                <w:rFonts w:cs="Times New Roman"/>
                <w:color w:val="000000"/>
              </w:rPr>
            </w:pPr>
            <w:r w:rsidRPr="00FC1749">
              <w:rPr>
                <w:rFonts w:cs="Times New Roman"/>
                <w:color w:val="000000"/>
              </w:rPr>
              <w:t>Mashpee</w:t>
            </w:r>
          </w:p>
        </w:tc>
        <w:tc>
          <w:tcPr>
            <w:tcW w:w="1170" w:type="dxa"/>
          </w:tcPr>
          <w:p w14:paraId="4401C771" w14:textId="70C2280E" w:rsidR="00663729" w:rsidRPr="00FC1749" w:rsidRDefault="00663729" w:rsidP="00663729">
            <w:pPr>
              <w:spacing w:afterLines="40" w:after="96" w:line="240" w:lineRule="auto"/>
              <w:jc w:val="right"/>
              <w:rPr>
                <w:rFonts w:eastAsia="Times New Roman" w:cs="Times New Roman"/>
              </w:rPr>
            </w:pPr>
            <w:r w:rsidRPr="00FC1749">
              <w:t>39</w:t>
            </w:r>
          </w:p>
        </w:tc>
        <w:tc>
          <w:tcPr>
            <w:tcW w:w="1170" w:type="dxa"/>
          </w:tcPr>
          <w:p w14:paraId="134D073B" w14:textId="2944E4E9" w:rsidR="00663729" w:rsidRPr="00FC1749" w:rsidRDefault="00663729" w:rsidP="00663729">
            <w:pPr>
              <w:spacing w:afterLines="40" w:after="96" w:line="240" w:lineRule="auto"/>
              <w:jc w:val="right"/>
              <w:rPr>
                <w:rFonts w:eastAsia="Times New Roman" w:cs="Times New Roman"/>
              </w:rPr>
            </w:pPr>
            <w:r w:rsidRPr="00FC1749">
              <w:t>1.2%</w:t>
            </w:r>
          </w:p>
        </w:tc>
        <w:tc>
          <w:tcPr>
            <w:tcW w:w="1170" w:type="dxa"/>
          </w:tcPr>
          <w:p w14:paraId="0D1B195C" w14:textId="44F21712" w:rsidR="00663729" w:rsidRPr="00FC1749" w:rsidRDefault="00663729" w:rsidP="00663729">
            <w:pPr>
              <w:spacing w:afterLines="40" w:after="96" w:line="240" w:lineRule="auto"/>
              <w:jc w:val="right"/>
              <w:rPr>
                <w:rFonts w:eastAsia="Times New Roman" w:cs="Times New Roman"/>
              </w:rPr>
            </w:pPr>
            <w:r w:rsidRPr="00FC1749">
              <w:t>36</w:t>
            </w:r>
          </w:p>
        </w:tc>
        <w:tc>
          <w:tcPr>
            <w:tcW w:w="1170" w:type="dxa"/>
          </w:tcPr>
          <w:p w14:paraId="63A8975E" w14:textId="718379B6" w:rsidR="00663729" w:rsidRPr="00FC1749" w:rsidRDefault="00663729" w:rsidP="00663729">
            <w:pPr>
              <w:spacing w:afterLines="40" w:after="96" w:line="240" w:lineRule="auto"/>
              <w:jc w:val="right"/>
              <w:rPr>
                <w:rFonts w:eastAsia="Times New Roman" w:cs="Times New Roman"/>
              </w:rPr>
            </w:pPr>
            <w:r w:rsidRPr="00FC1749">
              <w:t>1.</w:t>
            </w:r>
            <w:r w:rsidR="00011F48">
              <w:t>2</w:t>
            </w:r>
            <w:r w:rsidRPr="00FC1749">
              <w:t>%</w:t>
            </w:r>
          </w:p>
        </w:tc>
        <w:tc>
          <w:tcPr>
            <w:tcW w:w="1170" w:type="dxa"/>
          </w:tcPr>
          <w:p w14:paraId="55C3CCC9" w14:textId="4F72C87A" w:rsidR="00663729" w:rsidRPr="00FC1749" w:rsidRDefault="00663729" w:rsidP="00663729">
            <w:pPr>
              <w:spacing w:afterLines="40" w:after="96" w:line="240" w:lineRule="auto"/>
              <w:jc w:val="right"/>
              <w:rPr>
                <w:rFonts w:eastAsia="Times New Roman" w:cs="Times New Roman"/>
              </w:rPr>
            </w:pPr>
            <w:r w:rsidRPr="00FC1749">
              <w:t>37</w:t>
            </w:r>
          </w:p>
        </w:tc>
        <w:tc>
          <w:tcPr>
            <w:tcW w:w="1170" w:type="dxa"/>
          </w:tcPr>
          <w:p w14:paraId="53941A7A" w14:textId="71AEDA60" w:rsidR="00663729" w:rsidRPr="00FC1749" w:rsidRDefault="00011F48" w:rsidP="00663729">
            <w:pPr>
              <w:spacing w:afterLines="40" w:after="96" w:line="240" w:lineRule="auto"/>
              <w:jc w:val="right"/>
              <w:rPr>
                <w:rFonts w:eastAsia="Times New Roman" w:cs="Times New Roman"/>
              </w:rPr>
            </w:pPr>
            <w:r>
              <w:t>1.0</w:t>
            </w:r>
            <w:r w:rsidR="00663729" w:rsidRPr="00FC1749">
              <w:t>%</w:t>
            </w:r>
          </w:p>
        </w:tc>
      </w:tr>
      <w:tr w:rsidR="00663729" w:rsidRPr="00FC1749" w14:paraId="3A0E4EA9" w14:textId="77777777" w:rsidTr="00A8743E">
        <w:trPr>
          <w:cantSplit/>
          <w:jc w:val="center"/>
        </w:trPr>
        <w:tc>
          <w:tcPr>
            <w:tcW w:w="1890" w:type="dxa"/>
            <w:vAlign w:val="center"/>
          </w:tcPr>
          <w:p w14:paraId="73445F68" w14:textId="77777777" w:rsidR="00663729" w:rsidRPr="00FC1749" w:rsidRDefault="00663729" w:rsidP="00663729">
            <w:pPr>
              <w:spacing w:afterLines="40" w:after="96" w:line="240" w:lineRule="auto"/>
              <w:rPr>
                <w:rFonts w:cs="Times New Roman"/>
                <w:color w:val="000000"/>
              </w:rPr>
            </w:pPr>
            <w:r w:rsidRPr="00FC1749">
              <w:rPr>
                <w:rFonts w:cs="Times New Roman"/>
                <w:color w:val="000000"/>
              </w:rPr>
              <w:t>East Falmouth</w:t>
            </w:r>
          </w:p>
        </w:tc>
        <w:tc>
          <w:tcPr>
            <w:tcW w:w="1170" w:type="dxa"/>
          </w:tcPr>
          <w:p w14:paraId="210D031B" w14:textId="0CDAC5E8" w:rsidR="00663729" w:rsidRPr="00FC1749" w:rsidRDefault="00663729" w:rsidP="00663729">
            <w:pPr>
              <w:spacing w:afterLines="40" w:after="96" w:line="240" w:lineRule="auto"/>
              <w:jc w:val="right"/>
              <w:rPr>
                <w:rFonts w:eastAsia="Times New Roman" w:cs="Times New Roman"/>
              </w:rPr>
            </w:pPr>
            <w:r w:rsidRPr="00FC1749">
              <w:t>43</w:t>
            </w:r>
          </w:p>
        </w:tc>
        <w:tc>
          <w:tcPr>
            <w:tcW w:w="1170" w:type="dxa"/>
          </w:tcPr>
          <w:p w14:paraId="0B3CF30F" w14:textId="530E9616" w:rsidR="00663729" w:rsidRPr="00FC1749" w:rsidRDefault="00663729" w:rsidP="00663729">
            <w:pPr>
              <w:spacing w:afterLines="40" w:after="96" w:line="240" w:lineRule="auto"/>
              <w:jc w:val="right"/>
              <w:rPr>
                <w:rFonts w:eastAsia="Times New Roman" w:cs="Times New Roman"/>
              </w:rPr>
            </w:pPr>
            <w:r w:rsidRPr="00FC1749">
              <w:t>1.3%</w:t>
            </w:r>
          </w:p>
        </w:tc>
        <w:tc>
          <w:tcPr>
            <w:tcW w:w="1170" w:type="dxa"/>
          </w:tcPr>
          <w:p w14:paraId="3C454E88" w14:textId="55FC46C3" w:rsidR="00663729" w:rsidRPr="00FC1749" w:rsidRDefault="00663729" w:rsidP="00663729">
            <w:pPr>
              <w:spacing w:afterLines="40" w:after="96" w:line="240" w:lineRule="auto"/>
              <w:jc w:val="right"/>
              <w:rPr>
                <w:rFonts w:eastAsia="Times New Roman" w:cs="Times New Roman"/>
              </w:rPr>
            </w:pPr>
            <w:r w:rsidRPr="00FC1749">
              <w:t>38</w:t>
            </w:r>
          </w:p>
        </w:tc>
        <w:tc>
          <w:tcPr>
            <w:tcW w:w="1170" w:type="dxa"/>
          </w:tcPr>
          <w:p w14:paraId="49E28734" w14:textId="3B020163" w:rsidR="00663729" w:rsidRPr="00FC1749" w:rsidRDefault="00663729" w:rsidP="00663729">
            <w:pPr>
              <w:spacing w:afterLines="40" w:after="96" w:line="240" w:lineRule="auto"/>
              <w:jc w:val="right"/>
              <w:rPr>
                <w:rFonts w:eastAsia="Times New Roman" w:cs="Times New Roman"/>
              </w:rPr>
            </w:pPr>
            <w:r w:rsidRPr="00FC1749">
              <w:t>1.</w:t>
            </w:r>
            <w:r w:rsidR="00011F48">
              <w:t>2</w:t>
            </w:r>
            <w:r w:rsidRPr="00FC1749">
              <w:t>%</w:t>
            </w:r>
          </w:p>
        </w:tc>
        <w:tc>
          <w:tcPr>
            <w:tcW w:w="1170" w:type="dxa"/>
          </w:tcPr>
          <w:p w14:paraId="1269C0E4" w14:textId="4B925FA0" w:rsidR="00663729" w:rsidRPr="00FC1749" w:rsidRDefault="00663729" w:rsidP="00663729">
            <w:pPr>
              <w:spacing w:afterLines="40" w:after="96" w:line="240" w:lineRule="auto"/>
              <w:jc w:val="right"/>
              <w:rPr>
                <w:rFonts w:eastAsia="Times New Roman" w:cs="Times New Roman"/>
              </w:rPr>
            </w:pPr>
            <w:r w:rsidRPr="00FC1749">
              <w:t>36</w:t>
            </w:r>
          </w:p>
        </w:tc>
        <w:tc>
          <w:tcPr>
            <w:tcW w:w="1170" w:type="dxa"/>
          </w:tcPr>
          <w:p w14:paraId="7E19ACFD" w14:textId="5BFC8A10" w:rsidR="00663729" w:rsidRPr="00FC1749" w:rsidRDefault="00663729" w:rsidP="00663729">
            <w:pPr>
              <w:spacing w:afterLines="40" w:after="96" w:line="240" w:lineRule="auto"/>
              <w:jc w:val="right"/>
              <w:rPr>
                <w:rFonts w:eastAsia="Times New Roman" w:cs="Times New Roman"/>
              </w:rPr>
            </w:pPr>
            <w:r w:rsidRPr="00FC1749">
              <w:t>0.9%</w:t>
            </w:r>
          </w:p>
        </w:tc>
      </w:tr>
      <w:tr w:rsidR="00663729" w:rsidRPr="00FC1749" w14:paraId="6D848F07" w14:textId="77777777" w:rsidTr="00A8743E">
        <w:trPr>
          <w:cantSplit/>
          <w:jc w:val="center"/>
        </w:trPr>
        <w:tc>
          <w:tcPr>
            <w:tcW w:w="1890" w:type="dxa"/>
            <w:vAlign w:val="center"/>
          </w:tcPr>
          <w:p w14:paraId="51EC80D6" w14:textId="77777777" w:rsidR="00663729" w:rsidRPr="00FC1749" w:rsidRDefault="00663729" w:rsidP="00663729">
            <w:pPr>
              <w:spacing w:afterLines="40" w:after="96" w:line="240" w:lineRule="auto"/>
              <w:rPr>
                <w:rFonts w:cs="Times New Roman"/>
                <w:color w:val="000000"/>
              </w:rPr>
            </w:pPr>
            <w:r w:rsidRPr="00FC1749">
              <w:rPr>
                <w:rFonts w:cs="Times New Roman"/>
                <w:color w:val="000000"/>
              </w:rPr>
              <w:t>East Sandwich</w:t>
            </w:r>
          </w:p>
        </w:tc>
        <w:tc>
          <w:tcPr>
            <w:tcW w:w="1170" w:type="dxa"/>
          </w:tcPr>
          <w:p w14:paraId="79176A9B" w14:textId="14E4D160" w:rsidR="00663729" w:rsidRPr="00FC1749" w:rsidRDefault="00663729" w:rsidP="00663729">
            <w:pPr>
              <w:spacing w:afterLines="40" w:after="96" w:line="240" w:lineRule="auto"/>
              <w:jc w:val="right"/>
              <w:rPr>
                <w:rFonts w:eastAsia="Times New Roman" w:cs="Times New Roman"/>
              </w:rPr>
            </w:pPr>
            <w:r w:rsidRPr="00FC1749">
              <w:t>47</w:t>
            </w:r>
          </w:p>
        </w:tc>
        <w:tc>
          <w:tcPr>
            <w:tcW w:w="1170" w:type="dxa"/>
          </w:tcPr>
          <w:p w14:paraId="1261A67C" w14:textId="71A0A2DB" w:rsidR="00663729" w:rsidRPr="00FC1749" w:rsidRDefault="00663729" w:rsidP="00663729">
            <w:pPr>
              <w:spacing w:afterLines="40" w:after="96" w:line="240" w:lineRule="auto"/>
              <w:jc w:val="right"/>
              <w:rPr>
                <w:rFonts w:eastAsia="Times New Roman" w:cs="Times New Roman"/>
              </w:rPr>
            </w:pPr>
            <w:r w:rsidRPr="00FC1749">
              <w:t>1.4%</w:t>
            </w:r>
          </w:p>
        </w:tc>
        <w:tc>
          <w:tcPr>
            <w:tcW w:w="1170" w:type="dxa"/>
          </w:tcPr>
          <w:p w14:paraId="473CA55C" w14:textId="5F630283" w:rsidR="00663729" w:rsidRPr="00FC1749" w:rsidRDefault="00663729" w:rsidP="00663729">
            <w:pPr>
              <w:spacing w:afterLines="40" w:after="96" w:line="240" w:lineRule="auto"/>
              <w:jc w:val="right"/>
              <w:rPr>
                <w:rFonts w:eastAsia="Times New Roman" w:cs="Times New Roman"/>
              </w:rPr>
            </w:pPr>
            <w:r w:rsidRPr="00FC1749">
              <w:t>44</w:t>
            </w:r>
          </w:p>
        </w:tc>
        <w:tc>
          <w:tcPr>
            <w:tcW w:w="1170" w:type="dxa"/>
          </w:tcPr>
          <w:p w14:paraId="7CA08ABE" w14:textId="79FB6F6E" w:rsidR="00663729" w:rsidRPr="00FC1749" w:rsidRDefault="00663729" w:rsidP="00663729">
            <w:pPr>
              <w:spacing w:afterLines="40" w:after="96" w:line="240" w:lineRule="auto"/>
              <w:jc w:val="right"/>
              <w:rPr>
                <w:rFonts w:eastAsia="Times New Roman" w:cs="Times New Roman"/>
              </w:rPr>
            </w:pPr>
            <w:r w:rsidRPr="00FC1749">
              <w:t>1.3%</w:t>
            </w:r>
          </w:p>
        </w:tc>
        <w:tc>
          <w:tcPr>
            <w:tcW w:w="1170" w:type="dxa"/>
          </w:tcPr>
          <w:p w14:paraId="35F79070" w14:textId="567DF12E" w:rsidR="00663729" w:rsidRPr="00FC1749" w:rsidRDefault="00663729" w:rsidP="00663729">
            <w:pPr>
              <w:spacing w:afterLines="40" w:after="96" w:line="240" w:lineRule="auto"/>
              <w:jc w:val="right"/>
              <w:rPr>
                <w:rFonts w:eastAsia="Times New Roman" w:cs="Times New Roman"/>
              </w:rPr>
            </w:pPr>
            <w:r w:rsidRPr="00FC1749">
              <w:t>35</w:t>
            </w:r>
          </w:p>
        </w:tc>
        <w:tc>
          <w:tcPr>
            <w:tcW w:w="1170" w:type="dxa"/>
          </w:tcPr>
          <w:p w14:paraId="756CE470" w14:textId="024964F4" w:rsidR="00663729" w:rsidRPr="00FC1749" w:rsidRDefault="00663729" w:rsidP="00663729">
            <w:pPr>
              <w:spacing w:afterLines="40" w:after="96" w:line="240" w:lineRule="auto"/>
              <w:jc w:val="right"/>
              <w:rPr>
                <w:rFonts w:eastAsia="Times New Roman" w:cs="Times New Roman"/>
              </w:rPr>
            </w:pPr>
            <w:r w:rsidRPr="00FC1749">
              <w:t>0.9%</w:t>
            </w:r>
          </w:p>
        </w:tc>
      </w:tr>
    </w:tbl>
    <w:p w14:paraId="17FE7F1F" w14:textId="77777777" w:rsidR="00E60F39" w:rsidRDefault="00E60F39" w:rsidP="00E60F39">
      <w:pPr>
        <w:spacing w:line="259" w:lineRule="auto"/>
        <w:jc w:val="both"/>
        <w:rPr>
          <w:rFonts w:cs="Times New Roman"/>
        </w:rPr>
      </w:pPr>
    </w:p>
    <w:p w14:paraId="1751EA1E" w14:textId="09722382" w:rsidR="00663729" w:rsidRPr="00663729" w:rsidRDefault="00663729" w:rsidP="00E60F39">
      <w:pPr>
        <w:spacing w:line="259" w:lineRule="auto"/>
        <w:jc w:val="both"/>
        <w:rPr>
          <w:rFonts w:cs="Times New Roman"/>
        </w:rPr>
      </w:pPr>
      <w:r w:rsidRPr="2A8A7BAD">
        <w:rPr>
          <w:rFonts w:cs="Times New Roman"/>
        </w:rPr>
        <w:t xml:space="preserve">As shown in </w:t>
      </w:r>
      <w:r w:rsidRPr="2A8A7BAD">
        <w:rPr>
          <w:rFonts w:cs="Times New Roman"/>
          <w:u w:val="single"/>
        </w:rPr>
        <w:t xml:space="preserve">Table </w:t>
      </w:r>
      <w:r w:rsidR="005C3A36" w:rsidRPr="2A8A7BAD">
        <w:rPr>
          <w:rFonts w:cs="Times New Roman"/>
          <w:u w:val="single"/>
        </w:rPr>
        <w:t>4</w:t>
      </w:r>
      <w:r w:rsidRPr="2A8A7BAD">
        <w:rPr>
          <w:rFonts w:cs="Times New Roman"/>
        </w:rPr>
        <w:t>, approximately 37% of BID Plymouth oncology patients reside in Plymouth. The remainder of patients</w:t>
      </w:r>
      <w:r w:rsidR="005C3A36" w:rsidRPr="2A8A7BAD">
        <w:rPr>
          <w:rFonts w:cs="Times New Roman"/>
        </w:rPr>
        <w:t xml:space="preserve"> (approximately 38%)</w:t>
      </w:r>
      <w:r w:rsidRPr="2A8A7BAD">
        <w:rPr>
          <w:rFonts w:cs="Times New Roman"/>
        </w:rPr>
        <w:t xml:space="preserve"> </w:t>
      </w:r>
      <w:r w:rsidR="005C3A36" w:rsidRPr="2A8A7BAD">
        <w:rPr>
          <w:rFonts w:cs="Times New Roman"/>
        </w:rPr>
        <w:t>come</w:t>
      </w:r>
      <w:r w:rsidRPr="2A8A7BAD">
        <w:rPr>
          <w:rFonts w:cs="Times New Roman"/>
        </w:rPr>
        <w:t xml:space="preserve"> </w:t>
      </w:r>
      <w:r w:rsidR="22356D19" w:rsidRPr="2A8A7BAD">
        <w:rPr>
          <w:rFonts w:cs="Times New Roman"/>
        </w:rPr>
        <w:t xml:space="preserve">from </w:t>
      </w:r>
      <w:r w:rsidRPr="2A8A7BAD">
        <w:rPr>
          <w:rFonts w:cs="Times New Roman"/>
        </w:rPr>
        <w:t>other towns in Plymouth County</w:t>
      </w:r>
      <w:r w:rsidR="005C3A36" w:rsidRPr="2A8A7BAD">
        <w:rPr>
          <w:rFonts w:cs="Times New Roman"/>
        </w:rPr>
        <w:t xml:space="preserve"> and</w:t>
      </w:r>
      <w:r w:rsidRPr="2A8A7BAD">
        <w:rPr>
          <w:rFonts w:cs="Times New Roman"/>
        </w:rPr>
        <w:t xml:space="preserve"> Barnstable</w:t>
      </w:r>
      <w:r w:rsidR="00E60F39" w:rsidRPr="2A8A7BAD">
        <w:rPr>
          <w:rFonts w:cs="Times New Roman"/>
        </w:rPr>
        <w:t xml:space="preserve"> </w:t>
      </w:r>
      <w:r w:rsidRPr="2A8A7BAD">
        <w:rPr>
          <w:rFonts w:cs="Times New Roman"/>
        </w:rPr>
        <w:t>County</w:t>
      </w:r>
      <w:r w:rsidR="005C3A36" w:rsidRPr="2A8A7BAD">
        <w:rPr>
          <w:rFonts w:cs="Times New Roman"/>
        </w:rPr>
        <w:t>.</w:t>
      </w:r>
    </w:p>
    <w:p w14:paraId="19DC1432" w14:textId="504C52E4" w:rsidR="00EE084F" w:rsidRDefault="0031733F" w:rsidP="00EE084F">
      <w:pPr>
        <w:pStyle w:val="ListParagraph"/>
        <w:numPr>
          <w:ilvl w:val="0"/>
          <w:numId w:val="7"/>
        </w:numPr>
        <w:spacing w:after="120" w:line="240" w:lineRule="auto"/>
        <w:ind w:left="-90"/>
        <w:rPr>
          <w:rFonts w:cs="Times New Roman"/>
        </w:rPr>
      </w:pPr>
      <w:r>
        <w:rPr>
          <w:rFonts w:cs="Times New Roman"/>
        </w:rPr>
        <w:t>Quincy Satellite</w:t>
      </w:r>
      <w:r w:rsidR="00394AD2">
        <w:rPr>
          <w:rFonts w:cs="Times New Roman"/>
        </w:rPr>
        <w:t xml:space="preserve"> </w:t>
      </w:r>
      <w:r w:rsidR="00033DDD">
        <w:rPr>
          <w:rFonts w:cs="Times New Roman"/>
        </w:rPr>
        <w:t>Patient Panel</w:t>
      </w:r>
      <w:r w:rsidR="00394AD2">
        <w:rPr>
          <w:rFonts w:cs="Times New Roman"/>
        </w:rPr>
        <w:t xml:space="preserve"> </w:t>
      </w:r>
    </w:p>
    <w:p w14:paraId="5979E55A" w14:textId="34608969" w:rsidR="00EE084F" w:rsidRDefault="00EE084F" w:rsidP="00EE084F">
      <w:pPr>
        <w:pStyle w:val="ListParagraph"/>
        <w:spacing w:after="120" w:line="240" w:lineRule="auto"/>
        <w:ind w:left="-90"/>
        <w:rPr>
          <w:rFonts w:cs="Times New Roman"/>
        </w:rPr>
      </w:pPr>
    </w:p>
    <w:p w14:paraId="5735EB3D" w14:textId="57549753" w:rsidR="00D9345D" w:rsidRDefault="00EB1034" w:rsidP="00E60F39">
      <w:pPr>
        <w:pStyle w:val="ListParagraph"/>
        <w:spacing w:after="120" w:line="240" w:lineRule="auto"/>
        <w:ind w:left="-90"/>
        <w:jc w:val="both"/>
        <w:rPr>
          <w:rFonts w:cs="Times New Roman"/>
        </w:rPr>
      </w:pPr>
      <w:r w:rsidRPr="2A8A7BAD">
        <w:rPr>
          <w:rFonts w:cs="Times New Roman"/>
        </w:rPr>
        <w:t xml:space="preserve">As shown in </w:t>
      </w:r>
      <w:r w:rsidRPr="2A8A7BAD">
        <w:rPr>
          <w:rFonts w:cs="Times New Roman"/>
          <w:u w:val="single"/>
        </w:rPr>
        <w:t xml:space="preserve">Table </w:t>
      </w:r>
      <w:r w:rsidR="00035F95">
        <w:rPr>
          <w:rFonts w:cs="Times New Roman"/>
          <w:u w:val="single"/>
        </w:rPr>
        <w:t>5</w:t>
      </w:r>
      <w:r w:rsidRPr="2A8A7BAD">
        <w:rPr>
          <w:rFonts w:cs="Times New Roman"/>
        </w:rPr>
        <w:t xml:space="preserve">, in FY23, BILHPC Quincy </w:t>
      </w:r>
      <w:r w:rsidR="00AF68BA" w:rsidRPr="2A8A7BAD">
        <w:rPr>
          <w:rFonts w:cs="Times New Roman"/>
        </w:rPr>
        <w:t>Square</w:t>
      </w:r>
      <w:r w:rsidR="00FC1749" w:rsidRPr="2A8A7BAD">
        <w:rPr>
          <w:rFonts w:cs="Times New Roman"/>
        </w:rPr>
        <w:t>’</w:t>
      </w:r>
      <w:r w:rsidR="00AF68BA" w:rsidRPr="2A8A7BAD">
        <w:rPr>
          <w:rFonts w:cs="Times New Roman"/>
        </w:rPr>
        <w:t>s</w:t>
      </w:r>
      <w:r w:rsidR="00035F95">
        <w:rPr>
          <w:rFonts w:cs="Times New Roman"/>
        </w:rPr>
        <w:t xml:space="preserve"> primary care</w:t>
      </w:r>
      <w:r w:rsidRPr="2A8A7BAD">
        <w:rPr>
          <w:rFonts w:cs="Times New Roman"/>
        </w:rPr>
        <w:t xml:space="preserve"> patient panel included </w:t>
      </w:r>
      <w:r w:rsidR="00035F95">
        <w:rPr>
          <w:rFonts w:cs="Times New Roman"/>
        </w:rPr>
        <w:t>2,867</w:t>
      </w:r>
      <w:r w:rsidRPr="2A8A7BAD">
        <w:rPr>
          <w:rFonts w:cs="Times New Roman"/>
        </w:rPr>
        <w:t xml:space="preserve"> unique patients, up 97% from FY2</w:t>
      </w:r>
      <w:r w:rsidR="00035F95">
        <w:rPr>
          <w:rFonts w:cs="Times New Roman"/>
        </w:rPr>
        <w:t>1</w:t>
      </w:r>
      <w:r w:rsidRPr="2A8A7BAD">
        <w:rPr>
          <w:rFonts w:cs="Times New Roman"/>
        </w:rPr>
        <w:t xml:space="preserve">. Patients aged 18-64 were the largest patient cohort, </w:t>
      </w:r>
      <w:r w:rsidR="00AF68BA" w:rsidRPr="2A8A7BAD">
        <w:rPr>
          <w:rFonts w:cs="Times New Roman"/>
        </w:rPr>
        <w:t>comprising</w:t>
      </w:r>
      <w:r w:rsidRPr="2A8A7BAD">
        <w:rPr>
          <w:rFonts w:cs="Times New Roman"/>
        </w:rPr>
        <w:t xml:space="preserve"> </w:t>
      </w:r>
      <w:r w:rsidR="00035F95">
        <w:rPr>
          <w:rFonts w:cs="Times New Roman"/>
        </w:rPr>
        <w:t xml:space="preserve">approximately </w:t>
      </w:r>
      <w:r w:rsidRPr="2A8A7BAD">
        <w:rPr>
          <w:rFonts w:cs="Times New Roman"/>
        </w:rPr>
        <w:t xml:space="preserve">75% of unique patients. An additional 20% of patients were 65+. Patients aged 0-18 accounted for 5% of unique patients in FY23. 75% of patients were female, compared to 25% male. </w:t>
      </w:r>
      <w:r w:rsidR="00035F95">
        <w:rPr>
          <w:rFonts w:cs="Times New Roman"/>
        </w:rPr>
        <w:t xml:space="preserve">Approximately </w:t>
      </w:r>
      <w:r w:rsidRPr="2A8A7BAD">
        <w:rPr>
          <w:rFonts w:cs="Times New Roman"/>
        </w:rPr>
        <w:t xml:space="preserve">39% of patients self-identified as White, </w:t>
      </w:r>
      <w:r w:rsidR="00AF68BA" w:rsidRPr="2A8A7BAD">
        <w:rPr>
          <w:rFonts w:cs="Times New Roman"/>
        </w:rPr>
        <w:t>while</w:t>
      </w:r>
      <w:r w:rsidRPr="2A8A7BAD">
        <w:rPr>
          <w:rFonts w:cs="Times New Roman"/>
        </w:rPr>
        <w:t xml:space="preserve"> </w:t>
      </w:r>
      <w:r w:rsidR="00035F95">
        <w:rPr>
          <w:rFonts w:cs="Times New Roman"/>
        </w:rPr>
        <w:t>4</w:t>
      </w:r>
      <w:r w:rsidRPr="2A8A7BAD">
        <w:rPr>
          <w:rFonts w:cs="Times New Roman"/>
        </w:rPr>
        <w:t>% identified as Hispanic or Latino, and 7% identified as Black/African American.</w:t>
      </w:r>
      <w:r w:rsidR="005C3A36" w:rsidRPr="2A8A7BAD">
        <w:rPr>
          <w:rFonts w:cs="Times New Roman"/>
        </w:rPr>
        <w:t xml:space="preserve"> </w:t>
      </w:r>
      <w:r w:rsidRPr="2A8A7BAD">
        <w:rPr>
          <w:rFonts w:cs="Times New Roman"/>
        </w:rPr>
        <w:t xml:space="preserve">Approximately 57% of patients were covered by a commercial insurance plan, compared to 13.9% who were insured through Medicare, 27% through Medicaid, and 2% who had another source of coverage. </w:t>
      </w:r>
      <w:r w:rsidR="79220B0C" w:rsidRPr="2A8A7BAD">
        <w:rPr>
          <w:rFonts w:cs="Times New Roman"/>
        </w:rPr>
        <w:t xml:space="preserve">All services in the current Quincy Square site will relocate to the new Quincy Satellite when it opens. </w:t>
      </w:r>
      <w:r w:rsidRPr="2A8A7BAD">
        <w:rPr>
          <w:rFonts w:cs="Times New Roman"/>
        </w:rPr>
        <w:t xml:space="preserve">The new Quincy </w:t>
      </w:r>
      <w:r w:rsidR="00041DA8" w:rsidRPr="2A8A7BAD">
        <w:rPr>
          <w:rFonts w:cs="Times New Roman"/>
        </w:rPr>
        <w:t>Satellite</w:t>
      </w:r>
      <w:r w:rsidRPr="2A8A7BAD">
        <w:rPr>
          <w:rFonts w:cs="Times New Roman"/>
        </w:rPr>
        <w:t xml:space="preserve"> will offer </w:t>
      </w:r>
      <w:r w:rsidR="00AC0FEB">
        <w:rPr>
          <w:rFonts w:cs="Times New Roman"/>
        </w:rPr>
        <w:t>broader</w:t>
      </w:r>
      <w:r w:rsidRPr="2A8A7BAD">
        <w:rPr>
          <w:rFonts w:cs="Times New Roman"/>
        </w:rPr>
        <w:t xml:space="preserve"> services in a larger space, and therefore, the Applicant anticipates a larger</w:t>
      </w:r>
      <w:r w:rsidR="00AC0FEB">
        <w:rPr>
          <w:rFonts w:cs="Times New Roman"/>
        </w:rPr>
        <w:t xml:space="preserve"> </w:t>
      </w:r>
      <w:r w:rsidRPr="2A8A7BAD">
        <w:rPr>
          <w:rFonts w:cs="Times New Roman"/>
        </w:rPr>
        <w:t xml:space="preserve">and </w:t>
      </w:r>
      <w:r w:rsidR="00AC0FEB">
        <w:rPr>
          <w:rFonts w:cs="Times New Roman"/>
        </w:rPr>
        <w:t xml:space="preserve">more </w:t>
      </w:r>
      <w:r w:rsidRPr="2A8A7BAD">
        <w:rPr>
          <w:rFonts w:cs="Times New Roman"/>
        </w:rPr>
        <w:t>diverse patient panel at this location compared to the patient panel data available for purposes of this Application.</w:t>
      </w:r>
    </w:p>
    <w:p w14:paraId="563BB083" w14:textId="77777777" w:rsidR="00D9345D" w:rsidRDefault="00D9345D" w:rsidP="00E60F39">
      <w:pPr>
        <w:pStyle w:val="ListParagraph"/>
        <w:spacing w:after="120" w:line="240" w:lineRule="auto"/>
        <w:ind w:left="-90"/>
        <w:jc w:val="both"/>
        <w:rPr>
          <w:rFonts w:cs="Times New Roman"/>
        </w:rPr>
      </w:pPr>
    </w:p>
    <w:p w14:paraId="17219AB0" w14:textId="761E7122" w:rsidR="002C135B" w:rsidRDefault="00D9345D" w:rsidP="00E60F39">
      <w:pPr>
        <w:pStyle w:val="ListParagraph"/>
        <w:spacing w:after="120" w:line="240" w:lineRule="auto"/>
        <w:ind w:left="-90"/>
        <w:jc w:val="both"/>
        <w:rPr>
          <w:rFonts w:cs="Times New Roman"/>
        </w:rPr>
      </w:pPr>
      <w:r w:rsidRPr="2A8A7BAD">
        <w:rPr>
          <w:rFonts w:cs="Times New Roman"/>
        </w:rPr>
        <w:t xml:space="preserve">As shown below in </w:t>
      </w:r>
      <w:r w:rsidRPr="2A8A7BAD">
        <w:rPr>
          <w:rFonts w:cs="Times New Roman"/>
          <w:u w:val="single"/>
        </w:rPr>
        <w:t xml:space="preserve">Table </w:t>
      </w:r>
      <w:r w:rsidR="005C3A36" w:rsidRPr="2A8A7BAD">
        <w:rPr>
          <w:rFonts w:cs="Times New Roman"/>
          <w:u w:val="single"/>
        </w:rPr>
        <w:t>7</w:t>
      </w:r>
      <w:r w:rsidRPr="2A8A7BAD">
        <w:rPr>
          <w:rFonts w:cs="Times New Roman"/>
        </w:rPr>
        <w:t>, in FY23, BILH</w:t>
      </w:r>
      <w:r w:rsidR="00E60F39" w:rsidRPr="2A8A7BAD">
        <w:rPr>
          <w:rFonts w:cs="Times New Roman"/>
        </w:rPr>
        <w:t xml:space="preserve"> Urgent Care Quincy</w:t>
      </w:r>
      <w:r w:rsidR="00FC1749" w:rsidRPr="2A8A7BAD">
        <w:rPr>
          <w:rFonts w:cs="Times New Roman"/>
        </w:rPr>
        <w:t>’</w:t>
      </w:r>
      <w:r w:rsidRPr="2A8A7BAD">
        <w:rPr>
          <w:rFonts w:cs="Times New Roman"/>
        </w:rPr>
        <w:t>s overall patient panel included 14,228 patient encounters, up significantly from FY21. Utilization of patients aged 18</w:t>
      </w:r>
      <w:r w:rsidR="00AC0FEB">
        <w:rPr>
          <w:rFonts w:cs="Times New Roman"/>
        </w:rPr>
        <w:t>-</w:t>
      </w:r>
      <w:r w:rsidRPr="2A8A7BAD">
        <w:rPr>
          <w:rFonts w:cs="Times New Roman"/>
        </w:rPr>
        <w:t xml:space="preserve">64 was the highest at 67%. Patients 65+ years of age were the next highest </w:t>
      </w:r>
      <w:r w:rsidR="00E60F39" w:rsidRPr="2A8A7BAD">
        <w:rPr>
          <w:rFonts w:cs="Times New Roman"/>
        </w:rPr>
        <w:t xml:space="preserve">cohort </w:t>
      </w:r>
      <w:r w:rsidRPr="2A8A7BAD">
        <w:rPr>
          <w:rFonts w:cs="Times New Roman"/>
        </w:rPr>
        <w:t>comprising just under 24% of total encounters.</w:t>
      </w:r>
      <w:r w:rsidR="00E60F39" w:rsidRPr="2A8A7BAD">
        <w:rPr>
          <w:rFonts w:cs="Times New Roman"/>
        </w:rPr>
        <w:t xml:space="preserve"> BILH Urgent Care Quincy </w:t>
      </w:r>
      <w:r w:rsidRPr="2A8A7BAD">
        <w:rPr>
          <w:rFonts w:cs="Times New Roman"/>
        </w:rPr>
        <w:t xml:space="preserve">did not capture gender or race statistics. Approximately 51% of patient encounters were </w:t>
      </w:r>
      <w:r w:rsidRPr="2A8A7BAD">
        <w:rPr>
          <w:rFonts w:cs="Times New Roman"/>
        </w:rPr>
        <w:lastRenderedPageBreak/>
        <w:t xml:space="preserve">covered by a commercial insurance plan, compared to approximately 23% that were insured through Medicare, 16% through Medicaid, and 10% that had another source of coverage. </w:t>
      </w:r>
    </w:p>
    <w:p w14:paraId="259E8960" w14:textId="77777777" w:rsidR="002C135B" w:rsidRPr="002C135B" w:rsidRDefault="002C135B" w:rsidP="002C135B">
      <w:pPr>
        <w:pStyle w:val="ListParagraph"/>
        <w:spacing w:after="120" w:line="240" w:lineRule="auto"/>
        <w:ind w:left="-90"/>
        <w:rPr>
          <w:rFonts w:cs="Times New Roman"/>
        </w:rPr>
      </w:pPr>
    </w:p>
    <w:p w14:paraId="65E0D525" w14:textId="148AA5B5" w:rsidR="00D32413" w:rsidRPr="00126578" w:rsidRDefault="00D32413" w:rsidP="00126578">
      <w:pPr>
        <w:pStyle w:val="ListParagraph"/>
        <w:spacing w:after="120" w:line="240" w:lineRule="auto"/>
        <w:ind w:left="-90"/>
        <w:jc w:val="center"/>
        <w:rPr>
          <w:rFonts w:cs="Times New Roman"/>
        </w:rPr>
      </w:pPr>
      <w:r w:rsidRPr="001A74E7">
        <w:rPr>
          <w:rFonts w:cs="Times New Roman"/>
          <w:b/>
          <w:bCs/>
        </w:rPr>
        <w:t xml:space="preserve">Table </w:t>
      </w:r>
      <w:r w:rsidR="005C3A36">
        <w:rPr>
          <w:rFonts w:cs="Times New Roman"/>
          <w:b/>
          <w:bCs/>
        </w:rPr>
        <w:t>5</w:t>
      </w:r>
    </w:p>
    <w:p w14:paraId="7D5DDE54" w14:textId="3A59B9AA" w:rsidR="00D32413" w:rsidRDefault="00D32413" w:rsidP="00D32413">
      <w:pPr>
        <w:spacing w:after="120" w:line="240" w:lineRule="auto"/>
        <w:jc w:val="center"/>
        <w:rPr>
          <w:rFonts w:cs="Times New Roman"/>
          <w:b/>
          <w:bCs/>
        </w:rPr>
      </w:pPr>
      <w:r>
        <w:rPr>
          <w:rFonts w:cs="Times New Roman"/>
          <w:b/>
          <w:bCs/>
        </w:rPr>
        <w:t>Quincy</w:t>
      </w:r>
      <w:r w:rsidRPr="000153E7">
        <w:rPr>
          <w:rFonts w:cs="Times New Roman"/>
          <w:b/>
          <w:bCs/>
        </w:rPr>
        <w:t xml:space="preserve"> Patient Panel Demographics</w:t>
      </w:r>
      <w:r w:rsidR="00394AD2">
        <w:rPr>
          <w:rFonts w:cs="Times New Roman"/>
          <w:b/>
          <w:bCs/>
        </w:rPr>
        <w:t xml:space="preserve"> (Primary Care)</w:t>
      </w:r>
      <w:r w:rsidR="003A1F1E">
        <w:rPr>
          <w:rStyle w:val="FootnoteReference"/>
          <w:rFonts w:cs="Times New Roman"/>
          <w:b/>
          <w:bCs/>
        </w:rPr>
        <w:footnoteReference w:id="3"/>
      </w:r>
    </w:p>
    <w:tbl>
      <w:tblPr>
        <w:tblStyle w:val="ListTable2-Accent3"/>
        <w:tblW w:w="0" w:type="auto"/>
        <w:jc w:val="center"/>
        <w:tblBorders>
          <w:top w:val="none" w:sz="0" w:space="0" w:color="auto"/>
          <w:bottom w:val="none" w:sz="0" w:space="0" w:color="auto"/>
          <w:insideH w:val="none" w:sz="0" w:space="0" w:color="auto"/>
        </w:tblBorders>
        <w:tblLook w:val="04A0" w:firstRow="1" w:lastRow="0" w:firstColumn="1" w:lastColumn="0" w:noHBand="0" w:noVBand="1"/>
      </w:tblPr>
      <w:tblGrid>
        <w:gridCol w:w="3780"/>
        <w:gridCol w:w="883"/>
        <w:gridCol w:w="17"/>
        <w:gridCol w:w="872"/>
        <w:gridCol w:w="883"/>
        <w:gridCol w:w="17"/>
        <w:gridCol w:w="872"/>
        <w:gridCol w:w="883"/>
        <w:gridCol w:w="17"/>
        <w:gridCol w:w="872"/>
      </w:tblGrid>
      <w:tr w:rsidR="00C45717" w:rsidRPr="002F3133" w14:paraId="49A48690" w14:textId="77777777" w:rsidTr="00C45717">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2DCB8E99" w14:textId="77777777" w:rsidR="00C45717" w:rsidRPr="002F3133" w:rsidRDefault="00C45717" w:rsidP="009F6D8E">
            <w:pPr>
              <w:spacing w:beforeLines="20" w:before="48" w:line="240" w:lineRule="auto"/>
              <w:rPr>
                <w:rFonts w:cs="Times New Roman"/>
                <w:sz w:val="20"/>
                <w:szCs w:val="20"/>
              </w:rPr>
            </w:pPr>
          </w:p>
        </w:tc>
        <w:tc>
          <w:tcPr>
            <w:tcW w:w="883" w:type="dxa"/>
            <w:tcBorders>
              <w:bottom w:val="single" w:sz="4" w:space="0" w:color="auto"/>
            </w:tcBorders>
            <w:shd w:val="clear" w:color="auto" w:fill="auto"/>
          </w:tcPr>
          <w:p w14:paraId="14E228BF" w14:textId="77777777" w:rsidR="00C45717" w:rsidRPr="002F3133" w:rsidRDefault="00C45717" w:rsidP="009F6D8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FY2021</w:t>
            </w:r>
          </w:p>
        </w:tc>
        <w:tc>
          <w:tcPr>
            <w:tcW w:w="855" w:type="dxa"/>
            <w:gridSpan w:val="2"/>
            <w:tcBorders>
              <w:bottom w:val="single" w:sz="4" w:space="0" w:color="auto"/>
            </w:tcBorders>
            <w:shd w:val="clear" w:color="auto" w:fill="auto"/>
          </w:tcPr>
          <w:p w14:paraId="752A6057" w14:textId="4C96D638" w:rsidR="00C45717" w:rsidRPr="002F3133" w:rsidRDefault="00C45717" w:rsidP="009F6D8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FY2021</w:t>
            </w:r>
          </w:p>
        </w:tc>
        <w:tc>
          <w:tcPr>
            <w:tcW w:w="883" w:type="dxa"/>
            <w:tcBorders>
              <w:bottom w:val="single" w:sz="4" w:space="0" w:color="auto"/>
            </w:tcBorders>
            <w:shd w:val="clear" w:color="auto" w:fill="auto"/>
          </w:tcPr>
          <w:p w14:paraId="4E5BB743" w14:textId="77777777" w:rsidR="00C45717" w:rsidRPr="002F3133" w:rsidRDefault="00C45717" w:rsidP="009F6D8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FY2022</w:t>
            </w:r>
          </w:p>
        </w:tc>
        <w:tc>
          <w:tcPr>
            <w:tcW w:w="855" w:type="dxa"/>
            <w:gridSpan w:val="2"/>
            <w:tcBorders>
              <w:bottom w:val="single" w:sz="4" w:space="0" w:color="auto"/>
            </w:tcBorders>
            <w:shd w:val="clear" w:color="auto" w:fill="auto"/>
          </w:tcPr>
          <w:p w14:paraId="75BEE4DC" w14:textId="095A9106" w:rsidR="00C45717" w:rsidRPr="002F3133" w:rsidRDefault="00C45717" w:rsidP="009F6D8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FY2022</w:t>
            </w:r>
          </w:p>
        </w:tc>
        <w:tc>
          <w:tcPr>
            <w:tcW w:w="854" w:type="dxa"/>
            <w:tcBorders>
              <w:bottom w:val="single" w:sz="4" w:space="0" w:color="auto"/>
            </w:tcBorders>
            <w:shd w:val="clear" w:color="auto" w:fill="auto"/>
          </w:tcPr>
          <w:p w14:paraId="2399E4E2" w14:textId="77777777" w:rsidR="00C45717" w:rsidRPr="002F3133" w:rsidRDefault="00C45717" w:rsidP="009F6D8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FY2023</w:t>
            </w:r>
          </w:p>
        </w:tc>
        <w:tc>
          <w:tcPr>
            <w:tcW w:w="855" w:type="dxa"/>
            <w:gridSpan w:val="2"/>
            <w:tcBorders>
              <w:bottom w:val="single" w:sz="4" w:space="0" w:color="auto"/>
            </w:tcBorders>
            <w:shd w:val="clear" w:color="auto" w:fill="auto"/>
          </w:tcPr>
          <w:p w14:paraId="375EC47B" w14:textId="3ABBF30C" w:rsidR="00C45717" w:rsidRPr="002F3133" w:rsidRDefault="00C45717" w:rsidP="009F6D8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FY2023</w:t>
            </w:r>
          </w:p>
        </w:tc>
      </w:tr>
      <w:tr w:rsidR="00EF1992" w:rsidRPr="002F3133" w14:paraId="5010BDCF" w14:textId="77777777" w:rsidTr="00C45717">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7CB2106" w14:textId="77777777" w:rsidR="00EF1992" w:rsidRPr="002F3133" w:rsidRDefault="00EF1992" w:rsidP="009F6D8E">
            <w:pPr>
              <w:spacing w:beforeLines="20" w:before="48" w:line="240" w:lineRule="auto"/>
              <w:rPr>
                <w:rFonts w:cs="Times New Roman"/>
                <w:b w:val="0"/>
                <w:bCs w:val="0"/>
                <w:sz w:val="20"/>
                <w:szCs w:val="20"/>
              </w:rPr>
            </w:pPr>
          </w:p>
        </w:tc>
        <w:tc>
          <w:tcPr>
            <w:tcW w:w="900" w:type="dxa"/>
            <w:gridSpan w:val="2"/>
            <w:tcBorders>
              <w:top w:val="single" w:sz="4" w:space="0" w:color="auto"/>
              <w:bottom w:val="single" w:sz="4" w:space="0" w:color="auto"/>
            </w:tcBorders>
            <w:shd w:val="clear" w:color="auto" w:fill="auto"/>
          </w:tcPr>
          <w:p w14:paraId="56BEAD6F" w14:textId="77777777" w:rsidR="00EF1992" w:rsidRPr="002F3133" w:rsidRDefault="00EF1992" w:rsidP="009F6D8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Count</w:t>
            </w:r>
          </w:p>
        </w:tc>
        <w:tc>
          <w:tcPr>
            <w:tcW w:w="838" w:type="dxa"/>
            <w:tcBorders>
              <w:top w:val="single" w:sz="4" w:space="0" w:color="auto"/>
              <w:bottom w:val="single" w:sz="4" w:space="0" w:color="auto"/>
            </w:tcBorders>
            <w:shd w:val="clear" w:color="auto" w:fill="auto"/>
          </w:tcPr>
          <w:p w14:paraId="6C105563" w14:textId="77777777" w:rsidR="00EF1992" w:rsidRPr="002F3133" w:rsidRDefault="00EF1992" w:rsidP="009F6D8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w:t>
            </w:r>
          </w:p>
        </w:tc>
        <w:tc>
          <w:tcPr>
            <w:tcW w:w="900" w:type="dxa"/>
            <w:gridSpan w:val="2"/>
            <w:tcBorders>
              <w:top w:val="single" w:sz="4" w:space="0" w:color="auto"/>
              <w:bottom w:val="single" w:sz="4" w:space="0" w:color="auto"/>
            </w:tcBorders>
            <w:shd w:val="clear" w:color="auto" w:fill="auto"/>
          </w:tcPr>
          <w:p w14:paraId="49A89D8B" w14:textId="77777777" w:rsidR="00EF1992" w:rsidRPr="002F3133" w:rsidRDefault="00EF1992" w:rsidP="009F6D8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Count</w:t>
            </w:r>
          </w:p>
        </w:tc>
        <w:tc>
          <w:tcPr>
            <w:tcW w:w="838" w:type="dxa"/>
            <w:tcBorders>
              <w:top w:val="single" w:sz="4" w:space="0" w:color="auto"/>
              <w:bottom w:val="single" w:sz="4" w:space="0" w:color="auto"/>
            </w:tcBorders>
            <w:shd w:val="clear" w:color="auto" w:fill="auto"/>
          </w:tcPr>
          <w:p w14:paraId="64B0AA98" w14:textId="77777777" w:rsidR="00EF1992" w:rsidRPr="002F3133" w:rsidRDefault="00EF1992" w:rsidP="009F6D8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w:t>
            </w:r>
          </w:p>
        </w:tc>
        <w:tc>
          <w:tcPr>
            <w:tcW w:w="871" w:type="dxa"/>
            <w:gridSpan w:val="2"/>
            <w:tcBorders>
              <w:top w:val="single" w:sz="4" w:space="0" w:color="auto"/>
              <w:bottom w:val="single" w:sz="4" w:space="0" w:color="auto"/>
            </w:tcBorders>
            <w:shd w:val="clear" w:color="auto" w:fill="auto"/>
          </w:tcPr>
          <w:p w14:paraId="688D85E6" w14:textId="77777777" w:rsidR="00EF1992" w:rsidRPr="002F3133" w:rsidRDefault="00EF1992" w:rsidP="009F6D8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Count</w:t>
            </w:r>
          </w:p>
        </w:tc>
        <w:tc>
          <w:tcPr>
            <w:tcW w:w="838" w:type="dxa"/>
            <w:tcBorders>
              <w:top w:val="single" w:sz="4" w:space="0" w:color="auto"/>
              <w:bottom w:val="single" w:sz="4" w:space="0" w:color="auto"/>
            </w:tcBorders>
            <w:shd w:val="clear" w:color="auto" w:fill="auto"/>
          </w:tcPr>
          <w:p w14:paraId="1856ABFD" w14:textId="77777777" w:rsidR="00EF1992" w:rsidRPr="002F3133" w:rsidRDefault="00EF1992" w:rsidP="009F6D8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w:t>
            </w:r>
          </w:p>
        </w:tc>
      </w:tr>
      <w:tr w:rsidR="002F3133" w:rsidRPr="008A05D6" w14:paraId="0C1E0CD6" w14:textId="77777777" w:rsidTr="00C4571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0B1737D8" w14:textId="44FA55DF" w:rsidR="002F3133" w:rsidRPr="008A05D6" w:rsidRDefault="002F3133" w:rsidP="002F3133">
            <w:pPr>
              <w:spacing w:beforeLines="20" w:before="48" w:line="240" w:lineRule="auto"/>
              <w:rPr>
                <w:rFonts w:cs="Times New Roman"/>
                <w:sz w:val="20"/>
                <w:szCs w:val="20"/>
              </w:rPr>
            </w:pPr>
            <w:r w:rsidRPr="008A05D6">
              <w:rPr>
                <w:rFonts w:cs="Times New Roman"/>
                <w:sz w:val="20"/>
                <w:szCs w:val="20"/>
              </w:rPr>
              <w:t>Total Unique Patients</w:t>
            </w:r>
          </w:p>
        </w:tc>
        <w:tc>
          <w:tcPr>
            <w:tcW w:w="900" w:type="dxa"/>
            <w:gridSpan w:val="2"/>
            <w:tcBorders>
              <w:top w:val="single" w:sz="4" w:space="0" w:color="auto"/>
              <w:bottom w:val="single" w:sz="4" w:space="0" w:color="auto"/>
            </w:tcBorders>
            <w:shd w:val="clear" w:color="auto" w:fill="auto"/>
          </w:tcPr>
          <w:p w14:paraId="14C5FDE3" w14:textId="1DA8A333" w:rsidR="002F3133" w:rsidRPr="008A05D6" w:rsidRDefault="002F3133" w:rsidP="002F3133">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8A05D6">
              <w:rPr>
                <w:rFonts w:cs="Times New Roman"/>
                <w:sz w:val="20"/>
                <w:szCs w:val="20"/>
              </w:rPr>
              <w:t>1,</w:t>
            </w:r>
            <w:r w:rsidR="008A05D6" w:rsidRPr="008A05D6">
              <w:rPr>
                <w:rFonts w:cs="Times New Roman"/>
                <w:sz w:val="20"/>
                <w:szCs w:val="20"/>
              </w:rPr>
              <w:t>458</w:t>
            </w:r>
          </w:p>
        </w:tc>
        <w:tc>
          <w:tcPr>
            <w:tcW w:w="838" w:type="dxa"/>
            <w:tcBorders>
              <w:top w:val="single" w:sz="4" w:space="0" w:color="auto"/>
              <w:bottom w:val="single" w:sz="4" w:space="0" w:color="auto"/>
            </w:tcBorders>
            <w:shd w:val="clear" w:color="auto" w:fill="auto"/>
          </w:tcPr>
          <w:p w14:paraId="0AA9AB95" w14:textId="7E2237B9" w:rsidR="002F3133" w:rsidRPr="008A05D6" w:rsidRDefault="002F3133" w:rsidP="002F3133">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8A05D6">
              <w:rPr>
                <w:rFonts w:cs="Times New Roman"/>
                <w:sz w:val="20"/>
                <w:szCs w:val="20"/>
              </w:rPr>
              <w:t>100.0%</w:t>
            </w:r>
          </w:p>
        </w:tc>
        <w:tc>
          <w:tcPr>
            <w:tcW w:w="900" w:type="dxa"/>
            <w:gridSpan w:val="2"/>
            <w:tcBorders>
              <w:top w:val="single" w:sz="4" w:space="0" w:color="auto"/>
              <w:bottom w:val="single" w:sz="4" w:space="0" w:color="auto"/>
            </w:tcBorders>
            <w:shd w:val="clear" w:color="auto" w:fill="auto"/>
          </w:tcPr>
          <w:p w14:paraId="2A283CDC" w14:textId="3A8B6873" w:rsidR="002F3133" w:rsidRPr="008A05D6" w:rsidRDefault="008A05D6" w:rsidP="002F3133">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8A05D6">
              <w:rPr>
                <w:rFonts w:cs="Times New Roman"/>
                <w:sz w:val="20"/>
                <w:szCs w:val="20"/>
              </w:rPr>
              <w:t>2</w:t>
            </w:r>
            <w:r w:rsidR="002F3133" w:rsidRPr="008A05D6">
              <w:rPr>
                <w:rFonts w:cs="Times New Roman"/>
                <w:sz w:val="20"/>
                <w:szCs w:val="20"/>
              </w:rPr>
              <w:t>,</w:t>
            </w:r>
            <w:r w:rsidRPr="008A05D6">
              <w:rPr>
                <w:rFonts w:cs="Times New Roman"/>
                <w:sz w:val="20"/>
                <w:szCs w:val="20"/>
              </w:rPr>
              <w:t>524</w:t>
            </w:r>
          </w:p>
        </w:tc>
        <w:tc>
          <w:tcPr>
            <w:tcW w:w="838" w:type="dxa"/>
            <w:tcBorders>
              <w:top w:val="single" w:sz="4" w:space="0" w:color="auto"/>
              <w:bottom w:val="single" w:sz="4" w:space="0" w:color="auto"/>
            </w:tcBorders>
            <w:shd w:val="clear" w:color="auto" w:fill="auto"/>
          </w:tcPr>
          <w:p w14:paraId="64B39392" w14:textId="01C0A1FB" w:rsidR="002F3133" w:rsidRPr="008A05D6" w:rsidRDefault="002F3133" w:rsidP="002F3133">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8A05D6">
              <w:rPr>
                <w:rFonts w:cs="Times New Roman"/>
                <w:sz w:val="20"/>
                <w:szCs w:val="20"/>
              </w:rPr>
              <w:t>100.0%</w:t>
            </w:r>
          </w:p>
        </w:tc>
        <w:tc>
          <w:tcPr>
            <w:tcW w:w="871" w:type="dxa"/>
            <w:gridSpan w:val="2"/>
            <w:tcBorders>
              <w:top w:val="single" w:sz="4" w:space="0" w:color="auto"/>
              <w:bottom w:val="single" w:sz="4" w:space="0" w:color="auto"/>
            </w:tcBorders>
            <w:shd w:val="clear" w:color="auto" w:fill="auto"/>
          </w:tcPr>
          <w:p w14:paraId="58312519" w14:textId="11B254FA" w:rsidR="002F3133" w:rsidRPr="008A05D6" w:rsidRDefault="008A05D6" w:rsidP="002F3133">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2,867</w:t>
            </w:r>
          </w:p>
        </w:tc>
        <w:tc>
          <w:tcPr>
            <w:tcW w:w="838" w:type="dxa"/>
            <w:tcBorders>
              <w:top w:val="single" w:sz="4" w:space="0" w:color="auto"/>
              <w:bottom w:val="single" w:sz="4" w:space="0" w:color="auto"/>
            </w:tcBorders>
            <w:shd w:val="clear" w:color="auto" w:fill="auto"/>
          </w:tcPr>
          <w:p w14:paraId="706920D9" w14:textId="5612D1B4" w:rsidR="002F3133" w:rsidRPr="008A05D6" w:rsidRDefault="002F3133" w:rsidP="002F3133">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8A05D6">
              <w:rPr>
                <w:rFonts w:cs="Times New Roman"/>
                <w:sz w:val="20"/>
                <w:szCs w:val="20"/>
              </w:rPr>
              <w:t>100.0%</w:t>
            </w:r>
          </w:p>
        </w:tc>
      </w:tr>
      <w:tr w:rsidR="009F6D8E" w:rsidRPr="008A05D6" w14:paraId="31D4D4EC" w14:textId="77777777" w:rsidTr="00C45717">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2D4E912E" w14:textId="77777777" w:rsidR="00EF1992" w:rsidRPr="008A05D6" w:rsidRDefault="00EF1992" w:rsidP="009F6D8E">
            <w:pPr>
              <w:spacing w:beforeLines="20" w:before="48" w:line="240" w:lineRule="auto"/>
              <w:rPr>
                <w:rFonts w:cs="Times New Roman"/>
                <w:sz w:val="20"/>
                <w:szCs w:val="20"/>
              </w:rPr>
            </w:pPr>
            <w:r w:rsidRPr="008A05D6">
              <w:rPr>
                <w:rFonts w:cs="Times New Roman"/>
                <w:sz w:val="20"/>
                <w:szCs w:val="20"/>
              </w:rPr>
              <w:t>Gender</w:t>
            </w:r>
          </w:p>
        </w:tc>
        <w:tc>
          <w:tcPr>
            <w:tcW w:w="900" w:type="dxa"/>
            <w:gridSpan w:val="2"/>
            <w:tcBorders>
              <w:top w:val="single" w:sz="4" w:space="0" w:color="auto"/>
            </w:tcBorders>
            <w:shd w:val="clear" w:color="auto" w:fill="auto"/>
          </w:tcPr>
          <w:p w14:paraId="3A246987"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38" w:type="dxa"/>
            <w:tcBorders>
              <w:top w:val="single" w:sz="4" w:space="0" w:color="auto"/>
            </w:tcBorders>
            <w:shd w:val="clear" w:color="auto" w:fill="auto"/>
          </w:tcPr>
          <w:p w14:paraId="21F13563"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00" w:type="dxa"/>
            <w:gridSpan w:val="2"/>
            <w:tcBorders>
              <w:top w:val="single" w:sz="4" w:space="0" w:color="auto"/>
            </w:tcBorders>
            <w:shd w:val="clear" w:color="auto" w:fill="auto"/>
          </w:tcPr>
          <w:p w14:paraId="3D99EC89"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38" w:type="dxa"/>
            <w:tcBorders>
              <w:top w:val="single" w:sz="4" w:space="0" w:color="auto"/>
            </w:tcBorders>
            <w:shd w:val="clear" w:color="auto" w:fill="auto"/>
          </w:tcPr>
          <w:p w14:paraId="551407E1"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gridSpan w:val="2"/>
            <w:tcBorders>
              <w:top w:val="single" w:sz="4" w:space="0" w:color="auto"/>
            </w:tcBorders>
            <w:shd w:val="clear" w:color="auto" w:fill="auto"/>
          </w:tcPr>
          <w:p w14:paraId="7C7F20D8"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38" w:type="dxa"/>
            <w:tcBorders>
              <w:top w:val="single" w:sz="4" w:space="0" w:color="auto"/>
            </w:tcBorders>
            <w:shd w:val="clear" w:color="auto" w:fill="auto"/>
          </w:tcPr>
          <w:p w14:paraId="341C0411"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EF1992" w:rsidRPr="008A05D6" w14:paraId="2B9236B0" w14:textId="77777777" w:rsidTr="00C4571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CF925EB" w14:textId="77777777" w:rsidR="00EF1992" w:rsidRPr="008A05D6" w:rsidRDefault="00EF1992" w:rsidP="009F6D8E">
            <w:pPr>
              <w:spacing w:beforeLines="20" w:before="48" w:line="240" w:lineRule="auto"/>
              <w:ind w:left="157"/>
              <w:rPr>
                <w:rFonts w:cs="Times New Roman"/>
                <w:sz w:val="20"/>
                <w:szCs w:val="20"/>
              </w:rPr>
            </w:pPr>
            <w:r w:rsidRPr="008A05D6">
              <w:rPr>
                <w:rFonts w:cs="Times New Roman"/>
                <w:b w:val="0"/>
                <w:bCs w:val="0"/>
                <w:sz w:val="20"/>
                <w:szCs w:val="20"/>
              </w:rPr>
              <w:t>Male</w:t>
            </w:r>
          </w:p>
        </w:tc>
        <w:tc>
          <w:tcPr>
            <w:tcW w:w="900" w:type="dxa"/>
            <w:gridSpan w:val="2"/>
            <w:shd w:val="clear" w:color="auto" w:fill="auto"/>
          </w:tcPr>
          <w:p w14:paraId="0D308D74" w14:textId="7BE56A28"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481</w:t>
            </w:r>
          </w:p>
        </w:tc>
        <w:tc>
          <w:tcPr>
            <w:tcW w:w="838" w:type="dxa"/>
            <w:shd w:val="clear" w:color="auto" w:fill="auto"/>
          </w:tcPr>
          <w:p w14:paraId="1AAF4FE5" w14:textId="29E320D9"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33</w:t>
            </w:r>
            <w:r w:rsidR="008A05D6">
              <w:rPr>
                <w:rFonts w:cs="Times New Roman"/>
                <w:sz w:val="20"/>
                <w:szCs w:val="20"/>
              </w:rPr>
              <w:t>.0</w:t>
            </w:r>
            <w:r w:rsidRPr="008A05D6">
              <w:rPr>
                <w:rFonts w:cs="Times New Roman"/>
                <w:sz w:val="20"/>
                <w:szCs w:val="20"/>
              </w:rPr>
              <w:t>%</w:t>
            </w:r>
          </w:p>
        </w:tc>
        <w:tc>
          <w:tcPr>
            <w:tcW w:w="900" w:type="dxa"/>
            <w:gridSpan w:val="2"/>
            <w:shd w:val="clear" w:color="auto" w:fill="auto"/>
          </w:tcPr>
          <w:p w14:paraId="5298B2DF" w14:textId="0BDDB00F"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655</w:t>
            </w:r>
          </w:p>
        </w:tc>
        <w:tc>
          <w:tcPr>
            <w:tcW w:w="838" w:type="dxa"/>
            <w:shd w:val="clear" w:color="auto" w:fill="auto"/>
          </w:tcPr>
          <w:p w14:paraId="4712F512" w14:textId="05B2BEFE"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26</w:t>
            </w:r>
            <w:r w:rsidR="008A05D6">
              <w:rPr>
                <w:rFonts w:cs="Times New Roman"/>
                <w:sz w:val="20"/>
                <w:szCs w:val="20"/>
              </w:rPr>
              <w:t>.0</w:t>
            </w:r>
            <w:r w:rsidRPr="008A05D6">
              <w:rPr>
                <w:rFonts w:cs="Times New Roman"/>
                <w:sz w:val="20"/>
                <w:szCs w:val="20"/>
              </w:rPr>
              <w:t>%</w:t>
            </w:r>
          </w:p>
        </w:tc>
        <w:tc>
          <w:tcPr>
            <w:tcW w:w="871" w:type="dxa"/>
            <w:gridSpan w:val="2"/>
            <w:shd w:val="clear" w:color="auto" w:fill="auto"/>
          </w:tcPr>
          <w:p w14:paraId="3D508822" w14:textId="63A393B0"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713</w:t>
            </w:r>
          </w:p>
        </w:tc>
        <w:tc>
          <w:tcPr>
            <w:tcW w:w="838" w:type="dxa"/>
            <w:shd w:val="clear" w:color="auto" w:fill="auto"/>
          </w:tcPr>
          <w:p w14:paraId="55835CF6" w14:textId="3FC0BE1F"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25</w:t>
            </w:r>
            <w:r w:rsidR="008A05D6">
              <w:rPr>
                <w:rFonts w:cs="Times New Roman"/>
                <w:sz w:val="20"/>
                <w:szCs w:val="20"/>
              </w:rPr>
              <w:t>.0</w:t>
            </w:r>
            <w:r w:rsidRPr="008A05D6">
              <w:rPr>
                <w:rFonts w:cs="Times New Roman"/>
                <w:sz w:val="20"/>
                <w:szCs w:val="20"/>
              </w:rPr>
              <w:t>%</w:t>
            </w:r>
          </w:p>
        </w:tc>
      </w:tr>
      <w:tr w:rsidR="009F6D8E" w:rsidRPr="008A05D6" w14:paraId="0970E411" w14:textId="77777777" w:rsidTr="00C45717">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2348D84E" w14:textId="77777777" w:rsidR="00EF1992" w:rsidRPr="008A05D6" w:rsidRDefault="00EF1992" w:rsidP="009F6D8E">
            <w:pPr>
              <w:spacing w:beforeLines="20" w:before="48" w:line="240" w:lineRule="auto"/>
              <w:ind w:left="157"/>
              <w:rPr>
                <w:rFonts w:cs="Times New Roman"/>
                <w:b w:val="0"/>
                <w:bCs w:val="0"/>
                <w:sz w:val="20"/>
                <w:szCs w:val="20"/>
              </w:rPr>
            </w:pPr>
            <w:r w:rsidRPr="008A05D6">
              <w:rPr>
                <w:rFonts w:cs="Times New Roman"/>
                <w:b w:val="0"/>
                <w:bCs w:val="0"/>
                <w:sz w:val="20"/>
                <w:szCs w:val="20"/>
              </w:rPr>
              <w:t>Female</w:t>
            </w:r>
          </w:p>
        </w:tc>
        <w:tc>
          <w:tcPr>
            <w:tcW w:w="900" w:type="dxa"/>
            <w:gridSpan w:val="2"/>
            <w:shd w:val="clear" w:color="auto" w:fill="auto"/>
          </w:tcPr>
          <w:p w14:paraId="3C9EDE0F" w14:textId="54F5E75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977</w:t>
            </w:r>
          </w:p>
        </w:tc>
        <w:tc>
          <w:tcPr>
            <w:tcW w:w="838" w:type="dxa"/>
            <w:shd w:val="clear" w:color="auto" w:fill="auto"/>
          </w:tcPr>
          <w:p w14:paraId="35B9C85B" w14:textId="23C714FE"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67</w:t>
            </w:r>
            <w:r w:rsidR="008A05D6">
              <w:rPr>
                <w:rFonts w:cs="Times New Roman"/>
                <w:sz w:val="20"/>
                <w:szCs w:val="20"/>
              </w:rPr>
              <w:t>.0</w:t>
            </w:r>
            <w:r w:rsidRPr="008A05D6">
              <w:rPr>
                <w:rFonts w:cs="Times New Roman"/>
                <w:sz w:val="20"/>
                <w:szCs w:val="20"/>
              </w:rPr>
              <w:t>%</w:t>
            </w:r>
          </w:p>
        </w:tc>
        <w:tc>
          <w:tcPr>
            <w:tcW w:w="900" w:type="dxa"/>
            <w:gridSpan w:val="2"/>
            <w:shd w:val="clear" w:color="auto" w:fill="auto"/>
          </w:tcPr>
          <w:p w14:paraId="33481BE8" w14:textId="5C3A5011"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1869</w:t>
            </w:r>
          </w:p>
        </w:tc>
        <w:tc>
          <w:tcPr>
            <w:tcW w:w="838" w:type="dxa"/>
            <w:shd w:val="clear" w:color="auto" w:fill="auto"/>
          </w:tcPr>
          <w:p w14:paraId="70636CBE" w14:textId="349A39E9"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74</w:t>
            </w:r>
            <w:r w:rsidR="008A05D6">
              <w:rPr>
                <w:rFonts w:cs="Times New Roman"/>
                <w:sz w:val="20"/>
                <w:szCs w:val="20"/>
              </w:rPr>
              <w:t>.0</w:t>
            </w:r>
            <w:r w:rsidRPr="008A05D6">
              <w:rPr>
                <w:rFonts w:cs="Times New Roman"/>
                <w:sz w:val="20"/>
                <w:szCs w:val="20"/>
              </w:rPr>
              <w:t>%</w:t>
            </w:r>
          </w:p>
        </w:tc>
        <w:tc>
          <w:tcPr>
            <w:tcW w:w="871" w:type="dxa"/>
            <w:gridSpan w:val="2"/>
            <w:shd w:val="clear" w:color="auto" w:fill="auto"/>
          </w:tcPr>
          <w:p w14:paraId="314FB095" w14:textId="6EF0C1F8"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2154</w:t>
            </w:r>
          </w:p>
        </w:tc>
        <w:tc>
          <w:tcPr>
            <w:tcW w:w="838" w:type="dxa"/>
            <w:shd w:val="clear" w:color="auto" w:fill="auto"/>
          </w:tcPr>
          <w:p w14:paraId="59360BD6" w14:textId="235D251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75</w:t>
            </w:r>
            <w:r w:rsidR="008A05D6">
              <w:rPr>
                <w:rFonts w:cs="Times New Roman"/>
                <w:sz w:val="20"/>
                <w:szCs w:val="20"/>
              </w:rPr>
              <w:t>.0</w:t>
            </w:r>
            <w:r w:rsidRPr="008A05D6">
              <w:rPr>
                <w:rFonts w:cs="Times New Roman"/>
                <w:sz w:val="20"/>
                <w:szCs w:val="20"/>
              </w:rPr>
              <w:t>%</w:t>
            </w:r>
          </w:p>
        </w:tc>
      </w:tr>
      <w:tr w:rsidR="008A05D6" w:rsidRPr="008A05D6" w14:paraId="7536EBB8" w14:textId="77777777" w:rsidTr="00C4571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AEA130D" w14:textId="77777777" w:rsidR="008A05D6" w:rsidRPr="008A05D6" w:rsidRDefault="008A05D6" w:rsidP="008A05D6">
            <w:pPr>
              <w:spacing w:beforeLines="20" w:before="48" w:line="240" w:lineRule="auto"/>
              <w:ind w:left="157"/>
              <w:rPr>
                <w:rFonts w:cs="Times New Roman"/>
                <w:b w:val="0"/>
                <w:bCs w:val="0"/>
                <w:sz w:val="20"/>
                <w:szCs w:val="20"/>
              </w:rPr>
            </w:pPr>
            <w:r w:rsidRPr="008A05D6">
              <w:rPr>
                <w:rFonts w:cs="Times New Roman"/>
                <w:b w:val="0"/>
                <w:bCs w:val="0"/>
                <w:sz w:val="20"/>
                <w:szCs w:val="20"/>
              </w:rPr>
              <w:t>Other</w:t>
            </w:r>
          </w:p>
        </w:tc>
        <w:tc>
          <w:tcPr>
            <w:tcW w:w="900" w:type="dxa"/>
            <w:gridSpan w:val="2"/>
            <w:shd w:val="clear" w:color="auto" w:fill="auto"/>
          </w:tcPr>
          <w:p w14:paraId="10E9C061" w14:textId="0B321592" w:rsidR="008A05D6" w:rsidRPr="008A05D6" w:rsidRDefault="008A05D6" w:rsidP="008A05D6">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0</w:t>
            </w:r>
          </w:p>
        </w:tc>
        <w:tc>
          <w:tcPr>
            <w:tcW w:w="838" w:type="dxa"/>
            <w:shd w:val="clear" w:color="auto" w:fill="auto"/>
          </w:tcPr>
          <w:p w14:paraId="7285F6DE" w14:textId="0933A6D7" w:rsidR="008A05D6" w:rsidRPr="008A05D6" w:rsidRDefault="008A05D6" w:rsidP="008A05D6">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0.0%</w:t>
            </w:r>
          </w:p>
        </w:tc>
        <w:tc>
          <w:tcPr>
            <w:tcW w:w="900" w:type="dxa"/>
            <w:gridSpan w:val="2"/>
            <w:shd w:val="clear" w:color="auto" w:fill="auto"/>
          </w:tcPr>
          <w:p w14:paraId="185C943E" w14:textId="5D9F5633" w:rsidR="008A05D6" w:rsidRPr="008A05D6" w:rsidRDefault="008A05D6" w:rsidP="008A05D6">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0</w:t>
            </w:r>
          </w:p>
        </w:tc>
        <w:tc>
          <w:tcPr>
            <w:tcW w:w="838" w:type="dxa"/>
            <w:shd w:val="clear" w:color="auto" w:fill="auto"/>
          </w:tcPr>
          <w:p w14:paraId="32AFD016" w14:textId="4E3A6CE5" w:rsidR="008A05D6" w:rsidRPr="008A05D6" w:rsidRDefault="008A05D6" w:rsidP="008A05D6">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0%</w:t>
            </w:r>
          </w:p>
        </w:tc>
        <w:tc>
          <w:tcPr>
            <w:tcW w:w="871" w:type="dxa"/>
            <w:gridSpan w:val="2"/>
            <w:shd w:val="clear" w:color="auto" w:fill="auto"/>
          </w:tcPr>
          <w:p w14:paraId="1DCEB35C" w14:textId="1B30A679" w:rsidR="008A05D6" w:rsidRPr="008A05D6" w:rsidRDefault="008A05D6" w:rsidP="008A05D6">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0</w:t>
            </w:r>
          </w:p>
        </w:tc>
        <w:tc>
          <w:tcPr>
            <w:tcW w:w="838" w:type="dxa"/>
            <w:shd w:val="clear" w:color="auto" w:fill="auto"/>
          </w:tcPr>
          <w:p w14:paraId="1DC3A252" w14:textId="26B20ADE" w:rsidR="008A05D6" w:rsidRPr="008A05D6" w:rsidRDefault="008A05D6" w:rsidP="008A05D6">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0%</w:t>
            </w:r>
          </w:p>
        </w:tc>
      </w:tr>
      <w:tr w:rsidR="00EF1992" w:rsidRPr="008A05D6" w14:paraId="1E7A2DC4" w14:textId="77777777" w:rsidTr="00C45717">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75FD55A" w14:textId="77777777" w:rsidR="00EF1992" w:rsidRPr="008A05D6" w:rsidRDefault="00EF1992" w:rsidP="009F6D8E">
            <w:pPr>
              <w:spacing w:beforeLines="20" w:before="48" w:line="240" w:lineRule="auto"/>
              <w:rPr>
                <w:rFonts w:cs="Times New Roman"/>
                <w:sz w:val="20"/>
                <w:szCs w:val="20"/>
              </w:rPr>
            </w:pPr>
            <w:r w:rsidRPr="008A05D6">
              <w:rPr>
                <w:rFonts w:cs="Times New Roman"/>
                <w:sz w:val="20"/>
                <w:szCs w:val="20"/>
              </w:rPr>
              <w:t>Age</w:t>
            </w:r>
          </w:p>
        </w:tc>
        <w:tc>
          <w:tcPr>
            <w:tcW w:w="900" w:type="dxa"/>
            <w:gridSpan w:val="2"/>
            <w:shd w:val="clear" w:color="auto" w:fill="auto"/>
          </w:tcPr>
          <w:p w14:paraId="4288AC72"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38" w:type="dxa"/>
            <w:shd w:val="clear" w:color="auto" w:fill="auto"/>
          </w:tcPr>
          <w:p w14:paraId="104C6796"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00" w:type="dxa"/>
            <w:gridSpan w:val="2"/>
            <w:shd w:val="clear" w:color="auto" w:fill="auto"/>
          </w:tcPr>
          <w:p w14:paraId="5E2E949F"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38" w:type="dxa"/>
            <w:shd w:val="clear" w:color="auto" w:fill="auto"/>
          </w:tcPr>
          <w:p w14:paraId="3C087B44"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gridSpan w:val="2"/>
            <w:shd w:val="clear" w:color="auto" w:fill="auto"/>
          </w:tcPr>
          <w:p w14:paraId="2C6DC1F0"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38" w:type="dxa"/>
            <w:shd w:val="clear" w:color="auto" w:fill="auto"/>
          </w:tcPr>
          <w:p w14:paraId="09B5CCB0"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9F6D8E" w:rsidRPr="008A05D6" w14:paraId="7803F545" w14:textId="77777777" w:rsidTr="00C4571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503A8A06" w14:textId="77777777" w:rsidR="00EF1992" w:rsidRPr="008A05D6" w:rsidRDefault="00EF1992" w:rsidP="009F6D8E">
            <w:pPr>
              <w:spacing w:beforeLines="20" w:before="48" w:line="240" w:lineRule="auto"/>
              <w:ind w:left="157"/>
              <w:rPr>
                <w:rFonts w:cs="Times New Roman"/>
                <w:b w:val="0"/>
                <w:bCs w:val="0"/>
                <w:sz w:val="20"/>
                <w:szCs w:val="20"/>
              </w:rPr>
            </w:pPr>
            <w:r w:rsidRPr="008A05D6">
              <w:rPr>
                <w:rFonts w:cs="Times New Roman"/>
                <w:b w:val="0"/>
                <w:bCs w:val="0"/>
                <w:sz w:val="20"/>
                <w:szCs w:val="20"/>
              </w:rPr>
              <w:t>0 to 17</w:t>
            </w:r>
          </w:p>
        </w:tc>
        <w:tc>
          <w:tcPr>
            <w:tcW w:w="900" w:type="dxa"/>
            <w:gridSpan w:val="2"/>
            <w:shd w:val="clear" w:color="auto" w:fill="auto"/>
          </w:tcPr>
          <w:p w14:paraId="70CDEF81" w14:textId="548847AD"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62</w:t>
            </w:r>
          </w:p>
        </w:tc>
        <w:tc>
          <w:tcPr>
            <w:tcW w:w="838" w:type="dxa"/>
            <w:shd w:val="clear" w:color="auto" w:fill="auto"/>
          </w:tcPr>
          <w:p w14:paraId="276A1436" w14:textId="7449BB1B"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4</w:t>
            </w:r>
            <w:r w:rsidR="008A05D6">
              <w:rPr>
                <w:rFonts w:cs="Times New Roman"/>
                <w:sz w:val="20"/>
                <w:szCs w:val="20"/>
              </w:rPr>
              <w:t>.3</w:t>
            </w:r>
            <w:r w:rsidRPr="008A05D6">
              <w:rPr>
                <w:rFonts w:cs="Times New Roman"/>
                <w:sz w:val="20"/>
                <w:szCs w:val="20"/>
              </w:rPr>
              <w:t>%</w:t>
            </w:r>
          </w:p>
        </w:tc>
        <w:tc>
          <w:tcPr>
            <w:tcW w:w="900" w:type="dxa"/>
            <w:gridSpan w:val="2"/>
            <w:shd w:val="clear" w:color="auto" w:fill="auto"/>
          </w:tcPr>
          <w:p w14:paraId="2B962845" w14:textId="27170F3F"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106</w:t>
            </w:r>
          </w:p>
        </w:tc>
        <w:tc>
          <w:tcPr>
            <w:tcW w:w="838" w:type="dxa"/>
            <w:shd w:val="clear" w:color="auto" w:fill="auto"/>
          </w:tcPr>
          <w:p w14:paraId="3A93B1F0" w14:textId="49881E3D"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4</w:t>
            </w:r>
            <w:r w:rsidR="008A05D6">
              <w:rPr>
                <w:rFonts w:cs="Times New Roman"/>
                <w:sz w:val="20"/>
                <w:szCs w:val="20"/>
              </w:rPr>
              <w:t>.2</w:t>
            </w:r>
            <w:r w:rsidRPr="008A05D6">
              <w:rPr>
                <w:rFonts w:cs="Times New Roman"/>
                <w:sz w:val="20"/>
                <w:szCs w:val="20"/>
              </w:rPr>
              <w:t>%</w:t>
            </w:r>
          </w:p>
        </w:tc>
        <w:tc>
          <w:tcPr>
            <w:tcW w:w="871" w:type="dxa"/>
            <w:gridSpan w:val="2"/>
            <w:shd w:val="clear" w:color="auto" w:fill="auto"/>
          </w:tcPr>
          <w:p w14:paraId="4F1E19FB" w14:textId="05ECAE65"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148</w:t>
            </w:r>
          </w:p>
        </w:tc>
        <w:tc>
          <w:tcPr>
            <w:tcW w:w="838" w:type="dxa"/>
            <w:shd w:val="clear" w:color="auto" w:fill="auto"/>
          </w:tcPr>
          <w:p w14:paraId="50D78B33" w14:textId="2F996B10"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5</w:t>
            </w:r>
            <w:r w:rsidR="00035F95">
              <w:rPr>
                <w:rFonts w:cs="Times New Roman"/>
                <w:sz w:val="20"/>
                <w:szCs w:val="20"/>
              </w:rPr>
              <w:t>.2</w:t>
            </w:r>
            <w:r w:rsidRPr="008A05D6">
              <w:rPr>
                <w:rFonts w:cs="Times New Roman"/>
                <w:sz w:val="20"/>
                <w:szCs w:val="20"/>
              </w:rPr>
              <w:t>%</w:t>
            </w:r>
          </w:p>
        </w:tc>
      </w:tr>
      <w:tr w:rsidR="00EF1992" w:rsidRPr="008A05D6" w14:paraId="6CFDDA8E" w14:textId="77777777" w:rsidTr="00C45717">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AE55ECA" w14:textId="77777777" w:rsidR="00EF1992" w:rsidRPr="008A05D6" w:rsidRDefault="00EF1992" w:rsidP="009F6D8E">
            <w:pPr>
              <w:spacing w:beforeLines="20" w:before="48" w:line="240" w:lineRule="auto"/>
              <w:ind w:left="157"/>
              <w:rPr>
                <w:rFonts w:cs="Times New Roman"/>
                <w:b w:val="0"/>
                <w:bCs w:val="0"/>
                <w:sz w:val="20"/>
                <w:szCs w:val="20"/>
              </w:rPr>
            </w:pPr>
            <w:r w:rsidRPr="008A05D6">
              <w:rPr>
                <w:rFonts w:cs="Times New Roman"/>
                <w:b w:val="0"/>
                <w:bCs w:val="0"/>
                <w:sz w:val="20"/>
                <w:szCs w:val="20"/>
              </w:rPr>
              <w:t>18 to 64</w:t>
            </w:r>
          </w:p>
        </w:tc>
        <w:tc>
          <w:tcPr>
            <w:tcW w:w="900" w:type="dxa"/>
            <w:gridSpan w:val="2"/>
            <w:shd w:val="clear" w:color="auto" w:fill="auto"/>
          </w:tcPr>
          <w:p w14:paraId="5C7235A3" w14:textId="0E98B26F"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1193</w:t>
            </w:r>
          </w:p>
        </w:tc>
        <w:tc>
          <w:tcPr>
            <w:tcW w:w="838" w:type="dxa"/>
            <w:shd w:val="clear" w:color="auto" w:fill="auto"/>
          </w:tcPr>
          <w:p w14:paraId="24808848" w14:textId="4A01830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8</w:t>
            </w:r>
            <w:r w:rsidR="008A05D6">
              <w:rPr>
                <w:rFonts w:cs="Times New Roman"/>
                <w:sz w:val="20"/>
                <w:szCs w:val="20"/>
              </w:rPr>
              <w:t>1.8</w:t>
            </w:r>
            <w:r w:rsidRPr="008A05D6">
              <w:rPr>
                <w:rFonts w:cs="Times New Roman"/>
                <w:sz w:val="20"/>
                <w:szCs w:val="20"/>
              </w:rPr>
              <w:t>%</w:t>
            </w:r>
          </w:p>
        </w:tc>
        <w:tc>
          <w:tcPr>
            <w:tcW w:w="900" w:type="dxa"/>
            <w:gridSpan w:val="2"/>
            <w:shd w:val="clear" w:color="auto" w:fill="auto"/>
          </w:tcPr>
          <w:p w14:paraId="71F8F25E" w14:textId="28697951"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1968</w:t>
            </w:r>
          </w:p>
        </w:tc>
        <w:tc>
          <w:tcPr>
            <w:tcW w:w="838" w:type="dxa"/>
            <w:shd w:val="clear" w:color="auto" w:fill="auto"/>
          </w:tcPr>
          <w:p w14:paraId="7676F389" w14:textId="518FE800"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78</w:t>
            </w:r>
            <w:r w:rsidR="008A05D6">
              <w:rPr>
                <w:rFonts w:cs="Times New Roman"/>
                <w:sz w:val="20"/>
                <w:szCs w:val="20"/>
              </w:rPr>
              <w:t>.3</w:t>
            </w:r>
            <w:r w:rsidRPr="008A05D6">
              <w:rPr>
                <w:rFonts w:cs="Times New Roman"/>
                <w:sz w:val="20"/>
                <w:szCs w:val="20"/>
              </w:rPr>
              <w:t>%</w:t>
            </w:r>
          </w:p>
        </w:tc>
        <w:tc>
          <w:tcPr>
            <w:tcW w:w="871" w:type="dxa"/>
            <w:gridSpan w:val="2"/>
            <w:shd w:val="clear" w:color="auto" w:fill="auto"/>
          </w:tcPr>
          <w:p w14:paraId="4C69C47B" w14:textId="196BD35B"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2152</w:t>
            </w:r>
          </w:p>
        </w:tc>
        <w:tc>
          <w:tcPr>
            <w:tcW w:w="838" w:type="dxa"/>
            <w:shd w:val="clear" w:color="auto" w:fill="auto"/>
          </w:tcPr>
          <w:p w14:paraId="10A38A50" w14:textId="0C12D4FA"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7</w:t>
            </w:r>
            <w:r w:rsidR="00035F95">
              <w:rPr>
                <w:rFonts w:cs="Times New Roman"/>
                <w:sz w:val="20"/>
                <w:szCs w:val="20"/>
              </w:rPr>
              <w:t>4.1</w:t>
            </w:r>
            <w:r w:rsidRPr="008A05D6">
              <w:rPr>
                <w:rFonts w:cs="Times New Roman"/>
                <w:sz w:val="20"/>
                <w:szCs w:val="20"/>
              </w:rPr>
              <w:t>%</w:t>
            </w:r>
          </w:p>
        </w:tc>
      </w:tr>
      <w:tr w:rsidR="009F6D8E" w:rsidRPr="008A05D6" w14:paraId="11C03D85" w14:textId="77777777" w:rsidTr="00C4571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61B65BF7" w14:textId="77777777" w:rsidR="00EF1992" w:rsidRPr="008A05D6" w:rsidRDefault="00EF1992" w:rsidP="009F6D8E">
            <w:pPr>
              <w:spacing w:beforeLines="20" w:before="48" w:line="240" w:lineRule="auto"/>
              <w:ind w:left="157"/>
              <w:rPr>
                <w:rFonts w:cs="Times New Roman"/>
                <w:b w:val="0"/>
                <w:bCs w:val="0"/>
                <w:sz w:val="20"/>
                <w:szCs w:val="20"/>
              </w:rPr>
            </w:pPr>
            <w:r w:rsidRPr="008A05D6">
              <w:rPr>
                <w:rFonts w:cs="Times New Roman"/>
                <w:b w:val="0"/>
                <w:bCs w:val="0"/>
                <w:sz w:val="20"/>
                <w:szCs w:val="20"/>
              </w:rPr>
              <w:t>65+</w:t>
            </w:r>
          </w:p>
        </w:tc>
        <w:tc>
          <w:tcPr>
            <w:tcW w:w="900" w:type="dxa"/>
            <w:gridSpan w:val="2"/>
            <w:shd w:val="clear" w:color="auto" w:fill="auto"/>
          </w:tcPr>
          <w:p w14:paraId="2BF2FF9A" w14:textId="010A4C55"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203</w:t>
            </w:r>
          </w:p>
        </w:tc>
        <w:tc>
          <w:tcPr>
            <w:tcW w:w="838" w:type="dxa"/>
            <w:shd w:val="clear" w:color="auto" w:fill="auto"/>
          </w:tcPr>
          <w:p w14:paraId="24448DDD" w14:textId="3D3697C5"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w:t>
            </w:r>
            <w:r w:rsidR="008A05D6">
              <w:rPr>
                <w:rFonts w:cs="Times New Roman"/>
                <w:sz w:val="20"/>
                <w:szCs w:val="20"/>
              </w:rPr>
              <w:t>3.9</w:t>
            </w:r>
            <w:r w:rsidRPr="008A05D6">
              <w:rPr>
                <w:rFonts w:cs="Times New Roman"/>
                <w:sz w:val="20"/>
                <w:szCs w:val="20"/>
              </w:rPr>
              <w:t>%</w:t>
            </w:r>
          </w:p>
        </w:tc>
        <w:tc>
          <w:tcPr>
            <w:tcW w:w="900" w:type="dxa"/>
            <w:gridSpan w:val="2"/>
            <w:shd w:val="clear" w:color="auto" w:fill="auto"/>
          </w:tcPr>
          <w:p w14:paraId="750325BB" w14:textId="678FEBFA"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450</w:t>
            </w:r>
          </w:p>
        </w:tc>
        <w:tc>
          <w:tcPr>
            <w:tcW w:w="838" w:type="dxa"/>
            <w:shd w:val="clear" w:color="auto" w:fill="auto"/>
          </w:tcPr>
          <w:p w14:paraId="14CB7DF5" w14:textId="00BA54B1"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w:t>
            </w:r>
            <w:r w:rsidR="008A05D6">
              <w:rPr>
                <w:rFonts w:cs="Times New Roman"/>
                <w:sz w:val="20"/>
                <w:szCs w:val="20"/>
              </w:rPr>
              <w:t>7.8</w:t>
            </w:r>
            <w:r w:rsidRPr="008A05D6">
              <w:rPr>
                <w:rFonts w:cs="Times New Roman"/>
                <w:sz w:val="20"/>
                <w:szCs w:val="20"/>
              </w:rPr>
              <w:t>%</w:t>
            </w:r>
          </w:p>
        </w:tc>
        <w:tc>
          <w:tcPr>
            <w:tcW w:w="871" w:type="dxa"/>
            <w:gridSpan w:val="2"/>
            <w:shd w:val="clear" w:color="auto" w:fill="auto"/>
          </w:tcPr>
          <w:p w14:paraId="5DABDFC4" w14:textId="57AFAF8F"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567</w:t>
            </w:r>
          </w:p>
        </w:tc>
        <w:tc>
          <w:tcPr>
            <w:tcW w:w="838" w:type="dxa"/>
            <w:shd w:val="clear" w:color="auto" w:fill="auto"/>
          </w:tcPr>
          <w:p w14:paraId="25B45226" w14:textId="51E4D120" w:rsidR="00EF1992" w:rsidRPr="008A05D6" w:rsidRDefault="00035F95"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19.8</w:t>
            </w:r>
            <w:r w:rsidR="00EF1992" w:rsidRPr="008A05D6">
              <w:rPr>
                <w:rFonts w:cs="Times New Roman"/>
                <w:sz w:val="20"/>
                <w:szCs w:val="20"/>
              </w:rPr>
              <w:t>%</w:t>
            </w:r>
          </w:p>
        </w:tc>
      </w:tr>
      <w:tr w:rsidR="009F6D8E" w:rsidRPr="008A05D6" w14:paraId="51B68436" w14:textId="77777777" w:rsidTr="00C45717">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841ED3D" w14:textId="77777777" w:rsidR="00EF1992" w:rsidRPr="008A05D6" w:rsidRDefault="00EF1992" w:rsidP="009F6D8E">
            <w:pPr>
              <w:spacing w:beforeLines="20" w:before="48" w:line="240" w:lineRule="auto"/>
              <w:rPr>
                <w:rFonts w:cs="Times New Roman"/>
                <w:sz w:val="20"/>
                <w:szCs w:val="20"/>
              </w:rPr>
            </w:pPr>
            <w:r w:rsidRPr="008A05D6">
              <w:rPr>
                <w:rFonts w:cs="Times New Roman"/>
                <w:sz w:val="20"/>
                <w:szCs w:val="20"/>
              </w:rPr>
              <w:t>Race</w:t>
            </w:r>
          </w:p>
        </w:tc>
        <w:tc>
          <w:tcPr>
            <w:tcW w:w="900" w:type="dxa"/>
            <w:gridSpan w:val="2"/>
            <w:shd w:val="clear" w:color="auto" w:fill="auto"/>
          </w:tcPr>
          <w:p w14:paraId="3436F67B"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38" w:type="dxa"/>
            <w:shd w:val="clear" w:color="auto" w:fill="auto"/>
          </w:tcPr>
          <w:p w14:paraId="3B9AA4CD"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00" w:type="dxa"/>
            <w:gridSpan w:val="2"/>
            <w:shd w:val="clear" w:color="auto" w:fill="auto"/>
          </w:tcPr>
          <w:p w14:paraId="36B11754"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38" w:type="dxa"/>
            <w:shd w:val="clear" w:color="auto" w:fill="auto"/>
          </w:tcPr>
          <w:p w14:paraId="42D8B69A"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gridSpan w:val="2"/>
            <w:shd w:val="clear" w:color="auto" w:fill="auto"/>
          </w:tcPr>
          <w:p w14:paraId="0EE1F78F"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38" w:type="dxa"/>
            <w:shd w:val="clear" w:color="auto" w:fill="auto"/>
          </w:tcPr>
          <w:p w14:paraId="0DE2D29D" w14:textId="77777777" w:rsidR="00EF1992" w:rsidRPr="008A05D6" w:rsidRDefault="00EF1992"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8D2D91" w:rsidRPr="008A05D6" w14:paraId="5EBA0B9E" w14:textId="77777777" w:rsidTr="00C4571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61FAE7C7" w14:textId="77777777" w:rsidR="008D2D91" w:rsidRPr="008A05D6" w:rsidRDefault="008D2D91" w:rsidP="008D2D91">
            <w:pPr>
              <w:spacing w:beforeLines="20" w:before="48" w:line="240" w:lineRule="auto"/>
              <w:ind w:left="157"/>
              <w:rPr>
                <w:rFonts w:cs="Times New Roman"/>
                <w:b w:val="0"/>
                <w:bCs w:val="0"/>
                <w:sz w:val="20"/>
                <w:szCs w:val="20"/>
              </w:rPr>
            </w:pPr>
            <w:r w:rsidRPr="008A05D6">
              <w:rPr>
                <w:rFonts w:cs="Times New Roman"/>
                <w:b w:val="0"/>
                <w:bCs w:val="0"/>
                <w:sz w:val="20"/>
                <w:szCs w:val="20"/>
              </w:rPr>
              <w:t>American Indian or Alaska Native</w:t>
            </w:r>
          </w:p>
        </w:tc>
        <w:tc>
          <w:tcPr>
            <w:tcW w:w="900" w:type="dxa"/>
            <w:gridSpan w:val="2"/>
            <w:shd w:val="clear" w:color="auto" w:fill="auto"/>
          </w:tcPr>
          <w:p w14:paraId="719AA72A" w14:textId="0E953A8A" w:rsidR="008D2D91" w:rsidRPr="008A05D6" w:rsidRDefault="008D2D91" w:rsidP="008D2D91">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i/>
                <w:iCs/>
                <w:sz w:val="20"/>
                <w:szCs w:val="20"/>
              </w:rPr>
              <w:t>Masked</w:t>
            </w:r>
          </w:p>
        </w:tc>
        <w:tc>
          <w:tcPr>
            <w:tcW w:w="838" w:type="dxa"/>
            <w:shd w:val="clear" w:color="auto" w:fill="auto"/>
          </w:tcPr>
          <w:p w14:paraId="550BE959" w14:textId="4F6A9C0F" w:rsidR="008D2D91" w:rsidRPr="008A05D6" w:rsidRDefault="008D2D91" w:rsidP="008D2D91">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i/>
                <w:iCs/>
                <w:sz w:val="20"/>
                <w:szCs w:val="20"/>
              </w:rPr>
              <w:t>Masked</w:t>
            </w:r>
          </w:p>
        </w:tc>
        <w:tc>
          <w:tcPr>
            <w:tcW w:w="900" w:type="dxa"/>
            <w:gridSpan w:val="2"/>
            <w:shd w:val="clear" w:color="auto" w:fill="auto"/>
          </w:tcPr>
          <w:p w14:paraId="4503D52C" w14:textId="2291C964" w:rsidR="008D2D91" w:rsidRPr="008A05D6" w:rsidRDefault="008D2D91" w:rsidP="008D2D91">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i/>
                <w:iCs/>
                <w:sz w:val="20"/>
                <w:szCs w:val="20"/>
              </w:rPr>
              <w:t>Masked</w:t>
            </w:r>
          </w:p>
        </w:tc>
        <w:tc>
          <w:tcPr>
            <w:tcW w:w="838" w:type="dxa"/>
            <w:shd w:val="clear" w:color="auto" w:fill="auto"/>
          </w:tcPr>
          <w:p w14:paraId="3F15CAA8" w14:textId="50490F64" w:rsidR="008D2D91" w:rsidRPr="008A05D6" w:rsidRDefault="008D2D91" w:rsidP="008D2D91">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i/>
                <w:iCs/>
                <w:sz w:val="20"/>
                <w:szCs w:val="20"/>
              </w:rPr>
              <w:t>Masked</w:t>
            </w:r>
          </w:p>
        </w:tc>
        <w:tc>
          <w:tcPr>
            <w:tcW w:w="871" w:type="dxa"/>
            <w:gridSpan w:val="2"/>
            <w:shd w:val="clear" w:color="auto" w:fill="auto"/>
          </w:tcPr>
          <w:p w14:paraId="420C686C" w14:textId="414C9DD1" w:rsidR="008D2D91" w:rsidRPr="008A05D6" w:rsidRDefault="008D2D91" w:rsidP="008D2D91">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i/>
                <w:iCs/>
                <w:sz w:val="20"/>
                <w:szCs w:val="20"/>
              </w:rPr>
              <w:t>Masked</w:t>
            </w:r>
          </w:p>
        </w:tc>
        <w:tc>
          <w:tcPr>
            <w:tcW w:w="838" w:type="dxa"/>
            <w:shd w:val="clear" w:color="auto" w:fill="auto"/>
          </w:tcPr>
          <w:p w14:paraId="710EC575" w14:textId="024EA1DE" w:rsidR="008D2D91" w:rsidRPr="008A05D6" w:rsidRDefault="008D2D91" w:rsidP="008D2D91">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i/>
                <w:iCs/>
                <w:sz w:val="20"/>
                <w:szCs w:val="20"/>
              </w:rPr>
              <w:t>Masked</w:t>
            </w:r>
          </w:p>
        </w:tc>
      </w:tr>
      <w:tr w:rsidR="009F6D8E" w:rsidRPr="008A05D6" w14:paraId="48899230" w14:textId="77777777" w:rsidTr="00C45717">
        <w:trPr>
          <w:cantSplit/>
          <w:trHeight w:val="117"/>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225C9ED1" w14:textId="77777777" w:rsidR="009F6D8E" w:rsidRPr="008A05D6" w:rsidRDefault="009F6D8E" w:rsidP="009F6D8E">
            <w:pPr>
              <w:spacing w:beforeLines="20" w:before="48" w:line="240" w:lineRule="auto"/>
              <w:ind w:left="157"/>
              <w:rPr>
                <w:rFonts w:cs="Times New Roman"/>
                <w:b w:val="0"/>
                <w:bCs w:val="0"/>
                <w:sz w:val="20"/>
                <w:szCs w:val="20"/>
              </w:rPr>
            </w:pPr>
            <w:r w:rsidRPr="008A05D6">
              <w:rPr>
                <w:rFonts w:cs="Times New Roman"/>
                <w:b w:val="0"/>
                <w:bCs w:val="0"/>
                <w:sz w:val="20"/>
                <w:szCs w:val="20"/>
              </w:rPr>
              <w:t>Asian</w:t>
            </w:r>
          </w:p>
        </w:tc>
        <w:tc>
          <w:tcPr>
            <w:tcW w:w="900" w:type="dxa"/>
            <w:gridSpan w:val="2"/>
            <w:shd w:val="clear" w:color="auto" w:fill="auto"/>
          </w:tcPr>
          <w:p w14:paraId="56457969" w14:textId="1DCFB2A0"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143</w:t>
            </w:r>
          </w:p>
        </w:tc>
        <w:tc>
          <w:tcPr>
            <w:tcW w:w="838" w:type="dxa"/>
            <w:shd w:val="clear" w:color="auto" w:fill="auto"/>
          </w:tcPr>
          <w:p w14:paraId="424FA7E8" w14:textId="2C9FD557" w:rsidR="009F6D8E" w:rsidRPr="008A05D6" w:rsidRDefault="00035F95"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9.8</w:t>
            </w:r>
            <w:r w:rsidR="009F6D8E" w:rsidRPr="008A05D6">
              <w:rPr>
                <w:rFonts w:cs="Times New Roman"/>
                <w:sz w:val="20"/>
                <w:szCs w:val="20"/>
              </w:rPr>
              <w:t>%</w:t>
            </w:r>
          </w:p>
        </w:tc>
        <w:tc>
          <w:tcPr>
            <w:tcW w:w="900" w:type="dxa"/>
            <w:gridSpan w:val="2"/>
            <w:shd w:val="clear" w:color="auto" w:fill="auto"/>
          </w:tcPr>
          <w:p w14:paraId="04E9454E" w14:textId="13981AD4"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199</w:t>
            </w:r>
          </w:p>
        </w:tc>
        <w:tc>
          <w:tcPr>
            <w:tcW w:w="838" w:type="dxa"/>
            <w:shd w:val="clear" w:color="auto" w:fill="auto"/>
          </w:tcPr>
          <w:p w14:paraId="04146288" w14:textId="70D629D0" w:rsidR="009F6D8E" w:rsidRPr="008A05D6" w:rsidRDefault="00035F95"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7.9</w:t>
            </w:r>
            <w:r w:rsidR="009F6D8E" w:rsidRPr="008A05D6">
              <w:rPr>
                <w:rFonts w:cs="Times New Roman"/>
                <w:sz w:val="20"/>
                <w:szCs w:val="20"/>
              </w:rPr>
              <w:t>%</w:t>
            </w:r>
          </w:p>
        </w:tc>
        <w:tc>
          <w:tcPr>
            <w:tcW w:w="871" w:type="dxa"/>
            <w:gridSpan w:val="2"/>
            <w:shd w:val="clear" w:color="auto" w:fill="auto"/>
          </w:tcPr>
          <w:p w14:paraId="1D14C0CB" w14:textId="1E8C7CE0"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223</w:t>
            </w:r>
          </w:p>
        </w:tc>
        <w:tc>
          <w:tcPr>
            <w:tcW w:w="838" w:type="dxa"/>
            <w:shd w:val="clear" w:color="auto" w:fill="auto"/>
          </w:tcPr>
          <w:p w14:paraId="4034E6DD" w14:textId="2CA9E84C" w:rsidR="009F6D8E" w:rsidRPr="008A05D6" w:rsidRDefault="00035F95"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7.</w:t>
            </w:r>
            <w:r w:rsidR="009F6D8E" w:rsidRPr="008A05D6">
              <w:rPr>
                <w:rFonts w:cs="Times New Roman"/>
                <w:sz w:val="20"/>
                <w:szCs w:val="20"/>
              </w:rPr>
              <w:t>8%</w:t>
            </w:r>
          </w:p>
        </w:tc>
      </w:tr>
      <w:tr w:rsidR="009F6D8E" w:rsidRPr="008A05D6" w14:paraId="693FA3FF" w14:textId="77777777" w:rsidTr="00C4571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60BA1679" w14:textId="77777777" w:rsidR="009F6D8E" w:rsidRPr="008A05D6" w:rsidRDefault="009F6D8E" w:rsidP="009F6D8E">
            <w:pPr>
              <w:spacing w:beforeLines="20" w:before="48" w:line="240" w:lineRule="auto"/>
              <w:ind w:left="157"/>
              <w:rPr>
                <w:rFonts w:cs="Times New Roman"/>
                <w:b w:val="0"/>
                <w:bCs w:val="0"/>
                <w:sz w:val="20"/>
                <w:szCs w:val="20"/>
              </w:rPr>
            </w:pPr>
            <w:r w:rsidRPr="008A05D6">
              <w:rPr>
                <w:rFonts w:cs="Times New Roman"/>
                <w:b w:val="0"/>
                <w:bCs w:val="0"/>
                <w:sz w:val="20"/>
                <w:szCs w:val="20"/>
              </w:rPr>
              <w:t>Black or African American</w:t>
            </w:r>
          </w:p>
        </w:tc>
        <w:tc>
          <w:tcPr>
            <w:tcW w:w="900" w:type="dxa"/>
            <w:gridSpan w:val="2"/>
            <w:shd w:val="clear" w:color="auto" w:fill="auto"/>
          </w:tcPr>
          <w:p w14:paraId="5DFD1465" w14:textId="39E593C0"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118</w:t>
            </w:r>
          </w:p>
        </w:tc>
        <w:tc>
          <w:tcPr>
            <w:tcW w:w="838" w:type="dxa"/>
            <w:shd w:val="clear" w:color="auto" w:fill="auto"/>
          </w:tcPr>
          <w:p w14:paraId="51044ADF" w14:textId="5B8FA126"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8</w:t>
            </w:r>
            <w:r w:rsidR="00035F95">
              <w:rPr>
                <w:rFonts w:cs="Times New Roman"/>
                <w:sz w:val="20"/>
                <w:szCs w:val="20"/>
              </w:rPr>
              <w:t>.1</w:t>
            </w:r>
            <w:r w:rsidRPr="008A05D6">
              <w:rPr>
                <w:rFonts w:cs="Times New Roman"/>
                <w:sz w:val="20"/>
                <w:szCs w:val="20"/>
              </w:rPr>
              <w:t>%</w:t>
            </w:r>
          </w:p>
        </w:tc>
        <w:tc>
          <w:tcPr>
            <w:tcW w:w="900" w:type="dxa"/>
            <w:gridSpan w:val="2"/>
            <w:shd w:val="clear" w:color="auto" w:fill="auto"/>
          </w:tcPr>
          <w:p w14:paraId="2CB9213C" w14:textId="73CBA4AD"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212</w:t>
            </w:r>
          </w:p>
        </w:tc>
        <w:tc>
          <w:tcPr>
            <w:tcW w:w="838" w:type="dxa"/>
            <w:shd w:val="clear" w:color="auto" w:fill="auto"/>
          </w:tcPr>
          <w:p w14:paraId="553CB491" w14:textId="53790728"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8</w:t>
            </w:r>
            <w:r w:rsidR="00035F95">
              <w:rPr>
                <w:rFonts w:cs="Times New Roman"/>
                <w:sz w:val="20"/>
                <w:szCs w:val="20"/>
              </w:rPr>
              <w:t>.4</w:t>
            </w:r>
            <w:r w:rsidRPr="008A05D6">
              <w:rPr>
                <w:rFonts w:cs="Times New Roman"/>
                <w:sz w:val="20"/>
                <w:szCs w:val="20"/>
              </w:rPr>
              <w:t>%</w:t>
            </w:r>
          </w:p>
        </w:tc>
        <w:tc>
          <w:tcPr>
            <w:tcW w:w="871" w:type="dxa"/>
            <w:gridSpan w:val="2"/>
            <w:shd w:val="clear" w:color="auto" w:fill="auto"/>
          </w:tcPr>
          <w:p w14:paraId="14E7FA3E" w14:textId="43398A04"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221</w:t>
            </w:r>
          </w:p>
        </w:tc>
        <w:tc>
          <w:tcPr>
            <w:tcW w:w="838" w:type="dxa"/>
            <w:shd w:val="clear" w:color="auto" w:fill="auto"/>
          </w:tcPr>
          <w:p w14:paraId="2277CEA7" w14:textId="213FB147" w:rsidR="009F6D8E" w:rsidRPr="008A05D6" w:rsidRDefault="00035F95"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7.</w:t>
            </w:r>
            <w:r w:rsidR="009F6D8E" w:rsidRPr="008A05D6">
              <w:rPr>
                <w:rFonts w:cs="Times New Roman"/>
                <w:sz w:val="20"/>
                <w:szCs w:val="20"/>
              </w:rPr>
              <w:t>7%</w:t>
            </w:r>
          </w:p>
        </w:tc>
      </w:tr>
      <w:tr w:rsidR="008A05D6" w:rsidRPr="008A05D6" w14:paraId="2FE19267" w14:textId="77777777" w:rsidTr="00C45717">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9836AD7" w14:textId="77777777" w:rsidR="008A05D6" w:rsidRPr="008A05D6" w:rsidRDefault="008A05D6" w:rsidP="008A05D6">
            <w:pPr>
              <w:spacing w:beforeLines="20" w:before="48" w:line="240" w:lineRule="auto"/>
              <w:ind w:left="157"/>
              <w:rPr>
                <w:rFonts w:cs="Times New Roman"/>
                <w:b w:val="0"/>
                <w:bCs w:val="0"/>
                <w:sz w:val="20"/>
                <w:szCs w:val="20"/>
              </w:rPr>
            </w:pPr>
            <w:r w:rsidRPr="008A05D6">
              <w:rPr>
                <w:rFonts w:cs="Times New Roman"/>
                <w:b w:val="0"/>
                <w:bCs w:val="0"/>
                <w:sz w:val="20"/>
                <w:szCs w:val="20"/>
              </w:rPr>
              <w:t>Native Hawaiian or Other Pacific Islander</w:t>
            </w:r>
          </w:p>
        </w:tc>
        <w:tc>
          <w:tcPr>
            <w:tcW w:w="900" w:type="dxa"/>
            <w:gridSpan w:val="2"/>
            <w:shd w:val="clear" w:color="auto" w:fill="auto"/>
          </w:tcPr>
          <w:p w14:paraId="51A6A7F3" w14:textId="52BF3744" w:rsidR="008A05D6" w:rsidRPr="008A05D6" w:rsidRDefault="008A05D6" w:rsidP="008A05D6">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0</w:t>
            </w:r>
          </w:p>
        </w:tc>
        <w:tc>
          <w:tcPr>
            <w:tcW w:w="838" w:type="dxa"/>
            <w:shd w:val="clear" w:color="auto" w:fill="auto"/>
          </w:tcPr>
          <w:p w14:paraId="0185FA0F" w14:textId="47C3B1B8" w:rsidR="008A05D6" w:rsidRPr="008A05D6" w:rsidRDefault="008A05D6" w:rsidP="008A05D6">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0.0%</w:t>
            </w:r>
          </w:p>
        </w:tc>
        <w:tc>
          <w:tcPr>
            <w:tcW w:w="900" w:type="dxa"/>
            <w:gridSpan w:val="2"/>
            <w:shd w:val="clear" w:color="auto" w:fill="auto"/>
          </w:tcPr>
          <w:p w14:paraId="0BD6D0B1" w14:textId="47450BF7" w:rsidR="008A05D6" w:rsidRPr="008A05D6" w:rsidRDefault="008A05D6" w:rsidP="008A05D6">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0</w:t>
            </w:r>
          </w:p>
        </w:tc>
        <w:tc>
          <w:tcPr>
            <w:tcW w:w="838" w:type="dxa"/>
            <w:shd w:val="clear" w:color="auto" w:fill="auto"/>
          </w:tcPr>
          <w:p w14:paraId="4B10D577" w14:textId="5C150F96" w:rsidR="008A05D6" w:rsidRPr="008A05D6" w:rsidRDefault="008A05D6" w:rsidP="008A05D6">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0</w:t>
            </w:r>
            <w:r w:rsidR="00035F95">
              <w:rPr>
                <w:rFonts w:cs="Times New Roman"/>
                <w:sz w:val="20"/>
                <w:szCs w:val="20"/>
              </w:rPr>
              <w:t>.0</w:t>
            </w:r>
            <w:r w:rsidRPr="008A05D6">
              <w:rPr>
                <w:rFonts w:cs="Times New Roman"/>
                <w:sz w:val="20"/>
                <w:szCs w:val="20"/>
              </w:rPr>
              <w:t>%</w:t>
            </w:r>
          </w:p>
        </w:tc>
        <w:tc>
          <w:tcPr>
            <w:tcW w:w="871" w:type="dxa"/>
            <w:gridSpan w:val="2"/>
            <w:shd w:val="clear" w:color="auto" w:fill="auto"/>
          </w:tcPr>
          <w:p w14:paraId="5FDA204A" w14:textId="7B0E47D5" w:rsidR="008A05D6" w:rsidRPr="008A05D6" w:rsidRDefault="008A05D6" w:rsidP="008A05D6">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0</w:t>
            </w:r>
          </w:p>
        </w:tc>
        <w:tc>
          <w:tcPr>
            <w:tcW w:w="838" w:type="dxa"/>
            <w:shd w:val="clear" w:color="auto" w:fill="auto"/>
          </w:tcPr>
          <w:p w14:paraId="4E15A82D" w14:textId="448A5FCF" w:rsidR="008A05D6" w:rsidRPr="008A05D6" w:rsidRDefault="008A05D6" w:rsidP="008A05D6">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0%</w:t>
            </w:r>
          </w:p>
        </w:tc>
      </w:tr>
      <w:tr w:rsidR="009F6D8E" w:rsidRPr="008A05D6" w14:paraId="306A1AB8" w14:textId="77777777" w:rsidTr="00C4571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7BBA3AE7" w14:textId="77777777" w:rsidR="009F6D8E" w:rsidRPr="008A05D6" w:rsidRDefault="009F6D8E" w:rsidP="009F6D8E">
            <w:pPr>
              <w:spacing w:beforeLines="20" w:before="48" w:line="240" w:lineRule="auto"/>
              <w:ind w:left="157"/>
              <w:rPr>
                <w:rFonts w:cs="Times New Roman"/>
                <w:b w:val="0"/>
                <w:bCs w:val="0"/>
                <w:sz w:val="20"/>
                <w:szCs w:val="20"/>
              </w:rPr>
            </w:pPr>
            <w:r w:rsidRPr="008A05D6">
              <w:rPr>
                <w:rFonts w:cs="Times New Roman"/>
                <w:b w:val="0"/>
                <w:bCs w:val="0"/>
                <w:sz w:val="20"/>
                <w:szCs w:val="20"/>
              </w:rPr>
              <w:t>Other</w:t>
            </w:r>
          </w:p>
        </w:tc>
        <w:tc>
          <w:tcPr>
            <w:tcW w:w="900" w:type="dxa"/>
            <w:gridSpan w:val="2"/>
            <w:shd w:val="clear" w:color="auto" w:fill="auto"/>
          </w:tcPr>
          <w:p w14:paraId="3272A6AE" w14:textId="0EF26236"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111</w:t>
            </w:r>
          </w:p>
        </w:tc>
        <w:tc>
          <w:tcPr>
            <w:tcW w:w="838" w:type="dxa"/>
            <w:shd w:val="clear" w:color="auto" w:fill="auto"/>
          </w:tcPr>
          <w:p w14:paraId="7371374D" w14:textId="3A975A74" w:rsidR="009F6D8E" w:rsidRPr="008A05D6" w:rsidRDefault="00035F95"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7.6</w:t>
            </w:r>
            <w:r w:rsidR="009F6D8E" w:rsidRPr="008A05D6">
              <w:rPr>
                <w:rFonts w:cs="Times New Roman"/>
                <w:sz w:val="20"/>
                <w:szCs w:val="20"/>
              </w:rPr>
              <w:t>%</w:t>
            </w:r>
          </w:p>
        </w:tc>
        <w:tc>
          <w:tcPr>
            <w:tcW w:w="900" w:type="dxa"/>
            <w:gridSpan w:val="2"/>
            <w:shd w:val="clear" w:color="auto" w:fill="auto"/>
          </w:tcPr>
          <w:p w14:paraId="596379DC" w14:textId="76DBF368"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170</w:t>
            </w:r>
          </w:p>
        </w:tc>
        <w:tc>
          <w:tcPr>
            <w:tcW w:w="838" w:type="dxa"/>
            <w:shd w:val="clear" w:color="auto" w:fill="auto"/>
          </w:tcPr>
          <w:p w14:paraId="5846D48C" w14:textId="3F4AB651" w:rsidR="009F6D8E" w:rsidRPr="008A05D6" w:rsidRDefault="00035F95"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6.</w:t>
            </w:r>
            <w:r w:rsidR="009F6D8E" w:rsidRPr="008A05D6">
              <w:rPr>
                <w:rFonts w:cs="Times New Roman"/>
                <w:sz w:val="20"/>
                <w:szCs w:val="20"/>
              </w:rPr>
              <w:t>7%</w:t>
            </w:r>
          </w:p>
        </w:tc>
        <w:tc>
          <w:tcPr>
            <w:tcW w:w="871" w:type="dxa"/>
            <w:gridSpan w:val="2"/>
            <w:shd w:val="clear" w:color="auto" w:fill="auto"/>
          </w:tcPr>
          <w:p w14:paraId="3054E0B8" w14:textId="1E9008E7"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190</w:t>
            </w:r>
          </w:p>
        </w:tc>
        <w:tc>
          <w:tcPr>
            <w:tcW w:w="838" w:type="dxa"/>
            <w:shd w:val="clear" w:color="auto" w:fill="auto"/>
          </w:tcPr>
          <w:p w14:paraId="433DAEDD" w14:textId="03323E3E" w:rsidR="009F6D8E" w:rsidRPr="008A05D6" w:rsidRDefault="00035F95"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6.6</w:t>
            </w:r>
            <w:r w:rsidR="009F6D8E" w:rsidRPr="008A05D6">
              <w:rPr>
                <w:rFonts w:cs="Times New Roman"/>
                <w:sz w:val="20"/>
                <w:szCs w:val="20"/>
              </w:rPr>
              <w:t>%</w:t>
            </w:r>
          </w:p>
        </w:tc>
      </w:tr>
      <w:tr w:rsidR="009F6D8E" w:rsidRPr="008A05D6" w14:paraId="39F3389E" w14:textId="77777777" w:rsidTr="00C45717">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718FD4CA" w14:textId="77777777" w:rsidR="009F6D8E" w:rsidRPr="008A05D6" w:rsidRDefault="009F6D8E" w:rsidP="009F6D8E">
            <w:pPr>
              <w:spacing w:beforeLines="20" w:before="48" w:line="240" w:lineRule="auto"/>
              <w:ind w:left="157"/>
              <w:rPr>
                <w:rFonts w:cs="Times New Roman"/>
                <w:b w:val="0"/>
                <w:bCs w:val="0"/>
                <w:sz w:val="20"/>
                <w:szCs w:val="20"/>
              </w:rPr>
            </w:pPr>
            <w:r w:rsidRPr="008A05D6">
              <w:rPr>
                <w:rFonts w:cs="Times New Roman"/>
                <w:b w:val="0"/>
                <w:bCs w:val="0"/>
                <w:sz w:val="20"/>
                <w:szCs w:val="20"/>
              </w:rPr>
              <w:t>White</w:t>
            </w:r>
          </w:p>
        </w:tc>
        <w:tc>
          <w:tcPr>
            <w:tcW w:w="900" w:type="dxa"/>
            <w:gridSpan w:val="2"/>
            <w:shd w:val="clear" w:color="auto" w:fill="auto"/>
          </w:tcPr>
          <w:p w14:paraId="35E34251" w14:textId="795D8036"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624</w:t>
            </w:r>
          </w:p>
        </w:tc>
        <w:tc>
          <w:tcPr>
            <w:tcW w:w="838" w:type="dxa"/>
            <w:shd w:val="clear" w:color="auto" w:fill="auto"/>
          </w:tcPr>
          <w:p w14:paraId="6A73FDDB" w14:textId="39D63E26" w:rsidR="009F6D8E" w:rsidRPr="008A05D6" w:rsidRDefault="00035F95"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42.8</w:t>
            </w:r>
            <w:r w:rsidR="009F6D8E" w:rsidRPr="008A05D6">
              <w:rPr>
                <w:rFonts w:cs="Times New Roman"/>
                <w:sz w:val="20"/>
                <w:szCs w:val="20"/>
              </w:rPr>
              <w:t>%</w:t>
            </w:r>
          </w:p>
        </w:tc>
        <w:tc>
          <w:tcPr>
            <w:tcW w:w="900" w:type="dxa"/>
            <w:gridSpan w:val="2"/>
            <w:shd w:val="clear" w:color="auto" w:fill="auto"/>
          </w:tcPr>
          <w:p w14:paraId="7EDEB1FE" w14:textId="698992E6"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1</w:t>
            </w:r>
            <w:r w:rsidR="008A05D6" w:rsidRPr="008A05D6">
              <w:rPr>
                <w:rFonts w:cs="Times New Roman"/>
                <w:sz w:val="20"/>
                <w:szCs w:val="20"/>
              </w:rPr>
              <w:t>,</w:t>
            </w:r>
            <w:r w:rsidRPr="008A05D6">
              <w:rPr>
                <w:rFonts w:cs="Times New Roman"/>
                <w:sz w:val="20"/>
                <w:szCs w:val="20"/>
              </w:rPr>
              <w:t>019</w:t>
            </w:r>
          </w:p>
        </w:tc>
        <w:tc>
          <w:tcPr>
            <w:tcW w:w="838" w:type="dxa"/>
            <w:shd w:val="clear" w:color="auto" w:fill="auto"/>
          </w:tcPr>
          <w:p w14:paraId="405F4BA5" w14:textId="7BCAA574" w:rsidR="009F6D8E" w:rsidRPr="008A05D6" w:rsidRDefault="00035F95"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40.4</w:t>
            </w:r>
            <w:r w:rsidR="009F6D8E" w:rsidRPr="008A05D6">
              <w:rPr>
                <w:rFonts w:cs="Times New Roman"/>
                <w:sz w:val="20"/>
                <w:szCs w:val="20"/>
              </w:rPr>
              <w:t>%</w:t>
            </w:r>
          </w:p>
        </w:tc>
        <w:tc>
          <w:tcPr>
            <w:tcW w:w="871" w:type="dxa"/>
            <w:gridSpan w:val="2"/>
            <w:shd w:val="clear" w:color="auto" w:fill="auto"/>
          </w:tcPr>
          <w:p w14:paraId="22E5C1D9" w14:textId="5DD5644F"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1</w:t>
            </w:r>
            <w:r w:rsidR="008A05D6" w:rsidRPr="008A05D6">
              <w:rPr>
                <w:rFonts w:cs="Times New Roman"/>
                <w:sz w:val="20"/>
                <w:szCs w:val="20"/>
              </w:rPr>
              <w:t>,</w:t>
            </w:r>
            <w:r w:rsidRPr="008A05D6">
              <w:rPr>
                <w:rFonts w:cs="Times New Roman"/>
                <w:sz w:val="20"/>
                <w:szCs w:val="20"/>
              </w:rPr>
              <w:t>104</w:t>
            </w:r>
          </w:p>
        </w:tc>
        <w:tc>
          <w:tcPr>
            <w:tcW w:w="838" w:type="dxa"/>
            <w:shd w:val="clear" w:color="auto" w:fill="auto"/>
          </w:tcPr>
          <w:p w14:paraId="634A718E" w14:textId="2ED98E9C" w:rsidR="009F6D8E" w:rsidRPr="008A05D6" w:rsidRDefault="00035F95"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38.5</w:t>
            </w:r>
            <w:r w:rsidR="009F6D8E" w:rsidRPr="008A05D6">
              <w:rPr>
                <w:rFonts w:cs="Times New Roman"/>
                <w:sz w:val="20"/>
                <w:szCs w:val="20"/>
              </w:rPr>
              <w:t>%</w:t>
            </w:r>
          </w:p>
        </w:tc>
      </w:tr>
      <w:tr w:rsidR="009F6D8E" w:rsidRPr="008A05D6" w14:paraId="5766037B" w14:textId="77777777" w:rsidTr="00C4571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2CFCBAE" w14:textId="77777777" w:rsidR="009F6D8E" w:rsidRPr="008A05D6" w:rsidRDefault="009F6D8E" w:rsidP="009F6D8E">
            <w:pPr>
              <w:spacing w:beforeLines="20" w:before="48" w:line="240" w:lineRule="auto"/>
              <w:ind w:left="157"/>
              <w:rPr>
                <w:rFonts w:cs="Times New Roman"/>
                <w:b w:val="0"/>
                <w:bCs w:val="0"/>
                <w:sz w:val="20"/>
                <w:szCs w:val="20"/>
              </w:rPr>
            </w:pPr>
            <w:r w:rsidRPr="008A05D6">
              <w:rPr>
                <w:rFonts w:cs="Times New Roman"/>
                <w:b w:val="0"/>
                <w:bCs w:val="0"/>
                <w:sz w:val="20"/>
                <w:szCs w:val="20"/>
              </w:rPr>
              <w:t>Unknown</w:t>
            </w:r>
          </w:p>
        </w:tc>
        <w:tc>
          <w:tcPr>
            <w:tcW w:w="900" w:type="dxa"/>
            <w:gridSpan w:val="2"/>
            <w:shd w:val="clear" w:color="auto" w:fill="auto"/>
          </w:tcPr>
          <w:p w14:paraId="38C5BA96" w14:textId="036C6B7F"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121</w:t>
            </w:r>
          </w:p>
        </w:tc>
        <w:tc>
          <w:tcPr>
            <w:tcW w:w="838" w:type="dxa"/>
            <w:shd w:val="clear" w:color="auto" w:fill="auto"/>
          </w:tcPr>
          <w:p w14:paraId="1493E74F" w14:textId="08FF32ED"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8</w:t>
            </w:r>
            <w:r w:rsidR="00035F95">
              <w:rPr>
                <w:rFonts w:cs="Times New Roman"/>
                <w:sz w:val="20"/>
                <w:szCs w:val="20"/>
              </w:rPr>
              <w:t>.3</w:t>
            </w:r>
            <w:r w:rsidRPr="008A05D6">
              <w:rPr>
                <w:rFonts w:cs="Times New Roman"/>
                <w:sz w:val="20"/>
                <w:szCs w:val="20"/>
              </w:rPr>
              <w:t>%</w:t>
            </w:r>
          </w:p>
        </w:tc>
        <w:tc>
          <w:tcPr>
            <w:tcW w:w="900" w:type="dxa"/>
            <w:gridSpan w:val="2"/>
            <w:shd w:val="clear" w:color="auto" w:fill="auto"/>
          </w:tcPr>
          <w:p w14:paraId="091D7AE0" w14:textId="4996ED92"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47</w:t>
            </w:r>
          </w:p>
        </w:tc>
        <w:tc>
          <w:tcPr>
            <w:tcW w:w="838" w:type="dxa"/>
            <w:shd w:val="clear" w:color="auto" w:fill="auto"/>
          </w:tcPr>
          <w:p w14:paraId="4AFF8731" w14:textId="5F19D291" w:rsidR="009F6D8E" w:rsidRPr="008A05D6" w:rsidRDefault="00035F95"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1.9</w:t>
            </w:r>
            <w:r w:rsidR="009F6D8E" w:rsidRPr="008A05D6">
              <w:rPr>
                <w:rFonts w:cs="Times New Roman"/>
                <w:sz w:val="20"/>
                <w:szCs w:val="20"/>
              </w:rPr>
              <w:t>%</w:t>
            </w:r>
          </w:p>
        </w:tc>
        <w:tc>
          <w:tcPr>
            <w:tcW w:w="871" w:type="dxa"/>
            <w:gridSpan w:val="2"/>
            <w:shd w:val="clear" w:color="auto" w:fill="auto"/>
          </w:tcPr>
          <w:p w14:paraId="47F235E5" w14:textId="0A24DFB3"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88</w:t>
            </w:r>
          </w:p>
        </w:tc>
        <w:tc>
          <w:tcPr>
            <w:tcW w:w="838" w:type="dxa"/>
            <w:shd w:val="clear" w:color="auto" w:fill="auto"/>
          </w:tcPr>
          <w:p w14:paraId="320A7CE4" w14:textId="30C2AE71"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3</w:t>
            </w:r>
            <w:r w:rsidR="00035F95">
              <w:rPr>
                <w:rFonts w:cs="Times New Roman"/>
                <w:sz w:val="20"/>
                <w:szCs w:val="20"/>
              </w:rPr>
              <w:t>.1</w:t>
            </w:r>
            <w:r w:rsidRPr="008A05D6">
              <w:rPr>
                <w:rFonts w:cs="Times New Roman"/>
                <w:sz w:val="20"/>
                <w:szCs w:val="20"/>
              </w:rPr>
              <w:t>%</w:t>
            </w:r>
          </w:p>
        </w:tc>
      </w:tr>
      <w:tr w:rsidR="008A05D6" w:rsidRPr="008A05D6" w14:paraId="1B906CAE" w14:textId="77777777" w:rsidTr="00C45717">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33C10B15" w14:textId="4EF4DED4" w:rsidR="008A05D6" w:rsidRPr="008A05D6" w:rsidRDefault="008A05D6" w:rsidP="008A05D6">
            <w:pPr>
              <w:spacing w:beforeLines="20" w:before="48" w:line="240" w:lineRule="auto"/>
              <w:ind w:left="157"/>
              <w:rPr>
                <w:rFonts w:cs="Times New Roman"/>
                <w:b w:val="0"/>
                <w:bCs w:val="0"/>
                <w:sz w:val="20"/>
                <w:szCs w:val="20"/>
              </w:rPr>
            </w:pPr>
            <w:r w:rsidRPr="008A05D6">
              <w:rPr>
                <w:rFonts w:cs="Times New Roman"/>
                <w:b w:val="0"/>
                <w:bCs w:val="0"/>
                <w:sz w:val="20"/>
                <w:szCs w:val="20"/>
              </w:rPr>
              <w:t>Patient Declined</w:t>
            </w:r>
          </w:p>
        </w:tc>
        <w:tc>
          <w:tcPr>
            <w:tcW w:w="900" w:type="dxa"/>
            <w:gridSpan w:val="2"/>
            <w:shd w:val="clear" w:color="auto" w:fill="auto"/>
            <w:vAlign w:val="bottom"/>
          </w:tcPr>
          <w:p w14:paraId="0FD2E49F" w14:textId="23DA8A76" w:rsidR="008A05D6" w:rsidRPr="008A05D6" w:rsidRDefault="008A05D6" w:rsidP="008A05D6">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color w:val="000000"/>
                <w:sz w:val="20"/>
                <w:szCs w:val="20"/>
              </w:rPr>
              <w:t>336</w:t>
            </w:r>
          </w:p>
        </w:tc>
        <w:tc>
          <w:tcPr>
            <w:tcW w:w="838" w:type="dxa"/>
            <w:shd w:val="clear" w:color="auto" w:fill="auto"/>
            <w:vAlign w:val="bottom"/>
          </w:tcPr>
          <w:p w14:paraId="28995FE3" w14:textId="2DAD4243" w:rsidR="008A05D6" w:rsidRPr="008A05D6" w:rsidRDefault="008A05D6" w:rsidP="008A05D6">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color w:val="000000"/>
                <w:sz w:val="20"/>
                <w:szCs w:val="20"/>
              </w:rPr>
              <w:t>23</w:t>
            </w:r>
            <w:r w:rsidR="00035F95">
              <w:rPr>
                <w:rFonts w:cs="Times New Roman"/>
                <w:color w:val="000000"/>
                <w:sz w:val="20"/>
                <w:szCs w:val="20"/>
              </w:rPr>
              <w:t>.0</w:t>
            </w:r>
            <w:r w:rsidRPr="008A05D6">
              <w:rPr>
                <w:rFonts w:cs="Times New Roman"/>
                <w:color w:val="000000"/>
                <w:sz w:val="20"/>
                <w:szCs w:val="20"/>
              </w:rPr>
              <w:t>%</w:t>
            </w:r>
          </w:p>
        </w:tc>
        <w:tc>
          <w:tcPr>
            <w:tcW w:w="900" w:type="dxa"/>
            <w:gridSpan w:val="2"/>
            <w:shd w:val="clear" w:color="auto" w:fill="auto"/>
            <w:vAlign w:val="bottom"/>
          </w:tcPr>
          <w:p w14:paraId="1F003CD1" w14:textId="6F32F297" w:rsidR="008A05D6" w:rsidRPr="008A05D6" w:rsidRDefault="008A05D6" w:rsidP="008A05D6">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color w:val="000000"/>
                <w:sz w:val="20"/>
                <w:szCs w:val="20"/>
              </w:rPr>
              <w:t>870</w:t>
            </w:r>
          </w:p>
        </w:tc>
        <w:tc>
          <w:tcPr>
            <w:tcW w:w="838" w:type="dxa"/>
            <w:shd w:val="clear" w:color="auto" w:fill="auto"/>
            <w:vAlign w:val="bottom"/>
          </w:tcPr>
          <w:p w14:paraId="6729DDFD" w14:textId="03A48C5C" w:rsidR="008A05D6" w:rsidRPr="008A05D6" w:rsidRDefault="008A05D6" w:rsidP="008A05D6">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color w:val="000000"/>
                <w:sz w:val="20"/>
                <w:szCs w:val="20"/>
              </w:rPr>
              <w:t>34.</w:t>
            </w:r>
            <w:r w:rsidR="00035F95">
              <w:rPr>
                <w:rFonts w:cs="Times New Roman"/>
                <w:color w:val="000000"/>
                <w:sz w:val="20"/>
                <w:szCs w:val="20"/>
              </w:rPr>
              <w:t>5</w:t>
            </w:r>
            <w:r w:rsidRPr="008A05D6">
              <w:rPr>
                <w:rFonts w:cs="Times New Roman"/>
                <w:color w:val="000000"/>
                <w:sz w:val="20"/>
                <w:szCs w:val="20"/>
              </w:rPr>
              <w:t>%</w:t>
            </w:r>
          </w:p>
        </w:tc>
        <w:tc>
          <w:tcPr>
            <w:tcW w:w="871" w:type="dxa"/>
            <w:gridSpan w:val="2"/>
            <w:shd w:val="clear" w:color="auto" w:fill="auto"/>
            <w:vAlign w:val="bottom"/>
          </w:tcPr>
          <w:p w14:paraId="4C36185D" w14:textId="39DB7845" w:rsidR="008A05D6" w:rsidRPr="008A05D6" w:rsidRDefault="008A05D6" w:rsidP="008A05D6">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color w:val="000000"/>
                <w:sz w:val="20"/>
                <w:szCs w:val="20"/>
              </w:rPr>
              <w:t>1,037</w:t>
            </w:r>
          </w:p>
        </w:tc>
        <w:tc>
          <w:tcPr>
            <w:tcW w:w="838" w:type="dxa"/>
            <w:shd w:val="clear" w:color="auto" w:fill="auto"/>
            <w:vAlign w:val="bottom"/>
          </w:tcPr>
          <w:p w14:paraId="52517F60" w14:textId="7B86482B" w:rsidR="008A05D6" w:rsidRPr="008A05D6" w:rsidRDefault="008A05D6" w:rsidP="008A05D6">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color w:val="000000"/>
                <w:sz w:val="20"/>
                <w:szCs w:val="20"/>
              </w:rPr>
              <w:t>36.2%</w:t>
            </w:r>
          </w:p>
        </w:tc>
      </w:tr>
      <w:tr w:rsidR="009F6D8E" w:rsidRPr="008A05D6" w14:paraId="0B0C15B2" w14:textId="77777777" w:rsidTr="00C4571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25F7F88" w14:textId="77777777" w:rsidR="00EF1992" w:rsidRPr="008A05D6" w:rsidRDefault="00EF1992" w:rsidP="009F6D8E">
            <w:pPr>
              <w:spacing w:beforeLines="20" w:before="48" w:line="240" w:lineRule="auto"/>
              <w:rPr>
                <w:rFonts w:cs="Times New Roman"/>
                <w:sz w:val="20"/>
                <w:szCs w:val="20"/>
              </w:rPr>
            </w:pPr>
            <w:r w:rsidRPr="008A05D6">
              <w:rPr>
                <w:rFonts w:cs="Times New Roman"/>
                <w:sz w:val="20"/>
                <w:szCs w:val="20"/>
              </w:rPr>
              <w:t>Ethnicity</w:t>
            </w:r>
          </w:p>
        </w:tc>
        <w:tc>
          <w:tcPr>
            <w:tcW w:w="900" w:type="dxa"/>
            <w:gridSpan w:val="2"/>
            <w:shd w:val="clear" w:color="auto" w:fill="auto"/>
          </w:tcPr>
          <w:p w14:paraId="64AC533B" w14:textId="77777777"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38" w:type="dxa"/>
            <w:shd w:val="clear" w:color="auto" w:fill="auto"/>
          </w:tcPr>
          <w:p w14:paraId="4201DB92" w14:textId="77777777"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00" w:type="dxa"/>
            <w:gridSpan w:val="2"/>
            <w:shd w:val="clear" w:color="auto" w:fill="auto"/>
          </w:tcPr>
          <w:p w14:paraId="5C514169" w14:textId="77777777"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38" w:type="dxa"/>
            <w:shd w:val="clear" w:color="auto" w:fill="auto"/>
          </w:tcPr>
          <w:p w14:paraId="34473D06" w14:textId="77777777"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71" w:type="dxa"/>
            <w:gridSpan w:val="2"/>
            <w:shd w:val="clear" w:color="auto" w:fill="auto"/>
          </w:tcPr>
          <w:p w14:paraId="2BFCEDE4" w14:textId="77777777"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38" w:type="dxa"/>
            <w:shd w:val="clear" w:color="auto" w:fill="auto"/>
          </w:tcPr>
          <w:p w14:paraId="213F0E16" w14:textId="77777777"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r>
      <w:tr w:rsidR="009F6D8E" w:rsidRPr="008A05D6" w14:paraId="5A903649" w14:textId="77777777" w:rsidTr="00C45717">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69A90DE0" w14:textId="77777777" w:rsidR="009F6D8E" w:rsidRPr="008A05D6" w:rsidRDefault="009F6D8E" w:rsidP="009F6D8E">
            <w:pPr>
              <w:spacing w:beforeLines="20" w:before="48" w:line="240" w:lineRule="auto"/>
              <w:ind w:left="157"/>
              <w:rPr>
                <w:rFonts w:cs="Times New Roman"/>
                <w:b w:val="0"/>
                <w:bCs w:val="0"/>
                <w:sz w:val="20"/>
                <w:szCs w:val="20"/>
              </w:rPr>
            </w:pPr>
            <w:r w:rsidRPr="008A05D6">
              <w:rPr>
                <w:rFonts w:cs="Times New Roman"/>
                <w:b w:val="0"/>
                <w:bCs w:val="0"/>
                <w:sz w:val="20"/>
                <w:szCs w:val="20"/>
              </w:rPr>
              <w:t>Hispanic or Latino</w:t>
            </w:r>
          </w:p>
        </w:tc>
        <w:tc>
          <w:tcPr>
            <w:tcW w:w="900" w:type="dxa"/>
            <w:gridSpan w:val="2"/>
            <w:shd w:val="clear" w:color="auto" w:fill="auto"/>
          </w:tcPr>
          <w:p w14:paraId="15863DC4" w14:textId="10DCCD5D"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90</w:t>
            </w:r>
          </w:p>
        </w:tc>
        <w:tc>
          <w:tcPr>
            <w:tcW w:w="838" w:type="dxa"/>
            <w:shd w:val="clear" w:color="auto" w:fill="auto"/>
          </w:tcPr>
          <w:p w14:paraId="59FC578D" w14:textId="6BA0047C"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6</w:t>
            </w:r>
            <w:r w:rsidR="00035F95">
              <w:rPr>
                <w:rFonts w:cs="Times New Roman"/>
                <w:sz w:val="20"/>
                <w:szCs w:val="20"/>
              </w:rPr>
              <w:t>.2</w:t>
            </w:r>
            <w:r w:rsidRPr="008A05D6">
              <w:rPr>
                <w:rFonts w:cs="Times New Roman"/>
                <w:sz w:val="20"/>
                <w:szCs w:val="20"/>
              </w:rPr>
              <w:t>%</w:t>
            </w:r>
          </w:p>
        </w:tc>
        <w:tc>
          <w:tcPr>
            <w:tcW w:w="900" w:type="dxa"/>
            <w:gridSpan w:val="2"/>
            <w:shd w:val="clear" w:color="auto" w:fill="auto"/>
          </w:tcPr>
          <w:p w14:paraId="40B7A3C6" w14:textId="6384AC8E"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138</w:t>
            </w:r>
          </w:p>
        </w:tc>
        <w:tc>
          <w:tcPr>
            <w:tcW w:w="838" w:type="dxa"/>
            <w:shd w:val="clear" w:color="auto" w:fill="auto"/>
          </w:tcPr>
          <w:p w14:paraId="6012BDD1" w14:textId="4B8A421F" w:rsidR="009F6D8E" w:rsidRPr="008A05D6" w:rsidRDefault="00035F95"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5.5</w:t>
            </w:r>
            <w:r w:rsidR="009F6D8E" w:rsidRPr="008A05D6">
              <w:rPr>
                <w:rFonts w:cs="Times New Roman"/>
                <w:sz w:val="20"/>
                <w:szCs w:val="20"/>
              </w:rPr>
              <w:t>%</w:t>
            </w:r>
          </w:p>
        </w:tc>
        <w:tc>
          <w:tcPr>
            <w:tcW w:w="871" w:type="dxa"/>
            <w:gridSpan w:val="2"/>
            <w:shd w:val="clear" w:color="auto" w:fill="auto"/>
          </w:tcPr>
          <w:p w14:paraId="4A08E16D" w14:textId="5C4D7E6F"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126</w:t>
            </w:r>
          </w:p>
        </w:tc>
        <w:tc>
          <w:tcPr>
            <w:tcW w:w="838" w:type="dxa"/>
            <w:shd w:val="clear" w:color="auto" w:fill="auto"/>
          </w:tcPr>
          <w:p w14:paraId="51BCFF05" w14:textId="360CC1FC"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4</w:t>
            </w:r>
            <w:r w:rsidR="00035F95">
              <w:rPr>
                <w:rFonts w:cs="Times New Roman"/>
                <w:sz w:val="20"/>
                <w:szCs w:val="20"/>
              </w:rPr>
              <w:t>.4</w:t>
            </w:r>
            <w:r w:rsidRPr="008A05D6">
              <w:rPr>
                <w:rFonts w:cs="Times New Roman"/>
                <w:sz w:val="20"/>
                <w:szCs w:val="20"/>
              </w:rPr>
              <w:t>%</w:t>
            </w:r>
          </w:p>
        </w:tc>
      </w:tr>
      <w:tr w:rsidR="009F6D8E" w:rsidRPr="008A05D6" w14:paraId="6D7E5D43" w14:textId="77777777" w:rsidTr="00C4571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697F75B2" w14:textId="77777777" w:rsidR="009F6D8E" w:rsidRPr="008A05D6" w:rsidRDefault="009F6D8E" w:rsidP="009F6D8E">
            <w:pPr>
              <w:spacing w:beforeLines="20" w:before="48" w:line="240" w:lineRule="auto"/>
              <w:ind w:left="157"/>
              <w:rPr>
                <w:rFonts w:cs="Times New Roman"/>
                <w:b w:val="0"/>
                <w:bCs w:val="0"/>
                <w:sz w:val="20"/>
                <w:szCs w:val="20"/>
              </w:rPr>
            </w:pPr>
            <w:r w:rsidRPr="008A05D6">
              <w:rPr>
                <w:rFonts w:cs="Times New Roman"/>
                <w:b w:val="0"/>
                <w:bCs w:val="0"/>
                <w:sz w:val="20"/>
                <w:szCs w:val="20"/>
              </w:rPr>
              <w:t>Not Hispanic or Latino</w:t>
            </w:r>
          </w:p>
        </w:tc>
        <w:tc>
          <w:tcPr>
            <w:tcW w:w="900" w:type="dxa"/>
            <w:gridSpan w:val="2"/>
            <w:shd w:val="clear" w:color="auto" w:fill="auto"/>
          </w:tcPr>
          <w:p w14:paraId="59D30C13" w14:textId="0BFB967B"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843</w:t>
            </w:r>
          </w:p>
        </w:tc>
        <w:tc>
          <w:tcPr>
            <w:tcW w:w="838" w:type="dxa"/>
            <w:shd w:val="clear" w:color="auto" w:fill="auto"/>
          </w:tcPr>
          <w:p w14:paraId="108309A6" w14:textId="22E21322"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5</w:t>
            </w:r>
            <w:r w:rsidR="00035F95">
              <w:rPr>
                <w:rFonts w:cs="Times New Roman"/>
                <w:sz w:val="20"/>
                <w:szCs w:val="20"/>
              </w:rPr>
              <w:t>7.8</w:t>
            </w:r>
            <w:r w:rsidRPr="008A05D6">
              <w:rPr>
                <w:rFonts w:cs="Times New Roman"/>
                <w:sz w:val="20"/>
                <w:szCs w:val="20"/>
              </w:rPr>
              <w:t>%</w:t>
            </w:r>
          </w:p>
        </w:tc>
        <w:tc>
          <w:tcPr>
            <w:tcW w:w="900" w:type="dxa"/>
            <w:gridSpan w:val="2"/>
            <w:shd w:val="clear" w:color="auto" w:fill="auto"/>
          </w:tcPr>
          <w:p w14:paraId="0E15E97E" w14:textId="5631B752"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w:t>
            </w:r>
            <w:r w:rsidR="008A05D6" w:rsidRPr="008A05D6">
              <w:rPr>
                <w:rFonts w:cs="Times New Roman"/>
                <w:sz w:val="20"/>
                <w:szCs w:val="20"/>
              </w:rPr>
              <w:t>,</w:t>
            </w:r>
            <w:r w:rsidRPr="008A05D6">
              <w:rPr>
                <w:rFonts w:cs="Times New Roman"/>
                <w:sz w:val="20"/>
                <w:szCs w:val="20"/>
              </w:rPr>
              <w:t>356</w:t>
            </w:r>
          </w:p>
        </w:tc>
        <w:tc>
          <w:tcPr>
            <w:tcW w:w="838" w:type="dxa"/>
            <w:shd w:val="clear" w:color="auto" w:fill="auto"/>
          </w:tcPr>
          <w:p w14:paraId="79AB457C" w14:textId="6D86C1EE"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5</w:t>
            </w:r>
            <w:r w:rsidR="00035F95">
              <w:rPr>
                <w:rFonts w:cs="Times New Roman"/>
                <w:sz w:val="20"/>
                <w:szCs w:val="20"/>
              </w:rPr>
              <w:t>3.7</w:t>
            </w:r>
            <w:r w:rsidRPr="008A05D6">
              <w:rPr>
                <w:rFonts w:cs="Times New Roman"/>
                <w:sz w:val="20"/>
                <w:szCs w:val="20"/>
              </w:rPr>
              <w:t>%</w:t>
            </w:r>
          </w:p>
        </w:tc>
        <w:tc>
          <w:tcPr>
            <w:tcW w:w="871" w:type="dxa"/>
            <w:gridSpan w:val="2"/>
            <w:shd w:val="clear" w:color="auto" w:fill="auto"/>
          </w:tcPr>
          <w:p w14:paraId="3A95A786" w14:textId="5E7613F9"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w:t>
            </w:r>
            <w:r w:rsidR="008A05D6" w:rsidRPr="008A05D6">
              <w:rPr>
                <w:rFonts w:cs="Times New Roman"/>
                <w:sz w:val="20"/>
                <w:szCs w:val="20"/>
              </w:rPr>
              <w:t>,</w:t>
            </w:r>
            <w:r w:rsidRPr="008A05D6">
              <w:rPr>
                <w:rFonts w:cs="Times New Roman"/>
                <w:sz w:val="20"/>
                <w:szCs w:val="20"/>
              </w:rPr>
              <w:t>453</w:t>
            </w:r>
          </w:p>
        </w:tc>
        <w:tc>
          <w:tcPr>
            <w:tcW w:w="838" w:type="dxa"/>
            <w:shd w:val="clear" w:color="auto" w:fill="auto"/>
          </w:tcPr>
          <w:p w14:paraId="1A4894BA" w14:textId="3E6A69B5"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5</w:t>
            </w:r>
            <w:r w:rsidR="00035F95">
              <w:rPr>
                <w:rFonts w:cs="Times New Roman"/>
                <w:sz w:val="20"/>
                <w:szCs w:val="20"/>
              </w:rPr>
              <w:t>0.7</w:t>
            </w:r>
            <w:r w:rsidRPr="008A05D6">
              <w:rPr>
                <w:rFonts w:cs="Times New Roman"/>
                <w:sz w:val="20"/>
                <w:szCs w:val="20"/>
              </w:rPr>
              <w:t>%</w:t>
            </w:r>
          </w:p>
        </w:tc>
      </w:tr>
      <w:tr w:rsidR="009F6D8E" w:rsidRPr="008A05D6" w14:paraId="6CEC1842" w14:textId="77777777" w:rsidTr="00C45717">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3C838467" w14:textId="77777777" w:rsidR="009F6D8E" w:rsidRPr="008A05D6" w:rsidRDefault="009F6D8E" w:rsidP="009F6D8E">
            <w:pPr>
              <w:spacing w:beforeLines="20" w:before="48" w:line="240" w:lineRule="auto"/>
              <w:ind w:left="157"/>
              <w:rPr>
                <w:rFonts w:cs="Times New Roman"/>
                <w:b w:val="0"/>
                <w:bCs w:val="0"/>
                <w:sz w:val="20"/>
                <w:szCs w:val="20"/>
              </w:rPr>
            </w:pPr>
            <w:r w:rsidRPr="008A05D6">
              <w:rPr>
                <w:rFonts w:cs="Times New Roman"/>
                <w:b w:val="0"/>
                <w:bCs w:val="0"/>
                <w:sz w:val="20"/>
                <w:szCs w:val="20"/>
              </w:rPr>
              <w:t>Unknown</w:t>
            </w:r>
          </w:p>
        </w:tc>
        <w:tc>
          <w:tcPr>
            <w:tcW w:w="900" w:type="dxa"/>
            <w:gridSpan w:val="2"/>
            <w:shd w:val="clear" w:color="auto" w:fill="auto"/>
          </w:tcPr>
          <w:p w14:paraId="1C7B37B7" w14:textId="6F55B149"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525</w:t>
            </w:r>
          </w:p>
        </w:tc>
        <w:tc>
          <w:tcPr>
            <w:tcW w:w="838" w:type="dxa"/>
            <w:shd w:val="clear" w:color="auto" w:fill="auto"/>
          </w:tcPr>
          <w:p w14:paraId="3E152838" w14:textId="117A9095"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36</w:t>
            </w:r>
            <w:r w:rsidR="00035F95">
              <w:rPr>
                <w:rFonts w:cs="Times New Roman"/>
                <w:sz w:val="20"/>
                <w:szCs w:val="20"/>
              </w:rPr>
              <w:t>.0</w:t>
            </w:r>
            <w:r w:rsidRPr="008A05D6">
              <w:rPr>
                <w:rFonts w:cs="Times New Roman"/>
                <w:sz w:val="20"/>
                <w:szCs w:val="20"/>
              </w:rPr>
              <w:t>%</w:t>
            </w:r>
          </w:p>
        </w:tc>
        <w:tc>
          <w:tcPr>
            <w:tcW w:w="900" w:type="dxa"/>
            <w:gridSpan w:val="2"/>
            <w:shd w:val="clear" w:color="auto" w:fill="auto"/>
          </w:tcPr>
          <w:p w14:paraId="4CB4C3C9" w14:textId="4C52A140"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1</w:t>
            </w:r>
            <w:r w:rsidR="008A05D6" w:rsidRPr="008A05D6">
              <w:rPr>
                <w:rFonts w:cs="Times New Roman"/>
                <w:sz w:val="20"/>
                <w:szCs w:val="20"/>
              </w:rPr>
              <w:t>,</w:t>
            </w:r>
            <w:r w:rsidRPr="008A05D6">
              <w:rPr>
                <w:rFonts w:cs="Times New Roman"/>
                <w:sz w:val="20"/>
                <w:szCs w:val="20"/>
              </w:rPr>
              <w:t>030</w:t>
            </w:r>
          </w:p>
        </w:tc>
        <w:tc>
          <w:tcPr>
            <w:tcW w:w="838" w:type="dxa"/>
            <w:shd w:val="clear" w:color="auto" w:fill="auto"/>
          </w:tcPr>
          <w:p w14:paraId="4DC7CEE2" w14:textId="28303EFB"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4</w:t>
            </w:r>
            <w:r w:rsidR="00035F95">
              <w:rPr>
                <w:rFonts w:cs="Times New Roman"/>
                <w:sz w:val="20"/>
                <w:szCs w:val="20"/>
              </w:rPr>
              <w:t>0.8</w:t>
            </w:r>
            <w:r w:rsidRPr="008A05D6">
              <w:rPr>
                <w:rFonts w:cs="Times New Roman"/>
                <w:sz w:val="20"/>
                <w:szCs w:val="20"/>
              </w:rPr>
              <w:t>%</w:t>
            </w:r>
          </w:p>
        </w:tc>
        <w:tc>
          <w:tcPr>
            <w:tcW w:w="871" w:type="dxa"/>
            <w:gridSpan w:val="2"/>
            <w:shd w:val="clear" w:color="auto" w:fill="auto"/>
          </w:tcPr>
          <w:p w14:paraId="05589E47" w14:textId="72E91929"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1</w:t>
            </w:r>
            <w:r w:rsidR="008A05D6" w:rsidRPr="008A05D6">
              <w:rPr>
                <w:rFonts w:cs="Times New Roman"/>
                <w:sz w:val="20"/>
                <w:szCs w:val="20"/>
              </w:rPr>
              <w:t>,</w:t>
            </w:r>
            <w:r w:rsidRPr="008A05D6">
              <w:rPr>
                <w:rFonts w:cs="Times New Roman"/>
                <w:sz w:val="20"/>
                <w:szCs w:val="20"/>
              </w:rPr>
              <w:t>288</w:t>
            </w:r>
          </w:p>
        </w:tc>
        <w:tc>
          <w:tcPr>
            <w:tcW w:w="838" w:type="dxa"/>
            <w:shd w:val="clear" w:color="auto" w:fill="auto"/>
          </w:tcPr>
          <w:p w14:paraId="33BCCC08" w14:textId="5459230E"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4</w:t>
            </w:r>
            <w:r w:rsidR="00035F95">
              <w:rPr>
                <w:rFonts w:cs="Times New Roman"/>
                <w:sz w:val="20"/>
                <w:szCs w:val="20"/>
              </w:rPr>
              <w:t>4.9</w:t>
            </w:r>
            <w:r w:rsidRPr="008A05D6">
              <w:rPr>
                <w:rFonts w:cs="Times New Roman"/>
                <w:sz w:val="20"/>
                <w:szCs w:val="20"/>
              </w:rPr>
              <w:t>%</w:t>
            </w:r>
          </w:p>
        </w:tc>
      </w:tr>
      <w:tr w:rsidR="009F6D8E" w:rsidRPr="008A05D6" w14:paraId="255176B1" w14:textId="77777777" w:rsidTr="00C4571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355F04E2" w14:textId="77777777" w:rsidR="00EF1992" w:rsidRPr="008A05D6" w:rsidRDefault="00EF1992" w:rsidP="009F6D8E">
            <w:pPr>
              <w:spacing w:beforeLines="20" w:before="48" w:line="240" w:lineRule="auto"/>
              <w:rPr>
                <w:rFonts w:cs="Times New Roman"/>
                <w:sz w:val="20"/>
                <w:szCs w:val="20"/>
              </w:rPr>
            </w:pPr>
            <w:r w:rsidRPr="008A05D6">
              <w:rPr>
                <w:rFonts w:cs="Times New Roman"/>
                <w:sz w:val="20"/>
                <w:szCs w:val="20"/>
              </w:rPr>
              <w:t>Payor</w:t>
            </w:r>
          </w:p>
        </w:tc>
        <w:tc>
          <w:tcPr>
            <w:tcW w:w="900" w:type="dxa"/>
            <w:gridSpan w:val="2"/>
            <w:shd w:val="clear" w:color="auto" w:fill="auto"/>
          </w:tcPr>
          <w:p w14:paraId="194B2DBE" w14:textId="77777777"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38" w:type="dxa"/>
            <w:shd w:val="clear" w:color="auto" w:fill="auto"/>
          </w:tcPr>
          <w:p w14:paraId="74268B1E" w14:textId="77777777"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00" w:type="dxa"/>
            <w:gridSpan w:val="2"/>
            <w:shd w:val="clear" w:color="auto" w:fill="auto"/>
          </w:tcPr>
          <w:p w14:paraId="05B3E77A" w14:textId="77777777"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38" w:type="dxa"/>
            <w:shd w:val="clear" w:color="auto" w:fill="auto"/>
          </w:tcPr>
          <w:p w14:paraId="61C3E43F" w14:textId="77777777"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71" w:type="dxa"/>
            <w:gridSpan w:val="2"/>
            <w:shd w:val="clear" w:color="auto" w:fill="auto"/>
          </w:tcPr>
          <w:p w14:paraId="3318362E" w14:textId="77777777"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38" w:type="dxa"/>
            <w:shd w:val="clear" w:color="auto" w:fill="auto"/>
          </w:tcPr>
          <w:p w14:paraId="42E34EC3" w14:textId="77777777" w:rsidR="00EF1992" w:rsidRPr="008A05D6" w:rsidRDefault="00EF1992"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r>
      <w:tr w:rsidR="009F6D8E" w:rsidRPr="008A05D6" w14:paraId="175B427C" w14:textId="77777777" w:rsidTr="00C45717">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14334B3" w14:textId="77777777" w:rsidR="009F6D8E" w:rsidRPr="008A05D6" w:rsidRDefault="009F6D8E" w:rsidP="009F6D8E">
            <w:pPr>
              <w:spacing w:beforeLines="20" w:before="48" w:line="240" w:lineRule="auto"/>
              <w:ind w:left="157"/>
              <w:rPr>
                <w:rFonts w:cs="Times New Roman"/>
                <w:b w:val="0"/>
                <w:bCs w:val="0"/>
                <w:sz w:val="20"/>
                <w:szCs w:val="20"/>
              </w:rPr>
            </w:pPr>
            <w:r w:rsidRPr="008A05D6">
              <w:rPr>
                <w:rFonts w:cs="Times New Roman"/>
                <w:b w:val="0"/>
                <w:bCs w:val="0"/>
                <w:sz w:val="20"/>
                <w:szCs w:val="20"/>
              </w:rPr>
              <w:t>Commercial</w:t>
            </w:r>
          </w:p>
        </w:tc>
        <w:tc>
          <w:tcPr>
            <w:tcW w:w="900" w:type="dxa"/>
            <w:gridSpan w:val="2"/>
            <w:shd w:val="clear" w:color="auto" w:fill="auto"/>
          </w:tcPr>
          <w:p w14:paraId="4A498D0B" w14:textId="36543A1A"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798</w:t>
            </w:r>
          </w:p>
        </w:tc>
        <w:tc>
          <w:tcPr>
            <w:tcW w:w="838" w:type="dxa"/>
            <w:shd w:val="clear" w:color="auto" w:fill="auto"/>
          </w:tcPr>
          <w:p w14:paraId="02B4CCEC" w14:textId="07BA6C78"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5</w:t>
            </w:r>
            <w:r w:rsidR="00035F95">
              <w:rPr>
                <w:rFonts w:cs="Times New Roman"/>
                <w:sz w:val="20"/>
                <w:szCs w:val="20"/>
              </w:rPr>
              <w:t>4.7</w:t>
            </w:r>
            <w:r w:rsidRPr="008A05D6">
              <w:rPr>
                <w:rFonts w:cs="Times New Roman"/>
                <w:sz w:val="20"/>
                <w:szCs w:val="20"/>
              </w:rPr>
              <w:t>%</w:t>
            </w:r>
          </w:p>
        </w:tc>
        <w:tc>
          <w:tcPr>
            <w:tcW w:w="900" w:type="dxa"/>
            <w:gridSpan w:val="2"/>
            <w:shd w:val="clear" w:color="auto" w:fill="auto"/>
          </w:tcPr>
          <w:p w14:paraId="6D2618C1" w14:textId="3F2DAC24"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1</w:t>
            </w:r>
            <w:r w:rsidR="008A05D6" w:rsidRPr="008A05D6">
              <w:rPr>
                <w:rFonts w:cs="Times New Roman"/>
                <w:sz w:val="20"/>
                <w:szCs w:val="20"/>
              </w:rPr>
              <w:t>,</w:t>
            </w:r>
            <w:r w:rsidRPr="008A05D6">
              <w:rPr>
                <w:rFonts w:cs="Times New Roman"/>
                <w:sz w:val="20"/>
                <w:szCs w:val="20"/>
              </w:rPr>
              <w:t>392</w:t>
            </w:r>
          </w:p>
        </w:tc>
        <w:tc>
          <w:tcPr>
            <w:tcW w:w="838" w:type="dxa"/>
            <w:shd w:val="clear" w:color="auto" w:fill="auto"/>
          </w:tcPr>
          <w:p w14:paraId="69908598" w14:textId="76CF0A9E"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55</w:t>
            </w:r>
            <w:r w:rsidR="00035F95">
              <w:rPr>
                <w:rFonts w:cs="Times New Roman"/>
                <w:sz w:val="20"/>
                <w:szCs w:val="20"/>
              </w:rPr>
              <w:t>.2</w:t>
            </w:r>
            <w:r w:rsidRPr="008A05D6">
              <w:rPr>
                <w:rFonts w:cs="Times New Roman"/>
                <w:sz w:val="20"/>
                <w:szCs w:val="20"/>
              </w:rPr>
              <w:t>%</w:t>
            </w:r>
          </w:p>
        </w:tc>
        <w:tc>
          <w:tcPr>
            <w:tcW w:w="871" w:type="dxa"/>
            <w:gridSpan w:val="2"/>
            <w:shd w:val="clear" w:color="auto" w:fill="auto"/>
          </w:tcPr>
          <w:p w14:paraId="6862151F" w14:textId="737734B3"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1</w:t>
            </w:r>
            <w:r w:rsidR="008A05D6" w:rsidRPr="008A05D6">
              <w:rPr>
                <w:rFonts w:cs="Times New Roman"/>
                <w:sz w:val="20"/>
                <w:szCs w:val="20"/>
              </w:rPr>
              <w:t>,</w:t>
            </w:r>
            <w:r w:rsidRPr="008A05D6">
              <w:rPr>
                <w:rFonts w:cs="Times New Roman"/>
                <w:sz w:val="20"/>
                <w:szCs w:val="20"/>
              </w:rPr>
              <w:t>633</w:t>
            </w:r>
          </w:p>
        </w:tc>
        <w:tc>
          <w:tcPr>
            <w:tcW w:w="838" w:type="dxa"/>
            <w:shd w:val="clear" w:color="auto" w:fill="auto"/>
          </w:tcPr>
          <w:p w14:paraId="15D13E99" w14:textId="4C5266CC"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57</w:t>
            </w:r>
            <w:r w:rsidR="00035F95">
              <w:rPr>
                <w:rFonts w:cs="Times New Roman"/>
                <w:sz w:val="20"/>
                <w:szCs w:val="20"/>
              </w:rPr>
              <w:t>.0</w:t>
            </w:r>
            <w:r w:rsidRPr="008A05D6">
              <w:rPr>
                <w:rFonts w:cs="Times New Roman"/>
                <w:sz w:val="20"/>
                <w:szCs w:val="20"/>
              </w:rPr>
              <w:t>%</w:t>
            </w:r>
          </w:p>
        </w:tc>
      </w:tr>
      <w:tr w:rsidR="009F6D8E" w:rsidRPr="008A05D6" w14:paraId="415A86DD" w14:textId="77777777" w:rsidTr="00C4571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23124CCA" w14:textId="77777777" w:rsidR="009F6D8E" w:rsidRPr="008A05D6" w:rsidRDefault="009F6D8E" w:rsidP="009F6D8E">
            <w:pPr>
              <w:spacing w:beforeLines="20" w:before="48" w:line="240" w:lineRule="auto"/>
              <w:ind w:left="157"/>
              <w:rPr>
                <w:rFonts w:cs="Times New Roman"/>
                <w:b w:val="0"/>
                <w:bCs w:val="0"/>
                <w:sz w:val="20"/>
                <w:szCs w:val="20"/>
              </w:rPr>
            </w:pPr>
            <w:r w:rsidRPr="008A05D6">
              <w:rPr>
                <w:rFonts w:cs="Times New Roman"/>
                <w:b w:val="0"/>
                <w:bCs w:val="0"/>
                <w:sz w:val="20"/>
                <w:szCs w:val="20"/>
              </w:rPr>
              <w:t>Medicare</w:t>
            </w:r>
          </w:p>
        </w:tc>
        <w:tc>
          <w:tcPr>
            <w:tcW w:w="900" w:type="dxa"/>
            <w:gridSpan w:val="2"/>
            <w:shd w:val="clear" w:color="auto" w:fill="auto"/>
          </w:tcPr>
          <w:p w14:paraId="1018AEA3" w14:textId="281EAAFB"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183</w:t>
            </w:r>
          </w:p>
        </w:tc>
        <w:tc>
          <w:tcPr>
            <w:tcW w:w="838" w:type="dxa"/>
            <w:shd w:val="clear" w:color="auto" w:fill="auto"/>
          </w:tcPr>
          <w:p w14:paraId="1DF0611C" w14:textId="1618A70C"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w:t>
            </w:r>
            <w:r w:rsidR="00035F95">
              <w:rPr>
                <w:rFonts w:cs="Times New Roman"/>
                <w:sz w:val="20"/>
                <w:szCs w:val="20"/>
              </w:rPr>
              <w:t>2.6</w:t>
            </w:r>
            <w:r w:rsidRPr="008A05D6">
              <w:rPr>
                <w:rFonts w:cs="Times New Roman"/>
                <w:sz w:val="20"/>
                <w:szCs w:val="20"/>
              </w:rPr>
              <w:t>%</w:t>
            </w:r>
          </w:p>
        </w:tc>
        <w:tc>
          <w:tcPr>
            <w:tcW w:w="900" w:type="dxa"/>
            <w:gridSpan w:val="2"/>
            <w:shd w:val="clear" w:color="auto" w:fill="auto"/>
          </w:tcPr>
          <w:p w14:paraId="29CA23FF" w14:textId="3A42B532"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370</w:t>
            </w:r>
          </w:p>
        </w:tc>
        <w:tc>
          <w:tcPr>
            <w:tcW w:w="838" w:type="dxa"/>
            <w:shd w:val="clear" w:color="auto" w:fill="auto"/>
          </w:tcPr>
          <w:p w14:paraId="4AD3C9A6" w14:textId="11453DF3" w:rsidR="009F6D8E" w:rsidRPr="008A05D6" w:rsidRDefault="00035F95"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14.7</w:t>
            </w:r>
            <w:r w:rsidR="009F6D8E" w:rsidRPr="008A05D6">
              <w:rPr>
                <w:rFonts w:cs="Times New Roman"/>
                <w:sz w:val="20"/>
                <w:szCs w:val="20"/>
              </w:rPr>
              <w:t>%</w:t>
            </w:r>
          </w:p>
        </w:tc>
        <w:tc>
          <w:tcPr>
            <w:tcW w:w="871" w:type="dxa"/>
            <w:gridSpan w:val="2"/>
            <w:shd w:val="clear" w:color="auto" w:fill="auto"/>
          </w:tcPr>
          <w:p w14:paraId="39EBC13E" w14:textId="3223C582"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399</w:t>
            </w:r>
          </w:p>
        </w:tc>
        <w:tc>
          <w:tcPr>
            <w:tcW w:w="838" w:type="dxa"/>
            <w:shd w:val="clear" w:color="auto" w:fill="auto"/>
          </w:tcPr>
          <w:p w14:paraId="24613C7E" w14:textId="3CF95352" w:rsidR="009F6D8E" w:rsidRPr="008A05D6" w:rsidRDefault="009F6D8E" w:rsidP="009F6D8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w:t>
            </w:r>
            <w:r w:rsidR="00035F95">
              <w:rPr>
                <w:rFonts w:cs="Times New Roman"/>
                <w:sz w:val="20"/>
                <w:szCs w:val="20"/>
              </w:rPr>
              <w:t>3.9</w:t>
            </w:r>
            <w:r w:rsidRPr="008A05D6">
              <w:rPr>
                <w:rFonts w:cs="Times New Roman"/>
                <w:sz w:val="20"/>
                <w:szCs w:val="20"/>
              </w:rPr>
              <w:t>%</w:t>
            </w:r>
          </w:p>
        </w:tc>
      </w:tr>
      <w:tr w:rsidR="009F6D8E" w:rsidRPr="008A05D6" w14:paraId="2C9C3AEC" w14:textId="77777777" w:rsidTr="00C45717">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8F4A500" w14:textId="77777777" w:rsidR="009F6D8E" w:rsidRPr="008A05D6" w:rsidRDefault="009F6D8E" w:rsidP="009F6D8E">
            <w:pPr>
              <w:spacing w:beforeLines="20" w:before="48" w:line="240" w:lineRule="auto"/>
              <w:ind w:left="157"/>
              <w:rPr>
                <w:rFonts w:cs="Times New Roman"/>
                <w:sz w:val="20"/>
                <w:szCs w:val="20"/>
              </w:rPr>
            </w:pPr>
            <w:r w:rsidRPr="008A05D6">
              <w:rPr>
                <w:rFonts w:cs="Times New Roman"/>
                <w:b w:val="0"/>
                <w:bCs w:val="0"/>
                <w:sz w:val="20"/>
                <w:szCs w:val="20"/>
              </w:rPr>
              <w:t>Medicaid</w:t>
            </w:r>
          </w:p>
        </w:tc>
        <w:tc>
          <w:tcPr>
            <w:tcW w:w="900" w:type="dxa"/>
            <w:gridSpan w:val="2"/>
            <w:shd w:val="clear" w:color="auto" w:fill="auto"/>
          </w:tcPr>
          <w:p w14:paraId="6C6ACD3C" w14:textId="4A8033B1"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460</w:t>
            </w:r>
          </w:p>
        </w:tc>
        <w:tc>
          <w:tcPr>
            <w:tcW w:w="838" w:type="dxa"/>
            <w:shd w:val="clear" w:color="auto" w:fill="auto"/>
          </w:tcPr>
          <w:p w14:paraId="585067A3" w14:textId="77D11340" w:rsidR="009F6D8E" w:rsidRPr="008A05D6" w:rsidRDefault="00035F95"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31.6</w:t>
            </w:r>
            <w:r w:rsidR="009F6D8E" w:rsidRPr="008A05D6">
              <w:rPr>
                <w:rFonts w:cs="Times New Roman"/>
                <w:sz w:val="20"/>
                <w:szCs w:val="20"/>
              </w:rPr>
              <w:t>%</w:t>
            </w:r>
          </w:p>
        </w:tc>
        <w:tc>
          <w:tcPr>
            <w:tcW w:w="900" w:type="dxa"/>
            <w:gridSpan w:val="2"/>
            <w:shd w:val="clear" w:color="auto" w:fill="auto"/>
          </w:tcPr>
          <w:p w14:paraId="1FA4C756" w14:textId="0E6F3200"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731</w:t>
            </w:r>
          </w:p>
        </w:tc>
        <w:tc>
          <w:tcPr>
            <w:tcW w:w="838" w:type="dxa"/>
            <w:shd w:val="clear" w:color="auto" w:fill="auto"/>
          </w:tcPr>
          <w:p w14:paraId="0F7FF008" w14:textId="388E12AF"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29</w:t>
            </w:r>
            <w:r w:rsidR="00035F95">
              <w:rPr>
                <w:rFonts w:cs="Times New Roman"/>
                <w:sz w:val="20"/>
                <w:szCs w:val="20"/>
              </w:rPr>
              <w:t>.0</w:t>
            </w:r>
            <w:r w:rsidRPr="008A05D6">
              <w:rPr>
                <w:rFonts w:cs="Times New Roman"/>
                <w:sz w:val="20"/>
                <w:szCs w:val="20"/>
              </w:rPr>
              <w:t>%</w:t>
            </w:r>
          </w:p>
        </w:tc>
        <w:tc>
          <w:tcPr>
            <w:tcW w:w="871" w:type="dxa"/>
            <w:gridSpan w:val="2"/>
            <w:shd w:val="clear" w:color="auto" w:fill="auto"/>
          </w:tcPr>
          <w:p w14:paraId="3A2828D1" w14:textId="2565BE8B"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775</w:t>
            </w:r>
          </w:p>
        </w:tc>
        <w:tc>
          <w:tcPr>
            <w:tcW w:w="838" w:type="dxa"/>
            <w:shd w:val="clear" w:color="auto" w:fill="auto"/>
          </w:tcPr>
          <w:p w14:paraId="31B29F76" w14:textId="0AECB1E9" w:rsidR="009F6D8E" w:rsidRPr="008A05D6" w:rsidRDefault="009F6D8E" w:rsidP="009F6D8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A05D6">
              <w:rPr>
                <w:rFonts w:cs="Times New Roman"/>
                <w:sz w:val="20"/>
                <w:szCs w:val="20"/>
              </w:rPr>
              <w:t>27</w:t>
            </w:r>
            <w:r w:rsidR="00035F95">
              <w:rPr>
                <w:rFonts w:cs="Times New Roman"/>
                <w:sz w:val="20"/>
                <w:szCs w:val="20"/>
              </w:rPr>
              <w:t>.0</w:t>
            </w:r>
            <w:r w:rsidRPr="008A05D6">
              <w:rPr>
                <w:rFonts w:cs="Times New Roman"/>
                <w:sz w:val="20"/>
                <w:szCs w:val="20"/>
              </w:rPr>
              <w:t>%</w:t>
            </w:r>
          </w:p>
        </w:tc>
      </w:tr>
      <w:tr w:rsidR="008A05D6" w:rsidRPr="008A05D6" w14:paraId="2C4227E4" w14:textId="77777777" w:rsidTr="00C4571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008D4D66" w14:textId="77777777" w:rsidR="008A05D6" w:rsidRPr="008A05D6" w:rsidRDefault="008A05D6" w:rsidP="008A05D6">
            <w:pPr>
              <w:spacing w:beforeLines="20" w:before="48" w:line="240" w:lineRule="auto"/>
              <w:ind w:left="157"/>
              <w:rPr>
                <w:rFonts w:cs="Times New Roman"/>
                <w:sz w:val="20"/>
                <w:szCs w:val="20"/>
              </w:rPr>
            </w:pPr>
            <w:r w:rsidRPr="008A05D6">
              <w:rPr>
                <w:rFonts w:cs="Times New Roman"/>
                <w:b w:val="0"/>
                <w:bCs w:val="0"/>
                <w:sz w:val="20"/>
                <w:szCs w:val="20"/>
              </w:rPr>
              <w:t>Other</w:t>
            </w:r>
          </w:p>
        </w:tc>
        <w:tc>
          <w:tcPr>
            <w:tcW w:w="900" w:type="dxa"/>
            <w:gridSpan w:val="2"/>
            <w:shd w:val="clear" w:color="auto" w:fill="auto"/>
          </w:tcPr>
          <w:p w14:paraId="47DEF77A" w14:textId="00FF4CEF" w:rsidR="008A05D6" w:rsidRPr="008A05D6" w:rsidRDefault="008A05D6" w:rsidP="008A05D6">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17</w:t>
            </w:r>
          </w:p>
        </w:tc>
        <w:tc>
          <w:tcPr>
            <w:tcW w:w="838" w:type="dxa"/>
            <w:shd w:val="clear" w:color="auto" w:fill="auto"/>
          </w:tcPr>
          <w:p w14:paraId="4FC8F0B7" w14:textId="54E02F6C" w:rsidR="008A05D6" w:rsidRPr="008A05D6" w:rsidRDefault="008A05D6" w:rsidP="008A05D6">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w:t>
            </w:r>
            <w:r w:rsidR="00035F95">
              <w:rPr>
                <w:rFonts w:cs="Times New Roman"/>
                <w:sz w:val="20"/>
                <w:szCs w:val="20"/>
              </w:rPr>
              <w:t>.2</w:t>
            </w:r>
            <w:r w:rsidRPr="008A05D6">
              <w:rPr>
                <w:rFonts w:cs="Times New Roman"/>
                <w:sz w:val="20"/>
                <w:szCs w:val="20"/>
              </w:rPr>
              <w:t>%</w:t>
            </w:r>
          </w:p>
        </w:tc>
        <w:tc>
          <w:tcPr>
            <w:tcW w:w="900" w:type="dxa"/>
            <w:gridSpan w:val="2"/>
            <w:shd w:val="clear" w:color="auto" w:fill="auto"/>
          </w:tcPr>
          <w:p w14:paraId="6AC78946" w14:textId="788C790A" w:rsidR="008A05D6" w:rsidRPr="008A05D6" w:rsidRDefault="008A05D6" w:rsidP="008A05D6">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31</w:t>
            </w:r>
          </w:p>
        </w:tc>
        <w:tc>
          <w:tcPr>
            <w:tcW w:w="838" w:type="dxa"/>
            <w:shd w:val="clear" w:color="auto" w:fill="auto"/>
          </w:tcPr>
          <w:p w14:paraId="03EA38BF" w14:textId="5C1F2678" w:rsidR="008A05D6" w:rsidRPr="008A05D6" w:rsidRDefault="008A05D6" w:rsidP="008A05D6">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1</w:t>
            </w:r>
            <w:r w:rsidR="00035F95">
              <w:rPr>
                <w:rFonts w:cs="Times New Roman"/>
                <w:sz w:val="20"/>
                <w:szCs w:val="20"/>
              </w:rPr>
              <w:t>.2</w:t>
            </w:r>
            <w:r w:rsidRPr="008A05D6">
              <w:rPr>
                <w:rFonts w:cs="Times New Roman"/>
                <w:sz w:val="20"/>
                <w:szCs w:val="20"/>
              </w:rPr>
              <w:t>%</w:t>
            </w:r>
          </w:p>
        </w:tc>
        <w:tc>
          <w:tcPr>
            <w:tcW w:w="871" w:type="dxa"/>
            <w:gridSpan w:val="2"/>
            <w:shd w:val="clear" w:color="auto" w:fill="auto"/>
          </w:tcPr>
          <w:p w14:paraId="4B8FA3AB" w14:textId="7F7C054C" w:rsidR="008A05D6" w:rsidRPr="008A05D6" w:rsidRDefault="008A05D6" w:rsidP="008A05D6">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60</w:t>
            </w:r>
          </w:p>
        </w:tc>
        <w:tc>
          <w:tcPr>
            <w:tcW w:w="838" w:type="dxa"/>
            <w:shd w:val="clear" w:color="auto" w:fill="auto"/>
          </w:tcPr>
          <w:p w14:paraId="6086BE5F" w14:textId="6C956A1B" w:rsidR="008A05D6" w:rsidRPr="008A05D6" w:rsidRDefault="008A05D6" w:rsidP="008A05D6">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A05D6">
              <w:rPr>
                <w:rFonts w:cs="Times New Roman"/>
                <w:sz w:val="20"/>
                <w:szCs w:val="20"/>
              </w:rPr>
              <w:t>2</w:t>
            </w:r>
            <w:r w:rsidR="00035F95">
              <w:rPr>
                <w:rFonts w:cs="Times New Roman"/>
                <w:sz w:val="20"/>
                <w:szCs w:val="20"/>
              </w:rPr>
              <w:t>.1</w:t>
            </w:r>
            <w:r w:rsidRPr="008A05D6">
              <w:rPr>
                <w:rFonts w:cs="Times New Roman"/>
                <w:sz w:val="20"/>
                <w:szCs w:val="20"/>
              </w:rPr>
              <w:t>%</w:t>
            </w:r>
          </w:p>
        </w:tc>
      </w:tr>
    </w:tbl>
    <w:p w14:paraId="4E5B7D71" w14:textId="77777777" w:rsidR="00622C7D" w:rsidRDefault="00622C7D" w:rsidP="00CD2B2E">
      <w:pPr>
        <w:spacing w:line="259" w:lineRule="auto"/>
        <w:rPr>
          <w:rFonts w:cs="Times New Roman"/>
        </w:rPr>
      </w:pPr>
    </w:p>
    <w:p w14:paraId="2D6BB297" w14:textId="77777777" w:rsidR="00E32033" w:rsidRDefault="00E32033">
      <w:pPr>
        <w:spacing w:line="259" w:lineRule="auto"/>
        <w:rPr>
          <w:rFonts w:cs="Times New Roman"/>
        </w:rPr>
      </w:pPr>
      <w:r>
        <w:rPr>
          <w:rFonts w:cs="Times New Roman"/>
        </w:rPr>
        <w:br w:type="page"/>
      </w:r>
    </w:p>
    <w:p w14:paraId="6EF61F5E" w14:textId="3003C024" w:rsidR="00E32033" w:rsidRDefault="00126578" w:rsidP="00E32033">
      <w:pPr>
        <w:spacing w:line="259" w:lineRule="auto"/>
        <w:rPr>
          <w:rFonts w:cs="Times New Roman"/>
          <w:b/>
          <w:bCs/>
        </w:rPr>
      </w:pPr>
      <w:r w:rsidRPr="2A8A7BAD">
        <w:rPr>
          <w:rFonts w:cs="Times New Roman"/>
        </w:rPr>
        <w:lastRenderedPageBreak/>
        <w:t xml:space="preserve">Of BILHPC Quincy </w:t>
      </w:r>
      <w:r w:rsidR="00AF68BA" w:rsidRPr="2A8A7BAD">
        <w:rPr>
          <w:rFonts w:cs="Times New Roman"/>
        </w:rPr>
        <w:t>Square</w:t>
      </w:r>
      <w:r w:rsidR="00FC1749" w:rsidRPr="2A8A7BAD">
        <w:rPr>
          <w:rFonts w:cs="Times New Roman"/>
        </w:rPr>
        <w:t>’</w:t>
      </w:r>
      <w:r w:rsidR="00AF68BA" w:rsidRPr="2A8A7BAD">
        <w:rPr>
          <w:rFonts w:cs="Times New Roman"/>
        </w:rPr>
        <w:t>s</w:t>
      </w:r>
      <w:r w:rsidRPr="2A8A7BAD">
        <w:rPr>
          <w:rFonts w:cs="Times New Roman"/>
        </w:rPr>
        <w:t xml:space="preserve"> patient panel, 45% originated from Quincy, 38% from the towns immediately adjacent to Quincy</w:t>
      </w:r>
      <w:r w:rsidR="36B77C66" w:rsidRPr="2A8A7BAD">
        <w:rPr>
          <w:rFonts w:cs="Times New Roman"/>
        </w:rPr>
        <w:t>,</w:t>
      </w:r>
      <w:r w:rsidRPr="2A8A7BAD">
        <w:rPr>
          <w:rFonts w:cs="Times New Roman"/>
        </w:rPr>
        <w:t xml:space="preserve"> with the remaining originating from other towns in Plymouth and Norfolk counties. See </w:t>
      </w:r>
      <w:r w:rsidRPr="2A8A7BAD">
        <w:rPr>
          <w:rFonts w:cs="Times New Roman"/>
          <w:u w:val="single"/>
        </w:rPr>
        <w:t xml:space="preserve">Table </w:t>
      </w:r>
      <w:r w:rsidR="005C3A36" w:rsidRPr="2A8A7BAD">
        <w:rPr>
          <w:rFonts w:cs="Times New Roman"/>
          <w:u w:val="single"/>
        </w:rPr>
        <w:t>6</w:t>
      </w:r>
      <w:r w:rsidRPr="2A8A7BAD">
        <w:rPr>
          <w:rFonts w:cs="Times New Roman"/>
          <w:u w:val="single"/>
        </w:rPr>
        <w:t>.</w:t>
      </w:r>
    </w:p>
    <w:p w14:paraId="71906984" w14:textId="542D96DE" w:rsidR="00A4767B" w:rsidRPr="00E32033" w:rsidRDefault="00A4767B" w:rsidP="00E32033">
      <w:pPr>
        <w:spacing w:line="259" w:lineRule="auto"/>
        <w:jc w:val="center"/>
        <w:rPr>
          <w:rFonts w:cs="Times New Roman"/>
          <w:b/>
          <w:bCs/>
        </w:rPr>
      </w:pPr>
      <w:r w:rsidRPr="000153E7">
        <w:rPr>
          <w:rFonts w:cs="Times New Roman"/>
          <w:b/>
          <w:bCs/>
        </w:rPr>
        <w:t xml:space="preserve">Table </w:t>
      </w:r>
      <w:r w:rsidR="005C3A36">
        <w:rPr>
          <w:rFonts w:cs="Times New Roman"/>
          <w:b/>
          <w:bCs/>
        </w:rPr>
        <w:t>6</w:t>
      </w:r>
    </w:p>
    <w:p w14:paraId="4C2CEC2E" w14:textId="4D5FA678" w:rsidR="00A4767B" w:rsidRPr="000153E7" w:rsidRDefault="00872E49" w:rsidP="00A4767B">
      <w:pPr>
        <w:spacing w:after="120" w:line="240" w:lineRule="auto"/>
        <w:jc w:val="center"/>
        <w:rPr>
          <w:rFonts w:cs="Times New Roman"/>
          <w:b/>
          <w:bCs/>
        </w:rPr>
      </w:pPr>
      <w:r>
        <w:rPr>
          <w:rFonts w:cs="Times New Roman"/>
          <w:b/>
          <w:bCs/>
        </w:rPr>
        <w:t xml:space="preserve">Quincy </w:t>
      </w:r>
      <w:r w:rsidR="00A4767B" w:rsidRPr="000153E7">
        <w:rPr>
          <w:rFonts w:cs="Times New Roman"/>
          <w:b/>
          <w:bCs/>
        </w:rPr>
        <w:t>Patient Panel Geographic</w:t>
      </w:r>
      <w:r w:rsidR="00126578">
        <w:rPr>
          <w:rFonts w:cs="Times New Roman"/>
          <w:b/>
          <w:bCs/>
        </w:rPr>
        <w:t>s</w:t>
      </w:r>
      <w:r w:rsidR="00394AD2">
        <w:rPr>
          <w:rFonts w:cs="Times New Roman"/>
          <w:b/>
          <w:bCs/>
        </w:rPr>
        <w:t xml:space="preserve"> (Primary Care)</w:t>
      </w:r>
    </w:p>
    <w:tbl>
      <w:tblPr>
        <w:tblW w:w="7200" w:type="dxa"/>
        <w:jc w:val="center"/>
        <w:tblLayout w:type="fixed"/>
        <w:tblLook w:val="04A0" w:firstRow="1" w:lastRow="0" w:firstColumn="1" w:lastColumn="0" w:noHBand="0" w:noVBand="1"/>
      </w:tblPr>
      <w:tblGrid>
        <w:gridCol w:w="1303"/>
        <w:gridCol w:w="982"/>
        <w:gridCol w:w="983"/>
        <w:gridCol w:w="983"/>
        <w:gridCol w:w="983"/>
        <w:gridCol w:w="983"/>
        <w:gridCol w:w="983"/>
      </w:tblGrid>
      <w:tr w:rsidR="001D424D" w:rsidRPr="00FC1749" w14:paraId="17063772" w14:textId="77777777" w:rsidTr="006D0C3B">
        <w:trPr>
          <w:cantSplit/>
          <w:trHeight w:val="108"/>
          <w:tblHeader/>
          <w:jc w:val="center"/>
        </w:trPr>
        <w:tc>
          <w:tcPr>
            <w:tcW w:w="1303" w:type="dxa"/>
            <w:shd w:val="clear" w:color="auto" w:fill="auto"/>
            <w:vAlign w:val="center"/>
          </w:tcPr>
          <w:p w14:paraId="3DFD7141" w14:textId="77777777" w:rsidR="001D424D" w:rsidRPr="00FC1749" w:rsidRDefault="001D424D" w:rsidP="00274157">
            <w:pPr>
              <w:spacing w:after="0" w:line="240" w:lineRule="auto"/>
              <w:rPr>
                <w:rFonts w:eastAsia="Times New Roman" w:cs="Times New Roman"/>
                <w:b/>
                <w:bCs/>
              </w:rPr>
            </w:pPr>
          </w:p>
        </w:tc>
        <w:tc>
          <w:tcPr>
            <w:tcW w:w="982" w:type="dxa"/>
            <w:tcBorders>
              <w:bottom w:val="single" w:sz="4" w:space="0" w:color="auto"/>
            </w:tcBorders>
            <w:shd w:val="clear" w:color="auto" w:fill="auto"/>
          </w:tcPr>
          <w:p w14:paraId="29686DBF" w14:textId="77777777" w:rsidR="001D424D" w:rsidRPr="00FC1749" w:rsidRDefault="001D424D" w:rsidP="00274157">
            <w:pPr>
              <w:spacing w:after="0" w:line="240" w:lineRule="auto"/>
              <w:jc w:val="center"/>
              <w:rPr>
                <w:rFonts w:eastAsia="Times New Roman" w:cs="Times New Roman"/>
                <w:b/>
                <w:bCs/>
              </w:rPr>
            </w:pPr>
            <w:r w:rsidRPr="00FC1749">
              <w:rPr>
                <w:rFonts w:cs="Times New Roman"/>
                <w:b/>
                <w:bCs/>
              </w:rPr>
              <w:t>FY2021</w:t>
            </w:r>
          </w:p>
        </w:tc>
        <w:tc>
          <w:tcPr>
            <w:tcW w:w="983" w:type="dxa"/>
            <w:tcBorders>
              <w:bottom w:val="single" w:sz="4" w:space="0" w:color="auto"/>
            </w:tcBorders>
            <w:shd w:val="clear" w:color="auto" w:fill="auto"/>
          </w:tcPr>
          <w:p w14:paraId="6427C7D0" w14:textId="17B9AB58" w:rsidR="001D424D" w:rsidRPr="00FC1749" w:rsidRDefault="001D424D" w:rsidP="00274157">
            <w:pPr>
              <w:spacing w:after="0" w:line="240" w:lineRule="auto"/>
              <w:jc w:val="center"/>
              <w:rPr>
                <w:rFonts w:eastAsia="Times New Roman" w:cs="Times New Roman"/>
                <w:b/>
                <w:bCs/>
              </w:rPr>
            </w:pPr>
            <w:r w:rsidRPr="00FC1749">
              <w:rPr>
                <w:rFonts w:cs="Times New Roman"/>
                <w:b/>
                <w:bCs/>
              </w:rPr>
              <w:t>FY2021</w:t>
            </w:r>
          </w:p>
        </w:tc>
        <w:tc>
          <w:tcPr>
            <w:tcW w:w="983" w:type="dxa"/>
            <w:tcBorders>
              <w:bottom w:val="single" w:sz="4" w:space="0" w:color="auto"/>
            </w:tcBorders>
            <w:shd w:val="clear" w:color="auto" w:fill="auto"/>
          </w:tcPr>
          <w:p w14:paraId="6971CEAF" w14:textId="77777777" w:rsidR="001D424D" w:rsidRPr="00FC1749" w:rsidRDefault="001D424D" w:rsidP="00274157">
            <w:pPr>
              <w:spacing w:after="0" w:line="240" w:lineRule="auto"/>
              <w:jc w:val="center"/>
              <w:rPr>
                <w:rFonts w:eastAsia="Times New Roman" w:cs="Times New Roman"/>
                <w:b/>
                <w:bCs/>
              </w:rPr>
            </w:pPr>
            <w:r w:rsidRPr="00FC1749">
              <w:rPr>
                <w:rFonts w:eastAsia="Times New Roman" w:cs="Times New Roman"/>
                <w:b/>
                <w:bCs/>
              </w:rPr>
              <w:t>FY2022</w:t>
            </w:r>
          </w:p>
        </w:tc>
        <w:tc>
          <w:tcPr>
            <w:tcW w:w="983" w:type="dxa"/>
            <w:tcBorders>
              <w:bottom w:val="single" w:sz="4" w:space="0" w:color="auto"/>
            </w:tcBorders>
            <w:shd w:val="clear" w:color="auto" w:fill="auto"/>
          </w:tcPr>
          <w:p w14:paraId="7CED11DD" w14:textId="5730FC59" w:rsidR="001D424D" w:rsidRPr="00FC1749" w:rsidRDefault="006D0C3B" w:rsidP="00274157">
            <w:pPr>
              <w:spacing w:after="0" w:line="240" w:lineRule="auto"/>
              <w:jc w:val="center"/>
              <w:rPr>
                <w:rFonts w:eastAsia="Times New Roman" w:cs="Times New Roman"/>
                <w:b/>
                <w:bCs/>
              </w:rPr>
            </w:pPr>
            <w:r w:rsidRPr="00FC1749">
              <w:rPr>
                <w:rFonts w:eastAsia="Times New Roman" w:cs="Times New Roman"/>
                <w:b/>
                <w:bCs/>
              </w:rPr>
              <w:t>FY2022</w:t>
            </w:r>
          </w:p>
        </w:tc>
        <w:tc>
          <w:tcPr>
            <w:tcW w:w="983" w:type="dxa"/>
            <w:tcBorders>
              <w:bottom w:val="single" w:sz="4" w:space="0" w:color="auto"/>
            </w:tcBorders>
            <w:shd w:val="clear" w:color="auto" w:fill="auto"/>
          </w:tcPr>
          <w:p w14:paraId="1CBA5F29" w14:textId="77777777" w:rsidR="001D424D" w:rsidRPr="00FC1749" w:rsidRDefault="001D424D" w:rsidP="00274157">
            <w:pPr>
              <w:spacing w:after="0" w:line="240" w:lineRule="auto"/>
              <w:jc w:val="center"/>
              <w:rPr>
                <w:rFonts w:eastAsia="Times New Roman" w:cs="Times New Roman"/>
                <w:b/>
                <w:bCs/>
              </w:rPr>
            </w:pPr>
            <w:r w:rsidRPr="00FC1749">
              <w:rPr>
                <w:rFonts w:eastAsia="Times New Roman" w:cs="Times New Roman"/>
                <w:b/>
                <w:bCs/>
              </w:rPr>
              <w:t>FY2023</w:t>
            </w:r>
          </w:p>
        </w:tc>
        <w:tc>
          <w:tcPr>
            <w:tcW w:w="983" w:type="dxa"/>
            <w:tcBorders>
              <w:bottom w:val="single" w:sz="4" w:space="0" w:color="auto"/>
            </w:tcBorders>
            <w:shd w:val="clear" w:color="auto" w:fill="auto"/>
          </w:tcPr>
          <w:p w14:paraId="1BE76479" w14:textId="29A45438" w:rsidR="001D424D" w:rsidRPr="00FC1749" w:rsidRDefault="006D0C3B" w:rsidP="00274157">
            <w:pPr>
              <w:spacing w:after="0" w:line="240" w:lineRule="auto"/>
              <w:jc w:val="center"/>
              <w:rPr>
                <w:rFonts w:eastAsia="Times New Roman" w:cs="Times New Roman"/>
                <w:b/>
                <w:bCs/>
              </w:rPr>
            </w:pPr>
            <w:r w:rsidRPr="00FC1749">
              <w:rPr>
                <w:rFonts w:eastAsia="Times New Roman" w:cs="Times New Roman"/>
                <w:b/>
                <w:bCs/>
              </w:rPr>
              <w:t>FY2023</w:t>
            </w:r>
          </w:p>
        </w:tc>
      </w:tr>
      <w:tr w:rsidR="00CD2B2E" w:rsidRPr="00FC1749" w14:paraId="6AB4A8AE" w14:textId="77777777" w:rsidTr="006D0C3B">
        <w:trPr>
          <w:cantSplit/>
          <w:trHeight w:val="57"/>
          <w:tblHeader/>
          <w:jc w:val="center"/>
        </w:trPr>
        <w:tc>
          <w:tcPr>
            <w:tcW w:w="1303" w:type="dxa"/>
            <w:shd w:val="clear" w:color="auto" w:fill="auto"/>
            <w:vAlign w:val="center"/>
          </w:tcPr>
          <w:p w14:paraId="5133AE22" w14:textId="77777777" w:rsidR="00CD2B2E" w:rsidRPr="00FC1749" w:rsidRDefault="00CD2B2E" w:rsidP="00274157">
            <w:pPr>
              <w:spacing w:after="0" w:line="240" w:lineRule="auto"/>
              <w:jc w:val="center"/>
              <w:rPr>
                <w:rFonts w:eastAsia="Times New Roman" w:cs="Times New Roman"/>
                <w:b/>
                <w:bCs/>
              </w:rPr>
            </w:pPr>
          </w:p>
        </w:tc>
        <w:tc>
          <w:tcPr>
            <w:tcW w:w="982" w:type="dxa"/>
            <w:tcBorders>
              <w:top w:val="single" w:sz="4" w:space="0" w:color="auto"/>
              <w:bottom w:val="single" w:sz="4" w:space="0" w:color="auto"/>
            </w:tcBorders>
            <w:shd w:val="clear" w:color="auto" w:fill="auto"/>
          </w:tcPr>
          <w:p w14:paraId="46AC29FD" w14:textId="4053576D" w:rsidR="00CD2B2E" w:rsidRPr="00FC1749" w:rsidRDefault="00CD2B2E" w:rsidP="00274157">
            <w:pPr>
              <w:spacing w:after="0" w:line="240" w:lineRule="auto"/>
              <w:jc w:val="center"/>
              <w:rPr>
                <w:rFonts w:eastAsia="Times New Roman" w:cs="Times New Roman"/>
                <w:b/>
                <w:bCs/>
              </w:rPr>
            </w:pPr>
            <w:r w:rsidRPr="00FC1749">
              <w:rPr>
                <w:rFonts w:cs="Times New Roman"/>
                <w:b/>
                <w:bCs/>
              </w:rPr>
              <w:t>Count</w:t>
            </w:r>
          </w:p>
        </w:tc>
        <w:tc>
          <w:tcPr>
            <w:tcW w:w="983" w:type="dxa"/>
            <w:tcBorders>
              <w:top w:val="single" w:sz="4" w:space="0" w:color="auto"/>
              <w:bottom w:val="single" w:sz="4" w:space="0" w:color="auto"/>
            </w:tcBorders>
            <w:shd w:val="clear" w:color="auto" w:fill="auto"/>
          </w:tcPr>
          <w:p w14:paraId="55D3AE5E" w14:textId="584DD4ED" w:rsidR="00CD2B2E" w:rsidRPr="00FC1749" w:rsidRDefault="00CD2B2E" w:rsidP="00274157">
            <w:pPr>
              <w:spacing w:after="0" w:line="240" w:lineRule="auto"/>
              <w:jc w:val="center"/>
              <w:rPr>
                <w:rFonts w:eastAsia="Times New Roman" w:cs="Times New Roman"/>
                <w:b/>
                <w:bCs/>
              </w:rPr>
            </w:pPr>
            <w:r w:rsidRPr="00FC1749">
              <w:rPr>
                <w:rFonts w:cs="Times New Roman"/>
                <w:b/>
                <w:bCs/>
              </w:rPr>
              <w:t>%</w:t>
            </w:r>
          </w:p>
        </w:tc>
        <w:tc>
          <w:tcPr>
            <w:tcW w:w="983" w:type="dxa"/>
            <w:tcBorders>
              <w:top w:val="single" w:sz="4" w:space="0" w:color="auto"/>
              <w:bottom w:val="single" w:sz="4" w:space="0" w:color="auto"/>
            </w:tcBorders>
            <w:shd w:val="clear" w:color="auto" w:fill="auto"/>
          </w:tcPr>
          <w:p w14:paraId="34D535B9" w14:textId="3CEE6A41" w:rsidR="00CD2B2E" w:rsidRPr="00FC1749" w:rsidRDefault="00CD2B2E" w:rsidP="00274157">
            <w:pPr>
              <w:spacing w:after="0" w:line="240" w:lineRule="auto"/>
              <w:jc w:val="center"/>
              <w:rPr>
                <w:rFonts w:eastAsia="Times New Roman" w:cs="Times New Roman"/>
                <w:b/>
                <w:bCs/>
              </w:rPr>
            </w:pPr>
            <w:r w:rsidRPr="00FC1749">
              <w:rPr>
                <w:rFonts w:cs="Times New Roman"/>
                <w:b/>
                <w:bCs/>
              </w:rPr>
              <w:t>Count</w:t>
            </w:r>
          </w:p>
        </w:tc>
        <w:tc>
          <w:tcPr>
            <w:tcW w:w="983" w:type="dxa"/>
            <w:tcBorders>
              <w:top w:val="single" w:sz="4" w:space="0" w:color="auto"/>
              <w:bottom w:val="single" w:sz="4" w:space="0" w:color="auto"/>
            </w:tcBorders>
            <w:shd w:val="clear" w:color="auto" w:fill="auto"/>
          </w:tcPr>
          <w:p w14:paraId="727AD16C" w14:textId="4F119E60" w:rsidR="00CD2B2E" w:rsidRPr="00FC1749" w:rsidRDefault="00154EEA" w:rsidP="00274157">
            <w:pPr>
              <w:spacing w:after="0" w:line="240" w:lineRule="auto"/>
              <w:jc w:val="center"/>
              <w:rPr>
                <w:rFonts w:eastAsia="Times New Roman" w:cs="Times New Roman"/>
                <w:b/>
                <w:bCs/>
              </w:rPr>
            </w:pPr>
            <w:r>
              <w:rPr>
                <w:rFonts w:cs="Times New Roman"/>
                <w:b/>
                <w:bCs/>
              </w:rPr>
              <w:t>%</w:t>
            </w:r>
          </w:p>
        </w:tc>
        <w:tc>
          <w:tcPr>
            <w:tcW w:w="983" w:type="dxa"/>
            <w:tcBorders>
              <w:top w:val="single" w:sz="4" w:space="0" w:color="auto"/>
              <w:bottom w:val="single" w:sz="4" w:space="0" w:color="auto"/>
            </w:tcBorders>
            <w:shd w:val="clear" w:color="auto" w:fill="auto"/>
          </w:tcPr>
          <w:p w14:paraId="6CC1068E" w14:textId="3AD17A7C" w:rsidR="00CD2B2E" w:rsidRPr="00FC1749" w:rsidRDefault="00154EEA" w:rsidP="00274157">
            <w:pPr>
              <w:spacing w:after="0" w:line="240" w:lineRule="auto"/>
              <w:jc w:val="center"/>
              <w:rPr>
                <w:rFonts w:eastAsia="Times New Roman" w:cs="Times New Roman"/>
                <w:b/>
                <w:bCs/>
              </w:rPr>
            </w:pPr>
            <w:r>
              <w:rPr>
                <w:rFonts w:cs="Times New Roman"/>
                <w:b/>
                <w:bCs/>
              </w:rPr>
              <w:t>Count</w:t>
            </w:r>
          </w:p>
        </w:tc>
        <w:tc>
          <w:tcPr>
            <w:tcW w:w="983" w:type="dxa"/>
            <w:tcBorders>
              <w:top w:val="single" w:sz="4" w:space="0" w:color="auto"/>
              <w:bottom w:val="single" w:sz="4" w:space="0" w:color="auto"/>
            </w:tcBorders>
            <w:shd w:val="clear" w:color="auto" w:fill="auto"/>
          </w:tcPr>
          <w:p w14:paraId="44256C33" w14:textId="7A8FC09C" w:rsidR="00CD2B2E" w:rsidRPr="00FC1749" w:rsidRDefault="00154EEA" w:rsidP="00274157">
            <w:pPr>
              <w:spacing w:after="0" w:line="240" w:lineRule="auto"/>
              <w:jc w:val="center"/>
              <w:rPr>
                <w:rFonts w:eastAsia="Times New Roman" w:cs="Times New Roman"/>
                <w:b/>
                <w:bCs/>
              </w:rPr>
            </w:pPr>
            <w:r>
              <w:rPr>
                <w:rFonts w:cs="Times New Roman"/>
                <w:b/>
                <w:bCs/>
              </w:rPr>
              <w:t>%</w:t>
            </w:r>
          </w:p>
        </w:tc>
      </w:tr>
      <w:tr w:rsidR="00126578" w:rsidRPr="00FC1749" w14:paraId="579DEE54" w14:textId="77777777" w:rsidTr="006D0C3B">
        <w:trPr>
          <w:cantSplit/>
          <w:trHeight w:val="300"/>
          <w:jc w:val="center"/>
        </w:trPr>
        <w:tc>
          <w:tcPr>
            <w:tcW w:w="1303" w:type="dxa"/>
            <w:shd w:val="clear" w:color="auto" w:fill="auto"/>
            <w:vAlign w:val="center"/>
          </w:tcPr>
          <w:p w14:paraId="6DCA609D" w14:textId="0786EAC4" w:rsidR="00126578" w:rsidRPr="00FC1749" w:rsidRDefault="00126578" w:rsidP="00126578">
            <w:pPr>
              <w:spacing w:after="0" w:line="240" w:lineRule="auto"/>
              <w:rPr>
                <w:rFonts w:eastAsia="Times New Roman" w:cs="Times New Roman"/>
              </w:rPr>
            </w:pPr>
            <w:r w:rsidRPr="00FC1749">
              <w:rPr>
                <w:rFonts w:cs="Times New Roman"/>
              </w:rPr>
              <w:t>Quincy</w:t>
            </w:r>
          </w:p>
        </w:tc>
        <w:tc>
          <w:tcPr>
            <w:tcW w:w="982" w:type="dxa"/>
            <w:tcBorders>
              <w:top w:val="single" w:sz="4" w:space="0" w:color="auto"/>
            </w:tcBorders>
            <w:shd w:val="clear" w:color="auto" w:fill="auto"/>
            <w:vAlign w:val="center"/>
          </w:tcPr>
          <w:p w14:paraId="07E96658" w14:textId="55A95768" w:rsidR="00126578" w:rsidRPr="00FC1749" w:rsidRDefault="00126578" w:rsidP="00126578">
            <w:pPr>
              <w:spacing w:after="0" w:line="240" w:lineRule="auto"/>
              <w:jc w:val="center"/>
              <w:rPr>
                <w:rFonts w:eastAsia="Times New Roman" w:cs="Times New Roman"/>
              </w:rPr>
            </w:pPr>
            <w:r w:rsidRPr="00FC1749">
              <w:rPr>
                <w:rFonts w:cs="Times New Roman"/>
              </w:rPr>
              <w:t>573</w:t>
            </w:r>
          </w:p>
        </w:tc>
        <w:tc>
          <w:tcPr>
            <w:tcW w:w="983" w:type="dxa"/>
            <w:tcBorders>
              <w:top w:val="single" w:sz="4" w:space="0" w:color="auto"/>
            </w:tcBorders>
            <w:shd w:val="clear" w:color="auto" w:fill="auto"/>
            <w:vAlign w:val="center"/>
          </w:tcPr>
          <w:p w14:paraId="2007E276" w14:textId="05549D6D" w:rsidR="00126578" w:rsidRPr="00FC1749" w:rsidRDefault="00126578" w:rsidP="00126578">
            <w:pPr>
              <w:spacing w:after="0" w:line="240" w:lineRule="auto"/>
              <w:jc w:val="center"/>
              <w:rPr>
                <w:rFonts w:eastAsia="Times New Roman" w:cs="Times New Roman"/>
              </w:rPr>
            </w:pPr>
            <w:r w:rsidRPr="00FC1749">
              <w:rPr>
                <w:rFonts w:cs="Times New Roman"/>
              </w:rPr>
              <w:t>37.1%</w:t>
            </w:r>
          </w:p>
        </w:tc>
        <w:tc>
          <w:tcPr>
            <w:tcW w:w="983" w:type="dxa"/>
            <w:tcBorders>
              <w:top w:val="single" w:sz="4" w:space="0" w:color="auto"/>
            </w:tcBorders>
            <w:shd w:val="clear" w:color="auto" w:fill="auto"/>
            <w:vAlign w:val="center"/>
          </w:tcPr>
          <w:p w14:paraId="69878DF3" w14:textId="5F28B027" w:rsidR="00126578" w:rsidRPr="00FC1749" w:rsidRDefault="00126578" w:rsidP="00126578">
            <w:pPr>
              <w:spacing w:after="0" w:line="240" w:lineRule="auto"/>
              <w:jc w:val="center"/>
              <w:rPr>
                <w:rFonts w:eastAsia="Times New Roman" w:cs="Times New Roman"/>
              </w:rPr>
            </w:pPr>
            <w:r w:rsidRPr="00FC1749">
              <w:rPr>
                <w:rFonts w:cs="Times New Roman"/>
              </w:rPr>
              <w:t>3,036</w:t>
            </w:r>
          </w:p>
        </w:tc>
        <w:tc>
          <w:tcPr>
            <w:tcW w:w="983" w:type="dxa"/>
            <w:tcBorders>
              <w:top w:val="single" w:sz="4" w:space="0" w:color="auto"/>
            </w:tcBorders>
            <w:shd w:val="clear" w:color="auto" w:fill="auto"/>
            <w:vAlign w:val="center"/>
          </w:tcPr>
          <w:p w14:paraId="105D8F41" w14:textId="2EB40E0C" w:rsidR="00126578" w:rsidRPr="00FC1749" w:rsidRDefault="00126578" w:rsidP="00126578">
            <w:pPr>
              <w:spacing w:after="0" w:line="240" w:lineRule="auto"/>
              <w:jc w:val="center"/>
              <w:rPr>
                <w:rFonts w:eastAsia="Times New Roman" w:cs="Times New Roman"/>
              </w:rPr>
            </w:pPr>
            <w:r w:rsidRPr="00FC1749">
              <w:rPr>
                <w:rFonts w:cs="Times New Roman"/>
              </w:rPr>
              <w:t>42.</w:t>
            </w:r>
            <w:r w:rsidR="00E32033" w:rsidRPr="00FC1749">
              <w:rPr>
                <w:rFonts w:cs="Times New Roman"/>
              </w:rPr>
              <w:t>8</w:t>
            </w:r>
            <w:r w:rsidRPr="00FC1749">
              <w:rPr>
                <w:rFonts w:cs="Times New Roman"/>
              </w:rPr>
              <w:t>%</w:t>
            </w:r>
          </w:p>
        </w:tc>
        <w:tc>
          <w:tcPr>
            <w:tcW w:w="983" w:type="dxa"/>
            <w:tcBorders>
              <w:top w:val="single" w:sz="4" w:space="0" w:color="auto"/>
            </w:tcBorders>
            <w:shd w:val="clear" w:color="auto" w:fill="auto"/>
            <w:vAlign w:val="center"/>
          </w:tcPr>
          <w:p w14:paraId="704D5A45" w14:textId="4BE60D34" w:rsidR="00126578" w:rsidRPr="00FC1749" w:rsidRDefault="00126578" w:rsidP="00126578">
            <w:pPr>
              <w:spacing w:after="0" w:line="240" w:lineRule="auto"/>
              <w:jc w:val="center"/>
              <w:rPr>
                <w:rFonts w:eastAsia="Times New Roman" w:cs="Times New Roman"/>
              </w:rPr>
            </w:pPr>
            <w:r w:rsidRPr="00FC1749">
              <w:rPr>
                <w:rFonts w:cs="Times New Roman"/>
              </w:rPr>
              <w:t>7,698</w:t>
            </w:r>
          </w:p>
        </w:tc>
        <w:tc>
          <w:tcPr>
            <w:tcW w:w="983" w:type="dxa"/>
            <w:tcBorders>
              <w:top w:val="single" w:sz="4" w:space="0" w:color="auto"/>
            </w:tcBorders>
            <w:shd w:val="clear" w:color="auto" w:fill="auto"/>
            <w:vAlign w:val="center"/>
          </w:tcPr>
          <w:p w14:paraId="628D08F8" w14:textId="4CF2CF5E" w:rsidR="00126578" w:rsidRPr="00FC1749" w:rsidRDefault="00126578" w:rsidP="00126578">
            <w:pPr>
              <w:spacing w:after="0" w:line="240" w:lineRule="auto"/>
              <w:jc w:val="center"/>
              <w:rPr>
                <w:rFonts w:eastAsia="Times New Roman" w:cs="Times New Roman"/>
              </w:rPr>
            </w:pPr>
            <w:r w:rsidRPr="00FC1749">
              <w:rPr>
                <w:rFonts w:cs="Times New Roman"/>
              </w:rPr>
              <w:t>45.0%</w:t>
            </w:r>
          </w:p>
        </w:tc>
      </w:tr>
      <w:tr w:rsidR="00126578" w:rsidRPr="00FC1749" w14:paraId="7EF0F244" w14:textId="77777777" w:rsidTr="006D0C3B">
        <w:trPr>
          <w:cantSplit/>
          <w:trHeight w:val="300"/>
          <w:jc w:val="center"/>
        </w:trPr>
        <w:tc>
          <w:tcPr>
            <w:tcW w:w="1303" w:type="dxa"/>
            <w:shd w:val="clear" w:color="auto" w:fill="auto"/>
            <w:vAlign w:val="center"/>
          </w:tcPr>
          <w:p w14:paraId="60CCFD5B" w14:textId="5DE91C52" w:rsidR="00126578" w:rsidRPr="00FC1749" w:rsidRDefault="00126578" w:rsidP="00126578">
            <w:pPr>
              <w:spacing w:after="0" w:line="240" w:lineRule="auto"/>
              <w:rPr>
                <w:rFonts w:eastAsia="Times New Roman" w:cs="Times New Roman"/>
              </w:rPr>
            </w:pPr>
            <w:r w:rsidRPr="00FC1749">
              <w:rPr>
                <w:rFonts w:cs="Times New Roman"/>
              </w:rPr>
              <w:t>Boston</w:t>
            </w:r>
          </w:p>
        </w:tc>
        <w:tc>
          <w:tcPr>
            <w:tcW w:w="982" w:type="dxa"/>
            <w:shd w:val="clear" w:color="auto" w:fill="auto"/>
            <w:vAlign w:val="center"/>
          </w:tcPr>
          <w:p w14:paraId="33207B07" w14:textId="24DA995D" w:rsidR="00126578" w:rsidRPr="00FC1749" w:rsidRDefault="00126578" w:rsidP="00126578">
            <w:pPr>
              <w:spacing w:after="0" w:line="240" w:lineRule="auto"/>
              <w:jc w:val="center"/>
              <w:rPr>
                <w:rFonts w:eastAsia="Times New Roman" w:cs="Times New Roman"/>
              </w:rPr>
            </w:pPr>
            <w:r w:rsidRPr="00FC1749">
              <w:rPr>
                <w:rFonts w:cs="Times New Roman"/>
              </w:rPr>
              <w:t>122</w:t>
            </w:r>
          </w:p>
        </w:tc>
        <w:tc>
          <w:tcPr>
            <w:tcW w:w="983" w:type="dxa"/>
            <w:shd w:val="clear" w:color="auto" w:fill="auto"/>
            <w:vAlign w:val="center"/>
          </w:tcPr>
          <w:p w14:paraId="001C95C3" w14:textId="1A281992" w:rsidR="00126578" w:rsidRPr="00FC1749" w:rsidRDefault="00126578" w:rsidP="00126578">
            <w:pPr>
              <w:spacing w:after="0" w:line="240" w:lineRule="auto"/>
              <w:jc w:val="center"/>
              <w:rPr>
                <w:rFonts w:eastAsia="Times New Roman" w:cs="Times New Roman"/>
              </w:rPr>
            </w:pPr>
            <w:r w:rsidRPr="00FC1749">
              <w:rPr>
                <w:rFonts w:cs="Times New Roman"/>
              </w:rPr>
              <w:t>7.9%</w:t>
            </w:r>
          </w:p>
        </w:tc>
        <w:tc>
          <w:tcPr>
            <w:tcW w:w="983" w:type="dxa"/>
            <w:shd w:val="clear" w:color="auto" w:fill="auto"/>
            <w:vAlign w:val="center"/>
          </w:tcPr>
          <w:p w14:paraId="63AA01A0" w14:textId="6724B39B" w:rsidR="00126578" w:rsidRPr="00FC1749" w:rsidRDefault="00126578" w:rsidP="00126578">
            <w:pPr>
              <w:spacing w:after="0" w:line="240" w:lineRule="auto"/>
              <w:jc w:val="center"/>
              <w:rPr>
                <w:rFonts w:eastAsia="Times New Roman" w:cs="Times New Roman"/>
              </w:rPr>
            </w:pPr>
            <w:r w:rsidRPr="00FC1749">
              <w:rPr>
                <w:rFonts w:cs="Times New Roman"/>
              </w:rPr>
              <w:t>798</w:t>
            </w:r>
          </w:p>
        </w:tc>
        <w:tc>
          <w:tcPr>
            <w:tcW w:w="983" w:type="dxa"/>
            <w:shd w:val="clear" w:color="auto" w:fill="auto"/>
            <w:vAlign w:val="center"/>
          </w:tcPr>
          <w:p w14:paraId="0C0D4247" w14:textId="6D40D3E4" w:rsidR="00126578" w:rsidRPr="00FC1749" w:rsidRDefault="00126578" w:rsidP="00126578">
            <w:pPr>
              <w:spacing w:after="0" w:line="240" w:lineRule="auto"/>
              <w:jc w:val="center"/>
              <w:rPr>
                <w:rFonts w:eastAsia="Times New Roman" w:cs="Times New Roman"/>
              </w:rPr>
            </w:pPr>
            <w:r w:rsidRPr="00FC1749">
              <w:rPr>
                <w:rFonts w:cs="Times New Roman"/>
              </w:rPr>
              <w:t>11.</w:t>
            </w:r>
            <w:r w:rsidR="00E32033" w:rsidRPr="00FC1749">
              <w:rPr>
                <w:rFonts w:cs="Times New Roman"/>
              </w:rPr>
              <w:t>3</w:t>
            </w:r>
            <w:r w:rsidRPr="00FC1749">
              <w:rPr>
                <w:rFonts w:cs="Times New Roman"/>
              </w:rPr>
              <w:t>%</w:t>
            </w:r>
          </w:p>
        </w:tc>
        <w:tc>
          <w:tcPr>
            <w:tcW w:w="983" w:type="dxa"/>
            <w:shd w:val="clear" w:color="auto" w:fill="auto"/>
            <w:vAlign w:val="center"/>
          </w:tcPr>
          <w:p w14:paraId="73B455E9" w14:textId="75F1B1E2" w:rsidR="00126578" w:rsidRPr="00FC1749" w:rsidRDefault="00126578" w:rsidP="00126578">
            <w:pPr>
              <w:spacing w:after="0" w:line="240" w:lineRule="auto"/>
              <w:jc w:val="center"/>
              <w:rPr>
                <w:rFonts w:eastAsia="Times New Roman" w:cs="Times New Roman"/>
              </w:rPr>
            </w:pPr>
            <w:r w:rsidRPr="00FC1749">
              <w:rPr>
                <w:rFonts w:cs="Times New Roman"/>
              </w:rPr>
              <w:t>2,281</w:t>
            </w:r>
          </w:p>
        </w:tc>
        <w:tc>
          <w:tcPr>
            <w:tcW w:w="983" w:type="dxa"/>
            <w:shd w:val="clear" w:color="auto" w:fill="auto"/>
            <w:vAlign w:val="center"/>
          </w:tcPr>
          <w:p w14:paraId="6850CDB8" w14:textId="1A0A14FA" w:rsidR="00126578" w:rsidRPr="00FC1749" w:rsidRDefault="00126578" w:rsidP="00126578">
            <w:pPr>
              <w:spacing w:after="0" w:line="240" w:lineRule="auto"/>
              <w:jc w:val="center"/>
              <w:rPr>
                <w:rFonts w:eastAsia="Times New Roman" w:cs="Times New Roman"/>
              </w:rPr>
            </w:pPr>
            <w:r w:rsidRPr="00FC1749">
              <w:rPr>
                <w:rFonts w:cs="Times New Roman"/>
              </w:rPr>
              <w:t>13.3%</w:t>
            </w:r>
          </w:p>
        </w:tc>
      </w:tr>
      <w:tr w:rsidR="00126578" w:rsidRPr="00FC1749" w14:paraId="3D19BCE1" w14:textId="77777777" w:rsidTr="006D0C3B">
        <w:trPr>
          <w:cantSplit/>
          <w:trHeight w:val="300"/>
          <w:jc w:val="center"/>
        </w:trPr>
        <w:tc>
          <w:tcPr>
            <w:tcW w:w="1303" w:type="dxa"/>
            <w:shd w:val="clear" w:color="auto" w:fill="auto"/>
            <w:vAlign w:val="center"/>
          </w:tcPr>
          <w:p w14:paraId="7C8B2684" w14:textId="52F05BB1" w:rsidR="00126578" w:rsidRPr="00FC1749" w:rsidRDefault="00126578" w:rsidP="00126578">
            <w:pPr>
              <w:spacing w:after="0" w:line="240" w:lineRule="auto"/>
              <w:rPr>
                <w:rFonts w:eastAsia="Times New Roman" w:cs="Times New Roman"/>
              </w:rPr>
            </w:pPr>
            <w:r w:rsidRPr="00FC1749">
              <w:rPr>
                <w:rFonts w:cs="Times New Roman"/>
              </w:rPr>
              <w:t>Milton</w:t>
            </w:r>
          </w:p>
        </w:tc>
        <w:tc>
          <w:tcPr>
            <w:tcW w:w="982" w:type="dxa"/>
            <w:shd w:val="clear" w:color="auto" w:fill="auto"/>
            <w:vAlign w:val="center"/>
          </w:tcPr>
          <w:p w14:paraId="01519410" w14:textId="090B6685" w:rsidR="00126578" w:rsidRPr="00FC1749" w:rsidRDefault="00126578" w:rsidP="00126578">
            <w:pPr>
              <w:spacing w:after="0" w:line="240" w:lineRule="auto"/>
              <w:jc w:val="center"/>
              <w:rPr>
                <w:rFonts w:eastAsia="Times New Roman" w:cs="Times New Roman"/>
              </w:rPr>
            </w:pPr>
            <w:r w:rsidRPr="00FC1749">
              <w:rPr>
                <w:rFonts w:cs="Times New Roman"/>
              </w:rPr>
              <w:t>58</w:t>
            </w:r>
          </w:p>
        </w:tc>
        <w:tc>
          <w:tcPr>
            <w:tcW w:w="983" w:type="dxa"/>
            <w:shd w:val="clear" w:color="auto" w:fill="auto"/>
            <w:vAlign w:val="center"/>
          </w:tcPr>
          <w:p w14:paraId="31A9D1E6" w14:textId="3A8CC240" w:rsidR="00126578" w:rsidRPr="00FC1749" w:rsidRDefault="00126578" w:rsidP="00126578">
            <w:pPr>
              <w:spacing w:after="0" w:line="240" w:lineRule="auto"/>
              <w:jc w:val="center"/>
              <w:rPr>
                <w:rFonts w:eastAsia="Times New Roman" w:cs="Times New Roman"/>
              </w:rPr>
            </w:pPr>
            <w:r w:rsidRPr="00FC1749">
              <w:rPr>
                <w:rFonts w:cs="Times New Roman"/>
              </w:rPr>
              <w:t>3.</w:t>
            </w:r>
            <w:r w:rsidR="00E32033" w:rsidRPr="00FC1749">
              <w:rPr>
                <w:rFonts w:cs="Times New Roman"/>
              </w:rPr>
              <w:t>8</w:t>
            </w:r>
            <w:r w:rsidRPr="00FC1749">
              <w:rPr>
                <w:rFonts w:cs="Times New Roman"/>
              </w:rPr>
              <w:t>%</w:t>
            </w:r>
          </w:p>
        </w:tc>
        <w:tc>
          <w:tcPr>
            <w:tcW w:w="983" w:type="dxa"/>
            <w:shd w:val="clear" w:color="auto" w:fill="auto"/>
            <w:vAlign w:val="center"/>
          </w:tcPr>
          <w:p w14:paraId="5AE64536" w14:textId="6A58457F" w:rsidR="00126578" w:rsidRPr="00FC1749" w:rsidRDefault="00126578" w:rsidP="00126578">
            <w:pPr>
              <w:spacing w:after="0" w:line="240" w:lineRule="auto"/>
              <w:jc w:val="center"/>
              <w:rPr>
                <w:rFonts w:eastAsia="Times New Roman" w:cs="Times New Roman"/>
              </w:rPr>
            </w:pPr>
            <w:r w:rsidRPr="00FC1749">
              <w:rPr>
                <w:rFonts w:cs="Times New Roman"/>
              </w:rPr>
              <w:t>486</w:t>
            </w:r>
          </w:p>
        </w:tc>
        <w:tc>
          <w:tcPr>
            <w:tcW w:w="983" w:type="dxa"/>
            <w:shd w:val="clear" w:color="auto" w:fill="auto"/>
            <w:vAlign w:val="center"/>
          </w:tcPr>
          <w:p w14:paraId="4EFA1A18" w14:textId="5E50FBF8" w:rsidR="00126578" w:rsidRPr="00FC1749" w:rsidRDefault="00126578" w:rsidP="00126578">
            <w:pPr>
              <w:spacing w:after="0" w:line="240" w:lineRule="auto"/>
              <w:jc w:val="center"/>
              <w:rPr>
                <w:rFonts w:eastAsia="Times New Roman" w:cs="Times New Roman"/>
              </w:rPr>
            </w:pPr>
            <w:r w:rsidRPr="00FC1749">
              <w:rPr>
                <w:rFonts w:cs="Times New Roman"/>
              </w:rPr>
              <w:t>6.</w:t>
            </w:r>
            <w:r w:rsidR="00E32033" w:rsidRPr="00FC1749">
              <w:rPr>
                <w:rFonts w:cs="Times New Roman"/>
              </w:rPr>
              <w:t>9</w:t>
            </w:r>
            <w:r w:rsidRPr="00FC1749">
              <w:rPr>
                <w:rFonts w:cs="Times New Roman"/>
              </w:rPr>
              <w:t>%</w:t>
            </w:r>
          </w:p>
        </w:tc>
        <w:tc>
          <w:tcPr>
            <w:tcW w:w="983" w:type="dxa"/>
            <w:shd w:val="clear" w:color="auto" w:fill="auto"/>
            <w:vAlign w:val="center"/>
          </w:tcPr>
          <w:p w14:paraId="6BC7FB69" w14:textId="59493183" w:rsidR="00126578" w:rsidRPr="00FC1749" w:rsidRDefault="00126578" w:rsidP="00126578">
            <w:pPr>
              <w:spacing w:after="0" w:line="240" w:lineRule="auto"/>
              <w:jc w:val="center"/>
              <w:rPr>
                <w:rFonts w:eastAsia="Times New Roman" w:cs="Times New Roman"/>
              </w:rPr>
            </w:pPr>
            <w:r w:rsidRPr="00FC1749">
              <w:rPr>
                <w:rFonts w:cs="Times New Roman"/>
              </w:rPr>
              <w:t>1,413</w:t>
            </w:r>
          </w:p>
        </w:tc>
        <w:tc>
          <w:tcPr>
            <w:tcW w:w="983" w:type="dxa"/>
            <w:shd w:val="clear" w:color="auto" w:fill="auto"/>
            <w:vAlign w:val="center"/>
          </w:tcPr>
          <w:p w14:paraId="7204CC2D" w14:textId="0D7DFCA1" w:rsidR="00126578" w:rsidRPr="00FC1749" w:rsidRDefault="00126578" w:rsidP="00126578">
            <w:pPr>
              <w:spacing w:after="0" w:line="240" w:lineRule="auto"/>
              <w:jc w:val="center"/>
              <w:rPr>
                <w:rFonts w:eastAsia="Times New Roman" w:cs="Times New Roman"/>
              </w:rPr>
            </w:pPr>
            <w:r w:rsidRPr="00FC1749">
              <w:rPr>
                <w:rFonts w:cs="Times New Roman"/>
              </w:rPr>
              <w:t>8.</w:t>
            </w:r>
            <w:r w:rsidR="00E32033" w:rsidRPr="00FC1749">
              <w:rPr>
                <w:rFonts w:cs="Times New Roman"/>
              </w:rPr>
              <w:t>3</w:t>
            </w:r>
            <w:r w:rsidRPr="00FC1749">
              <w:rPr>
                <w:rFonts w:cs="Times New Roman"/>
              </w:rPr>
              <w:t>%</w:t>
            </w:r>
          </w:p>
        </w:tc>
      </w:tr>
      <w:tr w:rsidR="00126578" w:rsidRPr="00FC1749" w14:paraId="435BCE20" w14:textId="77777777" w:rsidTr="006D0C3B">
        <w:trPr>
          <w:cantSplit/>
          <w:trHeight w:val="300"/>
          <w:jc w:val="center"/>
        </w:trPr>
        <w:tc>
          <w:tcPr>
            <w:tcW w:w="1303" w:type="dxa"/>
            <w:shd w:val="clear" w:color="auto" w:fill="auto"/>
            <w:vAlign w:val="center"/>
          </w:tcPr>
          <w:p w14:paraId="1F6FD82F" w14:textId="69FA7056" w:rsidR="00126578" w:rsidRPr="00FC1749" w:rsidRDefault="00126578" w:rsidP="00126578">
            <w:pPr>
              <w:spacing w:after="0" w:line="240" w:lineRule="auto"/>
              <w:rPr>
                <w:rFonts w:eastAsia="Times New Roman" w:cs="Times New Roman"/>
              </w:rPr>
            </w:pPr>
            <w:r w:rsidRPr="00FC1749">
              <w:rPr>
                <w:rFonts w:cs="Times New Roman"/>
              </w:rPr>
              <w:t>Braintree</w:t>
            </w:r>
          </w:p>
        </w:tc>
        <w:tc>
          <w:tcPr>
            <w:tcW w:w="982" w:type="dxa"/>
            <w:shd w:val="clear" w:color="auto" w:fill="auto"/>
            <w:vAlign w:val="center"/>
          </w:tcPr>
          <w:p w14:paraId="20C551C0" w14:textId="7E3D2E2F" w:rsidR="00126578" w:rsidRPr="00FC1749" w:rsidRDefault="00126578" w:rsidP="00126578">
            <w:pPr>
              <w:spacing w:after="0" w:line="240" w:lineRule="auto"/>
              <w:jc w:val="center"/>
              <w:rPr>
                <w:rFonts w:eastAsia="Times New Roman" w:cs="Times New Roman"/>
              </w:rPr>
            </w:pPr>
            <w:r w:rsidRPr="00FC1749">
              <w:rPr>
                <w:rFonts w:cs="Times New Roman"/>
              </w:rPr>
              <w:t>140</w:t>
            </w:r>
          </w:p>
        </w:tc>
        <w:tc>
          <w:tcPr>
            <w:tcW w:w="983" w:type="dxa"/>
            <w:shd w:val="clear" w:color="auto" w:fill="auto"/>
            <w:vAlign w:val="center"/>
          </w:tcPr>
          <w:p w14:paraId="4CDE01F3" w14:textId="64664B8B" w:rsidR="00126578" w:rsidRPr="00FC1749" w:rsidRDefault="00126578" w:rsidP="00126578">
            <w:pPr>
              <w:spacing w:after="0" w:line="240" w:lineRule="auto"/>
              <w:jc w:val="center"/>
              <w:rPr>
                <w:rFonts w:eastAsia="Times New Roman" w:cs="Times New Roman"/>
              </w:rPr>
            </w:pPr>
            <w:r w:rsidRPr="00FC1749">
              <w:rPr>
                <w:rFonts w:cs="Times New Roman"/>
              </w:rPr>
              <w:t>9.</w:t>
            </w:r>
            <w:r w:rsidR="00E32033" w:rsidRPr="00FC1749">
              <w:rPr>
                <w:rFonts w:cs="Times New Roman"/>
              </w:rPr>
              <w:t>1</w:t>
            </w:r>
            <w:r w:rsidRPr="00FC1749">
              <w:rPr>
                <w:rFonts w:cs="Times New Roman"/>
              </w:rPr>
              <w:t>%</w:t>
            </w:r>
          </w:p>
        </w:tc>
        <w:tc>
          <w:tcPr>
            <w:tcW w:w="983" w:type="dxa"/>
            <w:shd w:val="clear" w:color="auto" w:fill="auto"/>
            <w:vAlign w:val="center"/>
          </w:tcPr>
          <w:p w14:paraId="7BFDA0E3" w14:textId="074B23BF" w:rsidR="00126578" w:rsidRPr="00FC1749" w:rsidRDefault="00126578" w:rsidP="00126578">
            <w:pPr>
              <w:spacing w:after="0" w:line="240" w:lineRule="auto"/>
              <w:jc w:val="center"/>
              <w:rPr>
                <w:rFonts w:eastAsia="Times New Roman" w:cs="Times New Roman"/>
              </w:rPr>
            </w:pPr>
            <w:r w:rsidRPr="00FC1749">
              <w:rPr>
                <w:rFonts w:cs="Times New Roman"/>
              </w:rPr>
              <w:t>578</w:t>
            </w:r>
          </w:p>
        </w:tc>
        <w:tc>
          <w:tcPr>
            <w:tcW w:w="983" w:type="dxa"/>
            <w:shd w:val="clear" w:color="auto" w:fill="auto"/>
            <w:vAlign w:val="center"/>
          </w:tcPr>
          <w:p w14:paraId="4C122DF5" w14:textId="7C6EE2B4" w:rsidR="00126578" w:rsidRPr="00FC1749" w:rsidRDefault="00126578" w:rsidP="00126578">
            <w:pPr>
              <w:spacing w:after="0" w:line="240" w:lineRule="auto"/>
              <w:jc w:val="center"/>
              <w:rPr>
                <w:rFonts w:eastAsia="Times New Roman" w:cs="Times New Roman"/>
              </w:rPr>
            </w:pPr>
            <w:r w:rsidRPr="00FC1749">
              <w:rPr>
                <w:rFonts w:cs="Times New Roman"/>
              </w:rPr>
              <w:t>8.</w:t>
            </w:r>
            <w:r w:rsidR="00E32033" w:rsidRPr="00FC1749">
              <w:rPr>
                <w:rFonts w:cs="Times New Roman"/>
              </w:rPr>
              <w:t>2</w:t>
            </w:r>
            <w:r w:rsidRPr="00FC1749">
              <w:rPr>
                <w:rFonts w:cs="Times New Roman"/>
              </w:rPr>
              <w:t>%</w:t>
            </w:r>
          </w:p>
        </w:tc>
        <w:tc>
          <w:tcPr>
            <w:tcW w:w="983" w:type="dxa"/>
            <w:shd w:val="clear" w:color="auto" w:fill="auto"/>
            <w:vAlign w:val="center"/>
          </w:tcPr>
          <w:p w14:paraId="7079F5D4" w14:textId="6B2F5516" w:rsidR="00126578" w:rsidRPr="00FC1749" w:rsidRDefault="00126578" w:rsidP="00126578">
            <w:pPr>
              <w:spacing w:after="0" w:line="240" w:lineRule="auto"/>
              <w:jc w:val="center"/>
              <w:rPr>
                <w:rFonts w:eastAsia="Times New Roman" w:cs="Times New Roman"/>
              </w:rPr>
            </w:pPr>
            <w:r w:rsidRPr="00FC1749">
              <w:rPr>
                <w:rFonts w:cs="Times New Roman"/>
              </w:rPr>
              <w:t>1,199</w:t>
            </w:r>
          </w:p>
        </w:tc>
        <w:tc>
          <w:tcPr>
            <w:tcW w:w="983" w:type="dxa"/>
            <w:shd w:val="clear" w:color="auto" w:fill="auto"/>
            <w:vAlign w:val="center"/>
          </w:tcPr>
          <w:p w14:paraId="11D8C074" w14:textId="3551583F" w:rsidR="00126578" w:rsidRPr="00FC1749" w:rsidRDefault="00126578" w:rsidP="00126578">
            <w:pPr>
              <w:spacing w:after="0" w:line="240" w:lineRule="auto"/>
              <w:jc w:val="center"/>
              <w:rPr>
                <w:rFonts w:eastAsia="Times New Roman" w:cs="Times New Roman"/>
              </w:rPr>
            </w:pPr>
            <w:r w:rsidRPr="00FC1749">
              <w:rPr>
                <w:rFonts w:cs="Times New Roman"/>
              </w:rPr>
              <w:t>7.0%</w:t>
            </w:r>
          </w:p>
        </w:tc>
      </w:tr>
      <w:tr w:rsidR="00126578" w:rsidRPr="00FC1749" w14:paraId="28ADA903" w14:textId="77777777" w:rsidTr="006D0C3B">
        <w:trPr>
          <w:cantSplit/>
          <w:trHeight w:val="300"/>
          <w:jc w:val="center"/>
        </w:trPr>
        <w:tc>
          <w:tcPr>
            <w:tcW w:w="1303" w:type="dxa"/>
            <w:shd w:val="clear" w:color="auto" w:fill="auto"/>
            <w:vAlign w:val="center"/>
          </w:tcPr>
          <w:p w14:paraId="33FF6D01" w14:textId="47B487AE" w:rsidR="00126578" w:rsidRPr="00FC1749" w:rsidRDefault="00126578" w:rsidP="00126578">
            <w:pPr>
              <w:spacing w:after="0" w:line="240" w:lineRule="auto"/>
              <w:rPr>
                <w:rFonts w:eastAsia="Times New Roman" w:cs="Times New Roman"/>
              </w:rPr>
            </w:pPr>
            <w:r w:rsidRPr="00FC1749">
              <w:rPr>
                <w:rFonts w:cs="Times New Roman"/>
              </w:rPr>
              <w:t>Randolph</w:t>
            </w:r>
          </w:p>
        </w:tc>
        <w:tc>
          <w:tcPr>
            <w:tcW w:w="982" w:type="dxa"/>
            <w:shd w:val="clear" w:color="auto" w:fill="auto"/>
            <w:vAlign w:val="center"/>
          </w:tcPr>
          <w:p w14:paraId="69058EDC" w14:textId="5AFFC4B6" w:rsidR="00126578" w:rsidRPr="00FC1749" w:rsidRDefault="00126578" w:rsidP="00126578">
            <w:pPr>
              <w:spacing w:after="0" w:line="240" w:lineRule="auto"/>
              <w:jc w:val="center"/>
              <w:rPr>
                <w:rFonts w:eastAsia="Times New Roman" w:cs="Times New Roman"/>
              </w:rPr>
            </w:pPr>
            <w:r w:rsidRPr="00FC1749">
              <w:rPr>
                <w:rFonts w:cs="Times New Roman"/>
              </w:rPr>
              <w:t>76</w:t>
            </w:r>
          </w:p>
        </w:tc>
        <w:tc>
          <w:tcPr>
            <w:tcW w:w="983" w:type="dxa"/>
            <w:shd w:val="clear" w:color="auto" w:fill="auto"/>
            <w:vAlign w:val="center"/>
          </w:tcPr>
          <w:p w14:paraId="1546836A" w14:textId="436D1246" w:rsidR="00126578" w:rsidRPr="00FC1749" w:rsidRDefault="00126578" w:rsidP="00126578">
            <w:pPr>
              <w:spacing w:after="0" w:line="240" w:lineRule="auto"/>
              <w:jc w:val="center"/>
              <w:rPr>
                <w:rFonts w:eastAsia="Times New Roman" w:cs="Times New Roman"/>
              </w:rPr>
            </w:pPr>
            <w:r w:rsidRPr="00FC1749">
              <w:rPr>
                <w:rFonts w:cs="Times New Roman"/>
              </w:rPr>
              <w:t>4.9%</w:t>
            </w:r>
          </w:p>
        </w:tc>
        <w:tc>
          <w:tcPr>
            <w:tcW w:w="983" w:type="dxa"/>
            <w:shd w:val="clear" w:color="auto" w:fill="auto"/>
            <w:vAlign w:val="center"/>
          </w:tcPr>
          <w:p w14:paraId="4D2C25CA" w14:textId="740E1FB1" w:rsidR="00126578" w:rsidRPr="00FC1749" w:rsidRDefault="00126578" w:rsidP="00126578">
            <w:pPr>
              <w:spacing w:after="0" w:line="240" w:lineRule="auto"/>
              <w:jc w:val="center"/>
              <w:rPr>
                <w:rFonts w:eastAsia="Times New Roman" w:cs="Times New Roman"/>
              </w:rPr>
            </w:pPr>
            <w:r w:rsidRPr="00FC1749">
              <w:rPr>
                <w:rFonts w:cs="Times New Roman"/>
              </w:rPr>
              <w:t>303</w:t>
            </w:r>
          </w:p>
        </w:tc>
        <w:tc>
          <w:tcPr>
            <w:tcW w:w="983" w:type="dxa"/>
            <w:shd w:val="clear" w:color="auto" w:fill="auto"/>
            <w:vAlign w:val="center"/>
          </w:tcPr>
          <w:p w14:paraId="31B29DA3" w14:textId="3C87D3E6" w:rsidR="00126578" w:rsidRPr="00FC1749" w:rsidRDefault="00126578" w:rsidP="00126578">
            <w:pPr>
              <w:spacing w:after="0" w:line="240" w:lineRule="auto"/>
              <w:jc w:val="center"/>
              <w:rPr>
                <w:rFonts w:eastAsia="Times New Roman" w:cs="Times New Roman"/>
              </w:rPr>
            </w:pPr>
            <w:r w:rsidRPr="00FC1749">
              <w:rPr>
                <w:rFonts w:cs="Times New Roman"/>
              </w:rPr>
              <w:t>4.</w:t>
            </w:r>
            <w:r w:rsidR="00E32033" w:rsidRPr="00FC1749">
              <w:rPr>
                <w:rFonts w:cs="Times New Roman"/>
              </w:rPr>
              <w:t>3</w:t>
            </w:r>
            <w:r w:rsidRPr="00FC1749">
              <w:rPr>
                <w:rFonts w:cs="Times New Roman"/>
              </w:rPr>
              <w:t>%</w:t>
            </w:r>
          </w:p>
        </w:tc>
        <w:tc>
          <w:tcPr>
            <w:tcW w:w="983" w:type="dxa"/>
            <w:shd w:val="clear" w:color="auto" w:fill="auto"/>
            <w:vAlign w:val="center"/>
          </w:tcPr>
          <w:p w14:paraId="2C56353B" w14:textId="041F829E" w:rsidR="00126578" w:rsidRPr="00FC1749" w:rsidRDefault="00126578" w:rsidP="00126578">
            <w:pPr>
              <w:spacing w:after="0" w:line="240" w:lineRule="auto"/>
              <w:jc w:val="center"/>
              <w:rPr>
                <w:rFonts w:eastAsia="Times New Roman" w:cs="Times New Roman"/>
              </w:rPr>
            </w:pPr>
            <w:r w:rsidRPr="00FC1749">
              <w:rPr>
                <w:rFonts w:cs="Times New Roman"/>
              </w:rPr>
              <w:t>637</w:t>
            </w:r>
          </w:p>
        </w:tc>
        <w:tc>
          <w:tcPr>
            <w:tcW w:w="983" w:type="dxa"/>
            <w:shd w:val="clear" w:color="auto" w:fill="auto"/>
            <w:vAlign w:val="center"/>
          </w:tcPr>
          <w:p w14:paraId="0244E90F" w14:textId="0CB345BA" w:rsidR="00126578" w:rsidRPr="00FC1749" w:rsidRDefault="00126578" w:rsidP="00126578">
            <w:pPr>
              <w:spacing w:after="0" w:line="240" w:lineRule="auto"/>
              <w:jc w:val="center"/>
              <w:rPr>
                <w:rFonts w:eastAsia="Times New Roman" w:cs="Times New Roman"/>
              </w:rPr>
            </w:pPr>
            <w:r w:rsidRPr="00FC1749">
              <w:rPr>
                <w:rFonts w:cs="Times New Roman"/>
              </w:rPr>
              <w:t>3.7%</w:t>
            </w:r>
          </w:p>
        </w:tc>
      </w:tr>
      <w:tr w:rsidR="00126578" w:rsidRPr="00FC1749" w14:paraId="3AB1CBB1" w14:textId="77777777" w:rsidTr="006D0C3B">
        <w:trPr>
          <w:cantSplit/>
          <w:trHeight w:val="300"/>
          <w:jc w:val="center"/>
        </w:trPr>
        <w:tc>
          <w:tcPr>
            <w:tcW w:w="1303" w:type="dxa"/>
            <w:shd w:val="clear" w:color="auto" w:fill="auto"/>
            <w:vAlign w:val="center"/>
          </w:tcPr>
          <w:p w14:paraId="2939934A" w14:textId="73C60263" w:rsidR="00126578" w:rsidRPr="00FC1749" w:rsidRDefault="00126578" w:rsidP="00126578">
            <w:pPr>
              <w:spacing w:after="0" w:line="240" w:lineRule="auto"/>
              <w:rPr>
                <w:rFonts w:eastAsia="Times New Roman" w:cs="Times New Roman"/>
              </w:rPr>
            </w:pPr>
            <w:r w:rsidRPr="00FC1749">
              <w:rPr>
                <w:rFonts w:cs="Times New Roman"/>
              </w:rPr>
              <w:t>Weymouth</w:t>
            </w:r>
          </w:p>
        </w:tc>
        <w:tc>
          <w:tcPr>
            <w:tcW w:w="982" w:type="dxa"/>
            <w:shd w:val="clear" w:color="auto" w:fill="auto"/>
            <w:vAlign w:val="center"/>
          </w:tcPr>
          <w:p w14:paraId="20D43508" w14:textId="58EC911C" w:rsidR="00126578" w:rsidRPr="00FC1749" w:rsidRDefault="00126578" w:rsidP="00126578">
            <w:pPr>
              <w:spacing w:after="0" w:line="240" w:lineRule="auto"/>
              <w:jc w:val="center"/>
              <w:rPr>
                <w:rFonts w:eastAsia="Times New Roman" w:cs="Times New Roman"/>
              </w:rPr>
            </w:pPr>
            <w:r w:rsidRPr="00FC1749">
              <w:rPr>
                <w:rFonts w:cs="Times New Roman"/>
              </w:rPr>
              <w:t>151</w:t>
            </w:r>
          </w:p>
        </w:tc>
        <w:tc>
          <w:tcPr>
            <w:tcW w:w="983" w:type="dxa"/>
            <w:shd w:val="clear" w:color="auto" w:fill="auto"/>
            <w:vAlign w:val="center"/>
          </w:tcPr>
          <w:p w14:paraId="080341C3" w14:textId="4091823E" w:rsidR="00126578" w:rsidRPr="00FC1749" w:rsidRDefault="00126578" w:rsidP="00126578">
            <w:pPr>
              <w:spacing w:after="0" w:line="240" w:lineRule="auto"/>
              <w:jc w:val="center"/>
              <w:rPr>
                <w:rFonts w:eastAsia="Times New Roman" w:cs="Times New Roman"/>
              </w:rPr>
            </w:pPr>
            <w:r w:rsidRPr="00FC1749">
              <w:rPr>
                <w:rFonts w:cs="Times New Roman"/>
              </w:rPr>
              <w:t>9.</w:t>
            </w:r>
            <w:r w:rsidR="00E32033" w:rsidRPr="00FC1749">
              <w:rPr>
                <w:rFonts w:cs="Times New Roman"/>
              </w:rPr>
              <w:t>8</w:t>
            </w:r>
            <w:r w:rsidRPr="00FC1749">
              <w:rPr>
                <w:rFonts w:cs="Times New Roman"/>
              </w:rPr>
              <w:t>%</w:t>
            </w:r>
          </w:p>
        </w:tc>
        <w:tc>
          <w:tcPr>
            <w:tcW w:w="983" w:type="dxa"/>
            <w:shd w:val="clear" w:color="auto" w:fill="auto"/>
            <w:vAlign w:val="center"/>
          </w:tcPr>
          <w:p w14:paraId="7FFE7EBF" w14:textId="218945FA" w:rsidR="00126578" w:rsidRPr="00FC1749" w:rsidRDefault="00126578" w:rsidP="00126578">
            <w:pPr>
              <w:spacing w:after="0" w:line="240" w:lineRule="auto"/>
              <w:jc w:val="center"/>
              <w:rPr>
                <w:rFonts w:eastAsia="Times New Roman" w:cs="Times New Roman"/>
              </w:rPr>
            </w:pPr>
            <w:r w:rsidRPr="00FC1749">
              <w:rPr>
                <w:rFonts w:cs="Times New Roman"/>
              </w:rPr>
              <w:t>495</w:t>
            </w:r>
          </w:p>
        </w:tc>
        <w:tc>
          <w:tcPr>
            <w:tcW w:w="983" w:type="dxa"/>
            <w:shd w:val="clear" w:color="auto" w:fill="auto"/>
            <w:vAlign w:val="center"/>
          </w:tcPr>
          <w:p w14:paraId="61516C55" w14:textId="58F3E6C6" w:rsidR="00126578" w:rsidRPr="00FC1749" w:rsidRDefault="00E32033" w:rsidP="00126578">
            <w:pPr>
              <w:spacing w:after="0" w:line="240" w:lineRule="auto"/>
              <w:jc w:val="center"/>
              <w:rPr>
                <w:rFonts w:eastAsia="Times New Roman" w:cs="Times New Roman"/>
              </w:rPr>
            </w:pPr>
            <w:r w:rsidRPr="00FC1749">
              <w:rPr>
                <w:rFonts w:cs="Times New Roman"/>
              </w:rPr>
              <w:t>7.0</w:t>
            </w:r>
            <w:r w:rsidR="00126578" w:rsidRPr="00FC1749">
              <w:rPr>
                <w:rFonts w:cs="Times New Roman"/>
              </w:rPr>
              <w:t>%</w:t>
            </w:r>
          </w:p>
        </w:tc>
        <w:tc>
          <w:tcPr>
            <w:tcW w:w="983" w:type="dxa"/>
            <w:shd w:val="clear" w:color="auto" w:fill="auto"/>
            <w:vAlign w:val="center"/>
          </w:tcPr>
          <w:p w14:paraId="0BB5D7F7" w14:textId="19731FAF" w:rsidR="00126578" w:rsidRPr="00FC1749" w:rsidRDefault="00126578" w:rsidP="00126578">
            <w:pPr>
              <w:spacing w:after="0" w:line="240" w:lineRule="auto"/>
              <w:jc w:val="center"/>
              <w:rPr>
                <w:rFonts w:eastAsia="Times New Roman" w:cs="Times New Roman"/>
              </w:rPr>
            </w:pPr>
            <w:r w:rsidRPr="00FC1749">
              <w:rPr>
                <w:rFonts w:cs="Times New Roman"/>
              </w:rPr>
              <w:t>974</w:t>
            </w:r>
          </w:p>
        </w:tc>
        <w:tc>
          <w:tcPr>
            <w:tcW w:w="983" w:type="dxa"/>
            <w:shd w:val="clear" w:color="auto" w:fill="auto"/>
            <w:vAlign w:val="center"/>
          </w:tcPr>
          <w:p w14:paraId="5A2AE576" w14:textId="5486A611" w:rsidR="00126578" w:rsidRPr="00FC1749" w:rsidRDefault="00126578" w:rsidP="00126578">
            <w:pPr>
              <w:spacing w:after="0" w:line="240" w:lineRule="auto"/>
              <w:jc w:val="center"/>
              <w:rPr>
                <w:rFonts w:eastAsia="Times New Roman" w:cs="Times New Roman"/>
              </w:rPr>
            </w:pPr>
            <w:r w:rsidRPr="00FC1749">
              <w:rPr>
                <w:rFonts w:cs="Times New Roman"/>
              </w:rPr>
              <w:t>5.7%</w:t>
            </w:r>
          </w:p>
        </w:tc>
      </w:tr>
      <w:tr w:rsidR="00126578" w:rsidRPr="00FC1749" w14:paraId="21D206F1" w14:textId="77777777" w:rsidTr="006D0C3B">
        <w:trPr>
          <w:cantSplit/>
          <w:trHeight w:val="300"/>
          <w:jc w:val="center"/>
        </w:trPr>
        <w:tc>
          <w:tcPr>
            <w:tcW w:w="1303" w:type="dxa"/>
            <w:shd w:val="clear" w:color="auto" w:fill="auto"/>
            <w:vAlign w:val="center"/>
          </w:tcPr>
          <w:p w14:paraId="51E00763" w14:textId="0E568A8D" w:rsidR="00126578" w:rsidRPr="00FC1749" w:rsidRDefault="00126578" w:rsidP="00126578">
            <w:pPr>
              <w:spacing w:after="0" w:line="240" w:lineRule="auto"/>
              <w:rPr>
                <w:rFonts w:eastAsia="Times New Roman" w:cs="Times New Roman"/>
              </w:rPr>
            </w:pPr>
            <w:r w:rsidRPr="00FC1749">
              <w:rPr>
                <w:rFonts w:cs="Times New Roman"/>
              </w:rPr>
              <w:t>Other</w:t>
            </w:r>
          </w:p>
        </w:tc>
        <w:tc>
          <w:tcPr>
            <w:tcW w:w="982" w:type="dxa"/>
            <w:shd w:val="clear" w:color="auto" w:fill="auto"/>
            <w:vAlign w:val="bottom"/>
          </w:tcPr>
          <w:p w14:paraId="1A8842C0" w14:textId="5D086D77" w:rsidR="00126578" w:rsidRPr="00FC1749" w:rsidRDefault="00126578" w:rsidP="00126578">
            <w:pPr>
              <w:spacing w:after="0" w:line="240" w:lineRule="auto"/>
              <w:jc w:val="center"/>
              <w:rPr>
                <w:rFonts w:eastAsia="Times New Roman" w:cs="Times New Roman"/>
              </w:rPr>
            </w:pPr>
            <w:r w:rsidRPr="00FC1749">
              <w:rPr>
                <w:rFonts w:cs="Times New Roman"/>
                <w:color w:val="000000"/>
              </w:rPr>
              <w:t>94</w:t>
            </w:r>
          </w:p>
        </w:tc>
        <w:tc>
          <w:tcPr>
            <w:tcW w:w="983" w:type="dxa"/>
            <w:shd w:val="clear" w:color="auto" w:fill="auto"/>
            <w:vAlign w:val="bottom"/>
          </w:tcPr>
          <w:p w14:paraId="787574CC" w14:textId="1EF021CB" w:rsidR="00126578" w:rsidRPr="00FC1749" w:rsidRDefault="00126578" w:rsidP="00126578">
            <w:pPr>
              <w:spacing w:after="0" w:line="240" w:lineRule="auto"/>
              <w:jc w:val="center"/>
              <w:rPr>
                <w:rFonts w:eastAsia="Times New Roman" w:cs="Times New Roman"/>
              </w:rPr>
            </w:pPr>
            <w:r w:rsidRPr="00FC1749">
              <w:rPr>
                <w:rFonts w:cs="Times New Roman"/>
                <w:color w:val="000000"/>
              </w:rPr>
              <w:t>8.</w:t>
            </w:r>
            <w:r w:rsidR="00E32033" w:rsidRPr="00FC1749">
              <w:rPr>
                <w:rFonts w:cs="Times New Roman"/>
                <w:color w:val="000000"/>
              </w:rPr>
              <w:t>8</w:t>
            </w:r>
            <w:r w:rsidRPr="00FC1749">
              <w:rPr>
                <w:rFonts w:cs="Times New Roman"/>
                <w:color w:val="000000"/>
              </w:rPr>
              <w:t>%</w:t>
            </w:r>
          </w:p>
        </w:tc>
        <w:tc>
          <w:tcPr>
            <w:tcW w:w="983" w:type="dxa"/>
            <w:shd w:val="clear" w:color="auto" w:fill="auto"/>
            <w:vAlign w:val="bottom"/>
          </w:tcPr>
          <w:p w14:paraId="4D0EA707" w14:textId="1E0B80C3" w:rsidR="00126578" w:rsidRPr="00FC1749" w:rsidRDefault="00126578" w:rsidP="00126578">
            <w:pPr>
              <w:spacing w:after="0" w:line="240" w:lineRule="auto"/>
              <w:jc w:val="center"/>
              <w:rPr>
                <w:rFonts w:eastAsia="Times New Roman" w:cs="Times New Roman"/>
              </w:rPr>
            </w:pPr>
            <w:r w:rsidRPr="00FC1749">
              <w:rPr>
                <w:rFonts w:cs="Times New Roman"/>
                <w:color w:val="000000"/>
              </w:rPr>
              <w:t>577</w:t>
            </w:r>
          </w:p>
        </w:tc>
        <w:tc>
          <w:tcPr>
            <w:tcW w:w="983" w:type="dxa"/>
            <w:shd w:val="clear" w:color="auto" w:fill="auto"/>
            <w:vAlign w:val="bottom"/>
          </w:tcPr>
          <w:p w14:paraId="462A8731" w14:textId="1FE91C63" w:rsidR="00126578" w:rsidRPr="00FC1749" w:rsidRDefault="00126578" w:rsidP="00126578">
            <w:pPr>
              <w:spacing w:after="0" w:line="240" w:lineRule="auto"/>
              <w:jc w:val="center"/>
              <w:rPr>
                <w:rFonts w:eastAsia="Times New Roman" w:cs="Times New Roman"/>
              </w:rPr>
            </w:pPr>
            <w:r w:rsidRPr="00FC1749">
              <w:rPr>
                <w:rFonts w:cs="Times New Roman"/>
                <w:color w:val="000000"/>
              </w:rPr>
              <w:t>8.1%</w:t>
            </w:r>
          </w:p>
        </w:tc>
        <w:tc>
          <w:tcPr>
            <w:tcW w:w="983" w:type="dxa"/>
            <w:shd w:val="clear" w:color="auto" w:fill="auto"/>
            <w:vAlign w:val="bottom"/>
          </w:tcPr>
          <w:p w14:paraId="68913FDC" w14:textId="4647F815" w:rsidR="00126578" w:rsidRPr="00FC1749" w:rsidRDefault="00126578" w:rsidP="00126578">
            <w:pPr>
              <w:spacing w:after="0" w:line="240" w:lineRule="auto"/>
              <w:jc w:val="center"/>
              <w:rPr>
                <w:rFonts w:eastAsia="Times New Roman" w:cs="Times New Roman"/>
              </w:rPr>
            </w:pPr>
            <w:r w:rsidRPr="00FC1749">
              <w:rPr>
                <w:rFonts w:cs="Times New Roman"/>
                <w:color w:val="000000"/>
              </w:rPr>
              <w:t>1209</w:t>
            </w:r>
          </w:p>
        </w:tc>
        <w:tc>
          <w:tcPr>
            <w:tcW w:w="983" w:type="dxa"/>
            <w:shd w:val="clear" w:color="auto" w:fill="auto"/>
            <w:vAlign w:val="bottom"/>
          </w:tcPr>
          <w:p w14:paraId="274BCBB1" w14:textId="4BE8454F" w:rsidR="00126578" w:rsidRPr="00FC1749" w:rsidRDefault="00126578" w:rsidP="00126578">
            <w:pPr>
              <w:spacing w:after="0" w:line="240" w:lineRule="auto"/>
              <w:jc w:val="center"/>
              <w:rPr>
                <w:rFonts w:eastAsia="Times New Roman" w:cs="Times New Roman"/>
              </w:rPr>
            </w:pPr>
            <w:r w:rsidRPr="00FC1749">
              <w:rPr>
                <w:rFonts w:cs="Times New Roman"/>
                <w:color w:val="000000"/>
              </w:rPr>
              <w:t>7.</w:t>
            </w:r>
            <w:r w:rsidR="00E32033" w:rsidRPr="00FC1749">
              <w:rPr>
                <w:rFonts w:cs="Times New Roman"/>
                <w:color w:val="000000"/>
              </w:rPr>
              <w:t>1</w:t>
            </w:r>
            <w:r w:rsidRPr="00FC1749">
              <w:rPr>
                <w:rFonts w:cs="Times New Roman"/>
                <w:color w:val="000000"/>
              </w:rPr>
              <w:t>%</w:t>
            </w:r>
          </w:p>
        </w:tc>
      </w:tr>
    </w:tbl>
    <w:p w14:paraId="2A1BE596" w14:textId="77777777" w:rsidR="00E32033" w:rsidRDefault="00E32033" w:rsidP="00325FB0">
      <w:pPr>
        <w:spacing w:line="259" w:lineRule="auto"/>
        <w:rPr>
          <w:rFonts w:cs="Times New Roman"/>
        </w:rPr>
      </w:pPr>
    </w:p>
    <w:p w14:paraId="337997F0" w14:textId="77777777" w:rsidR="00E32033" w:rsidRDefault="00E32033">
      <w:pPr>
        <w:spacing w:line="259" w:lineRule="auto"/>
        <w:rPr>
          <w:rFonts w:cs="Times New Roman"/>
          <w:b/>
          <w:bCs/>
        </w:rPr>
      </w:pPr>
      <w:r>
        <w:rPr>
          <w:rFonts w:cs="Times New Roman"/>
          <w:b/>
          <w:bCs/>
        </w:rPr>
        <w:br w:type="page"/>
      </w:r>
    </w:p>
    <w:p w14:paraId="76D1CE26" w14:textId="4FEA711E" w:rsidR="00394AD2" w:rsidRDefault="00394AD2" w:rsidP="00274157">
      <w:pPr>
        <w:spacing w:line="259" w:lineRule="auto"/>
        <w:jc w:val="center"/>
        <w:rPr>
          <w:rFonts w:cs="Times New Roman"/>
          <w:b/>
          <w:bCs/>
        </w:rPr>
      </w:pPr>
      <w:r w:rsidRPr="001A74E7">
        <w:rPr>
          <w:rFonts w:cs="Times New Roman"/>
          <w:b/>
          <w:bCs/>
        </w:rPr>
        <w:lastRenderedPageBreak/>
        <w:t xml:space="preserve">Table </w:t>
      </w:r>
      <w:r w:rsidR="005C3A36">
        <w:rPr>
          <w:rFonts w:cs="Times New Roman"/>
          <w:b/>
          <w:bCs/>
        </w:rPr>
        <w:t>7</w:t>
      </w:r>
      <w:r w:rsidR="00EA499A">
        <w:rPr>
          <w:rStyle w:val="FootnoteReference"/>
          <w:rFonts w:cs="Times New Roman"/>
          <w:b/>
          <w:bCs/>
        </w:rPr>
        <w:footnoteReference w:id="4"/>
      </w:r>
      <w:r w:rsidR="00274157">
        <w:rPr>
          <w:rFonts w:cs="Times New Roman"/>
          <w:b/>
          <w:bCs/>
        </w:rPr>
        <w:br/>
      </w:r>
      <w:r>
        <w:rPr>
          <w:rFonts w:cs="Times New Roman"/>
          <w:b/>
          <w:bCs/>
        </w:rPr>
        <w:t>Quincy</w:t>
      </w:r>
      <w:r w:rsidRPr="000153E7">
        <w:rPr>
          <w:rFonts w:cs="Times New Roman"/>
          <w:b/>
          <w:bCs/>
        </w:rPr>
        <w:t xml:space="preserve"> Patient Panel Demographics</w:t>
      </w:r>
      <w:r>
        <w:rPr>
          <w:rFonts w:cs="Times New Roman"/>
          <w:b/>
          <w:bCs/>
        </w:rPr>
        <w:t xml:space="preserve"> (</w:t>
      </w:r>
      <w:r w:rsidR="00325FB0">
        <w:rPr>
          <w:rFonts w:cs="Times New Roman"/>
          <w:b/>
          <w:bCs/>
        </w:rPr>
        <w:t>Urgent</w:t>
      </w:r>
      <w:r>
        <w:rPr>
          <w:rFonts w:cs="Times New Roman"/>
          <w:b/>
          <w:bCs/>
        </w:rPr>
        <w:t xml:space="preserve"> Care)</w:t>
      </w:r>
    </w:p>
    <w:tbl>
      <w:tblPr>
        <w:tblStyle w:val="ListTable2-Accent3"/>
        <w:tblW w:w="0" w:type="auto"/>
        <w:jc w:val="center"/>
        <w:tblBorders>
          <w:top w:val="none" w:sz="0" w:space="0" w:color="auto"/>
          <w:bottom w:val="none" w:sz="0" w:space="0" w:color="auto"/>
          <w:insideH w:val="none" w:sz="0" w:space="0" w:color="auto"/>
        </w:tblBorders>
        <w:tblLook w:val="04A0" w:firstRow="1" w:lastRow="0" w:firstColumn="1" w:lastColumn="0" w:noHBand="0" w:noVBand="1"/>
      </w:tblPr>
      <w:tblGrid>
        <w:gridCol w:w="3780"/>
        <w:gridCol w:w="871"/>
        <w:gridCol w:w="31"/>
        <w:gridCol w:w="902"/>
        <w:gridCol w:w="871"/>
        <w:gridCol w:w="31"/>
        <w:gridCol w:w="902"/>
        <w:gridCol w:w="871"/>
        <w:gridCol w:w="31"/>
        <w:gridCol w:w="902"/>
      </w:tblGrid>
      <w:tr w:rsidR="003221F7" w:rsidRPr="00752D9D" w14:paraId="572EAF4A" w14:textId="77777777" w:rsidTr="001B39FD">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03D878B1" w14:textId="77777777" w:rsidR="003221F7" w:rsidRPr="00752D9D" w:rsidRDefault="003221F7" w:rsidP="00E84698">
            <w:pPr>
              <w:spacing w:beforeLines="20" w:before="48" w:line="240" w:lineRule="auto"/>
              <w:rPr>
                <w:rFonts w:cs="Times New Roman"/>
                <w:sz w:val="20"/>
                <w:szCs w:val="20"/>
              </w:rPr>
            </w:pPr>
          </w:p>
        </w:tc>
        <w:tc>
          <w:tcPr>
            <w:tcW w:w="902" w:type="dxa"/>
            <w:gridSpan w:val="2"/>
            <w:tcBorders>
              <w:bottom w:val="single" w:sz="4" w:space="0" w:color="auto"/>
            </w:tcBorders>
            <w:shd w:val="clear" w:color="auto" w:fill="auto"/>
          </w:tcPr>
          <w:p w14:paraId="58D15231" w14:textId="77777777" w:rsidR="003221F7" w:rsidRPr="00752D9D" w:rsidRDefault="003221F7" w:rsidP="00E84698">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752D9D">
              <w:rPr>
                <w:rFonts w:cs="Times New Roman"/>
                <w:sz w:val="20"/>
                <w:szCs w:val="20"/>
              </w:rPr>
              <w:t>FY2021</w:t>
            </w:r>
          </w:p>
        </w:tc>
        <w:tc>
          <w:tcPr>
            <w:tcW w:w="902" w:type="dxa"/>
            <w:tcBorders>
              <w:bottom w:val="single" w:sz="4" w:space="0" w:color="auto"/>
            </w:tcBorders>
            <w:shd w:val="clear" w:color="auto" w:fill="auto"/>
          </w:tcPr>
          <w:p w14:paraId="229AC6FD" w14:textId="7AC4A424" w:rsidR="003221F7" w:rsidRPr="00752D9D" w:rsidRDefault="001B39FD" w:rsidP="00E84698">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FY2021</w:t>
            </w:r>
          </w:p>
        </w:tc>
        <w:tc>
          <w:tcPr>
            <w:tcW w:w="902" w:type="dxa"/>
            <w:gridSpan w:val="2"/>
            <w:tcBorders>
              <w:bottom w:val="single" w:sz="4" w:space="0" w:color="auto"/>
            </w:tcBorders>
            <w:shd w:val="clear" w:color="auto" w:fill="auto"/>
          </w:tcPr>
          <w:p w14:paraId="5F3F4FAE" w14:textId="77777777" w:rsidR="003221F7" w:rsidRPr="00752D9D" w:rsidRDefault="003221F7" w:rsidP="00E84698">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752D9D">
              <w:rPr>
                <w:rFonts w:cs="Times New Roman"/>
                <w:sz w:val="20"/>
                <w:szCs w:val="20"/>
              </w:rPr>
              <w:t>FY2022</w:t>
            </w:r>
          </w:p>
        </w:tc>
        <w:tc>
          <w:tcPr>
            <w:tcW w:w="902" w:type="dxa"/>
            <w:tcBorders>
              <w:bottom w:val="single" w:sz="4" w:space="0" w:color="auto"/>
            </w:tcBorders>
            <w:shd w:val="clear" w:color="auto" w:fill="auto"/>
          </w:tcPr>
          <w:p w14:paraId="26D0A397" w14:textId="56E04B41" w:rsidR="003221F7" w:rsidRPr="00752D9D" w:rsidRDefault="001B39FD" w:rsidP="00E84698">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FY2022</w:t>
            </w:r>
          </w:p>
        </w:tc>
        <w:tc>
          <w:tcPr>
            <w:tcW w:w="902" w:type="dxa"/>
            <w:gridSpan w:val="2"/>
            <w:tcBorders>
              <w:bottom w:val="single" w:sz="4" w:space="0" w:color="auto"/>
            </w:tcBorders>
            <w:shd w:val="clear" w:color="auto" w:fill="auto"/>
          </w:tcPr>
          <w:p w14:paraId="31C6A000" w14:textId="77777777" w:rsidR="003221F7" w:rsidRPr="00752D9D" w:rsidRDefault="003221F7" w:rsidP="00E84698">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752D9D">
              <w:rPr>
                <w:rFonts w:cs="Times New Roman"/>
                <w:sz w:val="20"/>
                <w:szCs w:val="20"/>
              </w:rPr>
              <w:t>FY2023</w:t>
            </w:r>
          </w:p>
        </w:tc>
        <w:tc>
          <w:tcPr>
            <w:tcW w:w="902" w:type="dxa"/>
            <w:tcBorders>
              <w:bottom w:val="single" w:sz="4" w:space="0" w:color="auto"/>
            </w:tcBorders>
            <w:shd w:val="clear" w:color="auto" w:fill="auto"/>
          </w:tcPr>
          <w:p w14:paraId="2D209CDE" w14:textId="30734E7B" w:rsidR="003221F7" w:rsidRPr="00752D9D" w:rsidRDefault="001B39FD" w:rsidP="00E84698">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FY2023</w:t>
            </w:r>
          </w:p>
        </w:tc>
      </w:tr>
      <w:tr w:rsidR="00274157" w:rsidRPr="00752D9D" w14:paraId="4266CFE8" w14:textId="77777777" w:rsidTr="001B39FD">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35077E07" w14:textId="77777777" w:rsidR="00274157" w:rsidRPr="00752D9D" w:rsidRDefault="00274157" w:rsidP="00E84698">
            <w:pPr>
              <w:spacing w:beforeLines="20" w:before="48" w:line="240" w:lineRule="auto"/>
              <w:rPr>
                <w:rFonts w:cs="Times New Roman"/>
                <w:b w:val="0"/>
                <w:bCs w:val="0"/>
                <w:sz w:val="20"/>
                <w:szCs w:val="20"/>
              </w:rPr>
            </w:pPr>
          </w:p>
        </w:tc>
        <w:tc>
          <w:tcPr>
            <w:tcW w:w="871" w:type="dxa"/>
            <w:tcBorders>
              <w:top w:val="single" w:sz="4" w:space="0" w:color="auto"/>
              <w:bottom w:val="single" w:sz="4" w:space="0" w:color="auto"/>
            </w:tcBorders>
            <w:shd w:val="clear" w:color="auto" w:fill="auto"/>
          </w:tcPr>
          <w:p w14:paraId="7B7AABB4" w14:textId="77777777" w:rsidR="00274157" w:rsidRPr="00752D9D" w:rsidRDefault="00274157" w:rsidP="00E84698">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752D9D">
              <w:rPr>
                <w:rFonts w:cs="Times New Roman"/>
                <w:sz w:val="20"/>
                <w:szCs w:val="20"/>
              </w:rPr>
              <w:t>Count</w:t>
            </w:r>
          </w:p>
        </w:tc>
        <w:tc>
          <w:tcPr>
            <w:tcW w:w="933" w:type="dxa"/>
            <w:gridSpan w:val="2"/>
            <w:tcBorders>
              <w:top w:val="single" w:sz="4" w:space="0" w:color="auto"/>
              <w:bottom w:val="single" w:sz="4" w:space="0" w:color="auto"/>
            </w:tcBorders>
            <w:shd w:val="clear" w:color="auto" w:fill="auto"/>
          </w:tcPr>
          <w:p w14:paraId="2C1A1E70" w14:textId="77777777" w:rsidR="00274157" w:rsidRPr="00752D9D" w:rsidRDefault="00274157" w:rsidP="00E84698">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752D9D">
              <w:rPr>
                <w:rFonts w:cs="Times New Roman"/>
                <w:sz w:val="20"/>
                <w:szCs w:val="20"/>
              </w:rPr>
              <w:t>%</w:t>
            </w:r>
          </w:p>
        </w:tc>
        <w:tc>
          <w:tcPr>
            <w:tcW w:w="871" w:type="dxa"/>
            <w:tcBorders>
              <w:top w:val="single" w:sz="4" w:space="0" w:color="auto"/>
              <w:bottom w:val="single" w:sz="4" w:space="0" w:color="auto"/>
            </w:tcBorders>
            <w:shd w:val="clear" w:color="auto" w:fill="auto"/>
          </w:tcPr>
          <w:p w14:paraId="010E86E2" w14:textId="77777777" w:rsidR="00274157" w:rsidRPr="00752D9D" w:rsidRDefault="00274157" w:rsidP="00E84698">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752D9D">
              <w:rPr>
                <w:rFonts w:cs="Times New Roman"/>
                <w:sz w:val="20"/>
                <w:szCs w:val="20"/>
              </w:rPr>
              <w:t>Count</w:t>
            </w:r>
          </w:p>
        </w:tc>
        <w:tc>
          <w:tcPr>
            <w:tcW w:w="933" w:type="dxa"/>
            <w:gridSpan w:val="2"/>
            <w:tcBorders>
              <w:top w:val="single" w:sz="4" w:space="0" w:color="auto"/>
              <w:bottom w:val="single" w:sz="4" w:space="0" w:color="auto"/>
            </w:tcBorders>
            <w:shd w:val="clear" w:color="auto" w:fill="auto"/>
          </w:tcPr>
          <w:p w14:paraId="25593790" w14:textId="77777777" w:rsidR="00274157" w:rsidRPr="00752D9D" w:rsidRDefault="00274157" w:rsidP="00E84698">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752D9D">
              <w:rPr>
                <w:rFonts w:cs="Times New Roman"/>
                <w:sz w:val="20"/>
                <w:szCs w:val="20"/>
              </w:rPr>
              <w:t>%</w:t>
            </w:r>
          </w:p>
        </w:tc>
        <w:tc>
          <w:tcPr>
            <w:tcW w:w="871" w:type="dxa"/>
            <w:tcBorders>
              <w:top w:val="single" w:sz="4" w:space="0" w:color="auto"/>
              <w:bottom w:val="single" w:sz="4" w:space="0" w:color="auto"/>
            </w:tcBorders>
            <w:shd w:val="clear" w:color="auto" w:fill="auto"/>
          </w:tcPr>
          <w:p w14:paraId="6AB55046" w14:textId="77777777" w:rsidR="00274157" w:rsidRPr="00752D9D" w:rsidRDefault="00274157" w:rsidP="00E84698">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752D9D">
              <w:rPr>
                <w:rFonts w:cs="Times New Roman"/>
                <w:sz w:val="20"/>
                <w:szCs w:val="20"/>
              </w:rPr>
              <w:t>Count</w:t>
            </w:r>
          </w:p>
        </w:tc>
        <w:tc>
          <w:tcPr>
            <w:tcW w:w="933" w:type="dxa"/>
            <w:gridSpan w:val="2"/>
            <w:tcBorders>
              <w:top w:val="single" w:sz="4" w:space="0" w:color="auto"/>
              <w:bottom w:val="single" w:sz="4" w:space="0" w:color="auto"/>
            </w:tcBorders>
            <w:shd w:val="clear" w:color="auto" w:fill="auto"/>
          </w:tcPr>
          <w:p w14:paraId="48D58547" w14:textId="77777777" w:rsidR="00274157" w:rsidRPr="00752D9D" w:rsidRDefault="00274157" w:rsidP="00E84698">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752D9D">
              <w:rPr>
                <w:rFonts w:cs="Times New Roman"/>
                <w:sz w:val="20"/>
                <w:szCs w:val="20"/>
              </w:rPr>
              <w:t>%</w:t>
            </w:r>
          </w:p>
        </w:tc>
      </w:tr>
      <w:tr w:rsidR="002F3133" w:rsidRPr="002F3133" w14:paraId="311C0AE1" w14:textId="77777777" w:rsidTr="001B39F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595A43B6" w14:textId="35F781ED" w:rsidR="002F3133" w:rsidRPr="002F3133" w:rsidRDefault="002F3133" w:rsidP="002F3133">
            <w:pPr>
              <w:spacing w:beforeLines="20" w:before="48" w:line="240" w:lineRule="auto"/>
              <w:rPr>
                <w:rFonts w:cs="Times New Roman"/>
                <w:sz w:val="20"/>
                <w:szCs w:val="20"/>
              </w:rPr>
            </w:pPr>
            <w:r w:rsidRPr="002F3133">
              <w:rPr>
                <w:rFonts w:cs="Times New Roman"/>
                <w:sz w:val="20"/>
                <w:szCs w:val="20"/>
              </w:rPr>
              <w:t>Total Unique Patients</w:t>
            </w:r>
          </w:p>
        </w:tc>
        <w:tc>
          <w:tcPr>
            <w:tcW w:w="871" w:type="dxa"/>
            <w:tcBorders>
              <w:top w:val="single" w:sz="4" w:space="0" w:color="auto"/>
              <w:bottom w:val="single" w:sz="4" w:space="0" w:color="auto"/>
            </w:tcBorders>
            <w:shd w:val="clear" w:color="auto" w:fill="auto"/>
          </w:tcPr>
          <w:p w14:paraId="76E47767" w14:textId="56755B08" w:rsidR="002F3133" w:rsidRPr="002F3133" w:rsidRDefault="002F3133" w:rsidP="002F3133">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2F3133">
              <w:rPr>
                <w:sz w:val="20"/>
                <w:szCs w:val="20"/>
              </w:rPr>
              <w:t>85</w:t>
            </w:r>
          </w:p>
        </w:tc>
        <w:tc>
          <w:tcPr>
            <w:tcW w:w="933" w:type="dxa"/>
            <w:gridSpan w:val="2"/>
            <w:tcBorders>
              <w:top w:val="single" w:sz="4" w:space="0" w:color="auto"/>
              <w:bottom w:val="single" w:sz="4" w:space="0" w:color="auto"/>
            </w:tcBorders>
            <w:shd w:val="clear" w:color="auto" w:fill="auto"/>
          </w:tcPr>
          <w:p w14:paraId="35C5A5E7" w14:textId="16F86B2E" w:rsidR="002F3133" w:rsidRPr="002F3133" w:rsidRDefault="002F3133" w:rsidP="002F3133">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2F3133">
              <w:rPr>
                <w:sz w:val="20"/>
                <w:szCs w:val="20"/>
              </w:rPr>
              <w:t>100.0%</w:t>
            </w:r>
          </w:p>
        </w:tc>
        <w:tc>
          <w:tcPr>
            <w:tcW w:w="871" w:type="dxa"/>
            <w:tcBorders>
              <w:top w:val="single" w:sz="4" w:space="0" w:color="auto"/>
              <w:bottom w:val="single" w:sz="4" w:space="0" w:color="auto"/>
            </w:tcBorders>
            <w:shd w:val="clear" w:color="auto" w:fill="auto"/>
          </w:tcPr>
          <w:p w14:paraId="7A7A4F94" w14:textId="741C74FD" w:rsidR="002F3133" w:rsidRPr="002F3133" w:rsidRDefault="002F3133" w:rsidP="002F3133">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2F3133">
              <w:rPr>
                <w:sz w:val="20"/>
                <w:szCs w:val="20"/>
              </w:rPr>
              <w:t>4,571</w:t>
            </w:r>
          </w:p>
        </w:tc>
        <w:tc>
          <w:tcPr>
            <w:tcW w:w="933" w:type="dxa"/>
            <w:gridSpan w:val="2"/>
            <w:tcBorders>
              <w:top w:val="single" w:sz="4" w:space="0" w:color="auto"/>
              <w:bottom w:val="single" w:sz="4" w:space="0" w:color="auto"/>
            </w:tcBorders>
            <w:shd w:val="clear" w:color="auto" w:fill="auto"/>
          </w:tcPr>
          <w:p w14:paraId="414BD79A" w14:textId="03DB8134" w:rsidR="002F3133" w:rsidRPr="002F3133" w:rsidRDefault="002F3133" w:rsidP="002F3133">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2F3133">
              <w:rPr>
                <w:sz w:val="20"/>
                <w:szCs w:val="20"/>
              </w:rPr>
              <w:t>100.0%</w:t>
            </w:r>
          </w:p>
        </w:tc>
        <w:tc>
          <w:tcPr>
            <w:tcW w:w="871" w:type="dxa"/>
            <w:tcBorders>
              <w:top w:val="single" w:sz="4" w:space="0" w:color="auto"/>
              <w:bottom w:val="single" w:sz="4" w:space="0" w:color="auto"/>
            </w:tcBorders>
            <w:shd w:val="clear" w:color="auto" w:fill="auto"/>
          </w:tcPr>
          <w:p w14:paraId="159B0C16" w14:textId="448931CC" w:rsidR="002F3133" w:rsidRPr="002F3133" w:rsidRDefault="002F3133" w:rsidP="002F3133">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2F3133">
              <w:rPr>
                <w:sz w:val="20"/>
                <w:szCs w:val="20"/>
              </w:rPr>
              <w:t>14,228</w:t>
            </w:r>
          </w:p>
        </w:tc>
        <w:tc>
          <w:tcPr>
            <w:tcW w:w="933" w:type="dxa"/>
            <w:gridSpan w:val="2"/>
            <w:tcBorders>
              <w:top w:val="single" w:sz="4" w:space="0" w:color="auto"/>
              <w:bottom w:val="single" w:sz="4" w:space="0" w:color="auto"/>
            </w:tcBorders>
            <w:shd w:val="clear" w:color="auto" w:fill="auto"/>
          </w:tcPr>
          <w:p w14:paraId="782B52FF" w14:textId="1489C1C6" w:rsidR="002F3133" w:rsidRPr="002F3133" w:rsidRDefault="002F3133" w:rsidP="002F3133">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2F3133">
              <w:rPr>
                <w:sz w:val="20"/>
                <w:szCs w:val="20"/>
              </w:rPr>
              <w:t>100.0%</w:t>
            </w:r>
          </w:p>
        </w:tc>
      </w:tr>
      <w:tr w:rsidR="00752D9D" w:rsidRPr="00752D9D" w14:paraId="009B9A94" w14:textId="77777777" w:rsidTr="001B39FD">
        <w:trPr>
          <w:cantSplit/>
          <w:trHeight w:val="143"/>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7D42CC52" w14:textId="3E7998EF" w:rsidR="00752D9D" w:rsidRPr="00752D9D" w:rsidRDefault="00752D9D" w:rsidP="00752D9D">
            <w:pPr>
              <w:spacing w:beforeLines="20" w:before="48" w:line="240" w:lineRule="auto"/>
              <w:rPr>
                <w:rFonts w:cs="Times New Roman"/>
                <w:sz w:val="20"/>
                <w:szCs w:val="20"/>
              </w:rPr>
            </w:pPr>
            <w:r w:rsidRPr="00752D9D">
              <w:rPr>
                <w:rFonts w:cs="Times New Roman"/>
                <w:sz w:val="20"/>
                <w:szCs w:val="20"/>
              </w:rPr>
              <w:t>Gender</w:t>
            </w:r>
          </w:p>
        </w:tc>
        <w:tc>
          <w:tcPr>
            <w:tcW w:w="871" w:type="dxa"/>
            <w:tcBorders>
              <w:top w:val="single" w:sz="4" w:space="0" w:color="auto"/>
            </w:tcBorders>
            <w:shd w:val="clear" w:color="auto" w:fill="auto"/>
            <w:vAlign w:val="center"/>
          </w:tcPr>
          <w:p w14:paraId="06A56C37" w14:textId="67BCC550"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tcBorders>
              <w:top w:val="single" w:sz="4" w:space="0" w:color="auto"/>
            </w:tcBorders>
            <w:shd w:val="clear" w:color="auto" w:fill="auto"/>
            <w:vAlign w:val="center"/>
          </w:tcPr>
          <w:p w14:paraId="1335285D" w14:textId="50FF2860"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tcBorders>
              <w:top w:val="single" w:sz="4" w:space="0" w:color="auto"/>
            </w:tcBorders>
            <w:shd w:val="clear" w:color="auto" w:fill="auto"/>
            <w:vAlign w:val="center"/>
          </w:tcPr>
          <w:p w14:paraId="795A3BF7" w14:textId="52458B55"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tcBorders>
              <w:top w:val="single" w:sz="4" w:space="0" w:color="auto"/>
            </w:tcBorders>
            <w:shd w:val="clear" w:color="auto" w:fill="auto"/>
            <w:vAlign w:val="center"/>
          </w:tcPr>
          <w:p w14:paraId="15BB7E2D" w14:textId="50E091C8"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tcBorders>
              <w:top w:val="single" w:sz="4" w:space="0" w:color="auto"/>
            </w:tcBorders>
            <w:shd w:val="clear" w:color="auto" w:fill="auto"/>
            <w:vAlign w:val="center"/>
          </w:tcPr>
          <w:p w14:paraId="54E4392C" w14:textId="43F95FE4"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tcBorders>
              <w:top w:val="single" w:sz="4" w:space="0" w:color="auto"/>
            </w:tcBorders>
            <w:shd w:val="clear" w:color="auto" w:fill="auto"/>
            <w:vAlign w:val="center"/>
          </w:tcPr>
          <w:p w14:paraId="527228FF" w14:textId="667C2737"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325FB0" w:rsidRPr="00752D9D" w14:paraId="0AAF30C1" w14:textId="77777777" w:rsidTr="001B39F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28C0CA74" w14:textId="7F1FA181" w:rsidR="00325FB0" w:rsidRPr="00752D9D" w:rsidRDefault="00325FB0" w:rsidP="00325FB0">
            <w:pPr>
              <w:spacing w:beforeLines="20" w:before="48" w:line="240" w:lineRule="auto"/>
              <w:ind w:left="157"/>
              <w:rPr>
                <w:rFonts w:cs="Times New Roman"/>
                <w:b w:val="0"/>
                <w:bCs w:val="0"/>
                <w:sz w:val="20"/>
                <w:szCs w:val="20"/>
              </w:rPr>
            </w:pPr>
            <w:r w:rsidRPr="00752D9D">
              <w:rPr>
                <w:rFonts w:cs="Times New Roman"/>
                <w:b w:val="0"/>
                <w:bCs w:val="0"/>
                <w:sz w:val="20"/>
                <w:szCs w:val="20"/>
              </w:rPr>
              <w:t>Unknown</w:t>
            </w:r>
          </w:p>
        </w:tc>
        <w:tc>
          <w:tcPr>
            <w:tcW w:w="871" w:type="dxa"/>
            <w:shd w:val="clear" w:color="auto" w:fill="auto"/>
            <w:vAlign w:val="center"/>
          </w:tcPr>
          <w:p w14:paraId="072397A7" w14:textId="621661C4"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85</w:t>
            </w:r>
          </w:p>
        </w:tc>
        <w:tc>
          <w:tcPr>
            <w:tcW w:w="933" w:type="dxa"/>
            <w:gridSpan w:val="2"/>
            <w:shd w:val="clear" w:color="auto" w:fill="auto"/>
            <w:vAlign w:val="center"/>
          </w:tcPr>
          <w:p w14:paraId="7B7D92C8" w14:textId="0FB17CF0"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100.00%</w:t>
            </w:r>
          </w:p>
        </w:tc>
        <w:tc>
          <w:tcPr>
            <w:tcW w:w="871" w:type="dxa"/>
            <w:shd w:val="clear" w:color="auto" w:fill="auto"/>
            <w:vAlign w:val="center"/>
          </w:tcPr>
          <w:p w14:paraId="1B74F231" w14:textId="2712C9C6"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4,571</w:t>
            </w:r>
          </w:p>
        </w:tc>
        <w:tc>
          <w:tcPr>
            <w:tcW w:w="933" w:type="dxa"/>
            <w:gridSpan w:val="2"/>
            <w:shd w:val="clear" w:color="auto" w:fill="auto"/>
            <w:vAlign w:val="center"/>
          </w:tcPr>
          <w:p w14:paraId="707BF07A" w14:textId="2A60CFB4"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100.0%</w:t>
            </w:r>
          </w:p>
        </w:tc>
        <w:tc>
          <w:tcPr>
            <w:tcW w:w="871" w:type="dxa"/>
            <w:shd w:val="clear" w:color="auto" w:fill="auto"/>
            <w:vAlign w:val="center"/>
          </w:tcPr>
          <w:p w14:paraId="5DC57EBD" w14:textId="475AF478"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14,228</w:t>
            </w:r>
          </w:p>
        </w:tc>
        <w:tc>
          <w:tcPr>
            <w:tcW w:w="933" w:type="dxa"/>
            <w:gridSpan w:val="2"/>
            <w:shd w:val="clear" w:color="auto" w:fill="auto"/>
            <w:vAlign w:val="center"/>
          </w:tcPr>
          <w:p w14:paraId="7C9C13C4" w14:textId="327E17B9"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100.0%</w:t>
            </w:r>
          </w:p>
        </w:tc>
      </w:tr>
      <w:tr w:rsidR="00274157" w:rsidRPr="00752D9D" w14:paraId="41E23FEB" w14:textId="77777777" w:rsidTr="001B39FD">
        <w:trPr>
          <w:cantSplit/>
          <w:trHeight w:val="83"/>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7DEE1AFA" w14:textId="77777777" w:rsidR="00274157" w:rsidRPr="00752D9D" w:rsidRDefault="00274157" w:rsidP="00274157">
            <w:pPr>
              <w:spacing w:beforeLines="20" w:before="48" w:line="240" w:lineRule="auto"/>
              <w:rPr>
                <w:rFonts w:cs="Times New Roman"/>
                <w:sz w:val="20"/>
                <w:szCs w:val="20"/>
              </w:rPr>
            </w:pPr>
            <w:r w:rsidRPr="00752D9D">
              <w:rPr>
                <w:rFonts w:cs="Times New Roman"/>
                <w:sz w:val="20"/>
                <w:szCs w:val="20"/>
              </w:rPr>
              <w:t>Age</w:t>
            </w:r>
          </w:p>
        </w:tc>
        <w:tc>
          <w:tcPr>
            <w:tcW w:w="871" w:type="dxa"/>
            <w:shd w:val="clear" w:color="auto" w:fill="auto"/>
          </w:tcPr>
          <w:p w14:paraId="328DD1DF" w14:textId="77777777" w:rsidR="00274157" w:rsidRPr="00752D9D" w:rsidRDefault="00274157" w:rsidP="0027415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05B924F8" w14:textId="77777777" w:rsidR="00274157" w:rsidRPr="00752D9D" w:rsidRDefault="00274157" w:rsidP="0027415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shd w:val="clear" w:color="auto" w:fill="auto"/>
          </w:tcPr>
          <w:p w14:paraId="2ACBE01D" w14:textId="77777777" w:rsidR="00274157" w:rsidRPr="00752D9D" w:rsidRDefault="00274157" w:rsidP="0027415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6A617DD7" w14:textId="77777777" w:rsidR="00274157" w:rsidRPr="00752D9D" w:rsidRDefault="00274157" w:rsidP="0027415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shd w:val="clear" w:color="auto" w:fill="auto"/>
          </w:tcPr>
          <w:p w14:paraId="3925A1FC" w14:textId="77777777" w:rsidR="00274157" w:rsidRPr="00752D9D" w:rsidRDefault="00274157" w:rsidP="0027415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73C40434" w14:textId="77777777" w:rsidR="00274157" w:rsidRPr="00752D9D" w:rsidRDefault="00274157" w:rsidP="0027415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325FB0" w:rsidRPr="00752D9D" w14:paraId="7A76E892" w14:textId="77777777" w:rsidTr="001B39F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FBAEC1F" w14:textId="77777777" w:rsidR="00325FB0" w:rsidRPr="00752D9D" w:rsidRDefault="00325FB0" w:rsidP="00325FB0">
            <w:pPr>
              <w:spacing w:beforeLines="20" w:before="48" w:line="240" w:lineRule="auto"/>
              <w:ind w:left="157"/>
              <w:rPr>
                <w:rFonts w:cs="Times New Roman"/>
                <w:b w:val="0"/>
                <w:bCs w:val="0"/>
                <w:sz w:val="20"/>
                <w:szCs w:val="20"/>
              </w:rPr>
            </w:pPr>
            <w:r w:rsidRPr="00752D9D">
              <w:rPr>
                <w:rFonts w:cs="Times New Roman"/>
                <w:b w:val="0"/>
                <w:bCs w:val="0"/>
                <w:sz w:val="20"/>
                <w:szCs w:val="20"/>
              </w:rPr>
              <w:t>0 to 17</w:t>
            </w:r>
          </w:p>
        </w:tc>
        <w:tc>
          <w:tcPr>
            <w:tcW w:w="871" w:type="dxa"/>
            <w:shd w:val="clear" w:color="auto" w:fill="auto"/>
            <w:vAlign w:val="center"/>
          </w:tcPr>
          <w:p w14:paraId="61011B41" w14:textId="30F7A6F9"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0</w:t>
            </w:r>
          </w:p>
        </w:tc>
        <w:tc>
          <w:tcPr>
            <w:tcW w:w="933" w:type="dxa"/>
            <w:gridSpan w:val="2"/>
            <w:shd w:val="clear" w:color="auto" w:fill="auto"/>
            <w:vAlign w:val="center"/>
          </w:tcPr>
          <w:p w14:paraId="027F7D16" w14:textId="65BC6BD8"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0.0%</w:t>
            </w:r>
          </w:p>
        </w:tc>
        <w:tc>
          <w:tcPr>
            <w:tcW w:w="871" w:type="dxa"/>
            <w:shd w:val="clear" w:color="auto" w:fill="auto"/>
            <w:vAlign w:val="center"/>
          </w:tcPr>
          <w:p w14:paraId="6FEE5AC1" w14:textId="0C59BDA7"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265</w:t>
            </w:r>
          </w:p>
        </w:tc>
        <w:tc>
          <w:tcPr>
            <w:tcW w:w="933" w:type="dxa"/>
            <w:gridSpan w:val="2"/>
            <w:shd w:val="clear" w:color="auto" w:fill="auto"/>
            <w:vAlign w:val="center"/>
          </w:tcPr>
          <w:p w14:paraId="261C8CF0" w14:textId="392AEA99"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5.8%</w:t>
            </w:r>
          </w:p>
        </w:tc>
        <w:tc>
          <w:tcPr>
            <w:tcW w:w="871" w:type="dxa"/>
            <w:shd w:val="clear" w:color="auto" w:fill="auto"/>
            <w:vAlign w:val="center"/>
          </w:tcPr>
          <w:p w14:paraId="3057901B" w14:textId="0852C941"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1,074</w:t>
            </w:r>
          </w:p>
        </w:tc>
        <w:tc>
          <w:tcPr>
            <w:tcW w:w="933" w:type="dxa"/>
            <w:gridSpan w:val="2"/>
            <w:shd w:val="clear" w:color="auto" w:fill="auto"/>
            <w:vAlign w:val="center"/>
          </w:tcPr>
          <w:p w14:paraId="2A402923" w14:textId="70345FB6"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7.</w:t>
            </w:r>
            <w:r w:rsidR="008A05D6">
              <w:rPr>
                <w:rFonts w:cs="Times New Roman"/>
                <w:sz w:val="20"/>
                <w:szCs w:val="20"/>
              </w:rPr>
              <w:t>6</w:t>
            </w:r>
            <w:r w:rsidRPr="00752D9D">
              <w:rPr>
                <w:rFonts w:cs="Times New Roman"/>
                <w:sz w:val="20"/>
                <w:szCs w:val="20"/>
              </w:rPr>
              <w:t>%</w:t>
            </w:r>
          </w:p>
        </w:tc>
      </w:tr>
      <w:tr w:rsidR="00325FB0" w:rsidRPr="00752D9D" w14:paraId="01BC33A6" w14:textId="77777777" w:rsidTr="001B39FD">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3EC52678" w14:textId="77777777" w:rsidR="00325FB0" w:rsidRPr="00752D9D" w:rsidRDefault="00325FB0" w:rsidP="00325FB0">
            <w:pPr>
              <w:spacing w:beforeLines="20" w:before="48" w:line="240" w:lineRule="auto"/>
              <w:ind w:left="157"/>
              <w:rPr>
                <w:rFonts w:cs="Times New Roman"/>
                <w:b w:val="0"/>
                <w:bCs w:val="0"/>
                <w:sz w:val="20"/>
                <w:szCs w:val="20"/>
              </w:rPr>
            </w:pPr>
            <w:r w:rsidRPr="00752D9D">
              <w:rPr>
                <w:rFonts w:cs="Times New Roman"/>
                <w:b w:val="0"/>
                <w:bCs w:val="0"/>
                <w:sz w:val="20"/>
                <w:szCs w:val="20"/>
              </w:rPr>
              <w:t>18 to 64</w:t>
            </w:r>
          </w:p>
        </w:tc>
        <w:tc>
          <w:tcPr>
            <w:tcW w:w="871" w:type="dxa"/>
            <w:shd w:val="clear" w:color="auto" w:fill="auto"/>
            <w:vAlign w:val="center"/>
          </w:tcPr>
          <w:p w14:paraId="2C61A622" w14:textId="652E645A" w:rsidR="00325FB0" w:rsidRPr="00752D9D" w:rsidRDefault="00325FB0" w:rsidP="00325FB0">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0</w:t>
            </w:r>
          </w:p>
        </w:tc>
        <w:tc>
          <w:tcPr>
            <w:tcW w:w="933" w:type="dxa"/>
            <w:gridSpan w:val="2"/>
            <w:shd w:val="clear" w:color="auto" w:fill="auto"/>
            <w:vAlign w:val="center"/>
          </w:tcPr>
          <w:p w14:paraId="392F2657" w14:textId="08821E21" w:rsidR="00325FB0" w:rsidRPr="00752D9D" w:rsidRDefault="00325FB0" w:rsidP="00325FB0">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0.0%</w:t>
            </w:r>
          </w:p>
        </w:tc>
        <w:tc>
          <w:tcPr>
            <w:tcW w:w="871" w:type="dxa"/>
            <w:shd w:val="clear" w:color="auto" w:fill="auto"/>
            <w:vAlign w:val="center"/>
          </w:tcPr>
          <w:p w14:paraId="60DEB617" w14:textId="2F03DE67" w:rsidR="00325FB0" w:rsidRPr="00752D9D" w:rsidRDefault="00325FB0" w:rsidP="00325FB0">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2,957</w:t>
            </w:r>
          </w:p>
        </w:tc>
        <w:tc>
          <w:tcPr>
            <w:tcW w:w="933" w:type="dxa"/>
            <w:gridSpan w:val="2"/>
            <w:shd w:val="clear" w:color="auto" w:fill="auto"/>
            <w:vAlign w:val="center"/>
          </w:tcPr>
          <w:p w14:paraId="5AFC6C11" w14:textId="4253C973" w:rsidR="00325FB0" w:rsidRPr="00752D9D" w:rsidRDefault="00325FB0" w:rsidP="00325FB0">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64.7%</w:t>
            </w:r>
          </w:p>
        </w:tc>
        <w:tc>
          <w:tcPr>
            <w:tcW w:w="871" w:type="dxa"/>
            <w:shd w:val="clear" w:color="auto" w:fill="auto"/>
            <w:vAlign w:val="center"/>
          </w:tcPr>
          <w:p w14:paraId="20CAAE9B" w14:textId="0A0677FC" w:rsidR="00325FB0" w:rsidRPr="00752D9D" w:rsidRDefault="00325FB0" w:rsidP="00325FB0">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9,564</w:t>
            </w:r>
          </w:p>
        </w:tc>
        <w:tc>
          <w:tcPr>
            <w:tcW w:w="933" w:type="dxa"/>
            <w:gridSpan w:val="2"/>
            <w:shd w:val="clear" w:color="auto" w:fill="auto"/>
            <w:vAlign w:val="center"/>
          </w:tcPr>
          <w:p w14:paraId="1A992F67" w14:textId="2448C20E" w:rsidR="00325FB0" w:rsidRPr="00752D9D" w:rsidRDefault="00325FB0" w:rsidP="00325FB0">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67.2%</w:t>
            </w:r>
          </w:p>
        </w:tc>
      </w:tr>
      <w:tr w:rsidR="00325FB0" w:rsidRPr="00752D9D" w14:paraId="423E2FC9" w14:textId="77777777" w:rsidTr="001B39F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2C1627BF" w14:textId="77777777" w:rsidR="00325FB0" w:rsidRPr="00752D9D" w:rsidRDefault="00325FB0" w:rsidP="00325FB0">
            <w:pPr>
              <w:spacing w:beforeLines="20" w:before="48" w:line="240" w:lineRule="auto"/>
              <w:ind w:left="157"/>
              <w:rPr>
                <w:rFonts w:cs="Times New Roman"/>
                <w:b w:val="0"/>
                <w:bCs w:val="0"/>
                <w:sz w:val="20"/>
                <w:szCs w:val="20"/>
              </w:rPr>
            </w:pPr>
            <w:r w:rsidRPr="00752D9D">
              <w:rPr>
                <w:rFonts w:cs="Times New Roman"/>
                <w:b w:val="0"/>
                <w:bCs w:val="0"/>
                <w:sz w:val="20"/>
                <w:szCs w:val="20"/>
              </w:rPr>
              <w:t>65+</w:t>
            </w:r>
          </w:p>
        </w:tc>
        <w:tc>
          <w:tcPr>
            <w:tcW w:w="871" w:type="dxa"/>
            <w:shd w:val="clear" w:color="auto" w:fill="auto"/>
            <w:vAlign w:val="center"/>
          </w:tcPr>
          <w:p w14:paraId="68FF85F4" w14:textId="69BBCDAD"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0</w:t>
            </w:r>
          </w:p>
        </w:tc>
        <w:tc>
          <w:tcPr>
            <w:tcW w:w="933" w:type="dxa"/>
            <w:gridSpan w:val="2"/>
            <w:shd w:val="clear" w:color="auto" w:fill="auto"/>
            <w:vAlign w:val="center"/>
          </w:tcPr>
          <w:p w14:paraId="2DC2E1FF" w14:textId="02CA979B"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0.0%</w:t>
            </w:r>
          </w:p>
        </w:tc>
        <w:tc>
          <w:tcPr>
            <w:tcW w:w="871" w:type="dxa"/>
            <w:shd w:val="clear" w:color="auto" w:fill="auto"/>
            <w:vAlign w:val="center"/>
          </w:tcPr>
          <w:p w14:paraId="2864ACE2" w14:textId="58C14559"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1,110</w:t>
            </w:r>
          </w:p>
        </w:tc>
        <w:tc>
          <w:tcPr>
            <w:tcW w:w="933" w:type="dxa"/>
            <w:gridSpan w:val="2"/>
            <w:shd w:val="clear" w:color="auto" w:fill="auto"/>
            <w:vAlign w:val="center"/>
          </w:tcPr>
          <w:p w14:paraId="39492B40" w14:textId="2629F3AF"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24.3%</w:t>
            </w:r>
          </w:p>
        </w:tc>
        <w:tc>
          <w:tcPr>
            <w:tcW w:w="871" w:type="dxa"/>
            <w:shd w:val="clear" w:color="auto" w:fill="auto"/>
            <w:vAlign w:val="center"/>
          </w:tcPr>
          <w:p w14:paraId="470D0539" w14:textId="3332F1F7"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3,402</w:t>
            </w:r>
          </w:p>
        </w:tc>
        <w:tc>
          <w:tcPr>
            <w:tcW w:w="933" w:type="dxa"/>
            <w:gridSpan w:val="2"/>
            <w:shd w:val="clear" w:color="auto" w:fill="auto"/>
            <w:vAlign w:val="center"/>
          </w:tcPr>
          <w:p w14:paraId="598E46C7" w14:textId="16494D29" w:rsidR="00325FB0" w:rsidRPr="00752D9D" w:rsidRDefault="00325FB0" w:rsidP="00325FB0">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23.9%</w:t>
            </w:r>
          </w:p>
        </w:tc>
      </w:tr>
      <w:tr w:rsidR="00325FB0" w:rsidRPr="00752D9D" w14:paraId="32D10FB0" w14:textId="77777777" w:rsidTr="001B39FD">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4105FCA" w14:textId="0FF622B4" w:rsidR="00325FB0" w:rsidRPr="00752D9D" w:rsidRDefault="00325FB0" w:rsidP="00325FB0">
            <w:pPr>
              <w:spacing w:beforeLines="20" w:before="48" w:line="240" w:lineRule="auto"/>
              <w:ind w:left="157"/>
              <w:rPr>
                <w:rFonts w:cs="Times New Roman"/>
                <w:b w:val="0"/>
                <w:bCs w:val="0"/>
                <w:sz w:val="20"/>
                <w:szCs w:val="20"/>
              </w:rPr>
            </w:pPr>
            <w:r w:rsidRPr="00752D9D">
              <w:rPr>
                <w:rFonts w:cs="Times New Roman"/>
                <w:b w:val="0"/>
                <w:bCs w:val="0"/>
                <w:sz w:val="20"/>
                <w:szCs w:val="20"/>
              </w:rPr>
              <w:t>Unknown</w:t>
            </w:r>
          </w:p>
        </w:tc>
        <w:tc>
          <w:tcPr>
            <w:tcW w:w="871" w:type="dxa"/>
            <w:shd w:val="clear" w:color="auto" w:fill="auto"/>
            <w:vAlign w:val="center"/>
          </w:tcPr>
          <w:p w14:paraId="533792A3" w14:textId="2E7857D3" w:rsidR="00325FB0" w:rsidRPr="00752D9D" w:rsidRDefault="00325FB0" w:rsidP="00325FB0">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85</w:t>
            </w:r>
          </w:p>
        </w:tc>
        <w:tc>
          <w:tcPr>
            <w:tcW w:w="933" w:type="dxa"/>
            <w:gridSpan w:val="2"/>
            <w:shd w:val="clear" w:color="auto" w:fill="auto"/>
            <w:vAlign w:val="center"/>
          </w:tcPr>
          <w:p w14:paraId="16015148" w14:textId="3126D0F4" w:rsidR="00325FB0" w:rsidRPr="00752D9D" w:rsidRDefault="00325FB0" w:rsidP="00325FB0">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100.0%</w:t>
            </w:r>
          </w:p>
        </w:tc>
        <w:tc>
          <w:tcPr>
            <w:tcW w:w="871" w:type="dxa"/>
            <w:shd w:val="clear" w:color="auto" w:fill="auto"/>
            <w:vAlign w:val="center"/>
          </w:tcPr>
          <w:p w14:paraId="4B97F75F" w14:textId="50A687C4" w:rsidR="00325FB0" w:rsidRPr="00752D9D" w:rsidRDefault="00325FB0" w:rsidP="00325FB0">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239</w:t>
            </w:r>
          </w:p>
        </w:tc>
        <w:tc>
          <w:tcPr>
            <w:tcW w:w="933" w:type="dxa"/>
            <w:gridSpan w:val="2"/>
            <w:shd w:val="clear" w:color="auto" w:fill="auto"/>
            <w:vAlign w:val="center"/>
          </w:tcPr>
          <w:p w14:paraId="1FF9C48A" w14:textId="32763A6C" w:rsidR="00325FB0" w:rsidRPr="00752D9D" w:rsidRDefault="00325FB0" w:rsidP="00325FB0">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5.2%</w:t>
            </w:r>
          </w:p>
        </w:tc>
        <w:tc>
          <w:tcPr>
            <w:tcW w:w="871" w:type="dxa"/>
            <w:shd w:val="clear" w:color="auto" w:fill="auto"/>
            <w:vAlign w:val="center"/>
          </w:tcPr>
          <w:p w14:paraId="4BF5B17B" w14:textId="3B93C82D" w:rsidR="00325FB0" w:rsidRPr="00752D9D" w:rsidRDefault="00325FB0" w:rsidP="00325FB0">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188</w:t>
            </w:r>
          </w:p>
        </w:tc>
        <w:tc>
          <w:tcPr>
            <w:tcW w:w="933" w:type="dxa"/>
            <w:gridSpan w:val="2"/>
            <w:shd w:val="clear" w:color="auto" w:fill="auto"/>
            <w:vAlign w:val="center"/>
          </w:tcPr>
          <w:p w14:paraId="2BA6A33C" w14:textId="1521C89B" w:rsidR="00325FB0" w:rsidRPr="00752D9D" w:rsidRDefault="00325FB0" w:rsidP="00325FB0">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1.3%</w:t>
            </w:r>
          </w:p>
        </w:tc>
      </w:tr>
      <w:tr w:rsidR="00752D9D" w:rsidRPr="00752D9D" w14:paraId="51113D88" w14:textId="77777777" w:rsidTr="001B39F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66BC16A5" w14:textId="77777777" w:rsidR="00752D9D" w:rsidRPr="00752D9D" w:rsidRDefault="00752D9D" w:rsidP="00752D9D">
            <w:pPr>
              <w:spacing w:beforeLines="20" w:before="48" w:line="240" w:lineRule="auto"/>
              <w:rPr>
                <w:rFonts w:cs="Times New Roman"/>
                <w:sz w:val="20"/>
                <w:szCs w:val="20"/>
              </w:rPr>
            </w:pPr>
            <w:r w:rsidRPr="00752D9D">
              <w:rPr>
                <w:rFonts w:cs="Times New Roman"/>
                <w:sz w:val="20"/>
                <w:szCs w:val="20"/>
              </w:rPr>
              <w:t>Race</w:t>
            </w:r>
          </w:p>
        </w:tc>
        <w:tc>
          <w:tcPr>
            <w:tcW w:w="871" w:type="dxa"/>
            <w:shd w:val="clear" w:color="auto" w:fill="auto"/>
            <w:vAlign w:val="center"/>
          </w:tcPr>
          <w:p w14:paraId="58BDB5F8" w14:textId="22679E7F"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vAlign w:val="center"/>
          </w:tcPr>
          <w:p w14:paraId="00FAD8DE" w14:textId="5B4287FB"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71" w:type="dxa"/>
            <w:shd w:val="clear" w:color="auto" w:fill="auto"/>
            <w:vAlign w:val="center"/>
          </w:tcPr>
          <w:p w14:paraId="325E7419" w14:textId="2F75F4F1"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vAlign w:val="center"/>
          </w:tcPr>
          <w:p w14:paraId="6C98A671" w14:textId="6A4335DB"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71" w:type="dxa"/>
            <w:shd w:val="clear" w:color="auto" w:fill="auto"/>
            <w:vAlign w:val="center"/>
          </w:tcPr>
          <w:p w14:paraId="37362DB5" w14:textId="09826401"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vAlign w:val="center"/>
          </w:tcPr>
          <w:p w14:paraId="34844329" w14:textId="132EE7E1"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r>
      <w:tr w:rsidR="00752D9D" w:rsidRPr="00752D9D" w14:paraId="2F8B12D1" w14:textId="77777777" w:rsidTr="001B39FD">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761276C2" w14:textId="77777777" w:rsidR="00752D9D" w:rsidRPr="00752D9D" w:rsidRDefault="00752D9D" w:rsidP="00752D9D">
            <w:pPr>
              <w:spacing w:beforeLines="20" w:before="48" w:line="240" w:lineRule="auto"/>
              <w:ind w:left="157"/>
              <w:rPr>
                <w:rFonts w:cs="Times New Roman"/>
                <w:b w:val="0"/>
                <w:bCs w:val="0"/>
                <w:sz w:val="20"/>
                <w:szCs w:val="20"/>
              </w:rPr>
            </w:pPr>
            <w:r w:rsidRPr="00752D9D">
              <w:rPr>
                <w:rFonts w:cs="Times New Roman"/>
                <w:b w:val="0"/>
                <w:bCs w:val="0"/>
                <w:sz w:val="20"/>
                <w:szCs w:val="20"/>
              </w:rPr>
              <w:t>Unknown</w:t>
            </w:r>
          </w:p>
        </w:tc>
        <w:tc>
          <w:tcPr>
            <w:tcW w:w="871" w:type="dxa"/>
            <w:shd w:val="clear" w:color="auto" w:fill="auto"/>
            <w:vAlign w:val="center"/>
          </w:tcPr>
          <w:p w14:paraId="3D62E464" w14:textId="7245DE27"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85</w:t>
            </w:r>
          </w:p>
        </w:tc>
        <w:tc>
          <w:tcPr>
            <w:tcW w:w="933" w:type="dxa"/>
            <w:gridSpan w:val="2"/>
            <w:shd w:val="clear" w:color="auto" w:fill="auto"/>
            <w:vAlign w:val="center"/>
          </w:tcPr>
          <w:p w14:paraId="15E0AA2C" w14:textId="646719AD"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100.0%</w:t>
            </w:r>
          </w:p>
        </w:tc>
        <w:tc>
          <w:tcPr>
            <w:tcW w:w="871" w:type="dxa"/>
            <w:shd w:val="clear" w:color="auto" w:fill="auto"/>
            <w:vAlign w:val="center"/>
          </w:tcPr>
          <w:p w14:paraId="66ED054A" w14:textId="2C185C05"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4,571</w:t>
            </w:r>
          </w:p>
        </w:tc>
        <w:tc>
          <w:tcPr>
            <w:tcW w:w="933" w:type="dxa"/>
            <w:gridSpan w:val="2"/>
            <w:shd w:val="clear" w:color="auto" w:fill="auto"/>
            <w:vAlign w:val="center"/>
          </w:tcPr>
          <w:p w14:paraId="2DF0E7A3" w14:textId="28D73DB5"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100.0%</w:t>
            </w:r>
          </w:p>
        </w:tc>
        <w:tc>
          <w:tcPr>
            <w:tcW w:w="871" w:type="dxa"/>
            <w:shd w:val="clear" w:color="auto" w:fill="auto"/>
            <w:vAlign w:val="center"/>
          </w:tcPr>
          <w:p w14:paraId="0DF32672" w14:textId="30A5690D"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14,228</w:t>
            </w:r>
          </w:p>
        </w:tc>
        <w:tc>
          <w:tcPr>
            <w:tcW w:w="933" w:type="dxa"/>
            <w:gridSpan w:val="2"/>
            <w:shd w:val="clear" w:color="auto" w:fill="auto"/>
            <w:vAlign w:val="center"/>
          </w:tcPr>
          <w:p w14:paraId="441688CE" w14:textId="4C19AA50"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100.0%</w:t>
            </w:r>
          </w:p>
        </w:tc>
      </w:tr>
      <w:tr w:rsidR="00274157" w:rsidRPr="00752D9D" w14:paraId="210D83D3" w14:textId="77777777" w:rsidTr="001B39F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D32802E" w14:textId="562800C8" w:rsidR="00274157" w:rsidRPr="00752D9D" w:rsidRDefault="00274157" w:rsidP="00274157">
            <w:pPr>
              <w:spacing w:beforeLines="20" w:before="48" w:line="240" w:lineRule="auto"/>
              <w:rPr>
                <w:rFonts w:cs="Times New Roman"/>
                <w:sz w:val="20"/>
                <w:szCs w:val="20"/>
              </w:rPr>
            </w:pPr>
            <w:r w:rsidRPr="00752D9D">
              <w:rPr>
                <w:rFonts w:cs="Times New Roman"/>
                <w:sz w:val="20"/>
                <w:szCs w:val="20"/>
              </w:rPr>
              <w:t>Ethnicity</w:t>
            </w:r>
            <w:r w:rsidR="00EA499A">
              <w:rPr>
                <w:rStyle w:val="FootnoteReference"/>
                <w:rFonts w:cs="Times New Roman"/>
                <w:sz w:val="20"/>
                <w:szCs w:val="20"/>
              </w:rPr>
              <w:footnoteReference w:id="5"/>
            </w:r>
          </w:p>
        </w:tc>
        <w:tc>
          <w:tcPr>
            <w:tcW w:w="871" w:type="dxa"/>
            <w:shd w:val="clear" w:color="auto" w:fill="auto"/>
          </w:tcPr>
          <w:p w14:paraId="256C36C2" w14:textId="77777777" w:rsidR="00274157" w:rsidRPr="00752D9D" w:rsidRDefault="00274157" w:rsidP="00274157">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tcPr>
          <w:p w14:paraId="437D8658" w14:textId="77777777" w:rsidR="00274157" w:rsidRPr="00752D9D" w:rsidRDefault="00274157" w:rsidP="00274157">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71" w:type="dxa"/>
            <w:shd w:val="clear" w:color="auto" w:fill="auto"/>
          </w:tcPr>
          <w:p w14:paraId="4197BDF4" w14:textId="77777777" w:rsidR="00274157" w:rsidRPr="00752D9D" w:rsidRDefault="00274157" w:rsidP="00274157">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tcPr>
          <w:p w14:paraId="755F0743" w14:textId="77777777" w:rsidR="00274157" w:rsidRPr="00752D9D" w:rsidRDefault="00274157" w:rsidP="00274157">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871" w:type="dxa"/>
            <w:shd w:val="clear" w:color="auto" w:fill="auto"/>
          </w:tcPr>
          <w:p w14:paraId="59A69C6F" w14:textId="77777777" w:rsidR="00274157" w:rsidRPr="00752D9D" w:rsidRDefault="00274157" w:rsidP="00274157">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c>
          <w:tcPr>
            <w:tcW w:w="933" w:type="dxa"/>
            <w:gridSpan w:val="2"/>
            <w:shd w:val="clear" w:color="auto" w:fill="auto"/>
          </w:tcPr>
          <w:p w14:paraId="67CC3B58" w14:textId="77777777" w:rsidR="00274157" w:rsidRPr="00752D9D" w:rsidRDefault="00274157" w:rsidP="00274157">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p>
        </w:tc>
      </w:tr>
      <w:tr w:rsidR="00274157" w:rsidRPr="00752D9D" w14:paraId="0DCD571E" w14:textId="77777777" w:rsidTr="001B39FD">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37788FEB" w14:textId="77777777" w:rsidR="00274157" w:rsidRPr="00752D9D" w:rsidRDefault="00274157" w:rsidP="00274157">
            <w:pPr>
              <w:spacing w:beforeLines="20" w:before="48" w:line="240" w:lineRule="auto"/>
              <w:rPr>
                <w:rFonts w:cs="Times New Roman"/>
                <w:sz w:val="20"/>
                <w:szCs w:val="20"/>
              </w:rPr>
            </w:pPr>
            <w:r w:rsidRPr="00752D9D">
              <w:rPr>
                <w:rFonts w:cs="Times New Roman"/>
                <w:sz w:val="20"/>
                <w:szCs w:val="20"/>
              </w:rPr>
              <w:t>Payor</w:t>
            </w:r>
          </w:p>
        </w:tc>
        <w:tc>
          <w:tcPr>
            <w:tcW w:w="871" w:type="dxa"/>
            <w:shd w:val="clear" w:color="auto" w:fill="auto"/>
          </w:tcPr>
          <w:p w14:paraId="2735F29B" w14:textId="77777777" w:rsidR="00274157" w:rsidRPr="00752D9D" w:rsidRDefault="00274157" w:rsidP="0027415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5BA8DBAE" w14:textId="77777777" w:rsidR="00274157" w:rsidRPr="00752D9D" w:rsidRDefault="00274157" w:rsidP="0027415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shd w:val="clear" w:color="auto" w:fill="auto"/>
          </w:tcPr>
          <w:p w14:paraId="780084F7" w14:textId="77777777" w:rsidR="00274157" w:rsidRPr="00752D9D" w:rsidRDefault="00274157" w:rsidP="0027415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46F9E101" w14:textId="77777777" w:rsidR="00274157" w:rsidRPr="00752D9D" w:rsidRDefault="00274157" w:rsidP="0027415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shd w:val="clear" w:color="auto" w:fill="auto"/>
          </w:tcPr>
          <w:p w14:paraId="7B39C524" w14:textId="77777777" w:rsidR="00274157" w:rsidRPr="00752D9D" w:rsidRDefault="00274157" w:rsidP="0027415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724CF7DA" w14:textId="77777777" w:rsidR="00274157" w:rsidRPr="00752D9D" w:rsidRDefault="00274157" w:rsidP="0027415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752D9D" w:rsidRPr="00752D9D" w14:paraId="3F1CC8BD" w14:textId="77777777" w:rsidTr="001B39F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993C330" w14:textId="77777777" w:rsidR="00752D9D" w:rsidRPr="00752D9D" w:rsidRDefault="00752D9D" w:rsidP="00752D9D">
            <w:pPr>
              <w:spacing w:beforeLines="20" w:before="48" w:line="240" w:lineRule="auto"/>
              <w:ind w:left="157"/>
              <w:rPr>
                <w:rFonts w:cs="Times New Roman"/>
                <w:b w:val="0"/>
                <w:bCs w:val="0"/>
                <w:sz w:val="20"/>
                <w:szCs w:val="20"/>
              </w:rPr>
            </w:pPr>
            <w:r w:rsidRPr="00752D9D">
              <w:rPr>
                <w:rFonts w:cs="Times New Roman"/>
                <w:b w:val="0"/>
                <w:bCs w:val="0"/>
                <w:sz w:val="20"/>
                <w:szCs w:val="20"/>
              </w:rPr>
              <w:t>Commercial</w:t>
            </w:r>
          </w:p>
        </w:tc>
        <w:tc>
          <w:tcPr>
            <w:tcW w:w="871" w:type="dxa"/>
            <w:shd w:val="clear" w:color="auto" w:fill="auto"/>
            <w:vAlign w:val="center"/>
          </w:tcPr>
          <w:p w14:paraId="54B3BF22" w14:textId="095DA86C"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56</w:t>
            </w:r>
          </w:p>
        </w:tc>
        <w:tc>
          <w:tcPr>
            <w:tcW w:w="933" w:type="dxa"/>
            <w:gridSpan w:val="2"/>
            <w:shd w:val="clear" w:color="auto" w:fill="auto"/>
            <w:vAlign w:val="center"/>
          </w:tcPr>
          <w:p w14:paraId="0EB86C1F" w14:textId="0F5BC416"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65.</w:t>
            </w:r>
            <w:r w:rsidR="00EA499A">
              <w:rPr>
                <w:rFonts w:cs="Times New Roman"/>
                <w:sz w:val="20"/>
                <w:szCs w:val="20"/>
              </w:rPr>
              <w:t>9</w:t>
            </w:r>
            <w:r w:rsidRPr="00752D9D">
              <w:rPr>
                <w:rFonts w:cs="Times New Roman"/>
                <w:sz w:val="20"/>
                <w:szCs w:val="20"/>
              </w:rPr>
              <w:t>%</w:t>
            </w:r>
          </w:p>
        </w:tc>
        <w:tc>
          <w:tcPr>
            <w:tcW w:w="871" w:type="dxa"/>
            <w:shd w:val="clear" w:color="auto" w:fill="auto"/>
            <w:vAlign w:val="center"/>
          </w:tcPr>
          <w:p w14:paraId="5418A2E6" w14:textId="16D9ED3F"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2,266</w:t>
            </w:r>
          </w:p>
        </w:tc>
        <w:tc>
          <w:tcPr>
            <w:tcW w:w="933" w:type="dxa"/>
            <w:gridSpan w:val="2"/>
            <w:shd w:val="clear" w:color="auto" w:fill="auto"/>
            <w:vAlign w:val="center"/>
          </w:tcPr>
          <w:p w14:paraId="502E2FE4" w14:textId="10E6ABDF"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49.</w:t>
            </w:r>
            <w:r w:rsidR="00EA499A">
              <w:rPr>
                <w:rFonts w:cs="Times New Roman"/>
                <w:sz w:val="20"/>
                <w:szCs w:val="20"/>
              </w:rPr>
              <w:t>6</w:t>
            </w:r>
            <w:r w:rsidRPr="00752D9D">
              <w:rPr>
                <w:rFonts w:cs="Times New Roman"/>
                <w:sz w:val="20"/>
                <w:szCs w:val="20"/>
              </w:rPr>
              <w:t>%</w:t>
            </w:r>
          </w:p>
        </w:tc>
        <w:tc>
          <w:tcPr>
            <w:tcW w:w="871" w:type="dxa"/>
            <w:shd w:val="clear" w:color="auto" w:fill="auto"/>
            <w:vAlign w:val="center"/>
          </w:tcPr>
          <w:p w14:paraId="16F00B9B" w14:textId="66D664D2"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7,219</w:t>
            </w:r>
          </w:p>
        </w:tc>
        <w:tc>
          <w:tcPr>
            <w:tcW w:w="933" w:type="dxa"/>
            <w:gridSpan w:val="2"/>
            <w:shd w:val="clear" w:color="auto" w:fill="auto"/>
            <w:vAlign w:val="center"/>
          </w:tcPr>
          <w:p w14:paraId="11FA019E" w14:textId="264E33F6"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rFonts w:cs="Times New Roman"/>
                <w:sz w:val="20"/>
                <w:szCs w:val="20"/>
              </w:rPr>
              <w:t>50.7%</w:t>
            </w:r>
          </w:p>
        </w:tc>
      </w:tr>
      <w:tr w:rsidR="00752D9D" w:rsidRPr="00752D9D" w14:paraId="4ED156FC" w14:textId="77777777" w:rsidTr="001B39FD">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E4DD94B" w14:textId="77777777" w:rsidR="00752D9D" w:rsidRPr="00752D9D" w:rsidRDefault="00752D9D" w:rsidP="00752D9D">
            <w:pPr>
              <w:spacing w:beforeLines="20" w:before="48" w:line="240" w:lineRule="auto"/>
              <w:ind w:left="157"/>
              <w:rPr>
                <w:rFonts w:cs="Times New Roman"/>
                <w:b w:val="0"/>
                <w:bCs w:val="0"/>
                <w:sz w:val="20"/>
                <w:szCs w:val="20"/>
              </w:rPr>
            </w:pPr>
            <w:r w:rsidRPr="00752D9D">
              <w:rPr>
                <w:rFonts w:cs="Times New Roman"/>
                <w:b w:val="0"/>
                <w:bCs w:val="0"/>
                <w:sz w:val="20"/>
                <w:szCs w:val="20"/>
              </w:rPr>
              <w:t>Medicare</w:t>
            </w:r>
          </w:p>
        </w:tc>
        <w:tc>
          <w:tcPr>
            <w:tcW w:w="871" w:type="dxa"/>
            <w:shd w:val="clear" w:color="auto" w:fill="auto"/>
            <w:vAlign w:val="center"/>
          </w:tcPr>
          <w:p w14:paraId="1B95FBE6" w14:textId="34B0416C"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12</w:t>
            </w:r>
          </w:p>
        </w:tc>
        <w:tc>
          <w:tcPr>
            <w:tcW w:w="933" w:type="dxa"/>
            <w:gridSpan w:val="2"/>
            <w:shd w:val="clear" w:color="auto" w:fill="auto"/>
            <w:vAlign w:val="center"/>
          </w:tcPr>
          <w:p w14:paraId="63ED5E60" w14:textId="4E7E327E"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14.1%</w:t>
            </w:r>
          </w:p>
        </w:tc>
        <w:tc>
          <w:tcPr>
            <w:tcW w:w="871" w:type="dxa"/>
            <w:shd w:val="clear" w:color="auto" w:fill="auto"/>
            <w:vAlign w:val="center"/>
          </w:tcPr>
          <w:p w14:paraId="244A6F14" w14:textId="40DC1DE0"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1,083</w:t>
            </w:r>
          </w:p>
        </w:tc>
        <w:tc>
          <w:tcPr>
            <w:tcW w:w="933" w:type="dxa"/>
            <w:gridSpan w:val="2"/>
            <w:shd w:val="clear" w:color="auto" w:fill="auto"/>
            <w:vAlign w:val="center"/>
          </w:tcPr>
          <w:p w14:paraId="569422D0" w14:textId="6060A63F"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23.</w:t>
            </w:r>
            <w:r w:rsidR="00EA499A">
              <w:rPr>
                <w:rFonts w:cs="Times New Roman"/>
                <w:sz w:val="20"/>
                <w:szCs w:val="20"/>
              </w:rPr>
              <w:t>7</w:t>
            </w:r>
            <w:r w:rsidRPr="00752D9D">
              <w:rPr>
                <w:rFonts w:cs="Times New Roman"/>
                <w:sz w:val="20"/>
                <w:szCs w:val="20"/>
              </w:rPr>
              <w:t>%</w:t>
            </w:r>
          </w:p>
        </w:tc>
        <w:tc>
          <w:tcPr>
            <w:tcW w:w="871" w:type="dxa"/>
            <w:shd w:val="clear" w:color="auto" w:fill="auto"/>
            <w:vAlign w:val="center"/>
          </w:tcPr>
          <w:p w14:paraId="0C086985" w14:textId="725179A8"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3,230</w:t>
            </w:r>
          </w:p>
        </w:tc>
        <w:tc>
          <w:tcPr>
            <w:tcW w:w="933" w:type="dxa"/>
            <w:gridSpan w:val="2"/>
            <w:shd w:val="clear" w:color="auto" w:fill="auto"/>
            <w:vAlign w:val="center"/>
          </w:tcPr>
          <w:p w14:paraId="39C4D2A2" w14:textId="212C3405" w:rsidR="00752D9D" w:rsidRPr="00752D9D" w:rsidRDefault="00752D9D"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752D9D">
              <w:rPr>
                <w:rFonts w:cs="Times New Roman"/>
                <w:sz w:val="20"/>
                <w:szCs w:val="20"/>
              </w:rPr>
              <w:t>22.7%</w:t>
            </w:r>
          </w:p>
        </w:tc>
      </w:tr>
      <w:tr w:rsidR="00752D9D" w:rsidRPr="00752D9D" w14:paraId="30DD20EA" w14:textId="77777777" w:rsidTr="001B39F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5002DBFC" w14:textId="77777777" w:rsidR="00752D9D" w:rsidRPr="00752D9D" w:rsidRDefault="00752D9D" w:rsidP="00752D9D">
            <w:pPr>
              <w:spacing w:beforeLines="20" w:before="48" w:line="240" w:lineRule="auto"/>
              <w:ind w:left="157"/>
              <w:rPr>
                <w:rFonts w:cs="Times New Roman"/>
                <w:sz w:val="20"/>
                <w:szCs w:val="20"/>
              </w:rPr>
            </w:pPr>
            <w:r w:rsidRPr="00752D9D">
              <w:rPr>
                <w:rFonts w:cs="Times New Roman"/>
                <w:b w:val="0"/>
                <w:bCs w:val="0"/>
                <w:sz w:val="20"/>
                <w:szCs w:val="20"/>
              </w:rPr>
              <w:t>Medicaid</w:t>
            </w:r>
          </w:p>
        </w:tc>
        <w:tc>
          <w:tcPr>
            <w:tcW w:w="871" w:type="dxa"/>
            <w:shd w:val="clear" w:color="auto" w:fill="auto"/>
            <w:vAlign w:val="center"/>
          </w:tcPr>
          <w:p w14:paraId="18BE359B" w14:textId="3F6F6310" w:rsidR="00752D9D" w:rsidRPr="008D2D91" w:rsidRDefault="008D2D91"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i/>
                <w:iCs/>
                <w:sz w:val="20"/>
                <w:szCs w:val="20"/>
              </w:rPr>
            </w:pPr>
            <w:r>
              <w:rPr>
                <w:rFonts w:cs="Times New Roman"/>
                <w:i/>
                <w:iCs/>
                <w:sz w:val="20"/>
                <w:szCs w:val="20"/>
              </w:rPr>
              <w:t>Masked</w:t>
            </w:r>
          </w:p>
        </w:tc>
        <w:tc>
          <w:tcPr>
            <w:tcW w:w="933" w:type="dxa"/>
            <w:gridSpan w:val="2"/>
            <w:shd w:val="clear" w:color="auto" w:fill="auto"/>
            <w:vAlign w:val="center"/>
          </w:tcPr>
          <w:p w14:paraId="541B33BB" w14:textId="4A04B7C7" w:rsidR="00752D9D" w:rsidRPr="00752D9D" w:rsidRDefault="008D2D91"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i/>
                <w:iCs/>
                <w:sz w:val="20"/>
                <w:szCs w:val="20"/>
              </w:rPr>
              <w:t>Masked</w:t>
            </w:r>
          </w:p>
        </w:tc>
        <w:tc>
          <w:tcPr>
            <w:tcW w:w="871" w:type="dxa"/>
            <w:shd w:val="clear" w:color="auto" w:fill="auto"/>
            <w:vAlign w:val="center"/>
          </w:tcPr>
          <w:p w14:paraId="329C5E28" w14:textId="6759CBE5"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sz w:val="20"/>
                <w:szCs w:val="20"/>
              </w:rPr>
              <w:t>741</w:t>
            </w:r>
          </w:p>
        </w:tc>
        <w:tc>
          <w:tcPr>
            <w:tcW w:w="933" w:type="dxa"/>
            <w:gridSpan w:val="2"/>
            <w:shd w:val="clear" w:color="auto" w:fill="auto"/>
            <w:vAlign w:val="center"/>
          </w:tcPr>
          <w:p w14:paraId="33D4FA7A" w14:textId="76D6B798"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sz w:val="20"/>
                <w:szCs w:val="20"/>
              </w:rPr>
              <w:t>16.2%</w:t>
            </w:r>
          </w:p>
        </w:tc>
        <w:tc>
          <w:tcPr>
            <w:tcW w:w="871" w:type="dxa"/>
            <w:shd w:val="clear" w:color="auto" w:fill="auto"/>
            <w:vAlign w:val="center"/>
          </w:tcPr>
          <w:p w14:paraId="0C99DAE9" w14:textId="66CBA333"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sz w:val="20"/>
                <w:szCs w:val="20"/>
              </w:rPr>
              <w:t>2,342</w:t>
            </w:r>
          </w:p>
        </w:tc>
        <w:tc>
          <w:tcPr>
            <w:tcW w:w="933" w:type="dxa"/>
            <w:gridSpan w:val="2"/>
            <w:shd w:val="clear" w:color="auto" w:fill="auto"/>
            <w:vAlign w:val="center"/>
          </w:tcPr>
          <w:p w14:paraId="056FE627" w14:textId="0DC83F10" w:rsidR="00752D9D" w:rsidRPr="00752D9D" w:rsidRDefault="00752D9D" w:rsidP="00752D9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752D9D">
              <w:rPr>
                <w:sz w:val="20"/>
                <w:szCs w:val="20"/>
              </w:rPr>
              <w:t>16.</w:t>
            </w:r>
            <w:r w:rsidR="00EA499A">
              <w:rPr>
                <w:sz w:val="20"/>
                <w:szCs w:val="20"/>
              </w:rPr>
              <w:t>5</w:t>
            </w:r>
            <w:r w:rsidRPr="00752D9D">
              <w:rPr>
                <w:sz w:val="20"/>
                <w:szCs w:val="20"/>
              </w:rPr>
              <w:t>%</w:t>
            </w:r>
          </w:p>
        </w:tc>
      </w:tr>
      <w:tr w:rsidR="007E3D22" w:rsidRPr="00752D9D" w14:paraId="5A2CB9D1" w14:textId="77777777" w:rsidTr="001B39FD">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8D92929" w14:textId="69FE95D9" w:rsidR="007E3D22" w:rsidRPr="007E3D22" w:rsidRDefault="007E3D22" w:rsidP="00752D9D">
            <w:pPr>
              <w:spacing w:beforeLines="20" w:before="48" w:line="240" w:lineRule="auto"/>
              <w:ind w:left="157"/>
              <w:rPr>
                <w:rFonts w:cs="Times New Roman"/>
                <w:b w:val="0"/>
                <w:bCs w:val="0"/>
                <w:sz w:val="20"/>
                <w:szCs w:val="20"/>
              </w:rPr>
            </w:pPr>
            <w:r>
              <w:rPr>
                <w:rFonts w:cs="Times New Roman"/>
                <w:b w:val="0"/>
                <w:bCs w:val="0"/>
                <w:sz w:val="20"/>
                <w:szCs w:val="20"/>
              </w:rPr>
              <w:t>Other</w:t>
            </w:r>
          </w:p>
        </w:tc>
        <w:tc>
          <w:tcPr>
            <w:tcW w:w="871" w:type="dxa"/>
            <w:shd w:val="clear" w:color="auto" w:fill="auto"/>
            <w:vAlign w:val="center"/>
          </w:tcPr>
          <w:p w14:paraId="5E0CBF18" w14:textId="466D4A2F" w:rsidR="007E3D22" w:rsidRDefault="007E3D22"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Pr>
                <w:rFonts w:cs="Times New Roman"/>
                <w:i/>
                <w:iCs/>
                <w:sz w:val="20"/>
                <w:szCs w:val="20"/>
              </w:rPr>
              <w:t>Masked</w:t>
            </w:r>
          </w:p>
        </w:tc>
        <w:tc>
          <w:tcPr>
            <w:tcW w:w="933" w:type="dxa"/>
            <w:gridSpan w:val="2"/>
            <w:shd w:val="clear" w:color="auto" w:fill="auto"/>
            <w:vAlign w:val="center"/>
          </w:tcPr>
          <w:p w14:paraId="2A0BD436" w14:textId="5CDB6D58" w:rsidR="007E3D22" w:rsidRDefault="007E3D22"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i/>
                <w:iCs/>
                <w:sz w:val="20"/>
                <w:szCs w:val="20"/>
              </w:rPr>
            </w:pPr>
            <w:r>
              <w:rPr>
                <w:rFonts w:cs="Times New Roman"/>
                <w:i/>
                <w:iCs/>
                <w:sz w:val="20"/>
                <w:szCs w:val="20"/>
              </w:rPr>
              <w:t xml:space="preserve">Masked </w:t>
            </w:r>
          </w:p>
        </w:tc>
        <w:tc>
          <w:tcPr>
            <w:tcW w:w="871" w:type="dxa"/>
            <w:shd w:val="clear" w:color="auto" w:fill="auto"/>
            <w:vAlign w:val="center"/>
          </w:tcPr>
          <w:p w14:paraId="22D8E2F3" w14:textId="642BCB92" w:rsidR="007E3D22" w:rsidRPr="00752D9D" w:rsidRDefault="007E3D22"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481</w:t>
            </w:r>
          </w:p>
        </w:tc>
        <w:tc>
          <w:tcPr>
            <w:tcW w:w="933" w:type="dxa"/>
            <w:gridSpan w:val="2"/>
            <w:shd w:val="clear" w:color="auto" w:fill="auto"/>
            <w:vAlign w:val="center"/>
          </w:tcPr>
          <w:p w14:paraId="75875B1E" w14:textId="3EF2C5C0" w:rsidR="007E3D22" w:rsidRPr="00752D9D" w:rsidRDefault="007E3D22"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10.5%</w:t>
            </w:r>
          </w:p>
        </w:tc>
        <w:tc>
          <w:tcPr>
            <w:tcW w:w="871" w:type="dxa"/>
            <w:shd w:val="clear" w:color="auto" w:fill="auto"/>
            <w:vAlign w:val="center"/>
          </w:tcPr>
          <w:p w14:paraId="64BF7BBE" w14:textId="1C1897A7" w:rsidR="007E3D22" w:rsidRPr="00752D9D" w:rsidRDefault="007E3D22"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1,437</w:t>
            </w:r>
          </w:p>
        </w:tc>
        <w:tc>
          <w:tcPr>
            <w:tcW w:w="933" w:type="dxa"/>
            <w:gridSpan w:val="2"/>
            <w:shd w:val="clear" w:color="auto" w:fill="auto"/>
            <w:vAlign w:val="center"/>
          </w:tcPr>
          <w:p w14:paraId="20FB0CF4" w14:textId="45FBF1D7" w:rsidR="007E3D22" w:rsidRPr="00752D9D" w:rsidRDefault="007E3D22" w:rsidP="00752D9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10.1%</w:t>
            </w:r>
          </w:p>
        </w:tc>
      </w:tr>
    </w:tbl>
    <w:p w14:paraId="0601A671" w14:textId="58B27B7B" w:rsidR="00E32033" w:rsidRPr="00E60F39" w:rsidRDefault="00A4767B" w:rsidP="00E60F39">
      <w:pPr>
        <w:spacing w:line="259" w:lineRule="auto"/>
        <w:rPr>
          <w:rFonts w:cs="Times New Roman"/>
        </w:rPr>
      </w:pPr>
      <w:r w:rsidRPr="2A8A7BAD">
        <w:rPr>
          <w:rFonts w:cs="Times New Roman"/>
          <w:i/>
          <w:iCs/>
        </w:rPr>
        <w:br w:type="page"/>
      </w:r>
      <w:r w:rsidR="00E32033" w:rsidRPr="2A8A7BAD">
        <w:rPr>
          <w:rFonts w:cs="Times New Roman"/>
        </w:rPr>
        <w:lastRenderedPageBreak/>
        <w:t xml:space="preserve">Approximately 48% of </w:t>
      </w:r>
      <w:r w:rsidR="00E60F39" w:rsidRPr="2A8A7BAD">
        <w:rPr>
          <w:rFonts w:cs="Times New Roman"/>
        </w:rPr>
        <w:t>BILH Urgent Care Quincy</w:t>
      </w:r>
      <w:r w:rsidR="00FC1749" w:rsidRPr="2A8A7BAD">
        <w:rPr>
          <w:rFonts w:cs="Times New Roman"/>
        </w:rPr>
        <w:t>’</w:t>
      </w:r>
      <w:r w:rsidR="00E60F39" w:rsidRPr="2A8A7BAD">
        <w:rPr>
          <w:rFonts w:cs="Times New Roman"/>
        </w:rPr>
        <w:t xml:space="preserve">s visits </w:t>
      </w:r>
      <w:r w:rsidR="00E32033" w:rsidRPr="2A8A7BAD">
        <w:rPr>
          <w:rFonts w:cs="Times New Roman"/>
        </w:rPr>
        <w:t>originate from patients who reside in Quincy. An additional 33%</w:t>
      </w:r>
      <w:r w:rsidR="007A4A18" w:rsidRPr="2A8A7BAD">
        <w:rPr>
          <w:rFonts w:cs="Times New Roman"/>
        </w:rPr>
        <w:t xml:space="preserve"> are</w:t>
      </w:r>
      <w:r w:rsidR="00E32033" w:rsidRPr="2A8A7BAD">
        <w:rPr>
          <w:rFonts w:cs="Times New Roman"/>
        </w:rPr>
        <w:t xml:space="preserve"> from neighboring towns of Boston, Milton, Braintree, and Randolph, with the remaining 8% originating from other towns in Plymouth and Norfolk counties. See </w:t>
      </w:r>
      <w:r w:rsidR="00E32033" w:rsidRPr="2A8A7BAD">
        <w:rPr>
          <w:rFonts w:cs="Times New Roman"/>
          <w:u w:val="single"/>
        </w:rPr>
        <w:t xml:space="preserve">Table </w:t>
      </w:r>
      <w:r w:rsidR="005C3A36" w:rsidRPr="2A8A7BAD">
        <w:rPr>
          <w:rFonts w:cs="Times New Roman"/>
          <w:u w:val="single"/>
        </w:rPr>
        <w:t>8</w:t>
      </w:r>
      <w:r w:rsidR="005C3A36" w:rsidRPr="2A8A7BAD">
        <w:rPr>
          <w:rFonts w:cs="Times New Roman"/>
        </w:rPr>
        <w:t xml:space="preserve"> below</w:t>
      </w:r>
      <w:r w:rsidR="00E32033" w:rsidRPr="2A8A7BAD">
        <w:rPr>
          <w:rFonts w:cs="Times New Roman"/>
        </w:rPr>
        <w:t>.</w:t>
      </w:r>
    </w:p>
    <w:p w14:paraId="6E9300A6" w14:textId="7F7CC769" w:rsidR="00E32033" w:rsidRPr="00A83C4B" w:rsidRDefault="00E32033" w:rsidP="00E32033">
      <w:pPr>
        <w:spacing w:after="0" w:line="259" w:lineRule="auto"/>
        <w:jc w:val="center"/>
        <w:rPr>
          <w:rFonts w:cs="Times New Roman"/>
          <w:i/>
          <w:iCs/>
        </w:rPr>
      </w:pPr>
      <w:r w:rsidRPr="000153E7">
        <w:rPr>
          <w:rFonts w:cs="Times New Roman"/>
          <w:b/>
          <w:bCs/>
        </w:rPr>
        <w:t xml:space="preserve">Table </w:t>
      </w:r>
      <w:r w:rsidR="005C3A36">
        <w:rPr>
          <w:rFonts w:cs="Times New Roman"/>
          <w:b/>
          <w:bCs/>
        </w:rPr>
        <w:t>8</w:t>
      </w:r>
    </w:p>
    <w:p w14:paraId="188CD652" w14:textId="1F1C76BA" w:rsidR="00E32033" w:rsidRPr="000153E7" w:rsidRDefault="00E32033" w:rsidP="00E32033">
      <w:pPr>
        <w:spacing w:after="120" w:line="240" w:lineRule="auto"/>
        <w:jc w:val="center"/>
        <w:rPr>
          <w:rFonts w:cs="Times New Roman"/>
          <w:b/>
          <w:bCs/>
        </w:rPr>
      </w:pPr>
      <w:r>
        <w:rPr>
          <w:rFonts w:cs="Times New Roman"/>
          <w:b/>
          <w:bCs/>
        </w:rPr>
        <w:t xml:space="preserve">Quincy </w:t>
      </w:r>
      <w:r w:rsidRPr="000153E7">
        <w:rPr>
          <w:rFonts w:cs="Times New Roman"/>
          <w:b/>
          <w:bCs/>
        </w:rPr>
        <w:t>Patient Panel Geographic</w:t>
      </w:r>
      <w:r>
        <w:rPr>
          <w:rFonts w:cs="Times New Roman"/>
          <w:b/>
          <w:bCs/>
        </w:rPr>
        <w:t>s (</w:t>
      </w:r>
      <w:r w:rsidR="008754FE">
        <w:rPr>
          <w:rFonts w:cs="Times New Roman"/>
          <w:b/>
          <w:bCs/>
        </w:rPr>
        <w:t>Urgent Care</w:t>
      </w:r>
      <w:r>
        <w:rPr>
          <w:rFonts w:cs="Times New Roman"/>
          <w:b/>
          <w:bCs/>
        </w:rPr>
        <w:t>)</w:t>
      </w:r>
    </w:p>
    <w:tbl>
      <w:tblPr>
        <w:tblW w:w="7200" w:type="dxa"/>
        <w:jc w:val="center"/>
        <w:tblLayout w:type="fixed"/>
        <w:tblLook w:val="04A0" w:firstRow="1" w:lastRow="0" w:firstColumn="1" w:lastColumn="0" w:noHBand="0" w:noVBand="1"/>
      </w:tblPr>
      <w:tblGrid>
        <w:gridCol w:w="1303"/>
        <w:gridCol w:w="982"/>
        <w:gridCol w:w="983"/>
        <w:gridCol w:w="983"/>
        <w:gridCol w:w="983"/>
        <w:gridCol w:w="983"/>
        <w:gridCol w:w="983"/>
      </w:tblGrid>
      <w:tr w:rsidR="001B39FD" w:rsidRPr="00FC1749" w14:paraId="13DD653C" w14:textId="77777777" w:rsidTr="00D82909">
        <w:trPr>
          <w:cantSplit/>
          <w:trHeight w:val="108"/>
          <w:tblHeader/>
          <w:jc w:val="center"/>
        </w:trPr>
        <w:tc>
          <w:tcPr>
            <w:tcW w:w="1303" w:type="dxa"/>
            <w:shd w:val="clear" w:color="auto" w:fill="auto"/>
            <w:vAlign w:val="center"/>
          </w:tcPr>
          <w:p w14:paraId="6E06BE8F" w14:textId="77777777" w:rsidR="001B39FD" w:rsidRPr="00FC1749" w:rsidRDefault="001B39FD" w:rsidP="00A8743E">
            <w:pPr>
              <w:spacing w:after="0" w:line="240" w:lineRule="auto"/>
              <w:rPr>
                <w:rFonts w:eastAsia="Times New Roman" w:cs="Times New Roman"/>
                <w:b/>
                <w:bCs/>
              </w:rPr>
            </w:pPr>
          </w:p>
        </w:tc>
        <w:tc>
          <w:tcPr>
            <w:tcW w:w="982" w:type="dxa"/>
            <w:tcBorders>
              <w:bottom w:val="single" w:sz="4" w:space="0" w:color="auto"/>
            </w:tcBorders>
            <w:shd w:val="clear" w:color="auto" w:fill="auto"/>
          </w:tcPr>
          <w:p w14:paraId="4C50B497" w14:textId="77777777" w:rsidR="001B39FD" w:rsidRPr="00FC1749" w:rsidRDefault="001B39FD" w:rsidP="00A8743E">
            <w:pPr>
              <w:spacing w:after="0" w:line="240" w:lineRule="auto"/>
              <w:jc w:val="center"/>
              <w:rPr>
                <w:rFonts w:eastAsia="Times New Roman" w:cs="Times New Roman"/>
                <w:b/>
                <w:bCs/>
              </w:rPr>
            </w:pPr>
            <w:r w:rsidRPr="00FC1749">
              <w:rPr>
                <w:rFonts w:cs="Times New Roman"/>
                <w:b/>
                <w:bCs/>
              </w:rPr>
              <w:t>FY2021</w:t>
            </w:r>
          </w:p>
        </w:tc>
        <w:tc>
          <w:tcPr>
            <w:tcW w:w="983" w:type="dxa"/>
            <w:tcBorders>
              <w:bottom w:val="single" w:sz="4" w:space="0" w:color="auto"/>
            </w:tcBorders>
            <w:shd w:val="clear" w:color="auto" w:fill="auto"/>
          </w:tcPr>
          <w:p w14:paraId="13C96BB0" w14:textId="59BE211F" w:rsidR="001B39FD" w:rsidRPr="00FC1749" w:rsidRDefault="00D82909" w:rsidP="00A8743E">
            <w:pPr>
              <w:spacing w:after="0" w:line="240" w:lineRule="auto"/>
              <w:jc w:val="center"/>
              <w:rPr>
                <w:rFonts w:eastAsia="Times New Roman" w:cs="Times New Roman"/>
                <w:b/>
                <w:bCs/>
              </w:rPr>
            </w:pPr>
            <w:r w:rsidRPr="00FC1749">
              <w:rPr>
                <w:rFonts w:cs="Times New Roman"/>
                <w:b/>
                <w:bCs/>
              </w:rPr>
              <w:t>FY2021</w:t>
            </w:r>
          </w:p>
        </w:tc>
        <w:tc>
          <w:tcPr>
            <w:tcW w:w="983" w:type="dxa"/>
            <w:tcBorders>
              <w:bottom w:val="single" w:sz="4" w:space="0" w:color="auto"/>
            </w:tcBorders>
            <w:shd w:val="clear" w:color="auto" w:fill="auto"/>
          </w:tcPr>
          <w:p w14:paraId="1CD92EB4" w14:textId="77777777" w:rsidR="001B39FD" w:rsidRPr="00FC1749" w:rsidRDefault="001B39FD" w:rsidP="00A8743E">
            <w:pPr>
              <w:spacing w:after="0" w:line="240" w:lineRule="auto"/>
              <w:jc w:val="center"/>
              <w:rPr>
                <w:rFonts w:eastAsia="Times New Roman" w:cs="Times New Roman"/>
                <w:b/>
                <w:bCs/>
              </w:rPr>
            </w:pPr>
            <w:r w:rsidRPr="00FC1749">
              <w:rPr>
                <w:rFonts w:eastAsia="Times New Roman" w:cs="Times New Roman"/>
                <w:b/>
                <w:bCs/>
              </w:rPr>
              <w:t>FY2022</w:t>
            </w:r>
          </w:p>
        </w:tc>
        <w:tc>
          <w:tcPr>
            <w:tcW w:w="983" w:type="dxa"/>
            <w:tcBorders>
              <w:bottom w:val="single" w:sz="4" w:space="0" w:color="auto"/>
            </w:tcBorders>
            <w:shd w:val="clear" w:color="auto" w:fill="auto"/>
          </w:tcPr>
          <w:p w14:paraId="3134FC9B" w14:textId="51210FEA" w:rsidR="001B39FD" w:rsidRPr="00FC1749" w:rsidRDefault="00D82909" w:rsidP="00A8743E">
            <w:pPr>
              <w:spacing w:after="0" w:line="240" w:lineRule="auto"/>
              <w:jc w:val="center"/>
              <w:rPr>
                <w:rFonts w:eastAsia="Times New Roman" w:cs="Times New Roman"/>
                <w:b/>
                <w:bCs/>
              </w:rPr>
            </w:pPr>
            <w:r w:rsidRPr="00FC1749">
              <w:rPr>
                <w:rFonts w:eastAsia="Times New Roman" w:cs="Times New Roman"/>
                <w:b/>
                <w:bCs/>
              </w:rPr>
              <w:t>FY2022</w:t>
            </w:r>
          </w:p>
        </w:tc>
        <w:tc>
          <w:tcPr>
            <w:tcW w:w="983" w:type="dxa"/>
            <w:tcBorders>
              <w:bottom w:val="single" w:sz="4" w:space="0" w:color="auto"/>
            </w:tcBorders>
            <w:shd w:val="clear" w:color="auto" w:fill="auto"/>
          </w:tcPr>
          <w:p w14:paraId="41943435" w14:textId="77777777" w:rsidR="001B39FD" w:rsidRPr="00FC1749" w:rsidRDefault="001B39FD" w:rsidP="00A8743E">
            <w:pPr>
              <w:spacing w:after="0" w:line="240" w:lineRule="auto"/>
              <w:jc w:val="center"/>
              <w:rPr>
                <w:rFonts w:eastAsia="Times New Roman" w:cs="Times New Roman"/>
                <w:b/>
                <w:bCs/>
              </w:rPr>
            </w:pPr>
            <w:r w:rsidRPr="00FC1749">
              <w:rPr>
                <w:rFonts w:eastAsia="Times New Roman" w:cs="Times New Roman"/>
                <w:b/>
                <w:bCs/>
              </w:rPr>
              <w:t>FY2023</w:t>
            </w:r>
          </w:p>
        </w:tc>
        <w:tc>
          <w:tcPr>
            <w:tcW w:w="983" w:type="dxa"/>
            <w:tcBorders>
              <w:bottom w:val="single" w:sz="4" w:space="0" w:color="auto"/>
            </w:tcBorders>
            <w:shd w:val="clear" w:color="auto" w:fill="auto"/>
          </w:tcPr>
          <w:p w14:paraId="58CB8C97" w14:textId="61A7D0A9" w:rsidR="001B39FD" w:rsidRPr="00FC1749" w:rsidRDefault="00D82909" w:rsidP="00A8743E">
            <w:pPr>
              <w:spacing w:after="0" w:line="240" w:lineRule="auto"/>
              <w:jc w:val="center"/>
              <w:rPr>
                <w:rFonts w:eastAsia="Times New Roman" w:cs="Times New Roman"/>
                <w:b/>
                <w:bCs/>
              </w:rPr>
            </w:pPr>
            <w:r w:rsidRPr="00FC1749">
              <w:rPr>
                <w:rFonts w:eastAsia="Times New Roman" w:cs="Times New Roman"/>
                <w:b/>
                <w:bCs/>
              </w:rPr>
              <w:t>FY2023</w:t>
            </w:r>
          </w:p>
        </w:tc>
      </w:tr>
      <w:tr w:rsidR="00E32033" w:rsidRPr="00FC1749" w14:paraId="58F8EF5A" w14:textId="77777777" w:rsidTr="00D82909">
        <w:trPr>
          <w:cantSplit/>
          <w:trHeight w:val="57"/>
          <w:tblHeader/>
          <w:jc w:val="center"/>
        </w:trPr>
        <w:tc>
          <w:tcPr>
            <w:tcW w:w="1303" w:type="dxa"/>
            <w:shd w:val="clear" w:color="auto" w:fill="auto"/>
            <w:vAlign w:val="center"/>
          </w:tcPr>
          <w:p w14:paraId="2F81633F" w14:textId="77777777" w:rsidR="00E32033" w:rsidRPr="00FC1749" w:rsidRDefault="00E32033" w:rsidP="00A8743E">
            <w:pPr>
              <w:spacing w:after="0" w:line="240" w:lineRule="auto"/>
              <w:jc w:val="center"/>
              <w:rPr>
                <w:rFonts w:eastAsia="Times New Roman" w:cs="Times New Roman"/>
                <w:b/>
                <w:bCs/>
              </w:rPr>
            </w:pPr>
          </w:p>
        </w:tc>
        <w:tc>
          <w:tcPr>
            <w:tcW w:w="982" w:type="dxa"/>
            <w:tcBorders>
              <w:top w:val="single" w:sz="4" w:space="0" w:color="auto"/>
              <w:bottom w:val="single" w:sz="4" w:space="0" w:color="auto"/>
            </w:tcBorders>
            <w:shd w:val="clear" w:color="auto" w:fill="auto"/>
          </w:tcPr>
          <w:p w14:paraId="11C9476C" w14:textId="77777777" w:rsidR="00E32033" w:rsidRPr="00FC1749" w:rsidRDefault="00E32033" w:rsidP="00A8743E">
            <w:pPr>
              <w:spacing w:after="0" w:line="240" w:lineRule="auto"/>
              <w:jc w:val="center"/>
              <w:rPr>
                <w:rFonts w:eastAsia="Times New Roman" w:cs="Times New Roman"/>
                <w:b/>
                <w:bCs/>
              </w:rPr>
            </w:pPr>
            <w:r w:rsidRPr="00FC1749">
              <w:rPr>
                <w:rFonts w:cs="Times New Roman"/>
                <w:b/>
                <w:bCs/>
              </w:rPr>
              <w:t>Count</w:t>
            </w:r>
          </w:p>
        </w:tc>
        <w:tc>
          <w:tcPr>
            <w:tcW w:w="983" w:type="dxa"/>
            <w:tcBorders>
              <w:top w:val="single" w:sz="4" w:space="0" w:color="auto"/>
              <w:bottom w:val="single" w:sz="4" w:space="0" w:color="auto"/>
            </w:tcBorders>
            <w:shd w:val="clear" w:color="auto" w:fill="auto"/>
          </w:tcPr>
          <w:p w14:paraId="71C5C469" w14:textId="77777777" w:rsidR="00E32033" w:rsidRPr="00FC1749" w:rsidRDefault="00E32033" w:rsidP="00A8743E">
            <w:pPr>
              <w:spacing w:after="0" w:line="240" w:lineRule="auto"/>
              <w:jc w:val="center"/>
              <w:rPr>
                <w:rFonts w:eastAsia="Times New Roman" w:cs="Times New Roman"/>
                <w:b/>
                <w:bCs/>
              </w:rPr>
            </w:pPr>
            <w:r w:rsidRPr="00FC1749">
              <w:rPr>
                <w:rFonts w:cs="Times New Roman"/>
                <w:b/>
                <w:bCs/>
              </w:rPr>
              <w:t>%</w:t>
            </w:r>
          </w:p>
        </w:tc>
        <w:tc>
          <w:tcPr>
            <w:tcW w:w="983" w:type="dxa"/>
            <w:tcBorders>
              <w:top w:val="single" w:sz="4" w:space="0" w:color="auto"/>
              <w:bottom w:val="single" w:sz="4" w:space="0" w:color="auto"/>
            </w:tcBorders>
            <w:shd w:val="clear" w:color="auto" w:fill="auto"/>
          </w:tcPr>
          <w:p w14:paraId="4B0CE99A" w14:textId="77777777" w:rsidR="00E32033" w:rsidRPr="00FC1749" w:rsidRDefault="00E32033" w:rsidP="00A8743E">
            <w:pPr>
              <w:spacing w:after="0" w:line="240" w:lineRule="auto"/>
              <w:jc w:val="center"/>
              <w:rPr>
                <w:rFonts w:eastAsia="Times New Roman" w:cs="Times New Roman"/>
                <w:b/>
                <w:bCs/>
              </w:rPr>
            </w:pPr>
            <w:r w:rsidRPr="00FC1749">
              <w:rPr>
                <w:rFonts w:cs="Times New Roman"/>
                <w:b/>
                <w:bCs/>
              </w:rPr>
              <w:t>Count</w:t>
            </w:r>
          </w:p>
        </w:tc>
        <w:tc>
          <w:tcPr>
            <w:tcW w:w="983" w:type="dxa"/>
            <w:tcBorders>
              <w:top w:val="single" w:sz="4" w:space="0" w:color="auto"/>
              <w:bottom w:val="single" w:sz="4" w:space="0" w:color="auto"/>
            </w:tcBorders>
            <w:shd w:val="clear" w:color="auto" w:fill="auto"/>
          </w:tcPr>
          <w:p w14:paraId="496AA3B8" w14:textId="77777777" w:rsidR="00E32033" w:rsidRPr="00FC1749" w:rsidRDefault="00E32033" w:rsidP="00A8743E">
            <w:pPr>
              <w:spacing w:after="0" w:line="240" w:lineRule="auto"/>
              <w:jc w:val="center"/>
              <w:rPr>
                <w:rFonts w:eastAsia="Times New Roman" w:cs="Times New Roman"/>
                <w:b/>
                <w:bCs/>
              </w:rPr>
            </w:pPr>
            <w:r w:rsidRPr="00FC1749">
              <w:rPr>
                <w:rFonts w:cs="Times New Roman"/>
                <w:b/>
                <w:bCs/>
              </w:rPr>
              <w:t>Count</w:t>
            </w:r>
          </w:p>
        </w:tc>
        <w:tc>
          <w:tcPr>
            <w:tcW w:w="983" w:type="dxa"/>
            <w:tcBorders>
              <w:top w:val="single" w:sz="4" w:space="0" w:color="auto"/>
              <w:bottom w:val="single" w:sz="4" w:space="0" w:color="auto"/>
            </w:tcBorders>
            <w:shd w:val="clear" w:color="auto" w:fill="auto"/>
          </w:tcPr>
          <w:p w14:paraId="1B179D77" w14:textId="77777777" w:rsidR="00E32033" w:rsidRPr="00FC1749" w:rsidRDefault="00E32033" w:rsidP="00A8743E">
            <w:pPr>
              <w:spacing w:after="0" w:line="240" w:lineRule="auto"/>
              <w:jc w:val="center"/>
              <w:rPr>
                <w:rFonts w:eastAsia="Times New Roman" w:cs="Times New Roman"/>
                <w:b/>
                <w:bCs/>
              </w:rPr>
            </w:pPr>
            <w:r w:rsidRPr="00FC1749">
              <w:rPr>
                <w:rFonts w:cs="Times New Roman"/>
                <w:b/>
                <w:bCs/>
              </w:rPr>
              <w:t>%</w:t>
            </w:r>
          </w:p>
        </w:tc>
        <w:tc>
          <w:tcPr>
            <w:tcW w:w="983" w:type="dxa"/>
            <w:tcBorders>
              <w:top w:val="single" w:sz="4" w:space="0" w:color="auto"/>
              <w:bottom w:val="single" w:sz="4" w:space="0" w:color="auto"/>
            </w:tcBorders>
            <w:shd w:val="clear" w:color="auto" w:fill="auto"/>
          </w:tcPr>
          <w:p w14:paraId="7400ACFA" w14:textId="77777777" w:rsidR="00E32033" w:rsidRPr="00FC1749" w:rsidRDefault="00E32033" w:rsidP="00A8743E">
            <w:pPr>
              <w:spacing w:after="0" w:line="240" w:lineRule="auto"/>
              <w:jc w:val="center"/>
              <w:rPr>
                <w:rFonts w:eastAsia="Times New Roman" w:cs="Times New Roman"/>
                <w:b/>
                <w:bCs/>
              </w:rPr>
            </w:pPr>
            <w:r w:rsidRPr="00FC1749">
              <w:rPr>
                <w:rFonts w:cs="Times New Roman"/>
                <w:b/>
                <w:bCs/>
              </w:rPr>
              <w:t>Count</w:t>
            </w:r>
          </w:p>
        </w:tc>
      </w:tr>
      <w:tr w:rsidR="008754FE" w:rsidRPr="00FC1749" w14:paraId="131BC8B2" w14:textId="77777777" w:rsidTr="00D82909">
        <w:trPr>
          <w:cantSplit/>
          <w:trHeight w:val="300"/>
          <w:jc w:val="center"/>
        </w:trPr>
        <w:tc>
          <w:tcPr>
            <w:tcW w:w="1303" w:type="dxa"/>
            <w:shd w:val="clear" w:color="auto" w:fill="auto"/>
            <w:vAlign w:val="center"/>
          </w:tcPr>
          <w:p w14:paraId="61032556" w14:textId="77777777" w:rsidR="008754FE" w:rsidRPr="00FC1749" w:rsidRDefault="008754FE" w:rsidP="008754FE">
            <w:pPr>
              <w:spacing w:after="0" w:line="240" w:lineRule="auto"/>
              <w:rPr>
                <w:rFonts w:eastAsia="Times New Roman" w:cs="Times New Roman"/>
              </w:rPr>
            </w:pPr>
            <w:r w:rsidRPr="00FC1749">
              <w:rPr>
                <w:rFonts w:cs="Times New Roman"/>
              </w:rPr>
              <w:t>Quincy</w:t>
            </w:r>
          </w:p>
        </w:tc>
        <w:tc>
          <w:tcPr>
            <w:tcW w:w="982" w:type="dxa"/>
            <w:tcBorders>
              <w:top w:val="single" w:sz="4" w:space="0" w:color="auto"/>
            </w:tcBorders>
            <w:shd w:val="clear" w:color="auto" w:fill="auto"/>
            <w:vAlign w:val="center"/>
          </w:tcPr>
          <w:p w14:paraId="50BC45AF" w14:textId="6DF1E879" w:rsidR="008754FE" w:rsidRPr="00FC1749" w:rsidRDefault="008754FE" w:rsidP="008754FE">
            <w:pPr>
              <w:spacing w:after="0" w:line="240" w:lineRule="auto"/>
              <w:jc w:val="center"/>
              <w:rPr>
                <w:rFonts w:eastAsia="Times New Roman" w:cs="Times New Roman"/>
              </w:rPr>
            </w:pPr>
            <w:r w:rsidRPr="00FC1749">
              <w:rPr>
                <w:rFonts w:cs="Times New Roman"/>
                <w:color w:val="000000"/>
              </w:rPr>
              <w:t>37</w:t>
            </w:r>
          </w:p>
        </w:tc>
        <w:tc>
          <w:tcPr>
            <w:tcW w:w="983" w:type="dxa"/>
            <w:tcBorders>
              <w:top w:val="single" w:sz="4" w:space="0" w:color="auto"/>
            </w:tcBorders>
            <w:shd w:val="clear" w:color="auto" w:fill="auto"/>
            <w:vAlign w:val="center"/>
          </w:tcPr>
          <w:p w14:paraId="61CA2490" w14:textId="09E3CEA7" w:rsidR="008754FE" w:rsidRPr="00FC1749" w:rsidRDefault="008754FE" w:rsidP="008754FE">
            <w:pPr>
              <w:spacing w:after="0" w:line="240" w:lineRule="auto"/>
              <w:jc w:val="center"/>
              <w:rPr>
                <w:rFonts w:eastAsia="Times New Roman" w:cs="Times New Roman"/>
              </w:rPr>
            </w:pPr>
            <w:r w:rsidRPr="00FC1749">
              <w:rPr>
                <w:rFonts w:cs="Times New Roman"/>
                <w:color w:val="000000"/>
              </w:rPr>
              <w:t>43.5%</w:t>
            </w:r>
          </w:p>
        </w:tc>
        <w:tc>
          <w:tcPr>
            <w:tcW w:w="983" w:type="dxa"/>
            <w:tcBorders>
              <w:top w:val="single" w:sz="4" w:space="0" w:color="auto"/>
            </w:tcBorders>
            <w:shd w:val="clear" w:color="auto" w:fill="auto"/>
            <w:vAlign w:val="center"/>
          </w:tcPr>
          <w:p w14:paraId="22E987EC" w14:textId="08D499DF" w:rsidR="008754FE" w:rsidRPr="00FC1749" w:rsidRDefault="008754FE" w:rsidP="008754FE">
            <w:pPr>
              <w:spacing w:after="0" w:line="240" w:lineRule="auto"/>
              <w:jc w:val="center"/>
              <w:rPr>
                <w:rFonts w:eastAsia="Times New Roman" w:cs="Times New Roman"/>
              </w:rPr>
            </w:pPr>
            <w:r w:rsidRPr="00FC1749">
              <w:rPr>
                <w:rFonts w:cs="Times New Roman"/>
                <w:color w:val="000000"/>
              </w:rPr>
              <w:t>2,184</w:t>
            </w:r>
          </w:p>
        </w:tc>
        <w:tc>
          <w:tcPr>
            <w:tcW w:w="983" w:type="dxa"/>
            <w:tcBorders>
              <w:top w:val="single" w:sz="4" w:space="0" w:color="auto"/>
            </w:tcBorders>
            <w:shd w:val="clear" w:color="auto" w:fill="auto"/>
            <w:vAlign w:val="center"/>
          </w:tcPr>
          <w:p w14:paraId="741039E1" w14:textId="5190B85C" w:rsidR="008754FE" w:rsidRPr="00FC1749" w:rsidRDefault="008754FE" w:rsidP="008754FE">
            <w:pPr>
              <w:spacing w:after="0" w:line="240" w:lineRule="auto"/>
              <w:jc w:val="center"/>
              <w:rPr>
                <w:rFonts w:eastAsia="Times New Roman" w:cs="Times New Roman"/>
              </w:rPr>
            </w:pPr>
            <w:r w:rsidRPr="00FC1749">
              <w:rPr>
                <w:rFonts w:cs="Times New Roman"/>
                <w:color w:val="000000"/>
              </w:rPr>
              <w:t>47.</w:t>
            </w:r>
            <w:r w:rsidR="00011F48">
              <w:rPr>
                <w:rFonts w:cs="Times New Roman"/>
                <w:color w:val="000000"/>
              </w:rPr>
              <w:t>8</w:t>
            </w:r>
            <w:r w:rsidRPr="00FC1749">
              <w:rPr>
                <w:rFonts w:cs="Times New Roman"/>
                <w:color w:val="000000"/>
              </w:rPr>
              <w:t>%</w:t>
            </w:r>
          </w:p>
        </w:tc>
        <w:tc>
          <w:tcPr>
            <w:tcW w:w="983" w:type="dxa"/>
            <w:tcBorders>
              <w:top w:val="single" w:sz="4" w:space="0" w:color="auto"/>
            </w:tcBorders>
            <w:shd w:val="clear" w:color="auto" w:fill="auto"/>
            <w:vAlign w:val="center"/>
          </w:tcPr>
          <w:p w14:paraId="2D896214" w14:textId="56017EEC" w:rsidR="008754FE" w:rsidRPr="00FC1749" w:rsidRDefault="008754FE" w:rsidP="008754FE">
            <w:pPr>
              <w:spacing w:after="0" w:line="240" w:lineRule="auto"/>
              <w:jc w:val="center"/>
              <w:rPr>
                <w:rFonts w:eastAsia="Times New Roman" w:cs="Times New Roman"/>
              </w:rPr>
            </w:pPr>
            <w:r w:rsidRPr="00FC1749">
              <w:rPr>
                <w:rFonts w:cs="Times New Roman"/>
                <w:color w:val="000000"/>
              </w:rPr>
              <w:t>6,778</w:t>
            </w:r>
          </w:p>
        </w:tc>
        <w:tc>
          <w:tcPr>
            <w:tcW w:w="983" w:type="dxa"/>
            <w:tcBorders>
              <w:top w:val="single" w:sz="4" w:space="0" w:color="auto"/>
            </w:tcBorders>
            <w:shd w:val="clear" w:color="auto" w:fill="auto"/>
            <w:vAlign w:val="center"/>
          </w:tcPr>
          <w:p w14:paraId="0A845E21" w14:textId="4A6585F7" w:rsidR="008754FE" w:rsidRPr="00FC1749" w:rsidRDefault="008754FE" w:rsidP="008754FE">
            <w:pPr>
              <w:spacing w:after="0" w:line="240" w:lineRule="auto"/>
              <w:jc w:val="center"/>
              <w:rPr>
                <w:rFonts w:eastAsia="Times New Roman" w:cs="Times New Roman"/>
              </w:rPr>
            </w:pPr>
            <w:r w:rsidRPr="00FC1749">
              <w:rPr>
                <w:rFonts w:cs="Times New Roman"/>
                <w:color w:val="000000"/>
              </w:rPr>
              <w:t>47.6%</w:t>
            </w:r>
          </w:p>
        </w:tc>
      </w:tr>
      <w:tr w:rsidR="008754FE" w:rsidRPr="00FC1749" w14:paraId="062402C0" w14:textId="77777777" w:rsidTr="00D82909">
        <w:trPr>
          <w:cantSplit/>
          <w:trHeight w:val="300"/>
          <w:jc w:val="center"/>
        </w:trPr>
        <w:tc>
          <w:tcPr>
            <w:tcW w:w="1303" w:type="dxa"/>
            <w:shd w:val="clear" w:color="auto" w:fill="auto"/>
            <w:vAlign w:val="center"/>
          </w:tcPr>
          <w:p w14:paraId="2BEF0AB0" w14:textId="77777777" w:rsidR="008754FE" w:rsidRPr="00FC1749" w:rsidRDefault="008754FE" w:rsidP="008754FE">
            <w:pPr>
              <w:spacing w:after="0" w:line="240" w:lineRule="auto"/>
              <w:rPr>
                <w:rFonts w:eastAsia="Times New Roman" w:cs="Times New Roman"/>
              </w:rPr>
            </w:pPr>
            <w:r w:rsidRPr="00FC1749">
              <w:rPr>
                <w:rFonts w:cs="Times New Roman"/>
              </w:rPr>
              <w:t>Boston</w:t>
            </w:r>
          </w:p>
        </w:tc>
        <w:tc>
          <w:tcPr>
            <w:tcW w:w="982" w:type="dxa"/>
            <w:shd w:val="clear" w:color="auto" w:fill="auto"/>
            <w:vAlign w:val="center"/>
          </w:tcPr>
          <w:p w14:paraId="0C79DA5B" w14:textId="13EA7C1F" w:rsidR="008754FE" w:rsidRPr="00FC1749" w:rsidRDefault="008754FE" w:rsidP="008754FE">
            <w:pPr>
              <w:spacing w:after="0" w:line="240" w:lineRule="auto"/>
              <w:jc w:val="center"/>
              <w:rPr>
                <w:rFonts w:eastAsia="Times New Roman" w:cs="Times New Roman"/>
              </w:rPr>
            </w:pPr>
            <w:r w:rsidRPr="00FC1749">
              <w:rPr>
                <w:rFonts w:cs="Times New Roman"/>
                <w:color w:val="000000"/>
              </w:rPr>
              <w:t>20</w:t>
            </w:r>
          </w:p>
        </w:tc>
        <w:tc>
          <w:tcPr>
            <w:tcW w:w="983" w:type="dxa"/>
            <w:shd w:val="clear" w:color="auto" w:fill="auto"/>
            <w:vAlign w:val="center"/>
          </w:tcPr>
          <w:p w14:paraId="39BA956C" w14:textId="7B7E64E4" w:rsidR="008754FE" w:rsidRPr="00FC1749" w:rsidRDefault="008754FE" w:rsidP="008754FE">
            <w:pPr>
              <w:spacing w:after="0" w:line="240" w:lineRule="auto"/>
              <w:jc w:val="center"/>
              <w:rPr>
                <w:rFonts w:eastAsia="Times New Roman" w:cs="Times New Roman"/>
              </w:rPr>
            </w:pPr>
            <w:r w:rsidRPr="00FC1749">
              <w:rPr>
                <w:rFonts w:cs="Times New Roman"/>
                <w:color w:val="000000"/>
              </w:rPr>
              <w:t>23.5%</w:t>
            </w:r>
          </w:p>
        </w:tc>
        <w:tc>
          <w:tcPr>
            <w:tcW w:w="983" w:type="dxa"/>
            <w:shd w:val="clear" w:color="auto" w:fill="auto"/>
            <w:vAlign w:val="center"/>
          </w:tcPr>
          <w:p w14:paraId="46032B33" w14:textId="065D83C6" w:rsidR="008754FE" w:rsidRPr="00FC1749" w:rsidRDefault="008754FE" w:rsidP="008754FE">
            <w:pPr>
              <w:spacing w:after="0" w:line="240" w:lineRule="auto"/>
              <w:jc w:val="center"/>
              <w:rPr>
                <w:rFonts w:eastAsia="Times New Roman" w:cs="Times New Roman"/>
              </w:rPr>
            </w:pPr>
            <w:r w:rsidRPr="00FC1749">
              <w:rPr>
                <w:rFonts w:cs="Times New Roman"/>
                <w:color w:val="000000"/>
              </w:rPr>
              <w:t>596</w:t>
            </w:r>
          </w:p>
        </w:tc>
        <w:tc>
          <w:tcPr>
            <w:tcW w:w="983" w:type="dxa"/>
            <w:shd w:val="clear" w:color="auto" w:fill="auto"/>
            <w:vAlign w:val="center"/>
          </w:tcPr>
          <w:p w14:paraId="029D0AA3" w14:textId="37FD8108" w:rsidR="008754FE" w:rsidRPr="00FC1749" w:rsidRDefault="008754FE" w:rsidP="008754FE">
            <w:pPr>
              <w:spacing w:after="0" w:line="240" w:lineRule="auto"/>
              <w:jc w:val="center"/>
              <w:rPr>
                <w:rFonts w:eastAsia="Times New Roman" w:cs="Times New Roman"/>
              </w:rPr>
            </w:pPr>
            <w:r w:rsidRPr="00FC1749">
              <w:rPr>
                <w:rFonts w:cs="Times New Roman"/>
                <w:color w:val="000000"/>
              </w:rPr>
              <w:t>13.0%</w:t>
            </w:r>
          </w:p>
        </w:tc>
        <w:tc>
          <w:tcPr>
            <w:tcW w:w="983" w:type="dxa"/>
            <w:shd w:val="clear" w:color="auto" w:fill="auto"/>
            <w:vAlign w:val="center"/>
          </w:tcPr>
          <w:p w14:paraId="5DADD126" w14:textId="083C68D5" w:rsidR="008754FE" w:rsidRPr="00FC1749" w:rsidRDefault="008754FE" w:rsidP="008754FE">
            <w:pPr>
              <w:spacing w:after="0" w:line="240" w:lineRule="auto"/>
              <w:jc w:val="center"/>
              <w:rPr>
                <w:rFonts w:eastAsia="Times New Roman" w:cs="Times New Roman"/>
              </w:rPr>
            </w:pPr>
            <w:r w:rsidRPr="00FC1749">
              <w:rPr>
                <w:rFonts w:cs="Times New Roman"/>
                <w:color w:val="000000"/>
              </w:rPr>
              <w:t>1,852</w:t>
            </w:r>
          </w:p>
        </w:tc>
        <w:tc>
          <w:tcPr>
            <w:tcW w:w="983" w:type="dxa"/>
            <w:shd w:val="clear" w:color="auto" w:fill="auto"/>
            <w:vAlign w:val="center"/>
          </w:tcPr>
          <w:p w14:paraId="703D9903" w14:textId="33D1390F" w:rsidR="008754FE" w:rsidRPr="00FC1749" w:rsidRDefault="008754FE" w:rsidP="008754FE">
            <w:pPr>
              <w:spacing w:after="0" w:line="240" w:lineRule="auto"/>
              <w:jc w:val="center"/>
              <w:rPr>
                <w:rFonts w:eastAsia="Times New Roman" w:cs="Times New Roman"/>
              </w:rPr>
            </w:pPr>
            <w:r w:rsidRPr="00FC1749">
              <w:rPr>
                <w:rFonts w:cs="Times New Roman"/>
                <w:color w:val="000000"/>
              </w:rPr>
              <w:t>13.0%</w:t>
            </w:r>
          </w:p>
        </w:tc>
      </w:tr>
      <w:tr w:rsidR="008754FE" w:rsidRPr="00FC1749" w14:paraId="5DDA8DC5" w14:textId="77777777" w:rsidTr="00D82909">
        <w:trPr>
          <w:cantSplit/>
          <w:trHeight w:val="300"/>
          <w:jc w:val="center"/>
        </w:trPr>
        <w:tc>
          <w:tcPr>
            <w:tcW w:w="1303" w:type="dxa"/>
            <w:shd w:val="clear" w:color="auto" w:fill="auto"/>
            <w:vAlign w:val="center"/>
          </w:tcPr>
          <w:p w14:paraId="2E8A4090" w14:textId="77777777" w:rsidR="008754FE" w:rsidRPr="00FC1749" w:rsidRDefault="008754FE" w:rsidP="008754FE">
            <w:pPr>
              <w:spacing w:after="0" w:line="240" w:lineRule="auto"/>
              <w:rPr>
                <w:rFonts w:eastAsia="Times New Roman" w:cs="Times New Roman"/>
              </w:rPr>
            </w:pPr>
            <w:r w:rsidRPr="00FC1749">
              <w:rPr>
                <w:rFonts w:cs="Times New Roman"/>
              </w:rPr>
              <w:t>Milton</w:t>
            </w:r>
          </w:p>
        </w:tc>
        <w:tc>
          <w:tcPr>
            <w:tcW w:w="982" w:type="dxa"/>
            <w:shd w:val="clear" w:color="auto" w:fill="auto"/>
            <w:vAlign w:val="center"/>
          </w:tcPr>
          <w:p w14:paraId="08DBB2BA" w14:textId="2F03C0DE" w:rsidR="008754FE" w:rsidRPr="00FC1749" w:rsidRDefault="008754FE" w:rsidP="008754FE">
            <w:pPr>
              <w:spacing w:after="0" w:line="240" w:lineRule="auto"/>
              <w:jc w:val="center"/>
              <w:rPr>
                <w:rFonts w:eastAsia="Times New Roman" w:cs="Times New Roman"/>
              </w:rPr>
            </w:pPr>
            <w:r w:rsidRPr="00FC1749">
              <w:rPr>
                <w:rFonts w:cs="Times New Roman"/>
                <w:color w:val="000000"/>
              </w:rPr>
              <w:t>12</w:t>
            </w:r>
          </w:p>
        </w:tc>
        <w:tc>
          <w:tcPr>
            <w:tcW w:w="983" w:type="dxa"/>
            <w:shd w:val="clear" w:color="auto" w:fill="auto"/>
            <w:vAlign w:val="center"/>
          </w:tcPr>
          <w:p w14:paraId="6F6437F3" w14:textId="3AF179B6" w:rsidR="008754FE" w:rsidRPr="00FC1749" w:rsidRDefault="008754FE" w:rsidP="008754FE">
            <w:pPr>
              <w:spacing w:after="0" w:line="240" w:lineRule="auto"/>
              <w:jc w:val="center"/>
              <w:rPr>
                <w:rFonts w:eastAsia="Times New Roman" w:cs="Times New Roman"/>
              </w:rPr>
            </w:pPr>
            <w:r w:rsidRPr="00FC1749">
              <w:rPr>
                <w:rFonts w:cs="Times New Roman"/>
                <w:color w:val="000000"/>
              </w:rPr>
              <w:t>14.1%</w:t>
            </w:r>
          </w:p>
        </w:tc>
        <w:tc>
          <w:tcPr>
            <w:tcW w:w="983" w:type="dxa"/>
            <w:shd w:val="clear" w:color="auto" w:fill="auto"/>
            <w:vAlign w:val="center"/>
          </w:tcPr>
          <w:p w14:paraId="72C34FD3" w14:textId="50D76611" w:rsidR="008754FE" w:rsidRPr="00FC1749" w:rsidRDefault="008754FE" w:rsidP="008754FE">
            <w:pPr>
              <w:spacing w:after="0" w:line="240" w:lineRule="auto"/>
              <w:jc w:val="center"/>
              <w:rPr>
                <w:rFonts w:eastAsia="Times New Roman" w:cs="Times New Roman"/>
              </w:rPr>
            </w:pPr>
            <w:r w:rsidRPr="00FC1749">
              <w:rPr>
                <w:rFonts w:cs="Times New Roman"/>
                <w:color w:val="000000"/>
              </w:rPr>
              <w:t>341</w:t>
            </w:r>
          </w:p>
        </w:tc>
        <w:tc>
          <w:tcPr>
            <w:tcW w:w="983" w:type="dxa"/>
            <w:shd w:val="clear" w:color="auto" w:fill="auto"/>
            <w:vAlign w:val="center"/>
          </w:tcPr>
          <w:p w14:paraId="49DA36E1" w14:textId="309A1B86" w:rsidR="008754FE" w:rsidRPr="00FC1749" w:rsidRDefault="008754FE" w:rsidP="008754FE">
            <w:pPr>
              <w:spacing w:after="0" w:line="240" w:lineRule="auto"/>
              <w:jc w:val="center"/>
              <w:rPr>
                <w:rFonts w:eastAsia="Times New Roman" w:cs="Times New Roman"/>
              </w:rPr>
            </w:pPr>
            <w:r w:rsidRPr="00FC1749">
              <w:rPr>
                <w:rFonts w:cs="Times New Roman"/>
                <w:color w:val="000000"/>
              </w:rPr>
              <w:t>7.</w:t>
            </w:r>
            <w:r w:rsidR="00011F48">
              <w:rPr>
                <w:rFonts w:cs="Times New Roman"/>
                <w:color w:val="000000"/>
              </w:rPr>
              <w:t>5</w:t>
            </w:r>
            <w:r w:rsidRPr="00FC1749">
              <w:rPr>
                <w:rFonts w:cs="Times New Roman"/>
                <w:color w:val="000000"/>
              </w:rPr>
              <w:t>%</w:t>
            </w:r>
          </w:p>
        </w:tc>
        <w:tc>
          <w:tcPr>
            <w:tcW w:w="983" w:type="dxa"/>
            <w:shd w:val="clear" w:color="auto" w:fill="auto"/>
            <w:vAlign w:val="center"/>
          </w:tcPr>
          <w:p w14:paraId="53783EDD" w14:textId="3D0C5901" w:rsidR="008754FE" w:rsidRPr="00FC1749" w:rsidRDefault="008754FE" w:rsidP="008754FE">
            <w:pPr>
              <w:spacing w:after="0" w:line="240" w:lineRule="auto"/>
              <w:jc w:val="center"/>
              <w:rPr>
                <w:rFonts w:eastAsia="Times New Roman" w:cs="Times New Roman"/>
              </w:rPr>
            </w:pPr>
            <w:r w:rsidRPr="00FC1749">
              <w:rPr>
                <w:rFonts w:cs="Times New Roman"/>
                <w:color w:val="000000"/>
              </w:rPr>
              <w:t>1,193</w:t>
            </w:r>
          </w:p>
        </w:tc>
        <w:tc>
          <w:tcPr>
            <w:tcW w:w="983" w:type="dxa"/>
            <w:shd w:val="clear" w:color="auto" w:fill="auto"/>
            <w:vAlign w:val="center"/>
          </w:tcPr>
          <w:p w14:paraId="4710780E" w14:textId="4DB710EA" w:rsidR="008754FE" w:rsidRPr="00FC1749" w:rsidRDefault="008754FE" w:rsidP="008754FE">
            <w:pPr>
              <w:spacing w:after="0" w:line="240" w:lineRule="auto"/>
              <w:jc w:val="center"/>
              <w:rPr>
                <w:rFonts w:eastAsia="Times New Roman" w:cs="Times New Roman"/>
              </w:rPr>
            </w:pPr>
            <w:r w:rsidRPr="00FC1749">
              <w:rPr>
                <w:rFonts w:cs="Times New Roman"/>
                <w:color w:val="000000"/>
              </w:rPr>
              <w:t>8.</w:t>
            </w:r>
            <w:r w:rsidR="00011F48">
              <w:rPr>
                <w:rFonts w:cs="Times New Roman"/>
                <w:color w:val="000000"/>
              </w:rPr>
              <w:t>4</w:t>
            </w:r>
            <w:r w:rsidRPr="00FC1749">
              <w:rPr>
                <w:rFonts w:cs="Times New Roman"/>
                <w:color w:val="000000"/>
              </w:rPr>
              <w:t>%</w:t>
            </w:r>
          </w:p>
        </w:tc>
      </w:tr>
      <w:tr w:rsidR="008754FE" w:rsidRPr="00FC1749" w14:paraId="3554343A" w14:textId="77777777" w:rsidTr="00D82909">
        <w:trPr>
          <w:cantSplit/>
          <w:trHeight w:val="300"/>
          <w:jc w:val="center"/>
        </w:trPr>
        <w:tc>
          <w:tcPr>
            <w:tcW w:w="1303" w:type="dxa"/>
            <w:shd w:val="clear" w:color="auto" w:fill="auto"/>
            <w:vAlign w:val="center"/>
          </w:tcPr>
          <w:p w14:paraId="247DB2DB" w14:textId="77777777" w:rsidR="008754FE" w:rsidRPr="00FC1749" w:rsidRDefault="008754FE" w:rsidP="008754FE">
            <w:pPr>
              <w:spacing w:after="0" w:line="240" w:lineRule="auto"/>
              <w:rPr>
                <w:rFonts w:eastAsia="Times New Roman" w:cs="Times New Roman"/>
              </w:rPr>
            </w:pPr>
            <w:r w:rsidRPr="00FC1749">
              <w:rPr>
                <w:rFonts w:cs="Times New Roman"/>
              </w:rPr>
              <w:t>Braintree</w:t>
            </w:r>
          </w:p>
        </w:tc>
        <w:tc>
          <w:tcPr>
            <w:tcW w:w="982" w:type="dxa"/>
            <w:shd w:val="clear" w:color="auto" w:fill="auto"/>
            <w:vAlign w:val="center"/>
          </w:tcPr>
          <w:p w14:paraId="054351CE" w14:textId="5A6649B5" w:rsidR="008754FE" w:rsidRPr="00FC1749" w:rsidRDefault="008754FE" w:rsidP="008754FE">
            <w:pPr>
              <w:spacing w:after="0" w:line="240" w:lineRule="auto"/>
              <w:jc w:val="center"/>
              <w:rPr>
                <w:rFonts w:eastAsia="Times New Roman" w:cs="Times New Roman"/>
              </w:rPr>
            </w:pPr>
            <w:r w:rsidRPr="00FC1749">
              <w:rPr>
                <w:rFonts w:cs="Times New Roman"/>
                <w:i/>
                <w:iCs/>
                <w:color w:val="000000"/>
              </w:rPr>
              <w:t>Masked</w:t>
            </w:r>
          </w:p>
        </w:tc>
        <w:tc>
          <w:tcPr>
            <w:tcW w:w="983" w:type="dxa"/>
            <w:shd w:val="clear" w:color="auto" w:fill="auto"/>
            <w:vAlign w:val="center"/>
          </w:tcPr>
          <w:p w14:paraId="02A601F0" w14:textId="5E828B7D" w:rsidR="008754FE" w:rsidRPr="00FC1749" w:rsidRDefault="008754FE" w:rsidP="008754FE">
            <w:pPr>
              <w:spacing w:after="0" w:line="240" w:lineRule="auto"/>
              <w:jc w:val="center"/>
              <w:rPr>
                <w:rFonts w:eastAsia="Times New Roman" w:cs="Times New Roman"/>
              </w:rPr>
            </w:pPr>
            <w:r w:rsidRPr="00FC1749">
              <w:rPr>
                <w:rFonts w:cs="Times New Roman"/>
                <w:i/>
                <w:iCs/>
                <w:color w:val="000000"/>
              </w:rPr>
              <w:t>Masked</w:t>
            </w:r>
          </w:p>
        </w:tc>
        <w:tc>
          <w:tcPr>
            <w:tcW w:w="983" w:type="dxa"/>
            <w:shd w:val="clear" w:color="auto" w:fill="auto"/>
            <w:vAlign w:val="center"/>
          </w:tcPr>
          <w:p w14:paraId="35A50D35" w14:textId="74D372FB" w:rsidR="008754FE" w:rsidRPr="00FC1749" w:rsidRDefault="008754FE" w:rsidP="008754FE">
            <w:pPr>
              <w:spacing w:after="0" w:line="240" w:lineRule="auto"/>
              <w:jc w:val="center"/>
              <w:rPr>
                <w:rFonts w:eastAsia="Times New Roman" w:cs="Times New Roman"/>
              </w:rPr>
            </w:pPr>
            <w:r w:rsidRPr="00FC1749">
              <w:rPr>
                <w:rFonts w:cs="Times New Roman"/>
                <w:color w:val="000000"/>
              </w:rPr>
              <w:t>319</w:t>
            </w:r>
          </w:p>
        </w:tc>
        <w:tc>
          <w:tcPr>
            <w:tcW w:w="983" w:type="dxa"/>
            <w:shd w:val="clear" w:color="auto" w:fill="auto"/>
            <w:vAlign w:val="center"/>
          </w:tcPr>
          <w:p w14:paraId="17F88CDD" w14:textId="556DD832" w:rsidR="008754FE" w:rsidRPr="00FC1749" w:rsidRDefault="00011F48" w:rsidP="008754FE">
            <w:pPr>
              <w:spacing w:after="0" w:line="240" w:lineRule="auto"/>
              <w:jc w:val="center"/>
              <w:rPr>
                <w:rFonts w:eastAsia="Times New Roman" w:cs="Times New Roman"/>
              </w:rPr>
            </w:pPr>
            <w:r>
              <w:rPr>
                <w:rFonts w:cs="Times New Roman"/>
                <w:color w:val="000000"/>
              </w:rPr>
              <w:t>7.0</w:t>
            </w:r>
            <w:r w:rsidR="008754FE" w:rsidRPr="00FC1749">
              <w:rPr>
                <w:rFonts w:cs="Times New Roman"/>
                <w:color w:val="000000"/>
              </w:rPr>
              <w:t>%</w:t>
            </w:r>
          </w:p>
        </w:tc>
        <w:tc>
          <w:tcPr>
            <w:tcW w:w="983" w:type="dxa"/>
            <w:shd w:val="clear" w:color="auto" w:fill="auto"/>
            <w:vAlign w:val="center"/>
          </w:tcPr>
          <w:p w14:paraId="3540C643" w14:textId="00A2141B" w:rsidR="008754FE" w:rsidRPr="00FC1749" w:rsidRDefault="008754FE" w:rsidP="008754FE">
            <w:pPr>
              <w:spacing w:after="0" w:line="240" w:lineRule="auto"/>
              <w:jc w:val="center"/>
              <w:rPr>
                <w:rFonts w:eastAsia="Times New Roman" w:cs="Times New Roman"/>
              </w:rPr>
            </w:pPr>
            <w:r w:rsidRPr="00FC1749">
              <w:rPr>
                <w:rFonts w:cs="Times New Roman"/>
                <w:color w:val="000000"/>
              </w:rPr>
              <w:t>929</w:t>
            </w:r>
          </w:p>
        </w:tc>
        <w:tc>
          <w:tcPr>
            <w:tcW w:w="983" w:type="dxa"/>
            <w:shd w:val="clear" w:color="auto" w:fill="auto"/>
            <w:vAlign w:val="center"/>
          </w:tcPr>
          <w:p w14:paraId="1102D93A" w14:textId="0310B96D" w:rsidR="008754FE" w:rsidRPr="00FC1749" w:rsidRDefault="008754FE" w:rsidP="008754FE">
            <w:pPr>
              <w:spacing w:after="0" w:line="240" w:lineRule="auto"/>
              <w:jc w:val="center"/>
              <w:rPr>
                <w:rFonts w:eastAsia="Times New Roman" w:cs="Times New Roman"/>
              </w:rPr>
            </w:pPr>
            <w:r w:rsidRPr="00FC1749">
              <w:rPr>
                <w:rFonts w:cs="Times New Roman"/>
                <w:color w:val="000000"/>
              </w:rPr>
              <w:t>6.5%</w:t>
            </w:r>
          </w:p>
        </w:tc>
      </w:tr>
      <w:tr w:rsidR="008754FE" w:rsidRPr="00FC1749" w14:paraId="53E6B702" w14:textId="77777777" w:rsidTr="00D82909">
        <w:trPr>
          <w:cantSplit/>
          <w:trHeight w:val="300"/>
          <w:jc w:val="center"/>
        </w:trPr>
        <w:tc>
          <w:tcPr>
            <w:tcW w:w="1303" w:type="dxa"/>
            <w:shd w:val="clear" w:color="auto" w:fill="auto"/>
            <w:vAlign w:val="center"/>
          </w:tcPr>
          <w:p w14:paraId="7A646AB6" w14:textId="77777777" w:rsidR="008754FE" w:rsidRPr="00FC1749" w:rsidRDefault="008754FE" w:rsidP="008754FE">
            <w:pPr>
              <w:spacing w:after="0" w:line="240" w:lineRule="auto"/>
              <w:rPr>
                <w:rFonts w:eastAsia="Times New Roman" w:cs="Times New Roman"/>
              </w:rPr>
            </w:pPr>
            <w:r w:rsidRPr="00FC1749">
              <w:rPr>
                <w:rFonts w:cs="Times New Roman"/>
              </w:rPr>
              <w:t>Randolph</w:t>
            </w:r>
          </w:p>
        </w:tc>
        <w:tc>
          <w:tcPr>
            <w:tcW w:w="982" w:type="dxa"/>
            <w:shd w:val="clear" w:color="auto" w:fill="auto"/>
            <w:vAlign w:val="center"/>
          </w:tcPr>
          <w:p w14:paraId="795EB98E" w14:textId="023CDC30" w:rsidR="008754FE" w:rsidRPr="00FC1749" w:rsidRDefault="008754FE" w:rsidP="008754FE">
            <w:pPr>
              <w:spacing w:after="0" w:line="240" w:lineRule="auto"/>
              <w:jc w:val="center"/>
              <w:rPr>
                <w:rFonts w:eastAsia="Times New Roman" w:cs="Times New Roman"/>
              </w:rPr>
            </w:pPr>
            <w:r w:rsidRPr="00FC1749">
              <w:rPr>
                <w:rFonts w:cs="Times New Roman"/>
                <w:i/>
                <w:iCs/>
                <w:color w:val="000000"/>
              </w:rPr>
              <w:t>Masked</w:t>
            </w:r>
          </w:p>
        </w:tc>
        <w:tc>
          <w:tcPr>
            <w:tcW w:w="983" w:type="dxa"/>
            <w:shd w:val="clear" w:color="auto" w:fill="auto"/>
            <w:vAlign w:val="center"/>
          </w:tcPr>
          <w:p w14:paraId="42017D17" w14:textId="3BCE7FB0" w:rsidR="008754FE" w:rsidRPr="00FC1749" w:rsidRDefault="008754FE" w:rsidP="008754FE">
            <w:pPr>
              <w:spacing w:after="0" w:line="240" w:lineRule="auto"/>
              <w:jc w:val="center"/>
              <w:rPr>
                <w:rFonts w:eastAsia="Times New Roman" w:cs="Times New Roman"/>
              </w:rPr>
            </w:pPr>
            <w:r w:rsidRPr="00FC1749">
              <w:rPr>
                <w:rFonts w:cs="Times New Roman"/>
                <w:i/>
                <w:iCs/>
                <w:color w:val="000000"/>
              </w:rPr>
              <w:t>Masked</w:t>
            </w:r>
          </w:p>
        </w:tc>
        <w:tc>
          <w:tcPr>
            <w:tcW w:w="983" w:type="dxa"/>
            <w:shd w:val="clear" w:color="auto" w:fill="auto"/>
            <w:vAlign w:val="center"/>
          </w:tcPr>
          <w:p w14:paraId="4E28A29D" w14:textId="7166B6C3" w:rsidR="008754FE" w:rsidRPr="00FC1749" w:rsidRDefault="008754FE" w:rsidP="008754FE">
            <w:pPr>
              <w:spacing w:after="0" w:line="240" w:lineRule="auto"/>
              <w:jc w:val="center"/>
              <w:rPr>
                <w:rFonts w:eastAsia="Times New Roman" w:cs="Times New Roman"/>
              </w:rPr>
            </w:pPr>
            <w:r w:rsidRPr="00FC1749">
              <w:rPr>
                <w:rFonts w:cs="Times New Roman"/>
                <w:color w:val="000000"/>
              </w:rPr>
              <w:t>221</w:t>
            </w:r>
          </w:p>
        </w:tc>
        <w:tc>
          <w:tcPr>
            <w:tcW w:w="983" w:type="dxa"/>
            <w:shd w:val="clear" w:color="auto" w:fill="auto"/>
            <w:vAlign w:val="center"/>
          </w:tcPr>
          <w:p w14:paraId="07F330EA" w14:textId="720BD133" w:rsidR="008754FE" w:rsidRPr="00FC1749" w:rsidRDefault="008754FE" w:rsidP="008754FE">
            <w:pPr>
              <w:spacing w:after="0" w:line="240" w:lineRule="auto"/>
              <w:jc w:val="center"/>
              <w:rPr>
                <w:rFonts w:eastAsia="Times New Roman" w:cs="Times New Roman"/>
              </w:rPr>
            </w:pPr>
            <w:r w:rsidRPr="00FC1749">
              <w:rPr>
                <w:rFonts w:cs="Times New Roman"/>
                <w:color w:val="000000"/>
              </w:rPr>
              <w:t>4.8%</w:t>
            </w:r>
          </w:p>
        </w:tc>
        <w:tc>
          <w:tcPr>
            <w:tcW w:w="983" w:type="dxa"/>
            <w:shd w:val="clear" w:color="auto" w:fill="auto"/>
            <w:vAlign w:val="center"/>
          </w:tcPr>
          <w:p w14:paraId="17A82640" w14:textId="51BF9F99" w:rsidR="008754FE" w:rsidRPr="00FC1749" w:rsidRDefault="008754FE" w:rsidP="008754FE">
            <w:pPr>
              <w:spacing w:after="0" w:line="240" w:lineRule="auto"/>
              <w:jc w:val="center"/>
              <w:rPr>
                <w:rFonts w:eastAsia="Times New Roman" w:cs="Times New Roman"/>
              </w:rPr>
            </w:pPr>
            <w:r w:rsidRPr="00FC1749">
              <w:rPr>
                <w:rFonts w:cs="Times New Roman"/>
                <w:color w:val="000000"/>
              </w:rPr>
              <w:t>711</w:t>
            </w:r>
          </w:p>
        </w:tc>
        <w:tc>
          <w:tcPr>
            <w:tcW w:w="983" w:type="dxa"/>
            <w:shd w:val="clear" w:color="auto" w:fill="auto"/>
            <w:vAlign w:val="center"/>
          </w:tcPr>
          <w:p w14:paraId="28D0234B" w14:textId="33A64AF6" w:rsidR="008754FE" w:rsidRPr="00FC1749" w:rsidRDefault="008754FE" w:rsidP="008754FE">
            <w:pPr>
              <w:spacing w:after="0" w:line="240" w:lineRule="auto"/>
              <w:jc w:val="center"/>
              <w:rPr>
                <w:rFonts w:eastAsia="Times New Roman" w:cs="Times New Roman"/>
              </w:rPr>
            </w:pPr>
            <w:r w:rsidRPr="00FC1749">
              <w:rPr>
                <w:rFonts w:cs="Times New Roman"/>
                <w:color w:val="000000"/>
              </w:rPr>
              <w:t>5.0%</w:t>
            </w:r>
          </w:p>
        </w:tc>
      </w:tr>
      <w:tr w:rsidR="008754FE" w:rsidRPr="00FC1749" w14:paraId="4FFC92B8" w14:textId="77777777" w:rsidTr="00D82909">
        <w:trPr>
          <w:cantSplit/>
          <w:trHeight w:val="300"/>
          <w:jc w:val="center"/>
        </w:trPr>
        <w:tc>
          <w:tcPr>
            <w:tcW w:w="1303" w:type="dxa"/>
            <w:shd w:val="clear" w:color="auto" w:fill="auto"/>
            <w:vAlign w:val="center"/>
          </w:tcPr>
          <w:p w14:paraId="5D2E02FD" w14:textId="77777777" w:rsidR="008754FE" w:rsidRPr="00FC1749" w:rsidRDefault="008754FE" w:rsidP="008754FE">
            <w:pPr>
              <w:spacing w:after="0" w:line="240" w:lineRule="auto"/>
              <w:rPr>
                <w:rFonts w:eastAsia="Times New Roman" w:cs="Times New Roman"/>
              </w:rPr>
            </w:pPr>
            <w:r w:rsidRPr="00FC1749">
              <w:rPr>
                <w:rFonts w:cs="Times New Roman"/>
              </w:rPr>
              <w:t>Other</w:t>
            </w:r>
          </w:p>
        </w:tc>
        <w:tc>
          <w:tcPr>
            <w:tcW w:w="982" w:type="dxa"/>
            <w:shd w:val="clear" w:color="auto" w:fill="auto"/>
            <w:vAlign w:val="center"/>
          </w:tcPr>
          <w:p w14:paraId="49359E1E" w14:textId="58404538" w:rsidR="008754FE" w:rsidRPr="00FC1749" w:rsidRDefault="008754FE" w:rsidP="008754FE">
            <w:pPr>
              <w:spacing w:after="0" w:line="240" w:lineRule="auto"/>
              <w:jc w:val="center"/>
              <w:rPr>
                <w:rFonts w:eastAsia="Times New Roman" w:cs="Times New Roman"/>
              </w:rPr>
            </w:pPr>
            <w:r w:rsidRPr="00FC1749">
              <w:rPr>
                <w:rFonts w:cs="Times New Roman"/>
                <w:i/>
                <w:iCs/>
                <w:color w:val="000000"/>
              </w:rPr>
              <w:t>Masked</w:t>
            </w:r>
          </w:p>
        </w:tc>
        <w:tc>
          <w:tcPr>
            <w:tcW w:w="983" w:type="dxa"/>
            <w:shd w:val="clear" w:color="auto" w:fill="auto"/>
            <w:vAlign w:val="center"/>
          </w:tcPr>
          <w:p w14:paraId="28FFC88E" w14:textId="5526A48D" w:rsidR="008754FE" w:rsidRPr="00FC1749" w:rsidRDefault="008754FE" w:rsidP="008754FE">
            <w:pPr>
              <w:spacing w:after="0" w:line="240" w:lineRule="auto"/>
              <w:jc w:val="center"/>
              <w:rPr>
                <w:rFonts w:eastAsia="Times New Roman" w:cs="Times New Roman"/>
              </w:rPr>
            </w:pPr>
            <w:r w:rsidRPr="00FC1749">
              <w:rPr>
                <w:rFonts w:cs="Times New Roman"/>
                <w:i/>
                <w:iCs/>
                <w:color w:val="000000"/>
              </w:rPr>
              <w:t>Masked</w:t>
            </w:r>
          </w:p>
        </w:tc>
        <w:tc>
          <w:tcPr>
            <w:tcW w:w="983" w:type="dxa"/>
            <w:shd w:val="clear" w:color="auto" w:fill="auto"/>
            <w:vAlign w:val="center"/>
          </w:tcPr>
          <w:p w14:paraId="77BDB963" w14:textId="40B5233E" w:rsidR="008754FE" w:rsidRPr="00FC1749" w:rsidRDefault="008754FE" w:rsidP="008754FE">
            <w:pPr>
              <w:spacing w:after="0" w:line="240" w:lineRule="auto"/>
              <w:jc w:val="center"/>
              <w:rPr>
                <w:rFonts w:eastAsia="Times New Roman" w:cs="Times New Roman"/>
              </w:rPr>
            </w:pPr>
            <w:r w:rsidRPr="00FC1749">
              <w:rPr>
                <w:rFonts w:cs="Times New Roman"/>
                <w:i/>
                <w:iCs/>
                <w:color w:val="000000"/>
              </w:rPr>
              <w:t>Masked</w:t>
            </w:r>
          </w:p>
        </w:tc>
        <w:tc>
          <w:tcPr>
            <w:tcW w:w="983" w:type="dxa"/>
            <w:shd w:val="clear" w:color="auto" w:fill="auto"/>
            <w:vAlign w:val="center"/>
          </w:tcPr>
          <w:p w14:paraId="447E07F2" w14:textId="61651244" w:rsidR="008754FE" w:rsidRPr="00FC1749" w:rsidRDefault="008754FE" w:rsidP="008754FE">
            <w:pPr>
              <w:spacing w:after="0" w:line="240" w:lineRule="auto"/>
              <w:jc w:val="center"/>
              <w:rPr>
                <w:rFonts w:eastAsia="Times New Roman" w:cs="Times New Roman"/>
              </w:rPr>
            </w:pPr>
            <w:r w:rsidRPr="00FC1749">
              <w:rPr>
                <w:rFonts w:cs="Times New Roman"/>
                <w:i/>
                <w:iCs/>
                <w:color w:val="000000"/>
              </w:rPr>
              <w:t>Masked</w:t>
            </w:r>
          </w:p>
        </w:tc>
        <w:tc>
          <w:tcPr>
            <w:tcW w:w="983" w:type="dxa"/>
            <w:shd w:val="clear" w:color="auto" w:fill="auto"/>
          </w:tcPr>
          <w:p w14:paraId="3203A7DB" w14:textId="6575D736" w:rsidR="008754FE" w:rsidRPr="00FC1749" w:rsidRDefault="008754FE" w:rsidP="008754FE">
            <w:pPr>
              <w:spacing w:after="0" w:line="240" w:lineRule="auto"/>
              <w:jc w:val="center"/>
              <w:rPr>
                <w:rFonts w:eastAsia="Times New Roman" w:cs="Times New Roman"/>
              </w:rPr>
            </w:pPr>
            <w:r w:rsidRPr="00FC1749">
              <w:rPr>
                <w:rFonts w:eastAsia="Times New Roman" w:cs="Times New Roman"/>
                <w:color w:val="000000"/>
              </w:rPr>
              <w:t>936</w:t>
            </w:r>
          </w:p>
        </w:tc>
        <w:tc>
          <w:tcPr>
            <w:tcW w:w="983" w:type="dxa"/>
            <w:shd w:val="clear" w:color="auto" w:fill="auto"/>
          </w:tcPr>
          <w:p w14:paraId="514B4756" w14:textId="60FC82C0" w:rsidR="008754FE" w:rsidRPr="00FC1749" w:rsidRDefault="008754FE" w:rsidP="008754FE">
            <w:pPr>
              <w:spacing w:after="0" w:line="240" w:lineRule="auto"/>
              <w:jc w:val="center"/>
              <w:rPr>
                <w:rFonts w:eastAsia="Times New Roman" w:cs="Times New Roman"/>
              </w:rPr>
            </w:pPr>
            <w:r w:rsidRPr="00FC1749">
              <w:rPr>
                <w:rFonts w:eastAsia="Times New Roman" w:cs="Times New Roman"/>
                <w:color w:val="000000"/>
              </w:rPr>
              <w:t>8.</w:t>
            </w:r>
            <w:r w:rsidR="00011F48">
              <w:rPr>
                <w:rFonts w:eastAsia="Times New Roman" w:cs="Times New Roman"/>
                <w:color w:val="000000"/>
              </w:rPr>
              <w:t>1</w:t>
            </w:r>
            <w:r w:rsidRPr="00FC1749">
              <w:rPr>
                <w:rFonts w:eastAsia="Times New Roman" w:cs="Times New Roman"/>
                <w:color w:val="000000"/>
              </w:rPr>
              <w:t>%</w:t>
            </w:r>
          </w:p>
        </w:tc>
      </w:tr>
    </w:tbl>
    <w:p w14:paraId="03F9645F" w14:textId="5B43656F" w:rsidR="00D9345D" w:rsidRDefault="00D9345D">
      <w:pPr>
        <w:spacing w:line="259" w:lineRule="auto"/>
        <w:rPr>
          <w:rFonts w:cs="Times New Roman"/>
          <w:b/>
          <w:bCs/>
        </w:rPr>
      </w:pPr>
      <w:r>
        <w:rPr>
          <w:rFonts w:cs="Times New Roman"/>
          <w:b/>
          <w:bCs/>
        </w:rPr>
        <w:br w:type="page"/>
      </w:r>
    </w:p>
    <w:p w14:paraId="43FFAE4F" w14:textId="408E1490" w:rsidR="00D9345D" w:rsidRPr="00D9345D" w:rsidRDefault="00D9345D" w:rsidP="00D9345D">
      <w:pPr>
        <w:pStyle w:val="ListParagraph"/>
        <w:numPr>
          <w:ilvl w:val="0"/>
          <w:numId w:val="21"/>
        </w:numPr>
        <w:spacing w:after="120" w:line="240" w:lineRule="auto"/>
        <w:rPr>
          <w:rFonts w:cs="Times New Roman"/>
        </w:rPr>
      </w:pPr>
      <w:r>
        <w:rPr>
          <w:rFonts w:cs="Times New Roman"/>
        </w:rPr>
        <w:lastRenderedPageBreak/>
        <w:t>BID Milton</w:t>
      </w:r>
      <w:r w:rsidRPr="00D9345D">
        <w:rPr>
          <w:rFonts w:cs="Times New Roman"/>
        </w:rPr>
        <w:t xml:space="preserve"> Patient Panel </w:t>
      </w:r>
    </w:p>
    <w:p w14:paraId="42CEF034" w14:textId="77777777" w:rsidR="00D9345D" w:rsidRDefault="00D9345D" w:rsidP="00D9345D">
      <w:pPr>
        <w:pStyle w:val="ListParagraph"/>
        <w:spacing w:after="120" w:line="240" w:lineRule="auto"/>
        <w:ind w:left="-90"/>
        <w:rPr>
          <w:rFonts w:cs="Times New Roman"/>
        </w:rPr>
      </w:pPr>
    </w:p>
    <w:p w14:paraId="2846ED05" w14:textId="4AFFFCBD" w:rsidR="00D9345D" w:rsidRPr="00EF218D" w:rsidRDefault="00D9345D" w:rsidP="00EF218D">
      <w:pPr>
        <w:spacing w:beforeLines="20" w:before="48" w:line="240" w:lineRule="auto"/>
        <w:rPr>
          <w:rFonts w:cs="Times New Roman"/>
        </w:rPr>
      </w:pPr>
      <w:r w:rsidRPr="2A8A7BAD">
        <w:rPr>
          <w:rFonts w:cs="Times New Roman"/>
        </w:rPr>
        <w:t xml:space="preserve">As shown in </w:t>
      </w:r>
      <w:r w:rsidRPr="2A8A7BAD">
        <w:rPr>
          <w:rFonts w:cs="Times New Roman"/>
          <w:u w:val="single"/>
        </w:rPr>
        <w:t xml:space="preserve">Table </w:t>
      </w:r>
      <w:r w:rsidR="005C3A36" w:rsidRPr="2A8A7BAD">
        <w:rPr>
          <w:rFonts w:cs="Times New Roman"/>
          <w:u w:val="single"/>
        </w:rPr>
        <w:t>9</w:t>
      </w:r>
      <w:r w:rsidRPr="2A8A7BAD">
        <w:rPr>
          <w:rFonts w:cs="Times New Roman"/>
        </w:rPr>
        <w:t xml:space="preserve">, in FY23, </w:t>
      </w:r>
      <w:r w:rsidR="6B98A4ED" w:rsidRPr="2A8A7BAD">
        <w:rPr>
          <w:rFonts w:cs="Times New Roman"/>
        </w:rPr>
        <w:t xml:space="preserve">BID Milton’s </w:t>
      </w:r>
      <w:r w:rsidRPr="2A8A7BAD">
        <w:rPr>
          <w:rFonts w:cs="Times New Roman"/>
        </w:rPr>
        <w:t>overall patient panel included 70,696 unique patients, down</w:t>
      </w:r>
      <w:r w:rsidR="00EF218D" w:rsidRPr="2A8A7BAD">
        <w:rPr>
          <w:rFonts w:cs="Times New Roman"/>
        </w:rPr>
        <w:t xml:space="preserve"> 11% from </w:t>
      </w:r>
      <w:r w:rsidR="006F3A88" w:rsidRPr="2A8A7BAD">
        <w:rPr>
          <w:rFonts w:cs="Times New Roman"/>
        </w:rPr>
        <w:t>F</w:t>
      </w:r>
      <w:r w:rsidR="00EF218D" w:rsidRPr="2A8A7BAD">
        <w:rPr>
          <w:rFonts w:cs="Times New Roman"/>
        </w:rPr>
        <w:t>Y21</w:t>
      </w:r>
      <w:r w:rsidRPr="2A8A7BAD">
        <w:rPr>
          <w:rFonts w:cs="Times New Roman"/>
        </w:rPr>
        <w:t xml:space="preserve">. Patients aged 18-64 were the largest patient cohort, making up </w:t>
      </w:r>
      <w:r w:rsidR="00EF218D" w:rsidRPr="2A8A7BAD">
        <w:rPr>
          <w:rFonts w:cs="Times New Roman"/>
        </w:rPr>
        <w:t>61.5</w:t>
      </w:r>
      <w:r w:rsidRPr="2A8A7BAD">
        <w:rPr>
          <w:rFonts w:cs="Times New Roman"/>
        </w:rPr>
        <w:t xml:space="preserve">% of unique patients. An additional </w:t>
      </w:r>
      <w:r w:rsidR="00EF218D" w:rsidRPr="2A8A7BAD">
        <w:rPr>
          <w:rFonts w:cs="Times New Roman"/>
        </w:rPr>
        <w:t>35</w:t>
      </w:r>
      <w:r w:rsidRPr="2A8A7BAD">
        <w:rPr>
          <w:rFonts w:cs="Times New Roman"/>
        </w:rPr>
        <w:t>% of patients were</w:t>
      </w:r>
      <w:r w:rsidR="00E60F39" w:rsidRPr="2A8A7BAD">
        <w:rPr>
          <w:rFonts w:cs="Times New Roman"/>
        </w:rPr>
        <w:t xml:space="preserve"> over the age of 65</w:t>
      </w:r>
      <w:r w:rsidRPr="2A8A7BAD">
        <w:rPr>
          <w:rFonts w:cs="Times New Roman"/>
        </w:rPr>
        <w:t xml:space="preserve">. </w:t>
      </w:r>
      <w:r w:rsidR="00EF218D" w:rsidRPr="2A8A7BAD">
        <w:rPr>
          <w:rFonts w:cs="Times New Roman"/>
        </w:rPr>
        <w:t xml:space="preserve">The majority </w:t>
      </w:r>
      <w:r w:rsidRPr="2A8A7BAD">
        <w:rPr>
          <w:rFonts w:cs="Times New Roman"/>
        </w:rPr>
        <w:t>of patients self-identified as White</w:t>
      </w:r>
      <w:r w:rsidR="00EF218D" w:rsidRPr="2A8A7BAD">
        <w:rPr>
          <w:rFonts w:cs="Times New Roman"/>
        </w:rPr>
        <w:t xml:space="preserve"> (approximately </w:t>
      </w:r>
      <w:r w:rsidR="00EF218D" w:rsidRPr="2A8A7BAD">
        <w:rPr>
          <w:rFonts w:cs="Times New Roman"/>
          <w:color w:val="000000" w:themeColor="text1"/>
        </w:rPr>
        <w:t>62%)</w:t>
      </w:r>
      <w:r w:rsidR="00EF218D" w:rsidRPr="2A8A7BAD">
        <w:rPr>
          <w:rFonts w:cs="Times New Roman"/>
        </w:rPr>
        <w:t xml:space="preserve">. </w:t>
      </w:r>
      <w:r w:rsidRPr="2A8A7BAD">
        <w:rPr>
          <w:rFonts w:cs="Times New Roman"/>
        </w:rPr>
        <w:t xml:space="preserve">Approximately </w:t>
      </w:r>
      <w:r w:rsidR="00EF218D" w:rsidRPr="2A8A7BAD">
        <w:rPr>
          <w:rFonts w:cs="Times New Roman"/>
          <w:color w:val="000000" w:themeColor="text1"/>
        </w:rPr>
        <w:t>43%</w:t>
      </w:r>
      <w:r w:rsidR="00EF218D" w:rsidRPr="2A8A7BAD">
        <w:rPr>
          <w:rFonts w:cs="Times New Roman"/>
        </w:rPr>
        <w:t xml:space="preserve"> </w:t>
      </w:r>
      <w:r w:rsidRPr="2A8A7BAD">
        <w:rPr>
          <w:rFonts w:cs="Times New Roman"/>
        </w:rPr>
        <w:t xml:space="preserve">of patients were </w:t>
      </w:r>
      <w:r w:rsidR="00E60F39" w:rsidRPr="2A8A7BAD">
        <w:rPr>
          <w:rFonts w:cs="Times New Roman"/>
        </w:rPr>
        <w:t>insured under</w:t>
      </w:r>
      <w:r w:rsidRPr="2A8A7BAD">
        <w:rPr>
          <w:rFonts w:cs="Times New Roman"/>
        </w:rPr>
        <w:t xml:space="preserve"> a commercial insurance plan, compared to </w:t>
      </w:r>
      <w:r w:rsidR="00EF218D" w:rsidRPr="2A8A7BAD">
        <w:rPr>
          <w:rFonts w:cs="Times New Roman"/>
        </w:rPr>
        <w:t>31.9</w:t>
      </w:r>
      <w:r w:rsidRPr="2A8A7BAD">
        <w:rPr>
          <w:rFonts w:cs="Times New Roman"/>
        </w:rPr>
        <w:t>% who were insured through Medicare,</w:t>
      </w:r>
      <w:r w:rsidR="006F3A88" w:rsidRPr="2A8A7BAD">
        <w:rPr>
          <w:rFonts w:cs="Times New Roman"/>
          <w:color w:val="000000" w:themeColor="text1"/>
          <w:sz w:val="20"/>
          <w:szCs w:val="20"/>
        </w:rPr>
        <w:t xml:space="preserve"> and </w:t>
      </w:r>
      <w:r w:rsidR="00EF218D" w:rsidRPr="2A8A7BAD">
        <w:rPr>
          <w:rFonts w:cs="Times New Roman"/>
        </w:rPr>
        <w:t>14.4</w:t>
      </w:r>
      <w:r w:rsidRPr="2A8A7BAD">
        <w:rPr>
          <w:rFonts w:cs="Times New Roman"/>
        </w:rPr>
        <w:t>% through Medicai</w:t>
      </w:r>
      <w:r w:rsidR="00EF218D" w:rsidRPr="2A8A7BAD">
        <w:rPr>
          <w:rFonts w:cs="Times New Roman"/>
        </w:rPr>
        <w:t>d.</w:t>
      </w:r>
    </w:p>
    <w:p w14:paraId="3FD33579" w14:textId="6ADCA17D" w:rsidR="008754FE" w:rsidRPr="00D9345D" w:rsidRDefault="008754FE" w:rsidP="00663729">
      <w:pPr>
        <w:spacing w:after="0" w:line="259" w:lineRule="auto"/>
        <w:jc w:val="center"/>
        <w:rPr>
          <w:rFonts w:cs="Times New Roman"/>
        </w:rPr>
      </w:pPr>
      <w:r>
        <w:rPr>
          <w:rFonts w:cs="Times New Roman"/>
          <w:b/>
          <w:bCs/>
        </w:rPr>
        <w:t xml:space="preserve">Table </w:t>
      </w:r>
      <w:r w:rsidR="005C3A36">
        <w:rPr>
          <w:rFonts w:cs="Times New Roman"/>
          <w:b/>
          <w:bCs/>
        </w:rPr>
        <w:t>9</w:t>
      </w:r>
    </w:p>
    <w:p w14:paraId="7C19D73E" w14:textId="095EBDF8" w:rsidR="008754FE" w:rsidRDefault="00692449" w:rsidP="00663729">
      <w:pPr>
        <w:spacing w:after="0" w:line="259" w:lineRule="auto"/>
        <w:jc w:val="center"/>
        <w:rPr>
          <w:rFonts w:cs="Times New Roman"/>
          <w:b/>
          <w:bCs/>
        </w:rPr>
      </w:pPr>
      <w:r>
        <w:rPr>
          <w:rFonts w:cs="Times New Roman"/>
          <w:b/>
          <w:bCs/>
        </w:rPr>
        <w:t>BID Milton</w:t>
      </w:r>
      <w:r w:rsidR="008754FE" w:rsidRPr="000153E7">
        <w:rPr>
          <w:rFonts w:cs="Times New Roman"/>
          <w:b/>
          <w:bCs/>
        </w:rPr>
        <w:t xml:space="preserve"> Patient Panel Demographics</w:t>
      </w:r>
    </w:p>
    <w:tbl>
      <w:tblPr>
        <w:tblStyle w:val="ListTable2-Accent3"/>
        <w:tblW w:w="0" w:type="auto"/>
        <w:jc w:val="center"/>
        <w:tblBorders>
          <w:top w:val="none" w:sz="0" w:space="0" w:color="auto"/>
          <w:bottom w:val="none" w:sz="0" w:space="0" w:color="auto"/>
          <w:insideH w:val="none" w:sz="0" w:space="0" w:color="auto"/>
        </w:tblBorders>
        <w:tblLook w:val="04A0" w:firstRow="1" w:lastRow="0" w:firstColumn="1" w:lastColumn="0" w:noHBand="0" w:noVBand="1"/>
      </w:tblPr>
      <w:tblGrid>
        <w:gridCol w:w="3780"/>
        <w:gridCol w:w="871"/>
        <w:gridCol w:w="31"/>
        <w:gridCol w:w="902"/>
        <w:gridCol w:w="871"/>
        <w:gridCol w:w="31"/>
        <w:gridCol w:w="902"/>
        <w:gridCol w:w="871"/>
        <w:gridCol w:w="31"/>
        <w:gridCol w:w="902"/>
      </w:tblGrid>
      <w:tr w:rsidR="00A2687E" w:rsidRPr="002F3133" w14:paraId="56A080C4" w14:textId="77777777" w:rsidTr="00D45B28">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066352D9" w14:textId="77777777" w:rsidR="00A2687E" w:rsidRPr="002F3133" w:rsidRDefault="00A2687E" w:rsidP="00A8743E">
            <w:pPr>
              <w:spacing w:beforeLines="20" w:before="48" w:line="240" w:lineRule="auto"/>
              <w:rPr>
                <w:rFonts w:cs="Times New Roman"/>
                <w:sz w:val="20"/>
                <w:szCs w:val="20"/>
              </w:rPr>
            </w:pPr>
          </w:p>
        </w:tc>
        <w:tc>
          <w:tcPr>
            <w:tcW w:w="902" w:type="dxa"/>
            <w:gridSpan w:val="2"/>
            <w:tcBorders>
              <w:bottom w:val="single" w:sz="4" w:space="0" w:color="auto"/>
            </w:tcBorders>
            <w:shd w:val="clear" w:color="auto" w:fill="auto"/>
          </w:tcPr>
          <w:p w14:paraId="6B84631E" w14:textId="77777777" w:rsidR="00A2687E" w:rsidRPr="002F3133" w:rsidRDefault="00A2687E" w:rsidP="00A8743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FY2021</w:t>
            </w:r>
          </w:p>
        </w:tc>
        <w:tc>
          <w:tcPr>
            <w:tcW w:w="902" w:type="dxa"/>
            <w:tcBorders>
              <w:bottom w:val="single" w:sz="4" w:space="0" w:color="auto"/>
            </w:tcBorders>
            <w:shd w:val="clear" w:color="auto" w:fill="auto"/>
          </w:tcPr>
          <w:p w14:paraId="2B6E02E9" w14:textId="3D4C8532" w:rsidR="00A2687E" w:rsidRPr="002F3133" w:rsidRDefault="00A2687E" w:rsidP="00A8743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FY2021</w:t>
            </w:r>
          </w:p>
        </w:tc>
        <w:tc>
          <w:tcPr>
            <w:tcW w:w="902" w:type="dxa"/>
            <w:gridSpan w:val="2"/>
            <w:tcBorders>
              <w:bottom w:val="single" w:sz="4" w:space="0" w:color="auto"/>
            </w:tcBorders>
            <w:shd w:val="clear" w:color="auto" w:fill="auto"/>
          </w:tcPr>
          <w:p w14:paraId="1F738051" w14:textId="77777777" w:rsidR="00A2687E" w:rsidRPr="002F3133" w:rsidRDefault="00A2687E" w:rsidP="00A8743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FY2022</w:t>
            </w:r>
          </w:p>
        </w:tc>
        <w:tc>
          <w:tcPr>
            <w:tcW w:w="902" w:type="dxa"/>
            <w:tcBorders>
              <w:bottom w:val="single" w:sz="4" w:space="0" w:color="auto"/>
            </w:tcBorders>
            <w:shd w:val="clear" w:color="auto" w:fill="auto"/>
          </w:tcPr>
          <w:p w14:paraId="36726156" w14:textId="749F9098" w:rsidR="00A2687E" w:rsidRPr="002F3133" w:rsidRDefault="00A2687E" w:rsidP="00A8743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FY2022</w:t>
            </w:r>
          </w:p>
        </w:tc>
        <w:tc>
          <w:tcPr>
            <w:tcW w:w="902" w:type="dxa"/>
            <w:gridSpan w:val="2"/>
            <w:tcBorders>
              <w:bottom w:val="single" w:sz="4" w:space="0" w:color="auto"/>
            </w:tcBorders>
            <w:shd w:val="clear" w:color="auto" w:fill="auto"/>
          </w:tcPr>
          <w:p w14:paraId="34E8E5D5" w14:textId="77777777" w:rsidR="00A2687E" w:rsidRPr="002F3133" w:rsidRDefault="00A2687E" w:rsidP="00A8743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FY2023</w:t>
            </w:r>
          </w:p>
        </w:tc>
        <w:tc>
          <w:tcPr>
            <w:tcW w:w="902" w:type="dxa"/>
            <w:tcBorders>
              <w:bottom w:val="single" w:sz="4" w:space="0" w:color="auto"/>
            </w:tcBorders>
            <w:shd w:val="clear" w:color="auto" w:fill="auto"/>
          </w:tcPr>
          <w:p w14:paraId="5D0CFF06" w14:textId="1E387850" w:rsidR="00A2687E" w:rsidRPr="002F3133" w:rsidRDefault="00A2687E" w:rsidP="00A8743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FY2023</w:t>
            </w:r>
          </w:p>
        </w:tc>
      </w:tr>
      <w:tr w:rsidR="00D9345D" w:rsidRPr="002F3133" w14:paraId="0C42A04F" w14:textId="77777777" w:rsidTr="00D45B28">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6678B525" w14:textId="77777777" w:rsidR="008754FE" w:rsidRPr="002F3133" w:rsidRDefault="008754FE" w:rsidP="00A8743E">
            <w:pPr>
              <w:spacing w:beforeLines="20" w:before="48" w:line="240" w:lineRule="auto"/>
              <w:rPr>
                <w:rFonts w:cs="Times New Roman"/>
                <w:b w:val="0"/>
                <w:bCs w:val="0"/>
                <w:sz w:val="20"/>
                <w:szCs w:val="20"/>
              </w:rPr>
            </w:pPr>
          </w:p>
        </w:tc>
        <w:tc>
          <w:tcPr>
            <w:tcW w:w="871" w:type="dxa"/>
            <w:tcBorders>
              <w:top w:val="single" w:sz="4" w:space="0" w:color="auto"/>
              <w:bottom w:val="single" w:sz="4" w:space="0" w:color="auto"/>
            </w:tcBorders>
            <w:shd w:val="clear" w:color="auto" w:fill="auto"/>
          </w:tcPr>
          <w:p w14:paraId="3FCA3365" w14:textId="77777777" w:rsidR="008754FE" w:rsidRPr="002F3133" w:rsidRDefault="008754FE" w:rsidP="00A8743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Count</w:t>
            </w:r>
          </w:p>
        </w:tc>
        <w:tc>
          <w:tcPr>
            <w:tcW w:w="933" w:type="dxa"/>
            <w:gridSpan w:val="2"/>
            <w:tcBorders>
              <w:top w:val="single" w:sz="4" w:space="0" w:color="auto"/>
              <w:bottom w:val="single" w:sz="4" w:space="0" w:color="auto"/>
            </w:tcBorders>
            <w:shd w:val="clear" w:color="auto" w:fill="auto"/>
          </w:tcPr>
          <w:p w14:paraId="4B227332" w14:textId="77777777" w:rsidR="008754FE" w:rsidRPr="002F3133" w:rsidRDefault="008754FE" w:rsidP="00A8743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w:t>
            </w:r>
          </w:p>
        </w:tc>
        <w:tc>
          <w:tcPr>
            <w:tcW w:w="871" w:type="dxa"/>
            <w:tcBorders>
              <w:top w:val="single" w:sz="4" w:space="0" w:color="auto"/>
              <w:bottom w:val="single" w:sz="4" w:space="0" w:color="auto"/>
            </w:tcBorders>
            <w:shd w:val="clear" w:color="auto" w:fill="auto"/>
          </w:tcPr>
          <w:p w14:paraId="03AA2646" w14:textId="77777777" w:rsidR="008754FE" w:rsidRPr="002F3133" w:rsidRDefault="008754FE" w:rsidP="00A8743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Count</w:t>
            </w:r>
          </w:p>
        </w:tc>
        <w:tc>
          <w:tcPr>
            <w:tcW w:w="933" w:type="dxa"/>
            <w:gridSpan w:val="2"/>
            <w:tcBorders>
              <w:top w:val="single" w:sz="4" w:space="0" w:color="auto"/>
              <w:bottom w:val="single" w:sz="4" w:space="0" w:color="auto"/>
            </w:tcBorders>
            <w:shd w:val="clear" w:color="auto" w:fill="auto"/>
          </w:tcPr>
          <w:p w14:paraId="318B0E7E" w14:textId="77777777" w:rsidR="008754FE" w:rsidRPr="002F3133" w:rsidRDefault="008754FE" w:rsidP="00A8743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w:t>
            </w:r>
          </w:p>
        </w:tc>
        <w:tc>
          <w:tcPr>
            <w:tcW w:w="871" w:type="dxa"/>
            <w:tcBorders>
              <w:top w:val="single" w:sz="4" w:space="0" w:color="auto"/>
              <w:bottom w:val="single" w:sz="4" w:space="0" w:color="auto"/>
            </w:tcBorders>
            <w:shd w:val="clear" w:color="auto" w:fill="auto"/>
          </w:tcPr>
          <w:p w14:paraId="3EB7C10E" w14:textId="77777777" w:rsidR="008754FE" w:rsidRPr="002F3133" w:rsidRDefault="008754FE" w:rsidP="00A8743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Count</w:t>
            </w:r>
          </w:p>
        </w:tc>
        <w:tc>
          <w:tcPr>
            <w:tcW w:w="933" w:type="dxa"/>
            <w:gridSpan w:val="2"/>
            <w:tcBorders>
              <w:top w:val="single" w:sz="4" w:space="0" w:color="auto"/>
              <w:bottom w:val="single" w:sz="4" w:space="0" w:color="auto"/>
            </w:tcBorders>
            <w:shd w:val="clear" w:color="auto" w:fill="auto"/>
          </w:tcPr>
          <w:p w14:paraId="2A76024A" w14:textId="77777777" w:rsidR="008754FE" w:rsidRPr="002F3133" w:rsidRDefault="008754FE" w:rsidP="00A8743E">
            <w:pPr>
              <w:spacing w:beforeLines="20" w:before="48" w:line="240" w:lineRule="auto"/>
              <w:jc w:val="center"/>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r w:rsidRPr="002F3133">
              <w:rPr>
                <w:rFonts w:cs="Times New Roman"/>
                <w:sz w:val="20"/>
                <w:szCs w:val="20"/>
              </w:rPr>
              <w:t>%</w:t>
            </w:r>
          </w:p>
        </w:tc>
      </w:tr>
      <w:tr w:rsidR="00D9345D" w:rsidRPr="002F3133" w14:paraId="7ACBD70D" w14:textId="77777777" w:rsidTr="00D45B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vAlign w:val="bottom"/>
          </w:tcPr>
          <w:p w14:paraId="5B3F3C3B" w14:textId="4317F2A6" w:rsidR="00D9345D" w:rsidRPr="002F3133" w:rsidRDefault="00D9345D" w:rsidP="00D9345D">
            <w:pPr>
              <w:spacing w:beforeLines="20" w:before="48" w:line="240" w:lineRule="auto"/>
              <w:rPr>
                <w:rFonts w:cs="Times New Roman"/>
                <w:b w:val="0"/>
                <w:bCs w:val="0"/>
                <w:sz w:val="20"/>
                <w:szCs w:val="20"/>
              </w:rPr>
            </w:pPr>
            <w:r w:rsidRPr="002F3133">
              <w:rPr>
                <w:rFonts w:cs="Times New Roman"/>
                <w:color w:val="000000"/>
                <w:sz w:val="20"/>
                <w:szCs w:val="20"/>
              </w:rPr>
              <w:t xml:space="preserve">Total Unique Patients </w:t>
            </w:r>
          </w:p>
        </w:tc>
        <w:tc>
          <w:tcPr>
            <w:tcW w:w="871" w:type="dxa"/>
            <w:tcBorders>
              <w:top w:val="single" w:sz="4" w:space="0" w:color="auto"/>
              <w:bottom w:val="single" w:sz="4" w:space="0" w:color="auto"/>
            </w:tcBorders>
            <w:shd w:val="clear" w:color="auto" w:fill="auto"/>
            <w:vAlign w:val="bottom"/>
          </w:tcPr>
          <w:p w14:paraId="23F69600" w14:textId="08C4941D" w:rsidR="00D9345D" w:rsidRPr="002F3133" w:rsidRDefault="00D9345D" w:rsidP="00D9345D">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2F3133">
              <w:rPr>
                <w:rFonts w:cs="Times New Roman"/>
                <w:color w:val="000000"/>
                <w:sz w:val="20"/>
                <w:szCs w:val="20"/>
              </w:rPr>
              <w:t>79,054</w:t>
            </w:r>
          </w:p>
        </w:tc>
        <w:tc>
          <w:tcPr>
            <w:tcW w:w="933" w:type="dxa"/>
            <w:gridSpan w:val="2"/>
            <w:tcBorders>
              <w:top w:val="single" w:sz="4" w:space="0" w:color="auto"/>
              <w:bottom w:val="single" w:sz="4" w:space="0" w:color="auto"/>
            </w:tcBorders>
            <w:shd w:val="clear" w:color="auto" w:fill="auto"/>
            <w:vAlign w:val="bottom"/>
          </w:tcPr>
          <w:p w14:paraId="45E54D6D" w14:textId="7EEE9FB7" w:rsidR="00D9345D" w:rsidRPr="002F3133" w:rsidRDefault="00D9345D" w:rsidP="00D9345D">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2F3133">
              <w:rPr>
                <w:rFonts w:cs="Times New Roman"/>
                <w:color w:val="000000"/>
                <w:sz w:val="20"/>
                <w:szCs w:val="20"/>
              </w:rPr>
              <w:t>100.0%</w:t>
            </w:r>
          </w:p>
        </w:tc>
        <w:tc>
          <w:tcPr>
            <w:tcW w:w="871" w:type="dxa"/>
            <w:tcBorders>
              <w:top w:val="single" w:sz="4" w:space="0" w:color="auto"/>
              <w:bottom w:val="single" w:sz="4" w:space="0" w:color="auto"/>
            </w:tcBorders>
            <w:shd w:val="clear" w:color="auto" w:fill="auto"/>
            <w:vAlign w:val="bottom"/>
          </w:tcPr>
          <w:p w14:paraId="08D816C2" w14:textId="67273A52" w:rsidR="00D9345D" w:rsidRPr="002F3133" w:rsidRDefault="00D9345D" w:rsidP="00D9345D">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2F3133">
              <w:rPr>
                <w:rFonts w:cs="Times New Roman"/>
                <w:color w:val="000000"/>
                <w:sz w:val="20"/>
                <w:szCs w:val="20"/>
              </w:rPr>
              <w:t>69,010</w:t>
            </w:r>
          </w:p>
        </w:tc>
        <w:tc>
          <w:tcPr>
            <w:tcW w:w="933" w:type="dxa"/>
            <w:gridSpan w:val="2"/>
            <w:tcBorders>
              <w:top w:val="single" w:sz="4" w:space="0" w:color="auto"/>
              <w:bottom w:val="single" w:sz="4" w:space="0" w:color="auto"/>
            </w:tcBorders>
            <w:shd w:val="clear" w:color="auto" w:fill="auto"/>
            <w:vAlign w:val="bottom"/>
          </w:tcPr>
          <w:p w14:paraId="64EDC0E1" w14:textId="6C577871" w:rsidR="00D9345D" w:rsidRPr="002F3133" w:rsidRDefault="00D9345D" w:rsidP="00D9345D">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2F3133">
              <w:rPr>
                <w:rFonts w:cs="Times New Roman"/>
                <w:color w:val="000000"/>
                <w:sz w:val="20"/>
                <w:szCs w:val="20"/>
              </w:rPr>
              <w:t>100.0%</w:t>
            </w:r>
          </w:p>
        </w:tc>
        <w:tc>
          <w:tcPr>
            <w:tcW w:w="871" w:type="dxa"/>
            <w:tcBorders>
              <w:top w:val="single" w:sz="4" w:space="0" w:color="auto"/>
              <w:bottom w:val="single" w:sz="4" w:space="0" w:color="auto"/>
            </w:tcBorders>
            <w:shd w:val="clear" w:color="auto" w:fill="auto"/>
            <w:vAlign w:val="bottom"/>
          </w:tcPr>
          <w:p w14:paraId="100D5E9E" w14:textId="6B980ACF" w:rsidR="00D9345D" w:rsidRPr="002F3133" w:rsidRDefault="00D9345D" w:rsidP="00D9345D">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2F3133">
              <w:rPr>
                <w:rFonts w:cs="Times New Roman"/>
                <w:color w:val="000000"/>
                <w:sz w:val="20"/>
                <w:szCs w:val="20"/>
              </w:rPr>
              <w:t>70,696</w:t>
            </w:r>
          </w:p>
        </w:tc>
        <w:tc>
          <w:tcPr>
            <w:tcW w:w="933" w:type="dxa"/>
            <w:gridSpan w:val="2"/>
            <w:tcBorders>
              <w:top w:val="single" w:sz="4" w:space="0" w:color="auto"/>
              <w:bottom w:val="single" w:sz="4" w:space="0" w:color="auto"/>
            </w:tcBorders>
            <w:shd w:val="clear" w:color="auto" w:fill="auto"/>
            <w:vAlign w:val="bottom"/>
          </w:tcPr>
          <w:p w14:paraId="6BF395EF" w14:textId="2372208D" w:rsidR="00D9345D" w:rsidRPr="002F3133" w:rsidRDefault="00D9345D" w:rsidP="00D9345D">
            <w:pPr>
              <w:spacing w:beforeLines="20" w:before="48"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bCs/>
                <w:sz w:val="20"/>
                <w:szCs w:val="20"/>
              </w:rPr>
            </w:pPr>
            <w:r w:rsidRPr="002F3133">
              <w:rPr>
                <w:rFonts w:cs="Times New Roman"/>
                <w:color w:val="000000"/>
                <w:sz w:val="20"/>
                <w:szCs w:val="20"/>
              </w:rPr>
              <w:t>100.0%</w:t>
            </w:r>
          </w:p>
        </w:tc>
      </w:tr>
      <w:tr w:rsidR="008754FE" w:rsidRPr="002F3133" w14:paraId="7BB0FAAF" w14:textId="77777777" w:rsidTr="00D45B28">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730CBEDA" w14:textId="77777777" w:rsidR="008754FE" w:rsidRPr="002F3133" w:rsidRDefault="008754FE" w:rsidP="008754FE">
            <w:pPr>
              <w:spacing w:beforeLines="20" w:before="48" w:line="240" w:lineRule="auto"/>
              <w:rPr>
                <w:rFonts w:cs="Times New Roman"/>
                <w:sz w:val="20"/>
                <w:szCs w:val="20"/>
              </w:rPr>
            </w:pPr>
            <w:r w:rsidRPr="002F3133">
              <w:rPr>
                <w:rFonts w:cs="Times New Roman"/>
                <w:sz w:val="20"/>
                <w:szCs w:val="20"/>
              </w:rPr>
              <w:t>Gender</w:t>
            </w:r>
          </w:p>
        </w:tc>
        <w:tc>
          <w:tcPr>
            <w:tcW w:w="871" w:type="dxa"/>
            <w:tcBorders>
              <w:top w:val="single" w:sz="4" w:space="0" w:color="auto"/>
            </w:tcBorders>
            <w:shd w:val="clear" w:color="auto" w:fill="auto"/>
          </w:tcPr>
          <w:p w14:paraId="4B02AE53" w14:textId="5CBB10C1" w:rsidR="008754FE" w:rsidRPr="002F3133" w:rsidRDefault="008754FE" w:rsidP="008754F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tcBorders>
              <w:top w:val="single" w:sz="4" w:space="0" w:color="auto"/>
            </w:tcBorders>
            <w:shd w:val="clear" w:color="auto" w:fill="auto"/>
          </w:tcPr>
          <w:p w14:paraId="40E68D2E" w14:textId="06DCB93D" w:rsidR="008754FE" w:rsidRPr="002F3133" w:rsidRDefault="008754FE" w:rsidP="008754F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tcBorders>
              <w:top w:val="single" w:sz="4" w:space="0" w:color="auto"/>
            </w:tcBorders>
            <w:shd w:val="clear" w:color="auto" w:fill="auto"/>
          </w:tcPr>
          <w:p w14:paraId="67C2EE2F" w14:textId="3F6E55C2" w:rsidR="008754FE" w:rsidRPr="002F3133" w:rsidRDefault="008754FE" w:rsidP="008754F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tcBorders>
              <w:top w:val="single" w:sz="4" w:space="0" w:color="auto"/>
            </w:tcBorders>
            <w:shd w:val="clear" w:color="auto" w:fill="auto"/>
          </w:tcPr>
          <w:p w14:paraId="3C385E10" w14:textId="3CC3D27A" w:rsidR="008754FE" w:rsidRPr="002F3133" w:rsidRDefault="008754FE" w:rsidP="008754F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tcBorders>
              <w:top w:val="single" w:sz="4" w:space="0" w:color="auto"/>
            </w:tcBorders>
            <w:shd w:val="clear" w:color="auto" w:fill="auto"/>
          </w:tcPr>
          <w:p w14:paraId="597D4F3F" w14:textId="206E2666" w:rsidR="008754FE" w:rsidRPr="002F3133" w:rsidRDefault="008754FE" w:rsidP="008754F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tcBorders>
              <w:top w:val="single" w:sz="4" w:space="0" w:color="auto"/>
            </w:tcBorders>
            <w:shd w:val="clear" w:color="auto" w:fill="auto"/>
          </w:tcPr>
          <w:p w14:paraId="37561002" w14:textId="003C329B" w:rsidR="008754FE" w:rsidRPr="002F3133" w:rsidRDefault="008754FE" w:rsidP="008754F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D9345D" w:rsidRPr="002F3133" w14:paraId="06D34CA8" w14:textId="77777777" w:rsidTr="00D45B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F8E033C" w14:textId="77777777" w:rsidR="00D9345D" w:rsidRPr="002F3133" w:rsidRDefault="00D9345D" w:rsidP="00D9345D">
            <w:pPr>
              <w:spacing w:beforeLines="20" w:before="48" w:line="240" w:lineRule="auto"/>
              <w:ind w:left="157"/>
              <w:rPr>
                <w:rFonts w:cs="Times New Roman"/>
                <w:sz w:val="20"/>
                <w:szCs w:val="20"/>
              </w:rPr>
            </w:pPr>
            <w:r w:rsidRPr="002F3133">
              <w:rPr>
                <w:rFonts w:cs="Times New Roman"/>
                <w:b w:val="0"/>
                <w:bCs w:val="0"/>
                <w:sz w:val="20"/>
                <w:szCs w:val="20"/>
              </w:rPr>
              <w:t>Male</w:t>
            </w:r>
          </w:p>
        </w:tc>
        <w:tc>
          <w:tcPr>
            <w:tcW w:w="871" w:type="dxa"/>
            <w:shd w:val="clear" w:color="auto" w:fill="auto"/>
          </w:tcPr>
          <w:p w14:paraId="161EF1C9" w14:textId="0E7FBC9A" w:rsidR="00D9345D" w:rsidRPr="002F3133" w:rsidRDefault="00D9345D" w:rsidP="00D9345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34,395</w:t>
            </w:r>
          </w:p>
        </w:tc>
        <w:tc>
          <w:tcPr>
            <w:tcW w:w="933" w:type="dxa"/>
            <w:gridSpan w:val="2"/>
            <w:shd w:val="clear" w:color="auto" w:fill="auto"/>
          </w:tcPr>
          <w:p w14:paraId="3C2E6F75" w14:textId="55731EE2" w:rsidR="00D9345D" w:rsidRPr="002F3133" w:rsidRDefault="00D9345D" w:rsidP="00D9345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43.5%</w:t>
            </w:r>
          </w:p>
        </w:tc>
        <w:tc>
          <w:tcPr>
            <w:tcW w:w="871" w:type="dxa"/>
            <w:shd w:val="clear" w:color="auto" w:fill="auto"/>
          </w:tcPr>
          <w:p w14:paraId="5C76A143" w14:textId="3C74B41F" w:rsidR="00D9345D" w:rsidRPr="002F3133" w:rsidRDefault="00D9345D" w:rsidP="00D9345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28,974</w:t>
            </w:r>
          </w:p>
        </w:tc>
        <w:tc>
          <w:tcPr>
            <w:tcW w:w="933" w:type="dxa"/>
            <w:gridSpan w:val="2"/>
            <w:shd w:val="clear" w:color="auto" w:fill="auto"/>
          </w:tcPr>
          <w:p w14:paraId="4E15654D" w14:textId="642ED1F1" w:rsidR="00D9345D" w:rsidRPr="002F3133" w:rsidRDefault="00D9345D" w:rsidP="00D9345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42.0%</w:t>
            </w:r>
          </w:p>
        </w:tc>
        <w:tc>
          <w:tcPr>
            <w:tcW w:w="871" w:type="dxa"/>
            <w:shd w:val="clear" w:color="auto" w:fill="auto"/>
          </w:tcPr>
          <w:p w14:paraId="25DC0C46" w14:textId="7338EBBB" w:rsidR="00D9345D" w:rsidRPr="002F3133" w:rsidRDefault="00D9345D" w:rsidP="00D9345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29,797</w:t>
            </w:r>
          </w:p>
        </w:tc>
        <w:tc>
          <w:tcPr>
            <w:tcW w:w="933" w:type="dxa"/>
            <w:gridSpan w:val="2"/>
            <w:shd w:val="clear" w:color="auto" w:fill="auto"/>
          </w:tcPr>
          <w:p w14:paraId="05CF8FFB" w14:textId="69B85553" w:rsidR="00D9345D" w:rsidRPr="002F3133" w:rsidRDefault="00D9345D" w:rsidP="00D9345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42.2%</w:t>
            </w:r>
          </w:p>
        </w:tc>
      </w:tr>
      <w:tr w:rsidR="00D9345D" w:rsidRPr="002F3133" w14:paraId="18F84E40" w14:textId="77777777" w:rsidTr="00D45B28">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73306C8B" w14:textId="77777777" w:rsidR="00D9345D" w:rsidRPr="002F3133" w:rsidRDefault="00D9345D" w:rsidP="00D9345D">
            <w:pPr>
              <w:spacing w:beforeLines="20" w:before="48" w:line="240" w:lineRule="auto"/>
              <w:ind w:left="157"/>
              <w:rPr>
                <w:rFonts w:cs="Times New Roman"/>
                <w:b w:val="0"/>
                <w:bCs w:val="0"/>
                <w:sz w:val="20"/>
                <w:szCs w:val="20"/>
              </w:rPr>
            </w:pPr>
            <w:r w:rsidRPr="002F3133">
              <w:rPr>
                <w:rFonts w:cs="Times New Roman"/>
                <w:b w:val="0"/>
                <w:bCs w:val="0"/>
                <w:sz w:val="20"/>
                <w:szCs w:val="20"/>
              </w:rPr>
              <w:t>Female</w:t>
            </w:r>
          </w:p>
        </w:tc>
        <w:tc>
          <w:tcPr>
            <w:tcW w:w="871" w:type="dxa"/>
            <w:shd w:val="clear" w:color="auto" w:fill="auto"/>
          </w:tcPr>
          <w:p w14:paraId="23C11472" w14:textId="5FAE3CAC" w:rsidR="00D9345D" w:rsidRPr="002F3133" w:rsidRDefault="00D9345D" w:rsidP="00D9345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44,009</w:t>
            </w:r>
          </w:p>
        </w:tc>
        <w:tc>
          <w:tcPr>
            <w:tcW w:w="933" w:type="dxa"/>
            <w:gridSpan w:val="2"/>
            <w:shd w:val="clear" w:color="auto" w:fill="auto"/>
          </w:tcPr>
          <w:p w14:paraId="413A2E4F" w14:textId="3A5A856D" w:rsidR="00D9345D" w:rsidRPr="002F3133" w:rsidRDefault="00D9345D" w:rsidP="00D9345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55.7%</w:t>
            </w:r>
          </w:p>
        </w:tc>
        <w:tc>
          <w:tcPr>
            <w:tcW w:w="871" w:type="dxa"/>
            <w:shd w:val="clear" w:color="auto" w:fill="auto"/>
          </w:tcPr>
          <w:p w14:paraId="700F5ED1" w14:textId="3DBD7280" w:rsidR="00D9345D" w:rsidRPr="002F3133" w:rsidRDefault="00D9345D" w:rsidP="00D9345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39,966</w:t>
            </w:r>
          </w:p>
        </w:tc>
        <w:tc>
          <w:tcPr>
            <w:tcW w:w="933" w:type="dxa"/>
            <w:gridSpan w:val="2"/>
            <w:shd w:val="clear" w:color="auto" w:fill="auto"/>
          </w:tcPr>
          <w:p w14:paraId="18B57B21" w14:textId="27DE726A" w:rsidR="00D9345D" w:rsidRPr="002F3133" w:rsidRDefault="00D9345D" w:rsidP="00D9345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57.9%</w:t>
            </w:r>
          </w:p>
        </w:tc>
        <w:tc>
          <w:tcPr>
            <w:tcW w:w="871" w:type="dxa"/>
            <w:shd w:val="clear" w:color="auto" w:fill="auto"/>
          </w:tcPr>
          <w:p w14:paraId="05415691" w14:textId="1BD82527" w:rsidR="00D9345D" w:rsidRPr="002F3133" w:rsidRDefault="00D9345D" w:rsidP="00D9345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40,778</w:t>
            </w:r>
          </w:p>
        </w:tc>
        <w:tc>
          <w:tcPr>
            <w:tcW w:w="933" w:type="dxa"/>
            <w:gridSpan w:val="2"/>
            <w:shd w:val="clear" w:color="auto" w:fill="auto"/>
          </w:tcPr>
          <w:p w14:paraId="36A2A748" w14:textId="4E15F813" w:rsidR="00D9345D" w:rsidRPr="002F3133" w:rsidRDefault="00D9345D" w:rsidP="00D9345D">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57.7%</w:t>
            </w:r>
          </w:p>
        </w:tc>
      </w:tr>
      <w:tr w:rsidR="00D9345D" w:rsidRPr="002F3133" w14:paraId="323F8F59" w14:textId="77777777" w:rsidTr="00D45B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72D487B5" w14:textId="1323D4CE" w:rsidR="00D9345D" w:rsidRPr="002F3133" w:rsidRDefault="00D9345D" w:rsidP="00D9345D">
            <w:pPr>
              <w:spacing w:beforeLines="20" w:before="48" w:line="240" w:lineRule="auto"/>
              <w:ind w:left="157"/>
              <w:rPr>
                <w:rFonts w:cs="Times New Roman"/>
                <w:b w:val="0"/>
                <w:bCs w:val="0"/>
                <w:sz w:val="20"/>
                <w:szCs w:val="20"/>
              </w:rPr>
            </w:pPr>
            <w:r w:rsidRPr="002F3133">
              <w:rPr>
                <w:rFonts w:cs="Times New Roman"/>
                <w:b w:val="0"/>
                <w:bCs w:val="0"/>
                <w:sz w:val="20"/>
                <w:szCs w:val="20"/>
              </w:rPr>
              <w:t>Other</w:t>
            </w:r>
          </w:p>
        </w:tc>
        <w:tc>
          <w:tcPr>
            <w:tcW w:w="871" w:type="dxa"/>
            <w:shd w:val="clear" w:color="auto" w:fill="auto"/>
          </w:tcPr>
          <w:p w14:paraId="5E670D22" w14:textId="3BDABF81" w:rsidR="00D9345D" w:rsidRPr="002F3133" w:rsidRDefault="00D9345D" w:rsidP="00D9345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650</w:t>
            </w:r>
          </w:p>
        </w:tc>
        <w:tc>
          <w:tcPr>
            <w:tcW w:w="933" w:type="dxa"/>
            <w:gridSpan w:val="2"/>
            <w:shd w:val="clear" w:color="auto" w:fill="auto"/>
          </w:tcPr>
          <w:p w14:paraId="326FBE39" w14:textId="51F18018" w:rsidR="00D9345D" w:rsidRPr="002F3133" w:rsidRDefault="00D9345D" w:rsidP="00D9345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0.8%</w:t>
            </w:r>
          </w:p>
        </w:tc>
        <w:tc>
          <w:tcPr>
            <w:tcW w:w="871" w:type="dxa"/>
            <w:shd w:val="clear" w:color="auto" w:fill="auto"/>
          </w:tcPr>
          <w:p w14:paraId="03E167A1" w14:textId="38CBF674" w:rsidR="00D9345D" w:rsidRPr="002F3133" w:rsidRDefault="00D9345D" w:rsidP="00D9345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70</w:t>
            </w:r>
          </w:p>
        </w:tc>
        <w:tc>
          <w:tcPr>
            <w:tcW w:w="933" w:type="dxa"/>
            <w:gridSpan w:val="2"/>
            <w:shd w:val="clear" w:color="auto" w:fill="auto"/>
          </w:tcPr>
          <w:p w14:paraId="79513392" w14:textId="03BAA2E6" w:rsidR="00D9345D" w:rsidRPr="002F3133" w:rsidRDefault="00D9345D" w:rsidP="00D9345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0.1%</w:t>
            </w:r>
          </w:p>
        </w:tc>
        <w:tc>
          <w:tcPr>
            <w:tcW w:w="871" w:type="dxa"/>
            <w:shd w:val="clear" w:color="auto" w:fill="auto"/>
          </w:tcPr>
          <w:p w14:paraId="3B346F0F" w14:textId="2A081478" w:rsidR="00D9345D" w:rsidRPr="002F3133" w:rsidRDefault="00D9345D" w:rsidP="00D9345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121</w:t>
            </w:r>
          </w:p>
        </w:tc>
        <w:tc>
          <w:tcPr>
            <w:tcW w:w="933" w:type="dxa"/>
            <w:gridSpan w:val="2"/>
            <w:shd w:val="clear" w:color="auto" w:fill="auto"/>
          </w:tcPr>
          <w:p w14:paraId="65957893" w14:textId="1305FAF1" w:rsidR="00D9345D" w:rsidRPr="002F3133" w:rsidRDefault="00D9345D" w:rsidP="00D9345D">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0.2%</w:t>
            </w:r>
          </w:p>
        </w:tc>
      </w:tr>
      <w:tr w:rsidR="00D9345D" w:rsidRPr="002F3133" w14:paraId="25391E25" w14:textId="77777777" w:rsidTr="00D45B28">
        <w:trPr>
          <w:cantSplit/>
          <w:trHeight w:val="83"/>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02AE1635" w14:textId="77777777" w:rsidR="008754FE" w:rsidRPr="002F3133" w:rsidRDefault="008754FE" w:rsidP="00A8743E">
            <w:pPr>
              <w:spacing w:beforeLines="20" w:before="48" w:line="240" w:lineRule="auto"/>
              <w:rPr>
                <w:rFonts w:cs="Times New Roman"/>
                <w:sz w:val="20"/>
                <w:szCs w:val="20"/>
              </w:rPr>
            </w:pPr>
            <w:r w:rsidRPr="002F3133">
              <w:rPr>
                <w:rFonts w:cs="Times New Roman"/>
                <w:sz w:val="20"/>
                <w:szCs w:val="20"/>
              </w:rPr>
              <w:t>Age</w:t>
            </w:r>
          </w:p>
        </w:tc>
        <w:tc>
          <w:tcPr>
            <w:tcW w:w="871" w:type="dxa"/>
            <w:shd w:val="clear" w:color="auto" w:fill="auto"/>
          </w:tcPr>
          <w:p w14:paraId="6B96B41C"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0F88939C"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shd w:val="clear" w:color="auto" w:fill="auto"/>
          </w:tcPr>
          <w:p w14:paraId="05936E6A"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03FF8877"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shd w:val="clear" w:color="auto" w:fill="auto"/>
          </w:tcPr>
          <w:p w14:paraId="7D22FA4B"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41E910DF"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8754FE" w:rsidRPr="002F3133" w14:paraId="73522074" w14:textId="77777777" w:rsidTr="00D45B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B4630D5" w14:textId="77777777" w:rsidR="008754FE" w:rsidRPr="002F3133" w:rsidRDefault="008754FE" w:rsidP="008754FE">
            <w:pPr>
              <w:spacing w:beforeLines="20" w:before="48" w:line="240" w:lineRule="auto"/>
              <w:ind w:left="157"/>
              <w:rPr>
                <w:rFonts w:cs="Times New Roman"/>
                <w:b w:val="0"/>
                <w:bCs w:val="0"/>
                <w:sz w:val="20"/>
                <w:szCs w:val="20"/>
              </w:rPr>
            </w:pPr>
            <w:r w:rsidRPr="002F3133">
              <w:rPr>
                <w:rFonts w:cs="Times New Roman"/>
                <w:b w:val="0"/>
                <w:bCs w:val="0"/>
                <w:sz w:val="20"/>
                <w:szCs w:val="20"/>
              </w:rPr>
              <w:t>0 to 17</w:t>
            </w:r>
          </w:p>
        </w:tc>
        <w:tc>
          <w:tcPr>
            <w:tcW w:w="871" w:type="dxa"/>
            <w:shd w:val="clear" w:color="auto" w:fill="auto"/>
          </w:tcPr>
          <w:p w14:paraId="6ECC287A" w14:textId="75B08D8A" w:rsidR="008754FE" w:rsidRPr="002F3133" w:rsidRDefault="008754FE" w:rsidP="008754F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1,922</w:t>
            </w:r>
          </w:p>
        </w:tc>
        <w:tc>
          <w:tcPr>
            <w:tcW w:w="933" w:type="dxa"/>
            <w:gridSpan w:val="2"/>
            <w:shd w:val="clear" w:color="auto" w:fill="auto"/>
          </w:tcPr>
          <w:p w14:paraId="2939CD01" w14:textId="7FE831EF" w:rsidR="008754FE" w:rsidRPr="002F3133" w:rsidRDefault="008754FE" w:rsidP="008754F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2.4%</w:t>
            </w:r>
          </w:p>
        </w:tc>
        <w:tc>
          <w:tcPr>
            <w:tcW w:w="871" w:type="dxa"/>
            <w:shd w:val="clear" w:color="auto" w:fill="auto"/>
          </w:tcPr>
          <w:p w14:paraId="297A5C6E" w14:textId="08B9D50B" w:rsidR="008754FE" w:rsidRPr="002F3133" w:rsidRDefault="008754FE" w:rsidP="008754F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2,470</w:t>
            </w:r>
          </w:p>
        </w:tc>
        <w:tc>
          <w:tcPr>
            <w:tcW w:w="933" w:type="dxa"/>
            <w:gridSpan w:val="2"/>
            <w:shd w:val="clear" w:color="auto" w:fill="auto"/>
          </w:tcPr>
          <w:p w14:paraId="5638C339" w14:textId="475D1F9E" w:rsidR="008754FE" w:rsidRPr="002F3133" w:rsidRDefault="008754FE" w:rsidP="008754F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3.</w:t>
            </w:r>
            <w:r w:rsidR="00597E19" w:rsidRPr="002F3133">
              <w:rPr>
                <w:rFonts w:cs="Times New Roman"/>
                <w:sz w:val="20"/>
                <w:szCs w:val="20"/>
              </w:rPr>
              <w:t>6</w:t>
            </w:r>
            <w:r w:rsidRPr="002F3133">
              <w:rPr>
                <w:rFonts w:cs="Times New Roman"/>
                <w:sz w:val="20"/>
                <w:szCs w:val="20"/>
              </w:rPr>
              <w:t>%</w:t>
            </w:r>
          </w:p>
        </w:tc>
        <w:tc>
          <w:tcPr>
            <w:tcW w:w="871" w:type="dxa"/>
            <w:shd w:val="clear" w:color="auto" w:fill="auto"/>
          </w:tcPr>
          <w:p w14:paraId="5AA644B0" w14:textId="034BD88A" w:rsidR="008754FE" w:rsidRPr="002F3133" w:rsidRDefault="008754FE" w:rsidP="008754F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2,663</w:t>
            </w:r>
          </w:p>
        </w:tc>
        <w:tc>
          <w:tcPr>
            <w:tcW w:w="933" w:type="dxa"/>
            <w:gridSpan w:val="2"/>
            <w:shd w:val="clear" w:color="auto" w:fill="auto"/>
          </w:tcPr>
          <w:p w14:paraId="37A5EBC1" w14:textId="7B1DDFD9" w:rsidR="008754FE" w:rsidRPr="002F3133" w:rsidRDefault="008754FE" w:rsidP="008754F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3.</w:t>
            </w:r>
            <w:r w:rsidR="00597E19" w:rsidRPr="002F3133">
              <w:rPr>
                <w:rFonts w:cs="Times New Roman"/>
                <w:sz w:val="20"/>
                <w:szCs w:val="20"/>
              </w:rPr>
              <w:t>8</w:t>
            </w:r>
            <w:r w:rsidRPr="002F3133">
              <w:rPr>
                <w:rFonts w:cs="Times New Roman"/>
                <w:sz w:val="20"/>
                <w:szCs w:val="20"/>
              </w:rPr>
              <w:t>%</w:t>
            </w:r>
          </w:p>
        </w:tc>
      </w:tr>
      <w:tr w:rsidR="008754FE" w:rsidRPr="002F3133" w14:paraId="69198650" w14:textId="77777777" w:rsidTr="00D45B28">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30B3FE13" w14:textId="77777777" w:rsidR="008754FE" w:rsidRPr="002F3133" w:rsidRDefault="008754FE" w:rsidP="008754FE">
            <w:pPr>
              <w:spacing w:beforeLines="20" w:before="48" w:line="240" w:lineRule="auto"/>
              <w:ind w:left="157"/>
              <w:rPr>
                <w:rFonts w:cs="Times New Roman"/>
                <w:b w:val="0"/>
                <w:bCs w:val="0"/>
                <w:sz w:val="20"/>
                <w:szCs w:val="20"/>
              </w:rPr>
            </w:pPr>
            <w:r w:rsidRPr="002F3133">
              <w:rPr>
                <w:rFonts w:cs="Times New Roman"/>
                <w:b w:val="0"/>
                <w:bCs w:val="0"/>
                <w:sz w:val="20"/>
                <w:szCs w:val="20"/>
              </w:rPr>
              <w:t>18 to 64</w:t>
            </w:r>
          </w:p>
        </w:tc>
        <w:tc>
          <w:tcPr>
            <w:tcW w:w="871" w:type="dxa"/>
            <w:shd w:val="clear" w:color="auto" w:fill="auto"/>
          </w:tcPr>
          <w:p w14:paraId="0426E32A" w14:textId="0711E5C1" w:rsidR="008754FE" w:rsidRPr="002F3133" w:rsidRDefault="008754FE" w:rsidP="008754F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50,201</w:t>
            </w:r>
          </w:p>
        </w:tc>
        <w:tc>
          <w:tcPr>
            <w:tcW w:w="933" w:type="dxa"/>
            <w:gridSpan w:val="2"/>
            <w:shd w:val="clear" w:color="auto" w:fill="auto"/>
          </w:tcPr>
          <w:p w14:paraId="62E587F0" w14:textId="09D0ACDE" w:rsidR="008754FE" w:rsidRPr="002F3133" w:rsidRDefault="008754FE" w:rsidP="008754F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63.5%</w:t>
            </w:r>
          </w:p>
        </w:tc>
        <w:tc>
          <w:tcPr>
            <w:tcW w:w="871" w:type="dxa"/>
            <w:shd w:val="clear" w:color="auto" w:fill="auto"/>
          </w:tcPr>
          <w:p w14:paraId="1A9CFF8C" w14:textId="20181EDD" w:rsidR="008754FE" w:rsidRPr="002F3133" w:rsidRDefault="008754FE" w:rsidP="008754F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42,523</w:t>
            </w:r>
          </w:p>
        </w:tc>
        <w:tc>
          <w:tcPr>
            <w:tcW w:w="933" w:type="dxa"/>
            <w:gridSpan w:val="2"/>
            <w:shd w:val="clear" w:color="auto" w:fill="auto"/>
          </w:tcPr>
          <w:p w14:paraId="14044CEB" w14:textId="5A92D0E8" w:rsidR="008754FE" w:rsidRPr="002F3133" w:rsidRDefault="008754FE" w:rsidP="008754F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61.6%</w:t>
            </w:r>
          </w:p>
        </w:tc>
        <w:tc>
          <w:tcPr>
            <w:tcW w:w="871" w:type="dxa"/>
            <w:shd w:val="clear" w:color="auto" w:fill="auto"/>
          </w:tcPr>
          <w:p w14:paraId="0407898C" w14:textId="1861E4D8" w:rsidR="008754FE" w:rsidRPr="002F3133" w:rsidRDefault="008754FE" w:rsidP="008754F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43,496</w:t>
            </w:r>
          </w:p>
        </w:tc>
        <w:tc>
          <w:tcPr>
            <w:tcW w:w="933" w:type="dxa"/>
            <w:gridSpan w:val="2"/>
            <w:shd w:val="clear" w:color="auto" w:fill="auto"/>
          </w:tcPr>
          <w:p w14:paraId="30347FD9" w14:textId="44217441" w:rsidR="008754FE" w:rsidRPr="002F3133" w:rsidRDefault="008754FE" w:rsidP="008754F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sz w:val="20"/>
                <w:szCs w:val="20"/>
              </w:rPr>
              <w:t>61.5%</w:t>
            </w:r>
          </w:p>
        </w:tc>
      </w:tr>
      <w:tr w:rsidR="008754FE" w:rsidRPr="002F3133" w14:paraId="45989B95" w14:textId="77777777" w:rsidTr="00D45B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342AD24" w14:textId="77777777" w:rsidR="008754FE" w:rsidRPr="002F3133" w:rsidRDefault="008754FE" w:rsidP="008754FE">
            <w:pPr>
              <w:spacing w:beforeLines="20" w:before="48" w:line="240" w:lineRule="auto"/>
              <w:ind w:left="157"/>
              <w:rPr>
                <w:rFonts w:cs="Times New Roman"/>
                <w:b w:val="0"/>
                <w:bCs w:val="0"/>
                <w:sz w:val="20"/>
                <w:szCs w:val="20"/>
              </w:rPr>
            </w:pPr>
            <w:r w:rsidRPr="002F3133">
              <w:rPr>
                <w:rFonts w:cs="Times New Roman"/>
                <w:b w:val="0"/>
                <w:bCs w:val="0"/>
                <w:sz w:val="20"/>
                <w:szCs w:val="20"/>
              </w:rPr>
              <w:t>65+</w:t>
            </w:r>
          </w:p>
        </w:tc>
        <w:tc>
          <w:tcPr>
            <w:tcW w:w="871" w:type="dxa"/>
            <w:shd w:val="clear" w:color="auto" w:fill="auto"/>
          </w:tcPr>
          <w:p w14:paraId="7FF8FE23" w14:textId="10B7B11C" w:rsidR="008754FE" w:rsidRPr="002F3133" w:rsidRDefault="008754FE" w:rsidP="008754F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26,931</w:t>
            </w:r>
          </w:p>
        </w:tc>
        <w:tc>
          <w:tcPr>
            <w:tcW w:w="933" w:type="dxa"/>
            <w:gridSpan w:val="2"/>
            <w:shd w:val="clear" w:color="auto" w:fill="auto"/>
          </w:tcPr>
          <w:p w14:paraId="0E3A9089" w14:textId="11C73BC7" w:rsidR="008754FE" w:rsidRPr="002F3133" w:rsidRDefault="008754FE" w:rsidP="008754F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34.</w:t>
            </w:r>
            <w:r w:rsidR="00597E19" w:rsidRPr="002F3133">
              <w:rPr>
                <w:rFonts w:cs="Times New Roman"/>
                <w:sz w:val="20"/>
                <w:szCs w:val="20"/>
              </w:rPr>
              <w:t>1</w:t>
            </w:r>
            <w:r w:rsidRPr="002F3133">
              <w:rPr>
                <w:rFonts w:cs="Times New Roman"/>
                <w:sz w:val="20"/>
                <w:szCs w:val="20"/>
              </w:rPr>
              <w:t>%</w:t>
            </w:r>
          </w:p>
        </w:tc>
        <w:tc>
          <w:tcPr>
            <w:tcW w:w="871" w:type="dxa"/>
            <w:shd w:val="clear" w:color="auto" w:fill="auto"/>
          </w:tcPr>
          <w:p w14:paraId="77C78925" w14:textId="3C68372F" w:rsidR="008754FE" w:rsidRPr="002F3133" w:rsidRDefault="008754FE" w:rsidP="008754F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24,017</w:t>
            </w:r>
          </w:p>
        </w:tc>
        <w:tc>
          <w:tcPr>
            <w:tcW w:w="933" w:type="dxa"/>
            <w:gridSpan w:val="2"/>
            <w:shd w:val="clear" w:color="auto" w:fill="auto"/>
          </w:tcPr>
          <w:p w14:paraId="3CE5452E" w14:textId="4D652C52" w:rsidR="008754FE" w:rsidRPr="002F3133" w:rsidRDefault="008754FE" w:rsidP="008754F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34.8%</w:t>
            </w:r>
          </w:p>
        </w:tc>
        <w:tc>
          <w:tcPr>
            <w:tcW w:w="871" w:type="dxa"/>
            <w:shd w:val="clear" w:color="auto" w:fill="auto"/>
          </w:tcPr>
          <w:p w14:paraId="429BCF8D" w14:textId="6944B74C" w:rsidR="008754FE" w:rsidRPr="002F3133" w:rsidRDefault="008754FE" w:rsidP="008754F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24,537</w:t>
            </w:r>
          </w:p>
        </w:tc>
        <w:tc>
          <w:tcPr>
            <w:tcW w:w="933" w:type="dxa"/>
            <w:gridSpan w:val="2"/>
            <w:shd w:val="clear" w:color="auto" w:fill="auto"/>
          </w:tcPr>
          <w:p w14:paraId="6E7625E4" w14:textId="5275B528" w:rsidR="008754FE" w:rsidRPr="002F3133" w:rsidRDefault="008754FE" w:rsidP="008754FE">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sz w:val="20"/>
                <w:szCs w:val="20"/>
              </w:rPr>
              <w:t>34.7%</w:t>
            </w:r>
          </w:p>
        </w:tc>
      </w:tr>
      <w:tr w:rsidR="008754FE" w:rsidRPr="002F3133" w14:paraId="462F97B6" w14:textId="77777777" w:rsidTr="00D45B28">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0D21AFBC" w14:textId="77777777" w:rsidR="008754FE" w:rsidRPr="002F3133" w:rsidRDefault="008754FE" w:rsidP="00A8743E">
            <w:pPr>
              <w:spacing w:beforeLines="20" w:before="48" w:line="240" w:lineRule="auto"/>
              <w:rPr>
                <w:rFonts w:cs="Times New Roman"/>
                <w:sz w:val="20"/>
                <w:szCs w:val="20"/>
              </w:rPr>
            </w:pPr>
            <w:r w:rsidRPr="002F3133">
              <w:rPr>
                <w:rFonts w:cs="Times New Roman"/>
                <w:sz w:val="20"/>
                <w:szCs w:val="20"/>
              </w:rPr>
              <w:t>Race</w:t>
            </w:r>
          </w:p>
        </w:tc>
        <w:tc>
          <w:tcPr>
            <w:tcW w:w="871" w:type="dxa"/>
            <w:shd w:val="clear" w:color="auto" w:fill="auto"/>
            <w:vAlign w:val="center"/>
          </w:tcPr>
          <w:p w14:paraId="605F6FEC" w14:textId="45989F93"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vAlign w:val="center"/>
          </w:tcPr>
          <w:p w14:paraId="4855AC84" w14:textId="4B2E2D9C"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shd w:val="clear" w:color="auto" w:fill="auto"/>
            <w:vAlign w:val="center"/>
          </w:tcPr>
          <w:p w14:paraId="19C8207E" w14:textId="6A975895"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vAlign w:val="center"/>
          </w:tcPr>
          <w:p w14:paraId="2D9341C3" w14:textId="2984E6CF"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shd w:val="clear" w:color="auto" w:fill="auto"/>
            <w:vAlign w:val="center"/>
          </w:tcPr>
          <w:p w14:paraId="054EB454" w14:textId="43302840"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vAlign w:val="center"/>
          </w:tcPr>
          <w:p w14:paraId="3768AFDE" w14:textId="4EA5A1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597E19" w:rsidRPr="002F3133" w14:paraId="6A6DF174" w14:textId="77777777" w:rsidTr="00D45B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2ADC0692" w14:textId="77777777" w:rsidR="00597E19" w:rsidRPr="002F3133" w:rsidRDefault="00597E19" w:rsidP="00597E19">
            <w:pPr>
              <w:spacing w:beforeLines="20" w:before="48" w:line="240" w:lineRule="auto"/>
              <w:ind w:left="157"/>
              <w:rPr>
                <w:rFonts w:cs="Times New Roman"/>
                <w:b w:val="0"/>
                <w:bCs w:val="0"/>
                <w:sz w:val="20"/>
                <w:szCs w:val="20"/>
              </w:rPr>
            </w:pPr>
            <w:r w:rsidRPr="002F3133">
              <w:rPr>
                <w:rFonts w:cs="Times New Roman"/>
                <w:b w:val="0"/>
                <w:bCs w:val="0"/>
                <w:sz w:val="20"/>
                <w:szCs w:val="20"/>
              </w:rPr>
              <w:t>American Indian or Alaska Native</w:t>
            </w:r>
          </w:p>
        </w:tc>
        <w:tc>
          <w:tcPr>
            <w:tcW w:w="871" w:type="dxa"/>
            <w:shd w:val="clear" w:color="auto" w:fill="auto"/>
            <w:vAlign w:val="bottom"/>
          </w:tcPr>
          <w:p w14:paraId="55F4E6A1" w14:textId="4B29D798"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131</w:t>
            </w:r>
          </w:p>
        </w:tc>
        <w:tc>
          <w:tcPr>
            <w:tcW w:w="933" w:type="dxa"/>
            <w:gridSpan w:val="2"/>
            <w:shd w:val="clear" w:color="auto" w:fill="auto"/>
            <w:vAlign w:val="bottom"/>
          </w:tcPr>
          <w:p w14:paraId="2F40954B" w14:textId="49AE086B"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0.2%</w:t>
            </w:r>
          </w:p>
        </w:tc>
        <w:tc>
          <w:tcPr>
            <w:tcW w:w="871" w:type="dxa"/>
            <w:shd w:val="clear" w:color="auto" w:fill="auto"/>
            <w:vAlign w:val="bottom"/>
          </w:tcPr>
          <w:p w14:paraId="5BAC19D0" w14:textId="289BD6F9"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134</w:t>
            </w:r>
          </w:p>
        </w:tc>
        <w:tc>
          <w:tcPr>
            <w:tcW w:w="933" w:type="dxa"/>
            <w:gridSpan w:val="2"/>
            <w:shd w:val="clear" w:color="auto" w:fill="auto"/>
            <w:vAlign w:val="bottom"/>
          </w:tcPr>
          <w:p w14:paraId="746729E9" w14:textId="176ABADD"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0.2%</w:t>
            </w:r>
          </w:p>
        </w:tc>
        <w:tc>
          <w:tcPr>
            <w:tcW w:w="871" w:type="dxa"/>
            <w:shd w:val="clear" w:color="auto" w:fill="auto"/>
            <w:vAlign w:val="bottom"/>
          </w:tcPr>
          <w:p w14:paraId="34BFB852" w14:textId="6C1C42C2"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130</w:t>
            </w:r>
          </w:p>
        </w:tc>
        <w:tc>
          <w:tcPr>
            <w:tcW w:w="933" w:type="dxa"/>
            <w:gridSpan w:val="2"/>
            <w:shd w:val="clear" w:color="auto" w:fill="auto"/>
            <w:vAlign w:val="bottom"/>
          </w:tcPr>
          <w:p w14:paraId="3A0EF230" w14:textId="512540F6"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0.2%</w:t>
            </w:r>
          </w:p>
        </w:tc>
      </w:tr>
      <w:tr w:rsidR="00597E19" w:rsidRPr="002F3133" w14:paraId="2EF6DDA1" w14:textId="77777777" w:rsidTr="00D45B28">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6D4DD10" w14:textId="77777777" w:rsidR="00597E19" w:rsidRPr="002F3133" w:rsidRDefault="00597E19" w:rsidP="00597E19">
            <w:pPr>
              <w:spacing w:beforeLines="20" w:before="48" w:line="240" w:lineRule="auto"/>
              <w:ind w:left="157"/>
              <w:rPr>
                <w:rFonts w:cs="Times New Roman"/>
                <w:b w:val="0"/>
                <w:bCs w:val="0"/>
                <w:sz w:val="20"/>
                <w:szCs w:val="20"/>
              </w:rPr>
            </w:pPr>
            <w:r w:rsidRPr="002F3133">
              <w:rPr>
                <w:rFonts w:cs="Times New Roman"/>
                <w:b w:val="0"/>
                <w:bCs w:val="0"/>
                <w:sz w:val="20"/>
                <w:szCs w:val="20"/>
              </w:rPr>
              <w:t>Asian</w:t>
            </w:r>
          </w:p>
        </w:tc>
        <w:tc>
          <w:tcPr>
            <w:tcW w:w="871" w:type="dxa"/>
            <w:shd w:val="clear" w:color="auto" w:fill="auto"/>
            <w:vAlign w:val="bottom"/>
          </w:tcPr>
          <w:p w14:paraId="7F317431" w14:textId="0B762444"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4,567</w:t>
            </w:r>
          </w:p>
        </w:tc>
        <w:tc>
          <w:tcPr>
            <w:tcW w:w="933" w:type="dxa"/>
            <w:gridSpan w:val="2"/>
            <w:shd w:val="clear" w:color="auto" w:fill="auto"/>
            <w:vAlign w:val="bottom"/>
          </w:tcPr>
          <w:p w14:paraId="274383A6" w14:textId="01EB7D31"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5.8%</w:t>
            </w:r>
          </w:p>
        </w:tc>
        <w:tc>
          <w:tcPr>
            <w:tcW w:w="871" w:type="dxa"/>
            <w:shd w:val="clear" w:color="auto" w:fill="auto"/>
            <w:vAlign w:val="bottom"/>
          </w:tcPr>
          <w:p w14:paraId="641E36EB" w14:textId="7CAC4623"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4,679</w:t>
            </w:r>
          </w:p>
        </w:tc>
        <w:tc>
          <w:tcPr>
            <w:tcW w:w="933" w:type="dxa"/>
            <w:gridSpan w:val="2"/>
            <w:shd w:val="clear" w:color="auto" w:fill="auto"/>
            <w:vAlign w:val="bottom"/>
          </w:tcPr>
          <w:p w14:paraId="762DB760" w14:textId="040332B5"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6.8%</w:t>
            </w:r>
          </w:p>
        </w:tc>
        <w:tc>
          <w:tcPr>
            <w:tcW w:w="871" w:type="dxa"/>
            <w:shd w:val="clear" w:color="auto" w:fill="auto"/>
            <w:vAlign w:val="bottom"/>
          </w:tcPr>
          <w:p w14:paraId="52E0CE31" w14:textId="5ECB3337"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4,763</w:t>
            </w:r>
          </w:p>
        </w:tc>
        <w:tc>
          <w:tcPr>
            <w:tcW w:w="933" w:type="dxa"/>
            <w:gridSpan w:val="2"/>
            <w:shd w:val="clear" w:color="auto" w:fill="auto"/>
            <w:vAlign w:val="bottom"/>
          </w:tcPr>
          <w:p w14:paraId="1553126F" w14:textId="1D39ECCB"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6.7%</w:t>
            </w:r>
          </w:p>
        </w:tc>
      </w:tr>
      <w:tr w:rsidR="00597E19" w:rsidRPr="002F3133" w14:paraId="29824B95" w14:textId="77777777" w:rsidTr="00D45B28">
        <w:trPr>
          <w:cnfStyle w:val="000000100000" w:firstRow="0" w:lastRow="0" w:firstColumn="0" w:lastColumn="0" w:oddVBand="0" w:evenVBand="0" w:oddHBand="1" w:evenHBand="0" w:firstRowFirstColumn="0" w:firstRowLastColumn="0" w:lastRowFirstColumn="0" w:lastRowLastColumn="0"/>
          <w:cantSplit/>
          <w:trHeight w:val="243"/>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FA130E5" w14:textId="77777777" w:rsidR="00597E19" w:rsidRPr="002F3133" w:rsidRDefault="00597E19" w:rsidP="00597E19">
            <w:pPr>
              <w:spacing w:beforeLines="20" w:before="48" w:line="240" w:lineRule="auto"/>
              <w:ind w:left="157"/>
              <w:rPr>
                <w:rFonts w:cs="Times New Roman"/>
                <w:b w:val="0"/>
                <w:bCs w:val="0"/>
                <w:sz w:val="20"/>
                <w:szCs w:val="20"/>
              </w:rPr>
            </w:pPr>
            <w:r w:rsidRPr="002F3133">
              <w:rPr>
                <w:rFonts w:cs="Times New Roman"/>
                <w:b w:val="0"/>
                <w:bCs w:val="0"/>
                <w:sz w:val="20"/>
                <w:szCs w:val="20"/>
              </w:rPr>
              <w:t>Black or African American</w:t>
            </w:r>
          </w:p>
        </w:tc>
        <w:tc>
          <w:tcPr>
            <w:tcW w:w="871" w:type="dxa"/>
            <w:shd w:val="clear" w:color="auto" w:fill="auto"/>
            <w:vAlign w:val="bottom"/>
          </w:tcPr>
          <w:p w14:paraId="75DD9F00" w14:textId="7A523993"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11,950</w:t>
            </w:r>
          </w:p>
        </w:tc>
        <w:tc>
          <w:tcPr>
            <w:tcW w:w="933" w:type="dxa"/>
            <w:gridSpan w:val="2"/>
            <w:shd w:val="clear" w:color="auto" w:fill="auto"/>
            <w:vAlign w:val="bottom"/>
          </w:tcPr>
          <w:p w14:paraId="5229ACB9" w14:textId="422E7600"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15.1%</w:t>
            </w:r>
          </w:p>
        </w:tc>
        <w:tc>
          <w:tcPr>
            <w:tcW w:w="871" w:type="dxa"/>
            <w:shd w:val="clear" w:color="auto" w:fill="auto"/>
            <w:vAlign w:val="bottom"/>
          </w:tcPr>
          <w:p w14:paraId="23D41A70" w14:textId="49FF3B1E"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12,336</w:t>
            </w:r>
          </w:p>
        </w:tc>
        <w:tc>
          <w:tcPr>
            <w:tcW w:w="933" w:type="dxa"/>
            <w:gridSpan w:val="2"/>
            <w:shd w:val="clear" w:color="auto" w:fill="auto"/>
            <w:vAlign w:val="bottom"/>
          </w:tcPr>
          <w:p w14:paraId="1B06FD60" w14:textId="1405CFC1"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17.9%</w:t>
            </w:r>
          </w:p>
        </w:tc>
        <w:tc>
          <w:tcPr>
            <w:tcW w:w="871" w:type="dxa"/>
            <w:shd w:val="clear" w:color="auto" w:fill="auto"/>
            <w:vAlign w:val="bottom"/>
          </w:tcPr>
          <w:p w14:paraId="763318AC" w14:textId="18B45CF8"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13,164</w:t>
            </w:r>
          </w:p>
        </w:tc>
        <w:tc>
          <w:tcPr>
            <w:tcW w:w="933" w:type="dxa"/>
            <w:gridSpan w:val="2"/>
            <w:shd w:val="clear" w:color="auto" w:fill="auto"/>
            <w:vAlign w:val="bottom"/>
          </w:tcPr>
          <w:p w14:paraId="214685A8" w14:textId="523DEFE7"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18.6%</w:t>
            </w:r>
          </w:p>
        </w:tc>
      </w:tr>
      <w:tr w:rsidR="00597E19" w:rsidRPr="002F3133" w14:paraId="752ED8B2" w14:textId="77777777" w:rsidTr="00D45B28">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4BE9EB85" w14:textId="77777777" w:rsidR="00597E19" w:rsidRPr="002F3133" w:rsidRDefault="00597E19" w:rsidP="00597E19">
            <w:pPr>
              <w:spacing w:beforeLines="20" w:before="48" w:line="240" w:lineRule="auto"/>
              <w:ind w:left="157"/>
              <w:rPr>
                <w:rFonts w:cs="Times New Roman"/>
                <w:sz w:val="20"/>
                <w:szCs w:val="20"/>
              </w:rPr>
            </w:pPr>
            <w:r w:rsidRPr="002F3133">
              <w:rPr>
                <w:rFonts w:cs="Times New Roman"/>
                <w:b w:val="0"/>
                <w:bCs w:val="0"/>
                <w:sz w:val="20"/>
                <w:szCs w:val="20"/>
              </w:rPr>
              <w:t xml:space="preserve">Native Hawaiian or </w:t>
            </w:r>
          </w:p>
          <w:p w14:paraId="069A6CE6" w14:textId="031B5DCB" w:rsidR="00597E19" w:rsidRPr="002F3133" w:rsidRDefault="00597E19" w:rsidP="00597E19">
            <w:pPr>
              <w:spacing w:beforeLines="20" w:before="48" w:line="240" w:lineRule="auto"/>
              <w:ind w:left="157"/>
              <w:rPr>
                <w:rFonts w:cs="Times New Roman"/>
                <w:b w:val="0"/>
                <w:bCs w:val="0"/>
                <w:sz w:val="20"/>
                <w:szCs w:val="20"/>
              </w:rPr>
            </w:pPr>
            <w:r w:rsidRPr="002F3133">
              <w:rPr>
                <w:rFonts w:cs="Times New Roman"/>
                <w:b w:val="0"/>
                <w:bCs w:val="0"/>
                <w:sz w:val="20"/>
                <w:szCs w:val="20"/>
              </w:rPr>
              <w:t>Other Pacific Islander</w:t>
            </w:r>
          </w:p>
        </w:tc>
        <w:tc>
          <w:tcPr>
            <w:tcW w:w="871" w:type="dxa"/>
            <w:shd w:val="clear" w:color="auto" w:fill="auto"/>
            <w:vAlign w:val="bottom"/>
          </w:tcPr>
          <w:p w14:paraId="6D5057E4" w14:textId="5541431F"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35</w:t>
            </w:r>
          </w:p>
        </w:tc>
        <w:tc>
          <w:tcPr>
            <w:tcW w:w="933" w:type="dxa"/>
            <w:gridSpan w:val="2"/>
            <w:shd w:val="clear" w:color="auto" w:fill="auto"/>
            <w:vAlign w:val="bottom"/>
          </w:tcPr>
          <w:p w14:paraId="3E48C9B4" w14:textId="3B148445"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0.0%</w:t>
            </w:r>
          </w:p>
        </w:tc>
        <w:tc>
          <w:tcPr>
            <w:tcW w:w="871" w:type="dxa"/>
            <w:shd w:val="clear" w:color="auto" w:fill="auto"/>
            <w:vAlign w:val="bottom"/>
          </w:tcPr>
          <w:p w14:paraId="096ECC3F" w14:textId="0FB87621"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24</w:t>
            </w:r>
          </w:p>
        </w:tc>
        <w:tc>
          <w:tcPr>
            <w:tcW w:w="933" w:type="dxa"/>
            <w:gridSpan w:val="2"/>
            <w:shd w:val="clear" w:color="auto" w:fill="auto"/>
            <w:vAlign w:val="bottom"/>
          </w:tcPr>
          <w:p w14:paraId="7A9E35CB" w14:textId="1D232BA7"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0.0%</w:t>
            </w:r>
          </w:p>
        </w:tc>
        <w:tc>
          <w:tcPr>
            <w:tcW w:w="871" w:type="dxa"/>
            <w:shd w:val="clear" w:color="auto" w:fill="auto"/>
            <w:vAlign w:val="bottom"/>
          </w:tcPr>
          <w:p w14:paraId="2282B3B2" w14:textId="734BB4C6"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26</w:t>
            </w:r>
          </w:p>
        </w:tc>
        <w:tc>
          <w:tcPr>
            <w:tcW w:w="933" w:type="dxa"/>
            <w:gridSpan w:val="2"/>
            <w:shd w:val="clear" w:color="auto" w:fill="auto"/>
            <w:vAlign w:val="bottom"/>
          </w:tcPr>
          <w:p w14:paraId="0B346C63" w14:textId="2D2947B0"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0.0%</w:t>
            </w:r>
          </w:p>
        </w:tc>
      </w:tr>
      <w:tr w:rsidR="00597E19" w:rsidRPr="002F3133" w14:paraId="191DB720" w14:textId="77777777" w:rsidTr="00D45B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213C107D" w14:textId="77777777" w:rsidR="00597E19" w:rsidRPr="002F3133" w:rsidRDefault="00597E19" w:rsidP="00597E19">
            <w:pPr>
              <w:spacing w:beforeLines="20" w:before="48" w:line="240" w:lineRule="auto"/>
              <w:ind w:left="157"/>
              <w:rPr>
                <w:rFonts w:cs="Times New Roman"/>
                <w:b w:val="0"/>
                <w:bCs w:val="0"/>
                <w:sz w:val="20"/>
                <w:szCs w:val="20"/>
              </w:rPr>
            </w:pPr>
            <w:r w:rsidRPr="002F3133">
              <w:rPr>
                <w:rFonts w:cs="Times New Roman"/>
                <w:b w:val="0"/>
                <w:bCs w:val="0"/>
                <w:sz w:val="20"/>
                <w:szCs w:val="20"/>
              </w:rPr>
              <w:t>Other</w:t>
            </w:r>
          </w:p>
        </w:tc>
        <w:tc>
          <w:tcPr>
            <w:tcW w:w="871" w:type="dxa"/>
            <w:shd w:val="clear" w:color="auto" w:fill="auto"/>
            <w:vAlign w:val="bottom"/>
          </w:tcPr>
          <w:p w14:paraId="18514D93" w14:textId="78D2506E"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13,849</w:t>
            </w:r>
          </w:p>
        </w:tc>
        <w:tc>
          <w:tcPr>
            <w:tcW w:w="933" w:type="dxa"/>
            <w:gridSpan w:val="2"/>
            <w:shd w:val="clear" w:color="auto" w:fill="auto"/>
            <w:vAlign w:val="bottom"/>
          </w:tcPr>
          <w:p w14:paraId="0219C2CB" w14:textId="44B7EFD5"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17.5%</w:t>
            </w:r>
          </w:p>
        </w:tc>
        <w:tc>
          <w:tcPr>
            <w:tcW w:w="871" w:type="dxa"/>
            <w:shd w:val="clear" w:color="auto" w:fill="auto"/>
            <w:vAlign w:val="bottom"/>
          </w:tcPr>
          <w:p w14:paraId="315296AD" w14:textId="7EDAE77F"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6,959</w:t>
            </w:r>
          </w:p>
        </w:tc>
        <w:tc>
          <w:tcPr>
            <w:tcW w:w="933" w:type="dxa"/>
            <w:gridSpan w:val="2"/>
            <w:shd w:val="clear" w:color="auto" w:fill="auto"/>
            <w:vAlign w:val="bottom"/>
          </w:tcPr>
          <w:p w14:paraId="486B35C7" w14:textId="0D85DE1F"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10.0%</w:t>
            </w:r>
          </w:p>
        </w:tc>
        <w:tc>
          <w:tcPr>
            <w:tcW w:w="871" w:type="dxa"/>
            <w:shd w:val="clear" w:color="auto" w:fill="auto"/>
            <w:vAlign w:val="bottom"/>
          </w:tcPr>
          <w:p w14:paraId="53FAF659" w14:textId="11179A2D"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9,166</w:t>
            </w:r>
          </w:p>
        </w:tc>
        <w:tc>
          <w:tcPr>
            <w:tcW w:w="933" w:type="dxa"/>
            <w:gridSpan w:val="2"/>
            <w:shd w:val="clear" w:color="auto" w:fill="auto"/>
            <w:vAlign w:val="bottom"/>
          </w:tcPr>
          <w:p w14:paraId="5DC9931D" w14:textId="16F5E1D2"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13.0%</w:t>
            </w:r>
          </w:p>
        </w:tc>
      </w:tr>
      <w:tr w:rsidR="00597E19" w:rsidRPr="002F3133" w14:paraId="6D819789" w14:textId="77777777" w:rsidTr="00D45B28">
        <w:trPr>
          <w:cantSplit/>
          <w:trHeight w:val="234"/>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2406F635" w14:textId="77777777" w:rsidR="00597E19" w:rsidRPr="002F3133" w:rsidRDefault="00597E19" w:rsidP="00597E19">
            <w:pPr>
              <w:spacing w:beforeLines="20" w:before="48" w:line="240" w:lineRule="auto"/>
              <w:ind w:left="157"/>
              <w:rPr>
                <w:rFonts w:cs="Times New Roman"/>
                <w:b w:val="0"/>
                <w:bCs w:val="0"/>
                <w:sz w:val="20"/>
                <w:szCs w:val="20"/>
              </w:rPr>
            </w:pPr>
            <w:r w:rsidRPr="002F3133">
              <w:rPr>
                <w:rFonts w:cs="Times New Roman"/>
                <w:b w:val="0"/>
                <w:bCs w:val="0"/>
                <w:sz w:val="20"/>
                <w:szCs w:val="20"/>
              </w:rPr>
              <w:t>White</w:t>
            </w:r>
          </w:p>
        </w:tc>
        <w:tc>
          <w:tcPr>
            <w:tcW w:w="871" w:type="dxa"/>
            <w:shd w:val="clear" w:color="auto" w:fill="auto"/>
            <w:vAlign w:val="bottom"/>
          </w:tcPr>
          <w:p w14:paraId="3A200FD8" w14:textId="2D6B6173"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48,522</w:t>
            </w:r>
          </w:p>
        </w:tc>
        <w:tc>
          <w:tcPr>
            <w:tcW w:w="933" w:type="dxa"/>
            <w:gridSpan w:val="2"/>
            <w:shd w:val="clear" w:color="auto" w:fill="auto"/>
            <w:vAlign w:val="bottom"/>
          </w:tcPr>
          <w:p w14:paraId="7B0C9AF8" w14:textId="0F47E1D9"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61.4%</w:t>
            </w:r>
          </w:p>
        </w:tc>
        <w:tc>
          <w:tcPr>
            <w:tcW w:w="871" w:type="dxa"/>
            <w:shd w:val="clear" w:color="auto" w:fill="auto"/>
            <w:vAlign w:val="bottom"/>
          </w:tcPr>
          <w:p w14:paraId="2DA22391" w14:textId="7DE63063"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44,878</w:t>
            </w:r>
          </w:p>
        </w:tc>
        <w:tc>
          <w:tcPr>
            <w:tcW w:w="933" w:type="dxa"/>
            <w:gridSpan w:val="2"/>
            <w:shd w:val="clear" w:color="auto" w:fill="auto"/>
            <w:vAlign w:val="bottom"/>
          </w:tcPr>
          <w:p w14:paraId="403B34BD" w14:textId="63A70601"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65.0%</w:t>
            </w:r>
          </w:p>
        </w:tc>
        <w:tc>
          <w:tcPr>
            <w:tcW w:w="871" w:type="dxa"/>
            <w:shd w:val="clear" w:color="auto" w:fill="auto"/>
            <w:vAlign w:val="bottom"/>
          </w:tcPr>
          <w:p w14:paraId="3A62FFF1" w14:textId="6F0DE256"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43,447</w:t>
            </w:r>
          </w:p>
        </w:tc>
        <w:tc>
          <w:tcPr>
            <w:tcW w:w="933" w:type="dxa"/>
            <w:gridSpan w:val="2"/>
            <w:shd w:val="clear" w:color="auto" w:fill="auto"/>
            <w:vAlign w:val="bottom"/>
          </w:tcPr>
          <w:p w14:paraId="03018CC2" w14:textId="38251ECD"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61.5%</w:t>
            </w:r>
          </w:p>
        </w:tc>
      </w:tr>
      <w:tr w:rsidR="00246A67" w:rsidRPr="00246A67" w14:paraId="4309FC2E" w14:textId="77777777" w:rsidTr="00D45B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F9F514B" w14:textId="77777777" w:rsidR="00246A67" w:rsidRPr="00246A67" w:rsidRDefault="00246A67" w:rsidP="00246A67">
            <w:pPr>
              <w:spacing w:beforeLines="20" w:before="48" w:line="240" w:lineRule="auto"/>
              <w:ind w:left="157"/>
              <w:rPr>
                <w:rFonts w:cs="Times New Roman"/>
                <w:b w:val="0"/>
                <w:bCs w:val="0"/>
                <w:sz w:val="20"/>
                <w:szCs w:val="20"/>
              </w:rPr>
            </w:pPr>
            <w:r w:rsidRPr="00246A67">
              <w:rPr>
                <w:rFonts w:cs="Times New Roman"/>
                <w:b w:val="0"/>
                <w:bCs w:val="0"/>
                <w:sz w:val="20"/>
                <w:szCs w:val="20"/>
              </w:rPr>
              <w:t>Unknown</w:t>
            </w:r>
          </w:p>
        </w:tc>
        <w:tc>
          <w:tcPr>
            <w:tcW w:w="871" w:type="dxa"/>
            <w:shd w:val="clear" w:color="auto" w:fill="auto"/>
          </w:tcPr>
          <w:p w14:paraId="3DFE71A7" w14:textId="6675E42F" w:rsidR="00246A67" w:rsidRPr="00246A67" w:rsidRDefault="00246A67" w:rsidP="00246A67">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46A67">
              <w:rPr>
                <w:sz w:val="20"/>
                <w:szCs w:val="20"/>
              </w:rPr>
              <w:t>0</w:t>
            </w:r>
          </w:p>
        </w:tc>
        <w:tc>
          <w:tcPr>
            <w:tcW w:w="933" w:type="dxa"/>
            <w:gridSpan w:val="2"/>
            <w:shd w:val="clear" w:color="auto" w:fill="auto"/>
          </w:tcPr>
          <w:p w14:paraId="655AF17A" w14:textId="3CBCF619" w:rsidR="00246A67" w:rsidRPr="00246A67" w:rsidRDefault="00246A67" w:rsidP="00246A67">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46A67">
              <w:rPr>
                <w:sz w:val="20"/>
                <w:szCs w:val="20"/>
              </w:rPr>
              <w:t>0.0%</w:t>
            </w:r>
          </w:p>
        </w:tc>
        <w:tc>
          <w:tcPr>
            <w:tcW w:w="871" w:type="dxa"/>
            <w:shd w:val="clear" w:color="auto" w:fill="auto"/>
          </w:tcPr>
          <w:p w14:paraId="6CEEBF0B" w14:textId="0CDFE5D1" w:rsidR="00246A67" w:rsidRPr="00246A67" w:rsidRDefault="00246A67" w:rsidP="00246A67">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46A67">
              <w:rPr>
                <w:sz w:val="20"/>
                <w:szCs w:val="20"/>
              </w:rPr>
              <w:t>0</w:t>
            </w:r>
          </w:p>
        </w:tc>
        <w:tc>
          <w:tcPr>
            <w:tcW w:w="933" w:type="dxa"/>
            <w:gridSpan w:val="2"/>
            <w:shd w:val="clear" w:color="auto" w:fill="auto"/>
          </w:tcPr>
          <w:p w14:paraId="1E23EE27" w14:textId="230D4A0C" w:rsidR="00246A67" w:rsidRPr="00246A67" w:rsidRDefault="00246A67" w:rsidP="00246A67">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46A67">
              <w:rPr>
                <w:sz w:val="20"/>
                <w:szCs w:val="20"/>
              </w:rPr>
              <w:t>0.0%</w:t>
            </w:r>
          </w:p>
        </w:tc>
        <w:tc>
          <w:tcPr>
            <w:tcW w:w="871" w:type="dxa"/>
            <w:shd w:val="clear" w:color="auto" w:fill="auto"/>
          </w:tcPr>
          <w:p w14:paraId="63740A09" w14:textId="2E99FE63" w:rsidR="00246A67" w:rsidRPr="00246A67" w:rsidRDefault="00246A67" w:rsidP="00246A67">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46A67">
              <w:rPr>
                <w:sz w:val="20"/>
                <w:szCs w:val="20"/>
              </w:rPr>
              <w:t>0</w:t>
            </w:r>
          </w:p>
        </w:tc>
        <w:tc>
          <w:tcPr>
            <w:tcW w:w="933" w:type="dxa"/>
            <w:gridSpan w:val="2"/>
            <w:shd w:val="clear" w:color="auto" w:fill="auto"/>
          </w:tcPr>
          <w:p w14:paraId="75B1DA20" w14:textId="227B937C" w:rsidR="00246A67" w:rsidRPr="00246A67" w:rsidRDefault="00246A67" w:rsidP="00246A67">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46A67">
              <w:rPr>
                <w:sz w:val="20"/>
                <w:szCs w:val="20"/>
              </w:rPr>
              <w:t>0.0%</w:t>
            </w:r>
          </w:p>
        </w:tc>
      </w:tr>
      <w:tr w:rsidR="00D9345D" w:rsidRPr="002F3133" w14:paraId="10BB24F4" w14:textId="77777777" w:rsidTr="00D45B28">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574A7887" w14:textId="77777777" w:rsidR="008754FE" w:rsidRPr="002F3133" w:rsidRDefault="008754FE" w:rsidP="00A8743E">
            <w:pPr>
              <w:spacing w:beforeLines="20" w:before="48" w:line="240" w:lineRule="auto"/>
              <w:rPr>
                <w:rFonts w:cs="Times New Roman"/>
                <w:sz w:val="20"/>
                <w:szCs w:val="20"/>
              </w:rPr>
            </w:pPr>
            <w:r w:rsidRPr="002F3133">
              <w:rPr>
                <w:rFonts w:cs="Times New Roman"/>
                <w:sz w:val="20"/>
                <w:szCs w:val="20"/>
              </w:rPr>
              <w:t>Ethnicity</w:t>
            </w:r>
          </w:p>
        </w:tc>
        <w:tc>
          <w:tcPr>
            <w:tcW w:w="871" w:type="dxa"/>
            <w:shd w:val="clear" w:color="auto" w:fill="auto"/>
          </w:tcPr>
          <w:p w14:paraId="5EFEC921"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6F76DB04"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shd w:val="clear" w:color="auto" w:fill="auto"/>
          </w:tcPr>
          <w:p w14:paraId="3DBD151A"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19DF489C"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shd w:val="clear" w:color="auto" w:fill="auto"/>
          </w:tcPr>
          <w:p w14:paraId="25F14B0F"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34D955BE"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597E19" w:rsidRPr="002F3133" w14:paraId="5CE0E607" w14:textId="77777777" w:rsidTr="00D45B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768570B1" w14:textId="77777777" w:rsidR="00597E19" w:rsidRPr="002F3133" w:rsidRDefault="00597E19" w:rsidP="00597E19">
            <w:pPr>
              <w:spacing w:beforeLines="20" w:before="48" w:line="240" w:lineRule="auto"/>
              <w:ind w:left="157"/>
              <w:rPr>
                <w:rFonts w:cs="Times New Roman"/>
                <w:b w:val="0"/>
                <w:bCs w:val="0"/>
                <w:sz w:val="20"/>
                <w:szCs w:val="20"/>
              </w:rPr>
            </w:pPr>
            <w:r w:rsidRPr="002F3133">
              <w:rPr>
                <w:rFonts w:cs="Times New Roman"/>
                <w:b w:val="0"/>
                <w:bCs w:val="0"/>
                <w:sz w:val="20"/>
                <w:szCs w:val="20"/>
              </w:rPr>
              <w:t>Hispanic or Latino</w:t>
            </w:r>
          </w:p>
        </w:tc>
        <w:tc>
          <w:tcPr>
            <w:tcW w:w="871" w:type="dxa"/>
            <w:shd w:val="clear" w:color="auto" w:fill="auto"/>
            <w:vAlign w:val="bottom"/>
          </w:tcPr>
          <w:p w14:paraId="78411E26" w14:textId="16FF4ED4"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2,324</w:t>
            </w:r>
          </w:p>
        </w:tc>
        <w:tc>
          <w:tcPr>
            <w:tcW w:w="933" w:type="dxa"/>
            <w:gridSpan w:val="2"/>
            <w:shd w:val="clear" w:color="auto" w:fill="auto"/>
            <w:vAlign w:val="bottom"/>
          </w:tcPr>
          <w:p w14:paraId="752E8EB7" w14:textId="67FD1EB0"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2.9%</w:t>
            </w:r>
          </w:p>
        </w:tc>
        <w:tc>
          <w:tcPr>
            <w:tcW w:w="871" w:type="dxa"/>
            <w:shd w:val="clear" w:color="auto" w:fill="auto"/>
            <w:vAlign w:val="bottom"/>
          </w:tcPr>
          <w:p w14:paraId="1625E683" w14:textId="4CF5E7E5"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2,426</w:t>
            </w:r>
          </w:p>
        </w:tc>
        <w:tc>
          <w:tcPr>
            <w:tcW w:w="933" w:type="dxa"/>
            <w:gridSpan w:val="2"/>
            <w:shd w:val="clear" w:color="auto" w:fill="auto"/>
            <w:vAlign w:val="bottom"/>
          </w:tcPr>
          <w:p w14:paraId="4708F5F3" w14:textId="3D62300A"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3.5%</w:t>
            </w:r>
          </w:p>
        </w:tc>
        <w:tc>
          <w:tcPr>
            <w:tcW w:w="871" w:type="dxa"/>
            <w:shd w:val="clear" w:color="auto" w:fill="auto"/>
            <w:vAlign w:val="bottom"/>
          </w:tcPr>
          <w:p w14:paraId="3DD03442" w14:textId="2178785C"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2,612</w:t>
            </w:r>
          </w:p>
        </w:tc>
        <w:tc>
          <w:tcPr>
            <w:tcW w:w="933" w:type="dxa"/>
            <w:gridSpan w:val="2"/>
            <w:shd w:val="clear" w:color="auto" w:fill="auto"/>
            <w:vAlign w:val="bottom"/>
          </w:tcPr>
          <w:p w14:paraId="77719EAA" w14:textId="487E33D5"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3.7%</w:t>
            </w:r>
          </w:p>
        </w:tc>
      </w:tr>
      <w:tr w:rsidR="00597E19" w:rsidRPr="002F3133" w14:paraId="0F926204" w14:textId="77777777" w:rsidTr="00D45B28">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3AE58790" w14:textId="77777777" w:rsidR="00597E19" w:rsidRPr="002F3133" w:rsidRDefault="00597E19" w:rsidP="00597E19">
            <w:pPr>
              <w:spacing w:beforeLines="20" w:before="48" w:line="240" w:lineRule="auto"/>
              <w:ind w:left="157"/>
              <w:rPr>
                <w:rFonts w:cs="Times New Roman"/>
                <w:b w:val="0"/>
                <w:bCs w:val="0"/>
                <w:sz w:val="20"/>
                <w:szCs w:val="20"/>
              </w:rPr>
            </w:pPr>
            <w:r w:rsidRPr="002F3133">
              <w:rPr>
                <w:rFonts w:cs="Times New Roman"/>
                <w:b w:val="0"/>
                <w:bCs w:val="0"/>
                <w:sz w:val="20"/>
                <w:szCs w:val="20"/>
              </w:rPr>
              <w:t>Not Hispanic or Latino</w:t>
            </w:r>
          </w:p>
        </w:tc>
        <w:tc>
          <w:tcPr>
            <w:tcW w:w="871" w:type="dxa"/>
            <w:shd w:val="clear" w:color="auto" w:fill="auto"/>
            <w:vAlign w:val="bottom"/>
          </w:tcPr>
          <w:p w14:paraId="128E842B" w14:textId="3C0D1687"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60,650</w:t>
            </w:r>
          </w:p>
        </w:tc>
        <w:tc>
          <w:tcPr>
            <w:tcW w:w="933" w:type="dxa"/>
            <w:gridSpan w:val="2"/>
            <w:shd w:val="clear" w:color="auto" w:fill="auto"/>
            <w:vAlign w:val="bottom"/>
          </w:tcPr>
          <w:p w14:paraId="00712BD5" w14:textId="748F40D1"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76.7%</w:t>
            </w:r>
          </w:p>
        </w:tc>
        <w:tc>
          <w:tcPr>
            <w:tcW w:w="871" w:type="dxa"/>
            <w:shd w:val="clear" w:color="auto" w:fill="auto"/>
            <w:vAlign w:val="bottom"/>
          </w:tcPr>
          <w:p w14:paraId="10AB456D" w14:textId="7766F959"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59,849</w:t>
            </w:r>
          </w:p>
        </w:tc>
        <w:tc>
          <w:tcPr>
            <w:tcW w:w="933" w:type="dxa"/>
            <w:gridSpan w:val="2"/>
            <w:shd w:val="clear" w:color="auto" w:fill="auto"/>
            <w:vAlign w:val="bottom"/>
          </w:tcPr>
          <w:p w14:paraId="15931F2C" w14:textId="7AD9B8D6"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86.7%</w:t>
            </w:r>
          </w:p>
        </w:tc>
        <w:tc>
          <w:tcPr>
            <w:tcW w:w="871" w:type="dxa"/>
            <w:shd w:val="clear" w:color="auto" w:fill="auto"/>
            <w:vAlign w:val="bottom"/>
          </w:tcPr>
          <w:p w14:paraId="481F9F48" w14:textId="7077C44A"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61,178</w:t>
            </w:r>
          </w:p>
        </w:tc>
        <w:tc>
          <w:tcPr>
            <w:tcW w:w="933" w:type="dxa"/>
            <w:gridSpan w:val="2"/>
            <w:shd w:val="clear" w:color="auto" w:fill="auto"/>
            <w:vAlign w:val="bottom"/>
          </w:tcPr>
          <w:p w14:paraId="002E6982" w14:textId="2C975968"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86.5%</w:t>
            </w:r>
          </w:p>
        </w:tc>
      </w:tr>
      <w:tr w:rsidR="00597E19" w:rsidRPr="002F3133" w14:paraId="7C25E726" w14:textId="77777777" w:rsidTr="00D45B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7DC6F95C" w14:textId="77777777" w:rsidR="00597E19" w:rsidRPr="002F3133" w:rsidRDefault="00597E19" w:rsidP="00597E19">
            <w:pPr>
              <w:spacing w:beforeLines="20" w:before="48" w:line="240" w:lineRule="auto"/>
              <w:ind w:left="157"/>
              <w:rPr>
                <w:rFonts w:cs="Times New Roman"/>
                <w:b w:val="0"/>
                <w:bCs w:val="0"/>
                <w:sz w:val="20"/>
                <w:szCs w:val="20"/>
              </w:rPr>
            </w:pPr>
            <w:r w:rsidRPr="002F3133">
              <w:rPr>
                <w:rFonts w:cs="Times New Roman"/>
                <w:b w:val="0"/>
                <w:bCs w:val="0"/>
                <w:sz w:val="20"/>
                <w:szCs w:val="20"/>
              </w:rPr>
              <w:t>Unknown</w:t>
            </w:r>
          </w:p>
        </w:tc>
        <w:tc>
          <w:tcPr>
            <w:tcW w:w="871" w:type="dxa"/>
            <w:shd w:val="clear" w:color="auto" w:fill="auto"/>
            <w:vAlign w:val="bottom"/>
          </w:tcPr>
          <w:p w14:paraId="555938AF" w14:textId="00B4B82E"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16,080</w:t>
            </w:r>
          </w:p>
        </w:tc>
        <w:tc>
          <w:tcPr>
            <w:tcW w:w="933" w:type="dxa"/>
            <w:gridSpan w:val="2"/>
            <w:shd w:val="clear" w:color="auto" w:fill="auto"/>
            <w:vAlign w:val="bottom"/>
          </w:tcPr>
          <w:p w14:paraId="5AE08423" w14:textId="36B68DEF"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20.3%</w:t>
            </w:r>
          </w:p>
        </w:tc>
        <w:tc>
          <w:tcPr>
            <w:tcW w:w="871" w:type="dxa"/>
            <w:shd w:val="clear" w:color="auto" w:fill="auto"/>
            <w:vAlign w:val="bottom"/>
          </w:tcPr>
          <w:p w14:paraId="723A2880" w14:textId="55F2443F"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6,735</w:t>
            </w:r>
          </w:p>
        </w:tc>
        <w:tc>
          <w:tcPr>
            <w:tcW w:w="933" w:type="dxa"/>
            <w:gridSpan w:val="2"/>
            <w:shd w:val="clear" w:color="auto" w:fill="auto"/>
            <w:vAlign w:val="bottom"/>
          </w:tcPr>
          <w:p w14:paraId="3C30A505" w14:textId="406225F3"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9.8%</w:t>
            </w:r>
          </w:p>
        </w:tc>
        <w:tc>
          <w:tcPr>
            <w:tcW w:w="871" w:type="dxa"/>
            <w:shd w:val="clear" w:color="auto" w:fill="auto"/>
            <w:vAlign w:val="bottom"/>
          </w:tcPr>
          <w:p w14:paraId="313787A9" w14:textId="53F35F21"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6,906</w:t>
            </w:r>
          </w:p>
        </w:tc>
        <w:tc>
          <w:tcPr>
            <w:tcW w:w="933" w:type="dxa"/>
            <w:gridSpan w:val="2"/>
            <w:shd w:val="clear" w:color="auto" w:fill="auto"/>
            <w:vAlign w:val="bottom"/>
          </w:tcPr>
          <w:p w14:paraId="3A5C25E0" w14:textId="1F4C9C62"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9.8%</w:t>
            </w:r>
          </w:p>
        </w:tc>
      </w:tr>
      <w:tr w:rsidR="00D9345D" w:rsidRPr="002F3133" w14:paraId="10C2B9A6" w14:textId="77777777" w:rsidTr="00D45B28">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5521A8C5" w14:textId="77777777" w:rsidR="008754FE" w:rsidRPr="002F3133" w:rsidRDefault="008754FE" w:rsidP="00A8743E">
            <w:pPr>
              <w:spacing w:beforeLines="20" w:before="48" w:line="240" w:lineRule="auto"/>
              <w:rPr>
                <w:rFonts w:cs="Times New Roman"/>
                <w:sz w:val="20"/>
                <w:szCs w:val="20"/>
              </w:rPr>
            </w:pPr>
            <w:r w:rsidRPr="002F3133">
              <w:rPr>
                <w:rFonts w:cs="Times New Roman"/>
                <w:sz w:val="20"/>
                <w:szCs w:val="20"/>
              </w:rPr>
              <w:t>Payor</w:t>
            </w:r>
          </w:p>
        </w:tc>
        <w:tc>
          <w:tcPr>
            <w:tcW w:w="871" w:type="dxa"/>
            <w:shd w:val="clear" w:color="auto" w:fill="auto"/>
          </w:tcPr>
          <w:p w14:paraId="07547319"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4DD03E47"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shd w:val="clear" w:color="auto" w:fill="auto"/>
          </w:tcPr>
          <w:p w14:paraId="48F20C79"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08D56044"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871" w:type="dxa"/>
            <w:shd w:val="clear" w:color="auto" w:fill="auto"/>
          </w:tcPr>
          <w:p w14:paraId="7CDAD02A"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c>
          <w:tcPr>
            <w:tcW w:w="933" w:type="dxa"/>
            <w:gridSpan w:val="2"/>
            <w:shd w:val="clear" w:color="auto" w:fill="auto"/>
          </w:tcPr>
          <w:p w14:paraId="7170D5B0" w14:textId="77777777" w:rsidR="008754FE" w:rsidRPr="002F3133" w:rsidRDefault="008754FE" w:rsidP="00A8743E">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b/>
                <w:bCs/>
                <w:sz w:val="20"/>
                <w:szCs w:val="20"/>
              </w:rPr>
            </w:pPr>
          </w:p>
        </w:tc>
      </w:tr>
      <w:tr w:rsidR="00597E19" w:rsidRPr="002F3133" w14:paraId="084AB375" w14:textId="77777777" w:rsidTr="00D45B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958E0C3" w14:textId="77777777" w:rsidR="00597E19" w:rsidRPr="002F3133" w:rsidRDefault="00597E19" w:rsidP="00597E19">
            <w:pPr>
              <w:spacing w:beforeLines="20" w:before="48" w:line="240" w:lineRule="auto"/>
              <w:ind w:left="157"/>
              <w:rPr>
                <w:rFonts w:cs="Times New Roman"/>
                <w:b w:val="0"/>
                <w:bCs w:val="0"/>
                <w:sz w:val="20"/>
                <w:szCs w:val="20"/>
              </w:rPr>
            </w:pPr>
            <w:r w:rsidRPr="002F3133">
              <w:rPr>
                <w:rFonts w:cs="Times New Roman"/>
                <w:b w:val="0"/>
                <w:bCs w:val="0"/>
                <w:sz w:val="20"/>
                <w:szCs w:val="20"/>
              </w:rPr>
              <w:t>Commercial</w:t>
            </w:r>
          </w:p>
        </w:tc>
        <w:tc>
          <w:tcPr>
            <w:tcW w:w="871" w:type="dxa"/>
            <w:shd w:val="clear" w:color="auto" w:fill="auto"/>
            <w:vAlign w:val="bottom"/>
          </w:tcPr>
          <w:p w14:paraId="01B348F3" w14:textId="18D72396"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33,662</w:t>
            </w:r>
          </w:p>
        </w:tc>
        <w:tc>
          <w:tcPr>
            <w:tcW w:w="933" w:type="dxa"/>
            <w:gridSpan w:val="2"/>
            <w:shd w:val="clear" w:color="auto" w:fill="auto"/>
            <w:vAlign w:val="bottom"/>
          </w:tcPr>
          <w:p w14:paraId="560236EB" w14:textId="3CAFBCC8"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42.6%</w:t>
            </w:r>
          </w:p>
        </w:tc>
        <w:tc>
          <w:tcPr>
            <w:tcW w:w="871" w:type="dxa"/>
            <w:shd w:val="clear" w:color="auto" w:fill="auto"/>
            <w:vAlign w:val="bottom"/>
          </w:tcPr>
          <w:p w14:paraId="2E01A865" w14:textId="5BD620FF"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29,954</w:t>
            </w:r>
          </w:p>
        </w:tc>
        <w:tc>
          <w:tcPr>
            <w:tcW w:w="933" w:type="dxa"/>
            <w:gridSpan w:val="2"/>
            <w:shd w:val="clear" w:color="auto" w:fill="auto"/>
            <w:vAlign w:val="bottom"/>
          </w:tcPr>
          <w:p w14:paraId="10A5FF10" w14:textId="1056B592"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43.4%</w:t>
            </w:r>
          </w:p>
        </w:tc>
        <w:tc>
          <w:tcPr>
            <w:tcW w:w="871" w:type="dxa"/>
            <w:shd w:val="clear" w:color="auto" w:fill="auto"/>
            <w:vAlign w:val="bottom"/>
          </w:tcPr>
          <w:p w14:paraId="4B36D085" w14:textId="76CD020E"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30,182</w:t>
            </w:r>
          </w:p>
        </w:tc>
        <w:tc>
          <w:tcPr>
            <w:tcW w:w="933" w:type="dxa"/>
            <w:gridSpan w:val="2"/>
            <w:shd w:val="clear" w:color="auto" w:fill="auto"/>
            <w:vAlign w:val="bottom"/>
          </w:tcPr>
          <w:p w14:paraId="10EA51A4" w14:textId="4BE314E6"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42.7%</w:t>
            </w:r>
          </w:p>
        </w:tc>
      </w:tr>
      <w:tr w:rsidR="00597E19" w:rsidRPr="002F3133" w14:paraId="34E8A2D9" w14:textId="77777777" w:rsidTr="00D45B28">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34D34FCB" w14:textId="77777777" w:rsidR="00597E19" w:rsidRPr="002F3133" w:rsidRDefault="00597E19" w:rsidP="00597E19">
            <w:pPr>
              <w:spacing w:beforeLines="20" w:before="48" w:line="240" w:lineRule="auto"/>
              <w:ind w:left="157"/>
              <w:rPr>
                <w:rFonts w:cs="Times New Roman"/>
                <w:b w:val="0"/>
                <w:bCs w:val="0"/>
                <w:sz w:val="20"/>
                <w:szCs w:val="20"/>
              </w:rPr>
            </w:pPr>
            <w:r w:rsidRPr="002F3133">
              <w:rPr>
                <w:rFonts w:cs="Times New Roman"/>
                <w:b w:val="0"/>
                <w:bCs w:val="0"/>
                <w:sz w:val="20"/>
                <w:szCs w:val="20"/>
              </w:rPr>
              <w:t>Medicare</w:t>
            </w:r>
          </w:p>
        </w:tc>
        <w:tc>
          <w:tcPr>
            <w:tcW w:w="871" w:type="dxa"/>
            <w:shd w:val="clear" w:color="auto" w:fill="auto"/>
            <w:vAlign w:val="bottom"/>
          </w:tcPr>
          <w:p w14:paraId="29A8F2BE" w14:textId="0E7D0096"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24,908</w:t>
            </w:r>
          </w:p>
        </w:tc>
        <w:tc>
          <w:tcPr>
            <w:tcW w:w="933" w:type="dxa"/>
            <w:gridSpan w:val="2"/>
            <w:shd w:val="clear" w:color="auto" w:fill="auto"/>
            <w:vAlign w:val="bottom"/>
          </w:tcPr>
          <w:p w14:paraId="51752E40" w14:textId="3CEA162E"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31.5%</w:t>
            </w:r>
          </w:p>
        </w:tc>
        <w:tc>
          <w:tcPr>
            <w:tcW w:w="871" w:type="dxa"/>
            <w:shd w:val="clear" w:color="auto" w:fill="auto"/>
            <w:vAlign w:val="bottom"/>
          </w:tcPr>
          <w:p w14:paraId="177C352E" w14:textId="41815593"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22,309</w:t>
            </w:r>
          </w:p>
        </w:tc>
        <w:tc>
          <w:tcPr>
            <w:tcW w:w="933" w:type="dxa"/>
            <w:gridSpan w:val="2"/>
            <w:shd w:val="clear" w:color="auto" w:fill="auto"/>
            <w:vAlign w:val="bottom"/>
          </w:tcPr>
          <w:p w14:paraId="1310D6B8" w14:textId="698050CB"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32.3%</w:t>
            </w:r>
          </w:p>
        </w:tc>
        <w:tc>
          <w:tcPr>
            <w:tcW w:w="871" w:type="dxa"/>
            <w:shd w:val="clear" w:color="auto" w:fill="auto"/>
            <w:vAlign w:val="bottom"/>
          </w:tcPr>
          <w:p w14:paraId="0809FC61" w14:textId="284EED1E"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22,554</w:t>
            </w:r>
          </w:p>
        </w:tc>
        <w:tc>
          <w:tcPr>
            <w:tcW w:w="933" w:type="dxa"/>
            <w:gridSpan w:val="2"/>
            <w:shd w:val="clear" w:color="auto" w:fill="auto"/>
            <w:vAlign w:val="bottom"/>
          </w:tcPr>
          <w:p w14:paraId="0223DD2C" w14:textId="61A59877" w:rsidR="00597E19" w:rsidRPr="002F3133" w:rsidRDefault="00597E19" w:rsidP="00597E19">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F3133">
              <w:rPr>
                <w:rFonts w:cs="Times New Roman"/>
                <w:color w:val="000000"/>
                <w:sz w:val="20"/>
                <w:szCs w:val="20"/>
              </w:rPr>
              <w:t>31.9%</w:t>
            </w:r>
          </w:p>
        </w:tc>
      </w:tr>
      <w:tr w:rsidR="00597E19" w:rsidRPr="002F3133" w14:paraId="2D078589" w14:textId="77777777" w:rsidTr="00D45B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5BBC2BB6" w14:textId="77777777" w:rsidR="00597E19" w:rsidRPr="002F3133" w:rsidRDefault="00597E19" w:rsidP="00597E19">
            <w:pPr>
              <w:spacing w:beforeLines="20" w:before="48" w:line="240" w:lineRule="auto"/>
              <w:ind w:left="157"/>
              <w:rPr>
                <w:rFonts w:cs="Times New Roman"/>
                <w:sz w:val="20"/>
                <w:szCs w:val="20"/>
              </w:rPr>
            </w:pPr>
            <w:r w:rsidRPr="002F3133">
              <w:rPr>
                <w:rFonts w:cs="Times New Roman"/>
                <w:b w:val="0"/>
                <w:bCs w:val="0"/>
                <w:sz w:val="20"/>
                <w:szCs w:val="20"/>
              </w:rPr>
              <w:t>Medicaid</w:t>
            </w:r>
          </w:p>
        </w:tc>
        <w:tc>
          <w:tcPr>
            <w:tcW w:w="871" w:type="dxa"/>
            <w:shd w:val="clear" w:color="auto" w:fill="auto"/>
            <w:vAlign w:val="bottom"/>
          </w:tcPr>
          <w:p w14:paraId="5CE5BD88" w14:textId="6363CF92"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8,629</w:t>
            </w:r>
          </w:p>
        </w:tc>
        <w:tc>
          <w:tcPr>
            <w:tcW w:w="933" w:type="dxa"/>
            <w:gridSpan w:val="2"/>
            <w:shd w:val="clear" w:color="auto" w:fill="auto"/>
            <w:vAlign w:val="bottom"/>
          </w:tcPr>
          <w:p w14:paraId="74A4F121" w14:textId="7B61AE29"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10.9%</w:t>
            </w:r>
          </w:p>
        </w:tc>
        <w:tc>
          <w:tcPr>
            <w:tcW w:w="871" w:type="dxa"/>
            <w:shd w:val="clear" w:color="auto" w:fill="auto"/>
            <w:vAlign w:val="bottom"/>
          </w:tcPr>
          <w:p w14:paraId="76C38050" w14:textId="579DD9A8"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8,902</w:t>
            </w:r>
          </w:p>
        </w:tc>
        <w:tc>
          <w:tcPr>
            <w:tcW w:w="933" w:type="dxa"/>
            <w:gridSpan w:val="2"/>
            <w:shd w:val="clear" w:color="auto" w:fill="auto"/>
            <w:vAlign w:val="bottom"/>
          </w:tcPr>
          <w:p w14:paraId="451E6AAF" w14:textId="7AA862C5"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12.9%</w:t>
            </w:r>
          </w:p>
        </w:tc>
        <w:tc>
          <w:tcPr>
            <w:tcW w:w="871" w:type="dxa"/>
            <w:shd w:val="clear" w:color="auto" w:fill="auto"/>
            <w:vAlign w:val="bottom"/>
          </w:tcPr>
          <w:p w14:paraId="3AEF8B86" w14:textId="53143D68"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10,164</w:t>
            </w:r>
          </w:p>
        </w:tc>
        <w:tc>
          <w:tcPr>
            <w:tcW w:w="933" w:type="dxa"/>
            <w:gridSpan w:val="2"/>
            <w:shd w:val="clear" w:color="auto" w:fill="auto"/>
            <w:vAlign w:val="bottom"/>
          </w:tcPr>
          <w:p w14:paraId="12C86641" w14:textId="0097E6E4" w:rsidR="00597E19" w:rsidRPr="002F3133" w:rsidRDefault="00597E19" w:rsidP="00597E19">
            <w:pPr>
              <w:spacing w:beforeLines="20" w:before="48" w:line="240" w:lineRule="auto"/>
              <w:jc w:val="right"/>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F3133">
              <w:rPr>
                <w:rFonts w:cs="Times New Roman"/>
                <w:color w:val="000000"/>
                <w:sz w:val="20"/>
                <w:szCs w:val="20"/>
              </w:rPr>
              <w:t>14.4%</w:t>
            </w:r>
          </w:p>
        </w:tc>
      </w:tr>
      <w:tr w:rsidR="00246A67" w:rsidRPr="002F3133" w14:paraId="78A248EF" w14:textId="77777777" w:rsidTr="00D45B28">
        <w:trPr>
          <w:cantSplit/>
          <w:jc w:val="center"/>
        </w:trPr>
        <w:tc>
          <w:tcPr>
            <w:cnfStyle w:val="001000000000" w:firstRow="0" w:lastRow="0" w:firstColumn="1" w:lastColumn="0" w:oddVBand="0" w:evenVBand="0" w:oddHBand="0" w:evenHBand="0" w:firstRowFirstColumn="0" w:firstRowLastColumn="0" w:lastRowFirstColumn="0" w:lastRowLastColumn="0"/>
            <w:tcW w:w="3780" w:type="dxa"/>
            <w:shd w:val="clear" w:color="auto" w:fill="auto"/>
          </w:tcPr>
          <w:p w14:paraId="149A9BE9" w14:textId="77777777" w:rsidR="00246A67" w:rsidRPr="002F3133" w:rsidRDefault="00246A67" w:rsidP="00246A67">
            <w:pPr>
              <w:spacing w:beforeLines="20" w:before="48" w:line="240" w:lineRule="auto"/>
              <w:ind w:left="157"/>
              <w:rPr>
                <w:rFonts w:cs="Times New Roman"/>
                <w:sz w:val="20"/>
                <w:szCs w:val="20"/>
              </w:rPr>
            </w:pPr>
            <w:r w:rsidRPr="002F3133">
              <w:rPr>
                <w:rFonts w:cs="Times New Roman"/>
                <w:b w:val="0"/>
                <w:bCs w:val="0"/>
                <w:sz w:val="20"/>
                <w:szCs w:val="20"/>
              </w:rPr>
              <w:t>Other</w:t>
            </w:r>
          </w:p>
        </w:tc>
        <w:tc>
          <w:tcPr>
            <w:tcW w:w="871" w:type="dxa"/>
            <w:shd w:val="clear" w:color="auto" w:fill="auto"/>
            <w:vAlign w:val="bottom"/>
          </w:tcPr>
          <w:p w14:paraId="0A5BE388" w14:textId="090E17E8" w:rsidR="00246A67" w:rsidRPr="00246A67" w:rsidRDefault="00246A67" w:rsidP="00246A6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46A67">
              <w:rPr>
                <w:rFonts w:cs="Times New Roman"/>
                <w:color w:val="000000"/>
                <w:sz w:val="20"/>
                <w:szCs w:val="20"/>
              </w:rPr>
              <w:t>11,855</w:t>
            </w:r>
          </w:p>
        </w:tc>
        <w:tc>
          <w:tcPr>
            <w:tcW w:w="933" w:type="dxa"/>
            <w:gridSpan w:val="2"/>
            <w:shd w:val="clear" w:color="auto" w:fill="auto"/>
            <w:vAlign w:val="bottom"/>
          </w:tcPr>
          <w:p w14:paraId="0234A07E" w14:textId="50BE6661" w:rsidR="00246A67" w:rsidRPr="00246A67" w:rsidRDefault="00246A67" w:rsidP="00246A6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46A67">
              <w:rPr>
                <w:rFonts w:cs="Times New Roman"/>
                <w:color w:val="000000"/>
                <w:sz w:val="20"/>
                <w:szCs w:val="20"/>
              </w:rPr>
              <w:t>15.0%</w:t>
            </w:r>
          </w:p>
        </w:tc>
        <w:tc>
          <w:tcPr>
            <w:tcW w:w="871" w:type="dxa"/>
            <w:shd w:val="clear" w:color="auto" w:fill="auto"/>
            <w:vAlign w:val="bottom"/>
          </w:tcPr>
          <w:p w14:paraId="37FDAB36" w14:textId="4175720D" w:rsidR="00246A67" w:rsidRPr="00246A67" w:rsidRDefault="00246A67" w:rsidP="00246A6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46A67">
              <w:rPr>
                <w:rFonts w:cs="Times New Roman"/>
                <w:color w:val="000000"/>
                <w:sz w:val="20"/>
                <w:szCs w:val="20"/>
              </w:rPr>
              <w:t>7,845</w:t>
            </w:r>
          </w:p>
        </w:tc>
        <w:tc>
          <w:tcPr>
            <w:tcW w:w="933" w:type="dxa"/>
            <w:gridSpan w:val="2"/>
            <w:shd w:val="clear" w:color="auto" w:fill="auto"/>
            <w:vAlign w:val="bottom"/>
          </w:tcPr>
          <w:p w14:paraId="199DFB42" w14:textId="409E8496" w:rsidR="00246A67" w:rsidRPr="00246A67" w:rsidRDefault="00246A67" w:rsidP="00246A6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46A67">
              <w:rPr>
                <w:rFonts w:cs="Times New Roman"/>
                <w:color w:val="000000"/>
                <w:sz w:val="20"/>
                <w:szCs w:val="20"/>
              </w:rPr>
              <w:t>11.</w:t>
            </w:r>
            <w:r w:rsidR="00035F95">
              <w:rPr>
                <w:rFonts w:cs="Times New Roman"/>
                <w:color w:val="000000"/>
                <w:sz w:val="20"/>
                <w:szCs w:val="20"/>
              </w:rPr>
              <w:t>4</w:t>
            </w:r>
            <w:r w:rsidRPr="00246A67">
              <w:rPr>
                <w:rFonts w:cs="Times New Roman"/>
                <w:color w:val="000000"/>
                <w:sz w:val="20"/>
                <w:szCs w:val="20"/>
              </w:rPr>
              <w:t>%</w:t>
            </w:r>
          </w:p>
        </w:tc>
        <w:tc>
          <w:tcPr>
            <w:tcW w:w="871" w:type="dxa"/>
            <w:shd w:val="clear" w:color="auto" w:fill="auto"/>
            <w:vAlign w:val="bottom"/>
          </w:tcPr>
          <w:p w14:paraId="5CBCC5C7" w14:textId="40253428" w:rsidR="00246A67" w:rsidRPr="00246A67" w:rsidRDefault="00246A67" w:rsidP="00246A6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46A67">
              <w:rPr>
                <w:rFonts w:cs="Times New Roman"/>
                <w:color w:val="000000"/>
                <w:sz w:val="20"/>
                <w:szCs w:val="20"/>
              </w:rPr>
              <w:t>7,796</w:t>
            </w:r>
          </w:p>
        </w:tc>
        <w:tc>
          <w:tcPr>
            <w:tcW w:w="933" w:type="dxa"/>
            <w:gridSpan w:val="2"/>
            <w:shd w:val="clear" w:color="auto" w:fill="auto"/>
            <w:vAlign w:val="bottom"/>
          </w:tcPr>
          <w:p w14:paraId="50FC42FA" w14:textId="1C5137ED" w:rsidR="00246A67" w:rsidRPr="00246A67" w:rsidRDefault="00246A67" w:rsidP="00246A67">
            <w:pPr>
              <w:spacing w:beforeLines="20" w:before="48" w:line="240" w:lineRule="auto"/>
              <w:jc w:val="righ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46A67">
              <w:rPr>
                <w:rFonts w:cs="Times New Roman"/>
                <w:color w:val="000000"/>
                <w:sz w:val="20"/>
                <w:szCs w:val="20"/>
              </w:rPr>
              <w:t>11.0%</w:t>
            </w:r>
          </w:p>
        </w:tc>
      </w:tr>
    </w:tbl>
    <w:p w14:paraId="642BB70A" w14:textId="3CA3776F" w:rsidR="00EF218D" w:rsidRDefault="00EF218D">
      <w:pPr>
        <w:spacing w:line="259" w:lineRule="auto"/>
        <w:rPr>
          <w:rFonts w:cs="Times New Roman"/>
        </w:rPr>
      </w:pPr>
    </w:p>
    <w:p w14:paraId="6629B391" w14:textId="77777777" w:rsidR="00EF218D" w:rsidRDefault="00EF218D">
      <w:pPr>
        <w:spacing w:line="259" w:lineRule="auto"/>
        <w:rPr>
          <w:rFonts w:cs="Times New Roman"/>
        </w:rPr>
      </w:pPr>
      <w:r>
        <w:rPr>
          <w:rFonts w:cs="Times New Roman"/>
        </w:rPr>
        <w:br w:type="page"/>
      </w:r>
    </w:p>
    <w:p w14:paraId="56C77369" w14:textId="77777777" w:rsidR="008754FE" w:rsidRDefault="008754FE">
      <w:pPr>
        <w:spacing w:line="259" w:lineRule="auto"/>
        <w:rPr>
          <w:rFonts w:cs="Times New Roman"/>
        </w:rPr>
      </w:pPr>
    </w:p>
    <w:p w14:paraId="591FBE61" w14:textId="10C05213" w:rsidR="00EF218D" w:rsidRDefault="00EF218D" w:rsidP="2A8A7BAD">
      <w:pPr>
        <w:spacing w:line="259" w:lineRule="auto"/>
        <w:rPr>
          <w:rFonts w:cs="Times New Roman"/>
          <w:i/>
          <w:iCs/>
        </w:rPr>
      </w:pPr>
      <w:r w:rsidRPr="2A8A7BAD">
        <w:rPr>
          <w:rFonts w:cs="Times New Roman"/>
        </w:rPr>
        <w:t xml:space="preserve">Approximately </w:t>
      </w:r>
      <w:r w:rsidR="00C657C5" w:rsidRPr="2A8A7BAD">
        <w:rPr>
          <w:rFonts w:cs="Times New Roman"/>
        </w:rPr>
        <w:t>14</w:t>
      </w:r>
      <w:r w:rsidRPr="2A8A7BAD">
        <w:rPr>
          <w:rFonts w:cs="Times New Roman"/>
        </w:rPr>
        <w:t xml:space="preserve">% of </w:t>
      </w:r>
      <w:r w:rsidR="00C657C5" w:rsidRPr="2A8A7BAD">
        <w:rPr>
          <w:rFonts w:cs="Times New Roman"/>
        </w:rPr>
        <w:t>BID Milton</w:t>
      </w:r>
      <w:r w:rsidR="27873C27" w:rsidRPr="2A8A7BAD">
        <w:rPr>
          <w:rFonts w:cs="Times New Roman"/>
        </w:rPr>
        <w:t xml:space="preserve">’s </w:t>
      </w:r>
      <w:r w:rsidR="7EE88E63" w:rsidRPr="2A8A7BAD">
        <w:rPr>
          <w:rFonts w:cs="Times New Roman"/>
        </w:rPr>
        <w:t>patient panel</w:t>
      </w:r>
      <w:r w:rsidRPr="2A8A7BAD">
        <w:rPr>
          <w:rFonts w:cs="Times New Roman"/>
        </w:rPr>
        <w:t xml:space="preserve"> originate from Quincy</w:t>
      </w:r>
      <w:r w:rsidR="002C135B" w:rsidRPr="2A8A7BAD">
        <w:rPr>
          <w:rFonts w:cs="Times New Roman"/>
        </w:rPr>
        <w:t xml:space="preserve">, </w:t>
      </w:r>
      <w:r w:rsidRPr="2A8A7BAD">
        <w:rPr>
          <w:rFonts w:cs="Times New Roman"/>
        </w:rPr>
        <w:t xml:space="preserve">with the remaining </w:t>
      </w:r>
      <w:r w:rsidR="28ACFB28" w:rsidRPr="2A8A7BAD">
        <w:rPr>
          <w:rFonts w:cs="Times New Roman"/>
        </w:rPr>
        <w:t>60.3</w:t>
      </w:r>
      <w:r w:rsidRPr="2A8A7BAD">
        <w:rPr>
          <w:rFonts w:cs="Times New Roman"/>
        </w:rPr>
        <w:t xml:space="preserve">% originating from other towns in Plymouth and Norfolk counties. See </w:t>
      </w:r>
      <w:r w:rsidRPr="2A8A7BAD">
        <w:rPr>
          <w:rFonts w:cs="Times New Roman"/>
          <w:u w:val="single"/>
        </w:rPr>
        <w:t xml:space="preserve">Table </w:t>
      </w:r>
      <w:r w:rsidR="005C3A36" w:rsidRPr="2A8A7BAD">
        <w:rPr>
          <w:rFonts w:cs="Times New Roman"/>
          <w:u w:val="single"/>
        </w:rPr>
        <w:t>10</w:t>
      </w:r>
      <w:r w:rsidR="005C3A36" w:rsidRPr="2A8A7BAD">
        <w:rPr>
          <w:rFonts w:cs="Times New Roman"/>
        </w:rPr>
        <w:t xml:space="preserve"> below</w:t>
      </w:r>
      <w:r w:rsidRPr="2A8A7BAD">
        <w:rPr>
          <w:rFonts w:cs="Times New Roman"/>
        </w:rPr>
        <w:t>.</w:t>
      </w:r>
    </w:p>
    <w:p w14:paraId="31D773DE" w14:textId="1CE58F6C" w:rsidR="00EF218D" w:rsidRPr="00A83C4B" w:rsidRDefault="00EF218D" w:rsidP="00EF218D">
      <w:pPr>
        <w:spacing w:after="0" w:line="259" w:lineRule="auto"/>
        <w:jc w:val="center"/>
        <w:rPr>
          <w:rFonts w:cs="Times New Roman"/>
          <w:i/>
          <w:iCs/>
        </w:rPr>
      </w:pPr>
      <w:r w:rsidRPr="000153E7">
        <w:rPr>
          <w:rFonts w:cs="Times New Roman"/>
          <w:b/>
          <w:bCs/>
        </w:rPr>
        <w:t xml:space="preserve">Table </w:t>
      </w:r>
      <w:r w:rsidR="005C3A36">
        <w:rPr>
          <w:rFonts w:cs="Times New Roman"/>
          <w:b/>
          <w:bCs/>
        </w:rPr>
        <w:t>10</w:t>
      </w:r>
    </w:p>
    <w:p w14:paraId="3184E351" w14:textId="536D9234" w:rsidR="00EF218D" w:rsidRPr="000153E7" w:rsidRDefault="00C657C5" w:rsidP="00EF218D">
      <w:pPr>
        <w:spacing w:after="120" w:line="240" w:lineRule="auto"/>
        <w:jc w:val="center"/>
        <w:rPr>
          <w:rFonts w:cs="Times New Roman"/>
          <w:b/>
          <w:bCs/>
        </w:rPr>
      </w:pPr>
      <w:r>
        <w:rPr>
          <w:rFonts w:cs="Times New Roman"/>
          <w:b/>
          <w:bCs/>
        </w:rPr>
        <w:t>BID Milton</w:t>
      </w:r>
      <w:r w:rsidR="00EF218D">
        <w:rPr>
          <w:rFonts w:cs="Times New Roman"/>
          <w:b/>
          <w:bCs/>
        </w:rPr>
        <w:t xml:space="preserve"> </w:t>
      </w:r>
      <w:r w:rsidR="00EF218D" w:rsidRPr="000153E7">
        <w:rPr>
          <w:rFonts w:cs="Times New Roman"/>
          <w:b/>
          <w:bCs/>
        </w:rPr>
        <w:t>Patient Panel Geographic</w:t>
      </w:r>
      <w:r w:rsidR="00EF218D">
        <w:rPr>
          <w:rFonts w:cs="Times New Roman"/>
          <w:b/>
          <w:bCs/>
        </w:rPr>
        <w:t xml:space="preserve">s </w:t>
      </w:r>
    </w:p>
    <w:tbl>
      <w:tblPr>
        <w:tblW w:w="7560" w:type="dxa"/>
        <w:jc w:val="center"/>
        <w:tblLayout w:type="fixed"/>
        <w:tblLook w:val="04A0" w:firstRow="1" w:lastRow="0" w:firstColumn="1" w:lastColumn="0" w:noHBand="0" w:noVBand="1"/>
      </w:tblPr>
      <w:tblGrid>
        <w:gridCol w:w="1620"/>
        <w:gridCol w:w="990"/>
        <w:gridCol w:w="35"/>
        <w:gridCol w:w="983"/>
        <w:gridCol w:w="983"/>
        <w:gridCol w:w="983"/>
        <w:gridCol w:w="983"/>
        <w:gridCol w:w="983"/>
      </w:tblGrid>
      <w:tr w:rsidR="00C14D08" w:rsidRPr="00FC1749" w14:paraId="524F814F" w14:textId="77777777" w:rsidTr="005E44B8">
        <w:trPr>
          <w:cantSplit/>
          <w:trHeight w:val="108"/>
          <w:tblHeader/>
          <w:jc w:val="center"/>
        </w:trPr>
        <w:tc>
          <w:tcPr>
            <w:tcW w:w="1620" w:type="dxa"/>
            <w:shd w:val="clear" w:color="auto" w:fill="auto"/>
            <w:vAlign w:val="center"/>
          </w:tcPr>
          <w:p w14:paraId="521161D5" w14:textId="77777777" w:rsidR="00C14D08" w:rsidRPr="00FC1749" w:rsidRDefault="00C14D08" w:rsidP="00C14D08">
            <w:pPr>
              <w:spacing w:after="0" w:line="240" w:lineRule="auto"/>
              <w:rPr>
                <w:rFonts w:eastAsia="Times New Roman" w:cs="Times New Roman"/>
                <w:b/>
                <w:bCs/>
              </w:rPr>
            </w:pPr>
          </w:p>
        </w:tc>
        <w:tc>
          <w:tcPr>
            <w:tcW w:w="990" w:type="dxa"/>
            <w:tcBorders>
              <w:bottom w:val="single" w:sz="4" w:space="0" w:color="auto"/>
            </w:tcBorders>
            <w:shd w:val="clear" w:color="auto" w:fill="auto"/>
          </w:tcPr>
          <w:p w14:paraId="5BEB721C" w14:textId="77777777" w:rsidR="00C14D08" w:rsidRPr="00FC1749" w:rsidRDefault="00C14D08" w:rsidP="00C14D08">
            <w:pPr>
              <w:spacing w:after="0" w:line="240" w:lineRule="auto"/>
              <w:jc w:val="center"/>
              <w:rPr>
                <w:rFonts w:eastAsia="Times New Roman" w:cs="Times New Roman"/>
                <w:b/>
                <w:bCs/>
              </w:rPr>
            </w:pPr>
            <w:r w:rsidRPr="00FC1749">
              <w:rPr>
                <w:rFonts w:cs="Times New Roman"/>
                <w:b/>
                <w:bCs/>
              </w:rPr>
              <w:t>FY2021</w:t>
            </w:r>
          </w:p>
        </w:tc>
        <w:tc>
          <w:tcPr>
            <w:tcW w:w="1018" w:type="dxa"/>
            <w:gridSpan w:val="2"/>
            <w:tcBorders>
              <w:bottom w:val="single" w:sz="4" w:space="0" w:color="auto"/>
            </w:tcBorders>
            <w:shd w:val="clear" w:color="auto" w:fill="auto"/>
          </w:tcPr>
          <w:p w14:paraId="7FE30630" w14:textId="5BE32BAF" w:rsidR="00C14D08" w:rsidRPr="00C14D08" w:rsidRDefault="00C14D08" w:rsidP="00C14D08">
            <w:pPr>
              <w:spacing w:after="0" w:line="240" w:lineRule="auto"/>
              <w:jc w:val="center"/>
              <w:rPr>
                <w:rFonts w:eastAsia="Times New Roman" w:cs="Times New Roman"/>
                <w:b/>
                <w:bCs/>
              </w:rPr>
            </w:pPr>
            <w:r w:rsidRPr="00C14D08">
              <w:rPr>
                <w:rFonts w:cs="Times New Roman"/>
                <w:b/>
                <w:bCs/>
              </w:rPr>
              <w:t>FY2021</w:t>
            </w:r>
          </w:p>
        </w:tc>
        <w:tc>
          <w:tcPr>
            <w:tcW w:w="983" w:type="dxa"/>
            <w:tcBorders>
              <w:bottom w:val="single" w:sz="4" w:space="0" w:color="auto"/>
            </w:tcBorders>
            <w:shd w:val="clear" w:color="auto" w:fill="auto"/>
          </w:tcPr>
          <w:p w14:paraId="534A23EC" w14:textId="77777777" w:rsidR="00C14D08" w:rsidRPr="00FC1749" w:rsidRDefault="00C14D08" w:rsidP="00C14D08">
            <w:pPr>
              <w:spacing w:after="0" w:line="240" w:lineRule="auto"/>
              <w:jc w:val="center"/>
              <w:rPr>
                <w:rFonts w:eastAsia="Times New Roman" w:cs="Times New Roman"/>
                <w:b/>
                <w:bCs/>
              </w:rPr>
            </w:pPr>
            <w:r w:rsidRPr="00FC1749">
              <w:rPr>
                <w:rFonts w:eastAsia="Times New Roman" w:cs="Times New Roman"/>
                <w:b/>
                <w:bCs/>
              </w:rPr>
              <w:t>FY2022</w:t>
            </w:r>
          </w:p>
        </w:tc>
        <w:tc>
          <w:tcPr>
            <w:tcW w:w="983" w:type="dxa"/>
            <w:tcBorders>
              <w:bottom w:val="single" w:sz="4" w:space="0" w:color="auto"/>
            </w:tcBorders>
            <w:shd w:val="clear" w:color="auto" w:fill="auto"/>
          </w:tcPr>
          <w:p w14:paraId="43714929" w14:textId="0CE93FA3" w:rsidR="00C14D08" w:rsidRPr="00FC1749" w:rsidRDefault="005E44B8" w:rsidP="00C14D08">
            <w:pPr>
              <w:spacing w:after="0" w:line="240" w:lineRule="auto"/>
              <w:jc w:val="center"/>
              <w:rPr>
                <w:rFonts w:eastAsia="Times New Roman" w:cs="Times New Roman"/>
                <w:b/>
                <w:bCs/>
              </w:rPr>
            </w:pPr>
            <w:r w:rsidRPr="00FC1749">
              <w:rPr>
                <w:rFonts w:eastAsia="Times New Roman" w:cs="Times New Roman"/>
                <w:b/>
                <w:bCs/>
              </w:rPr>
              <w:t>FY2022</w:t>
            </w:r>
          </w:p>
        </w:tc>
        <w:tc>
          <w:tcPr>
            <w:tcW w:w="983" w:type="dxa"/>
            <w:tcBorders>
              <w:bottom w:val="single" w:sz="4" w:space="0" w:color="auto"/>
            </w:tcBorders>
            <w:shd w:val="clear" w:color="auto" w:fill="auto"/>
          </w:tcPr>
          <w:p w14:paraId="7A5DF2AB" w14:textId="77777777" w:rsidR="00C14D08" w:rsidRPr="00FC1749" w:rsidRDefault="00C14D08" w:rsidP="00C14D08">
            <w:pPr>
              <w:spacing w:after="0" w:line="240" w:lineRule="auto"/>
              <w:jc w:val="center"/>
              <w:rPr>
                <w:rFonts w:eastAsia="Times New Roman" w:cs="Times New Roman"/>
                <w:b/>
                <w:bCs/>
              </w:rPr>
            </w:pPr>
            <w:r w:rsidRPr="00FC1749">
              <w:rPr>
                <w:rFonts w:eastAsia="Times New Roman" w:cs="Times New Roman"/>
                <w:b/>
                <w:bCs/>
              </w:rPr>
              <w:t>FY2023</w:t>
            </w:r>
          </w:p>
        </w:tc>
        <w:tc>
          <w:tcPr>
            <w:tcW w:w="983" w:type="dxa"/>
            <w:tcBorders>
              <w:bottom w:val="single" w:sz="4" w:space="0" w:color="auto"/>
            </w:tcBorders>
            <w:shd w:val="clear" w:color="auto" w:fill="auto"/>
          </w:tcPr>
          <w:p w14:paraId="6C108F1F" w14:textId="196AB1D4" w:rsidR="00C14D08" w:rsidRPr="00FC1749" w:rsidRDefault="005E44B8" w:rsidP="00C14D08">
            <w:pPr>
              <w:spacing w:after="0" w:line="240" w:lineRule="auto"/>
              <w:jc w:val="center"/>
              <w:rPr>
                <w:rFonts w:eastAsia="Times New Roman" w:cs="Times New Roman"/>
                <w:b/>
                <w:bCs/>
              </w:rPr>
            </w:pPr>
            <w:r w:rsidRPr="00FC1749">
              <w:rPr>
                <w:rFonts w:eastAsia="Times New Roman" w:cs="Times New Roman"/>
                <w:b/>
                <w:bCs/>
              </w:rPr>
              <w:t>FY2023</w:t>
            </w:r>
          </w:p>
        </w:tc>
      </w:tr>
      <w:tr w:rsidR="00C14D08" w:rsidRPr="00FC1749" w14:paraId="731B09A7" w14:textId="77777777" w:rsidTr="005E44B8">
        <w:trPr>
          <w:cantSplit/>
          <w:trHeight w:val="57"/>
          <w:tblHeader/>
          <w:jc w:val="center"/>
        </w:trPr>
        <w:tc>
          <w:tcPr>
            <w:tcW w:w="1620" w:type="dxa"/>
            <w:shd w:val="clear" w:color="auto" w:fill="auto"/>
            <w:vAlign w:val="center"/>
          </w:tcPr>
          <w:p w14:paraId="4F20A703" w14:textId="77777777" w:rsidR="00C14D08" w:rsidRPr="00FC1749" w:rsidRDefault="00C14D08" w:rsidP="00C14D08">
            <w:pPr>
              <w:spacing w:after="0" w:line="240" w:lineRule="auto"/>
              <w:jc w:val="center"/>
              <w:rPr>
                <w:rFonts w:eastAsia="Times New Roman" w:cs="Times New Roman"/>
                <w:b/>
                <w:bCs/>
              </w:rPr>
            </w:pPr>
          </w:p>
        </w:tc>
        <w:tc>
          <w:tcPr>
            <w:tcW w:w="1025" w:type="dxa"/>
            <w:gridSpan w:val="2"/>
            <w:tcBorders>
              <w:top w:val="single" w:sz="4" w:space="0" w:color="auto"/>
              <w:bottom w:val="single" w:sz="4" w:space="0" w:color="auto"/>
            </w:tcBorders>
            <w:shd w:val="clear" w:color="auto" w:fill="auto"/>
          </w:tcPr>
          <w:p w14:paraId="32B40CD6" w14:textId="77777777" w:rsidR="00C14D08" w:rsidRPr="00FC1749" w:rsidRDefault="00C14D08" w:rsidP="00C14D08">
            <w:pPr>
              <w:spacing w:after="0" w:line="240" w:lineRule="auto"/>
              <w:jc w:val="center"/>
              <w:rPr>
                <w:rFonts w:eastAsia="Times New Roman" w:cs="Times New Roman"/>
                <w:b/>
                <w:bCs/>
              </w:rPr>
            </w:pPr>
            <w:r w:rsidRPr="00FC1749">
              <w:rPr>
                <w:rFonts w:cs="Times New Roman"/>
                <w:b/>
                <w:bCs/>
              </w:rPr>
              <w:t>Count</w:t>
            </w:r>
          </w:p>
        </w:tc>
        <w:tc>
          <w:tcPr>
            <w:tcW w:w="983" w:type="dxa"/>
            <w:tcBorders>
              <w:top w:val="single" w:sz="4" w:space="0" w:color="auto"/>
              <w:bottom w:val="single" w:sz="4" w:space="0" w:color="auto"/>
            </w:tcBorders>
            <w:shd w:val="clear" w:color="auto" w:fill="auto"/>
          </w:tcPr>
          <w:p w14:paraId="405D330D" w14:textId="77777777" w:rsidR="00C14D08" w:rsidRPr="00FC1749" w:rsidRDefault="00C14D08" w:rsidP="00C14D08">
            <w:pPr>
              <w:spacing w:after="0" w:line="240" w:lineRule="auto"/>
              <w:jc w:val="center"/>
              <w:rPr>
                <w:rFonts w:eastAsia="Times New Roman" w:cs="Times New Roman"/>
                <w:b/>
                <w:bCs/>
              </w:rPr>
            </w:pPr>
            <w:r w:rsidRPr="00FC1749">
              <w:rPr>
                <w:rFonts w:cs="Times New Roman"/>
                <w:b/>
                <w:bCs/>
              </w:rPr>
              <w:t>%</w:t>
            </w:r>
          </w:p>
        </w:tc>
        <w:tc>
          <w:tcPr>
            <w:tcW w:w="983" w:type="dxa"/>
            <w:tcBorders>
              <w:top w:val="single" w:sz="4" w:space="0" w:color="auto"/>
              <w:bottom w:val="single" w:sz="4" w:space="0" w:color="auto"/>
            </w:tcBorders>
            <w:shd w:val="clear" w:color="auto" w:fill="auto"/>
          </w:tcPr>
          <w:p w14:paraId="527C543C" w14:textId="77777777" w:rsidR="00C14D08" w:rsidRPr="00FC1749" w:rsidRDefault="00C14D08" w:rsidP="00C14D08">
            <w:pPr>
              <w:spacing w:after="0" w:line="240" w:lineRule="auto"/>
              <w:jc w:val="center"/>
              <w:rPr>
                <w:rFonts w:eastAsia="Times New Roman" w:cs="Times New Roman"/>
                <w:b/>
                <w:bCs/>
              </w:rPr>
            </w:pPr>
            <w:r w:rsidRPr="00FC1749">
              <w:rPr>
                <w:rFonts w:cs="Times New Roman"/>
                <w:b/>
                <w:bCs/>
              </w:rPr>
              <w:t>Count</w:t>
            </w:r>
          </w:p>
        </w:tc>
        <w:tc>
          <w:tcPr>
            <w:tcW w:w="983" w:type="dxa"/>
            <w:tcBorders>
              <w:top w:val="single" w:sz="4" w:space="0" w:color="auto"/>
              <w:bottom w:val="single" w:sz="4" w:space="0" w:color="auto"/>
            </w:tcBorders>
            <w:shd w:val="clear" w:color="auto" w:fill="auto"/>
          </w:tcPr>
          <w:p w14:paraId="06B86BD3" w14:textId="77777777" w:rsidR="00C14D08" w:rsidRPr="00FC1749" w:rsidRDefault="00C14D08" w:rsidP="00C14D08">
            <w:pPr>
              <w:spacing w:after="0" w:line="240" w:lineRule="auto"/>
              <w:jc w:val="center"/>
              <w:rPr>
                <w:rFonts w:eastAsia="Times New Roman" w:cs="Times New Roman"/>
                <w:b/>
                <w:bCs/>
              </w:rPr>
            </w:pPr>
            <w:r w:rsidRPr="00FC1749">
              <w:rPr>
                <w:rFonts w:cs="Times New Roman"/>
                <w:b/>
                <w:bCs/>
              </w:rPr>
              <w:t>Count</w:t>
            </w:r>
          </w:p>
        </w:tc>
        <w:tc>
          <w:tcPr>
            <w:tcW w:w="983" w:type="dxa"/>
            <w:tcBorders>
              <w:top w:val="single" w:sz="4" w:space="0" w:color="auto"/>
              <w:bottom w:val="single" w:sz="4" w:space="0" w:color="auto"/>
            </w:tcBorders>
            <w:shd w:val="clear" w:color="auto" w:fill="auto"/>
          </w:tcPr>
          <w:p w14:paraId="6C0D31F3" w14:textId="77777777" w:rsidR="00C14D08" w:rsidRPr="00FC1749" w:rsidRDefault="00C14D08" w:rsidP="00C14D08">
            <w:pPr>
              <w:spacing w:after="0" w:line="240" w:lineRule="auto"/>
              <w:jc w:val="center"/>
              <w:rPr>
                <w:rFonts w:eastAsia="Times New Roman" w:cs="Times New Roman"/>
                <w:b/>
                <w:bCs/>
              </w:rPr>
            </w:pPr>
            <w:r w:rsidRPr="00FC1749">
              <w:rPr>
                <w:rFonts w:cs="Times New Roman"/>
                <w:b/>
                <w:bCs/>
              </w:rPr>
              <w:t>%</w:t>
            </w:r>
          </w:p>
        </w:tc>
        <w:tc>
          <w:tcPr>
            <w:tcW w:w="983" w:type="dxa"/>
            <w:tcBorders>
              <w:top w:val="single" w:sz="4" w:space="0" w:color="auto"/>
              <w:bottom w:val="single" w:sz="4" w:space="0" w:color="auto"/>
            </w:tcBorders>
            <w:shd w:val="clear" w:color="auto" w:fill="auto"/>
          </w:tcPr>
          <w:p w14:paraId="51422F3D" w14:textId="77777777" w:rsidR="00C14D08" w:rsidRPr="00FC1749" w:rsidRDefault="00C14D08" w:rsidP="00C14D08">
            <w:pPr>
              <w:spacing w:after="0" w:line="240" w:lineRule="auto"/>
              <w:jc w:val="center"/>
              <w:rPr>
                <w:rFonts w:eastAsia="Times New Roman" w:cs="Times New Roman"/>
                <w:b/>
                <w:bCs/>
              </w:rPr>
            </w:pPr>
            <w:r w:rsidRPr="00FC1749">
              <w:rPr>
                <w:rFonts w:cs="Times New Roman"/>
                <w:b/>
                <w:bCs/>
              </w:rPr>
              <w:t>Count</w:t>
            </w:r>
          </w:p>
        </w:tc>
      </w:tr>
      <w:tr w:rsidR="00C14D08" w:rsidRPr="00FC1749" w14:paraId="0CD7608D" w14:textId="77777777" w:rsidTr="005E44B8">
        <w:trPr>
          <w:cantSplit/>
          <w:trHeight w:val="300"/>
          <w:jc w:val="center"/>
        </w:trPr>
        <w:tc>
          <w:tcPr>
            <w:tcW w:w="1620" w:type="dxa"/>
            <w:shd w:val="clear" w:color="auto" w:fill="auto"/>
          </w:tcPr>
          <w:p w14:paraId="6F4E4B58" w14:textId="09079C2D" w:rsidR="00C14D08" w:rsidRPr="00FC1749" w:rsidRDefault="00C14D08" w:rsidP="00C14D08">
            <w:pPr>
              <w:spacing w:after="0" w:line="240" w:lineRule="auto"/>
              <w:rPr>
                <w:rFonts w:eastAsia="Times New Roman" w:cs="Times New Roman"/>
              </w:rPr>
            </w:pPr>
            <w:r w:rsidRPr="00FC1749">
              <w:t>Quincy</w:t>
            </w:r>
          </w:p>
        </w:tc>
        <w:tc>
          <w:tcPr>
            <w:tcW w:w="1025" w:type="dxa"/>
            <w:gridSpan w:val="2"/>
            <w:tcBorders>
              <w:top w:val="single" w:sz="4" w:space="0" w:color="auto"/>
            </w:tcBorders>
            <w:shd w:val="clear" w:color="auto" w:fill="auto"/>
          </w:tcPr>
          <w:p w14:paraId="29AD5C97" w14:textId="6AACB5E7" w:rsidR="00C14D08" w:rsidRPr="00FC1749" w:rsidRDefault="00C14D08" w:rsidP="00C14D08">
            <w:pPr>
              <w:spacing w:after="0" w:line="240" w:lineRule="auto"/>
              <w:jc w:val="center"/>
              <w:rPr>
                <w:rFonts w:eastAsia="Times New Roman" w:cs="Times New Roman"/>
              </w:rPr>
            </w:pPr>
            <w:r w:rsidRPr="00FC1749">
              <w:t>11,454</w:t>
            </w:r>
          </w:p>
        </w:tc>
        <w:tc>
          <w:tcPr>
            <w:tcW w:w="983" w:type="dxa"/>
            <w:tcBorders>
              <w:top w:val="single" w:sz="4" w:space="0" w:color="auto"/>
            </w:tcBorders>
            <w:shd w:val="clear" w:color="auto" w:fill="auto"/>
          </w:tcPr>
          <w:p w14:paraId="7AC5DCCD" w14:textId="6F361DA1" w:rsidR="00C14D08" w:rsidRPr="00FC1749" w:rsidRDefault="00C14D08" w:rsidP="00C14D08">
            <w:pPr>
              <w:spacing w:after="0" w:line="240" w:lineRule="auto"/>
              <w:jc w:val="center"/>
              <w:rPr>
                <w:rFonts w:eastAsia="Times New Roman" w:cs="Times New Roman"/>
              </w:rPr>
            </w:pPr>
            <w:r w:rsidRPr="00FC1749">
              <w:t>14.5%</w:t>
            </w:r>
          </w:p>
        </w:tc>
        <w:tc>
          <w:tcPr>
            <w:tcW w:w="983" w:type="dxa"/>
            <w:tcBorders>
              <w:top w:val="single" w:sz="4" w:space="0" w:color="auto"/>
            </w:tcBorders>
            <w:shd w:val="clear" w:color="auto" w:fill="auto"/>
          </w:tcPr>
          <w:p w14:paraId="13B49D69" w14:textId="4296A2E4" w:rsidR="00C14D08" w:rsidRPr="00FC1749" w:rsidRDefault="00C14D08" w:rsidP="00C14D08">
            <w:pPr>
              <w:spacing w:after="0" w:line="240" w:lineRule="auto"/>
              <w:jc w:val="center"/>
              <w:rPr>
                <w:rFonts w:eastAsia="Times New Roman" w:cs="Times New Roman"/>
              </w:rPr>
            </w:pPr>
            <w:r w:rsidRPr="00FC1749">
              <w:t>10,252</w:t>
            </w:r>
          </w:p>
        </w:tc>
        <w:tc>
          <w:tcPr>
            <w:tcW w:w="983" w:type="dxa"/>
            <w:tcBorders>
              <w:top w:val="single" w:sz="4" w:space="0" w:color="auto"/>
            </w:tcBorders>
            <w:shd w:val="clear" w:color="auto" w:fill="auto"/>
          </w:tcPr>
          <w:p w14:paraId="13077F38" w14:textId="30F2C703" w:rsidR="00C14D08" w:rsidRPr="00FC1749" w:rsidRDefault="00C14D08" w:rsidP="00C14D08">
            <w:pPr>
              <w:spacing w:after="0" w:line="240" w:lineRule="auto"/>
              <w:jc w:val="center"/>
              <w:rPr>
                <w:rFonts w:eastAsia="Times New Roman" w:cs="Times New Roman"/>
              </w:rPr>
            </w:pPr>
            <w:r w:rsidRPr="00FC1749">
              <w:t>14.9%</w:t>
            </w:r>
          </w:p>
        </w:tc>
        <w:tc>
          <w:tcPr>
            <w:tcW w:w="983" w:type="dxa"/>
            <w:tcBorders>
              <w:top w:val="single" w:sz="4" w:space="0" w:color="auto"/>
            </w:tcBorders>
            <w:shd w:val="clear" w:color="auto" w:fill="auto"/>
          </w:tcPr>
          <w:p w14:paraId="21A8320E" w14:textId="105CEA8C" w:rsidR="00C14D08" w:rsidRPr="00FC1749" w:rsidRDefault="00C14D08" w:rsidP="00C14D08">
            <w:pPr>
              <w:spacing w:after="0" w:line="240" w:lineRule="auto"/>
              <w:jc w:val="center"/>
              <w:rPr>
                <w:rFonts w:eastAsia="Times New Roman" w:cs="Times New Roman"/>
              </w:rPr>
            </w:pPr>
            <w:r w:rsidRPr="00FC1749">
              <w:t>10,083</w:t>
            </w:r>
          </w:p>
        </w:tc>
        <w:tc>
          <w:tcPr>
            <w:tcW w:w="983" w:type="dxa"/>
            <w:tcBorders>
              <w:top w:val="single" w:sz="4" w:space="0" w:color="auto"/>
            </w:tcBorders>
            <w:shd w:val="clear" w:color="auto" w:fill="auto"/>
          </w:tcPr>
          <w:p w14:paraId="4C950B17" w14:textId="3B9E4FC9" w:rsidR="00C14D08" w:rsidRPr="00FC1749" w:rsidRDefault="00C14D08" w:rsidP="00C14D08">
            <w:pPr>
              <w:spacing w:after="0" w:line="240" w:lineRule="auto"/>
              <w:jc w:val="center"/>
              <w:rPr>
                <w:rFonts w:eastAsia="Times New Roman" w:cs="Times New Roman"/>
              </w:rPr>
            </w:pPr>
            <w:r w:rsidRPr="00FC1749">
              <w:t>14.3%</w:t>
            </w:r>
          </w:p>
        </w:tc>
      </w:tr>
      <w:tr w:rsidR="00C14D08" w:rsidRPr="00FC1749" w14:paraId="7AB1133F" w14:textId="77777777" w:rsidTr="005E44B8">
        <w:trPr>
          <w:cantSplit/>
          <w:trHeight w:val="300"/>
          <w:jc w:val="center"/>
        </w:trPr>
        <w:tc>
          <w:tcPr>
            <w:tcW w:w="1620" w:type="dxa"/>
            <w:shd w:val="clear" w:color="auto" w:fill="auto"/>
          </w:tcPr>
          <w:p w14:paraId="3D9FC9FA" w14:textId="6A18D547" w:rsidR="00C14D08" w:rsidRPr="00FC1749" w:rsidRDefault="00C14D08" w:rsidP="00C14D08">
            <w:pPr>
              <w:spacing w:after="0" w:line="240" w:lineRule="auto"/>
              <w:rPr>
                <w:rFonts w:eastAsia="Times New Roman" w:cs="Times New Roman"/>
              </w:rPr>
            </w:pPr>
            <w:r w:rsidRPr="00FC1749">
              <w:t>Milton</w:t>
            </w:r>
          </w:p>
        </w:tc>
        <w:tc>
          <w:tcPr>
            <w:tcW w:w="1025" w:type="dxa"/>
            <w:gridSpan w:val="2"/>
            <w:shd w:val="clear" w:color="auto" w:fill="auto"/>
          </w:tcPr>
          <w:p w14:paraId="361463F9" w14:textId="02A19D7A" w:rsidR="00C14D08" w:rsidRPr="00FC1749" w:rsidRDefault="00C14D08" w:rsidP="00C14D08">
            <w:pPr>
              <w:spacing w:after="0" w:line="240" w:lineRule="auto"/>
              <w:jc w:val="center"/>
              <w:rPr>
                <w:rFonts w:eastAsia="Times New Roman" w:cs="Times New Roman"/>
              </w:rPr>
            </w:pPr>
            <w:r w:rsidRPr="00FC1749">
              <w:t>7,988</w:t>
            </w:r>
          </w:p>
        </w:tc>
        <w:tc>
          <w:tcPr>
            <w:tcW w:w="983" w:type="dxa"/>
            <w:shd w:val="clear" w:color="auto" w:fill="auto"/>
          </w:tcPr>
          <w:p w14:paraId="474C0D5D" w14:textId="0A1BA3DA" w:rsidR="00C14D08" w:rsidRPr="00FC1749" w:rsidRDefault="00C14D08" w:rsidP="00C14D08">
            <w:pPr>
              <w:spacing w:after="0" w:line="240" w:lineRule="auto"/>
              <w:jc w:val="center"/>
              <w:rPr>
                <w:rFonts w:eastAsia="Times New Roman" w:cs="Times New Roman"/>
              </w:rPr>
            </w:pPr>
            <w:r w:rsidRPr="00FC1749">
              <w:t>10.1%</w:t>
            </w:r>
          </w:p>
        </w:tc>
        <w:tc>
          <w:tcPr>
            <w:tcW w:w="983" w:type="dxa"/>
            <w:shd w:val="clear" w:color="auto" w:fill="auto"/>
          </w:tcPr>
          <w:p w14:paraId="4BA994AE" w14:textId="2F569B3F" w:rsidR="00C14D08" w:rsidRPr="00FC1749" w:rsidRDefault="00C14D08" w:rsidP="00C14D08">
            <w:pPr>
              <w:spacing w:after="0" w:line="240" w:lineRule="auto"/>
              <w:jc w:val="center"/>
              <w:rPr>
                <w:rFonts w:eastAsia="Times New Roman" w:cs="Times New Roman"/>
              </w:rPr>
            </w:pPr>
            <w:r w:rsidRPr="00FC1749">
              <w:t>7,688</w:t>
            </w:r>
          </w:p>
        </w:tc>
        <w:tc>
          <w:tcPr>
            <w:tcW w:w="983" w:type="dxa"/>
            <w:shd w:val="clear" w:color="auto" w:fill="auto"/>
          </w:tcPr>
          <w:p w14:paraId="43B9C6A1" w14:textId="6CC98738" w:rsidR="00C14D08" w:rsidRPr="00FC1749" w:rsidRDefault="00C14D08" w:rsidP="00C14D08">
            <w:pPr>
              <w:spacing w:after="0" w:line="240" w:lineRule="auto"/>
              <w:jc w:val="center"/>
              <w:rPr>
                <w:rFonts w:eastAsia="Times New Roman" w:cs="Times New Roman"/>
              </w:rPr>
            </w:pPr>
            <w:r w:rsidRPr="00FC1749">
              <w:t>11.1%</w:t>
            </w:r>
          </w:p>
        </w:tc>
        <w:tc>
          <w:tcPr>
            <w:tcW w:w="983" w:type="dxa"/>
            <w:shd w:val="clear" w:color="auto" w:fill="auto"/>
          </w:tcPr>
          <w:p w14:paraId="4905EC26" w14:textId="1A4B8BC9" w:rsidR="00C14D08" w:rsidRPr="00FC1749" w:rsidRDefault="00C14D08" w:rsidP="00C14D08">
            <w:pPr>
              <w:spacing w:after="0" w:line="240" w:lineRule="auto"/>
              <w:jc w:val="center"/>
              <w:rPr>
                <w:rFonts w:eastAsia="Times New Roman" w:cs="Times New Roman"/>
              </w:rPr>
            </w:pPr>
            <w:r w:rsidRPr="00FC1749">
              <w:t>7,684</w:t>
            </w:r>
          </w:p>
        </w:tc>
        <w:tc>
          <w:tcPr>
            <w:tcW w:w="983" w:type="dxa"/>
            <w:shd w:val="clear" w:color="auto" w:fill="auto"/>
          </w:tcPr>
          <w:p w14:paraId="03414999" w14:textId="653DBA1A" w:rsidR="00C14D08" w:rsidRPr="00FC1749" w:rsidRDefault="00C14D08" w:rsidP="00C14D08">
            <w:pPr>
              <w:spacing w:after="0" w:line="240" w:lineRule="auto"/>
              <w:jc w:val="center"/>
              <w:rPr>
                <w:rFonts w:eastAsia="Times New Roman" w:cs="Times New Roman"/>
              </w:rPr>
            </w:pPr>
            <w:r w:rsidRPr="00FC1749">
              <w:t>10.9%</w:t>
            </w:r>
          </w:p>
        </w:tc>
      </w:tr>
      <w:tr w:rsidR="00C14D08" w:rsidRPr="00FC1749" w14:paraId="1CB3FB14" w14:textId="77777777" w:rsidTr="005E44B8">
        <w:trPr>
          <w:cantSplit/>
          <w:trHeight w:val="300"/>
          <w:jc w:val="center"/>
        </w:trPr>
        <w:tc>
          <w:tcPr>
            <w:tcW w:w="1620" w:type="dxa"/>
            <w:shd w:val="clear" w:color="auto" w:fill="auto"/>
          </w:tcPr>
          <w:p w14:paraId="763C5F95" w14:textId="46FF9F7D" w:rsidR="00C14D08" w:rsidRPr="00FC1749" w:rsidRDefault="00C14D08" w:rsidP="00C14D08">
            <w:pPr>
              <w:spacing w:after="0" w:line="240" w:lineRule="auto"/>
              <w:rPr>
                <w:rFonts w:eastAsia="Times New Roman" w:cs="Times New Roman"/>
              </w:rPr>
            </w:pPr>
            <w:r w:rsidRPr="00FC1749">
              <w:t>Randolph</w:t>
            </w:r>
          </w:p>
        </w:tc>
        <w:tc>
          <w:tcPr>
            <w:tcW w:w="1025" w:type="dxa"/>
            <w:gridSpan w:val="2"/>
            <w:shd w:val="clear" w:color="auto" w:fill="auto"/>
          </w:tcPr>
          <w:p w14:paraId="052BC61A" w14:textId="3E2BDC44" w:rsidR="00C14D08" w:rsidRPr="00FC1749" w:rsidRDefault="00C14D08" w:rsidP="00C14D08">
            <w:pPr>
              <w:spacing w:after="0" w:line="240" w:lineRule="auto"/>
              <w:jc w:val="center"/>
              <w:rPr>
                <w:rFonts w:eastAsia="Times New Roman" w:cs="Times New Roman"/>
              </w:rPr>
            </w:pPr>
            <w:r w:rsidRPr="00FC1749">
              <w:t>6,747</w:t>
            </w:r>
          </w:p>
        </w:tc>
        <w:tc>
          <w:tcPr>
            <w:tcW w:w="983" w:type="dxa"/>
            <w:shd w:val="clear" w:color="auto" w:fill="auto"/>
          </w:tcPr>
          <w:p w14:paraId="7B5B875E" w14:textId="61698722" w:rsidR="00C14D08" w:rsidRPr="00FC1749" w:rsidRDefault="00C14D08" w:rsidP="00C14D08">
            <w:pPr>
              <w:spacing w:after="0" w:line="240" w:lineRule="auto"/>
              <w:jc w:val="center"/>
              <w:rPr>
                <w:rFonts w:eastAsia="Times New Roman" w:cs="Times New Roman"/>
              </w:rPr>
            </w:pPr>
            <w:r w:rsidRPr="00FC1749">
              <w:t>8.5%</w:t>
            </w:r>
          </w:p>
        </w:tc>
        <w:tc>
          <w:tcPr>
            <w:tcW w:w="983" w:type="dxa"/>
            <w:shd w:val="clear" w:color="auto" w:fill="auto"/>
          </w:tcPr>
          <w:p w14:paraId="01651CA2" w14:textId="463C10E3" w:rsidR="00C14D08" w:rsidRPr="00FC1749" w:rsidRDefault="00C14D08" w:rsidP="00C14D08">
            <w:pPr>
              <w:spacing w:after="0" w:line="240" w:lineRule="auto"/>
              <w:jc w:val="center"/>
              <w:rPr>
                <w:rFonts w:eastAsia="Times New Roman" w:cs="Times New Roman"/>
              </w:rPr>
            </w:pPr>
            <w:r w:rsidRPr="00FC1749">
              <w:t>6,635</w:t>
            </w:r>
          </w:p>
        </w:tc>
        <w:tc>
          <w:tcPr>
            <w:tcW w:w="983" w:type="dxa"/>
            <w:shd w:val="clear" w:color="auto" w:fill="auto"/>
          </w:tcPr>
          <w:p w14:paraId="1F083384" w14:textId="0A556AFB" w:rsidR="00C14D08" w:rsidRPr="00FC1749" w:rsidRDefault="00C14D08" w:rsidP="00C14D08">
            <w:pPr>
              <w:spacing w:after="0" w:line="240" w:lineRule="auto"/>
              <w:jc w:val="center"/>
              <w:rPr>
                <w:rFonts w:eastAsia="Times New Roman" w:cs="Times New Roman"/>
              </w:rPr>
            </w:pPr>
            <w:r w:rsidRPr="00FC1749">
              <w:t>9.6%</w:t>
            </w:r>
          </w:p>
        </w:tc>
        <w:tc>
          <w:tcPr>
            <w:tcW w:w="983" w:type="dxa"/>
            <w:shd w:val="clear" w:color="auto" w:fill="auto"/>
          </w:tcPr>
          <w:p w14:paraId="18AD1F6E" w14:textId="7C962D0A" w:rsidR="00C14D08" w:rsidRPr="00FC1749" w:rsidRDefault="00C14D08" w:rsidP="00C14D08">
            <w:pPr>
              <w:spacing w:after="0" w:line="240" w:lineRule="auto"/>
              <w:jc w:val="center"/>
              <w:rPr>
                <w:rFonts w:eastAsia="Times New Roman" w:cs="Times New Roman"/>
              </w:rPr>
            </w:pPr>
            <w:r w:rsidRPr="00FC1749">
              <w:t>6,739</w:t>
            </w:r>
          </w:p>
        </w:tc>
        <w:tc>
          <w:tcPr>
            <w:tcW w:w="983" w:type="dxa"/>
            <w:shd w:val="clear" w:color="auto" w:fill="auto"/>
          </w:tcPr>
          <w:p w14:paraId="449B8116" w14:textId="0C195688" w:rsidR="00C14D08" w:rsidRPr="00FC1749" w:rsidRDefault="00C14D08" w:rsidP="00C14D08">
            <w:pPr>
              <w:spacing w:after="0" w:line="240" w:lineRule="auto"/>
              <w:jc w:val="center"/>
              <w:rPr>
                <w:rFonts w:eastAsia="Times New Roman" w:cs="Times New Roman"/>
              </w:rPr>
            </w:pPr>
            <w:r w:rsidRPr="00FC1749">
              <w:t>9.5%</w:t>
            </w:r>
          </w:p>
        </w:tc>
      </w:tr>
      <w:tr w:rsidR="00C14D08" w:rsidRPr="00FC1749" w14:paraId="72DC3494" w14:textId="77777777" w:rsidTr="005E44B8">
        <w:trPr>
          <w:cantSplit/>
          <w:trHeight w:val="300"/>
          <w:jc w:val="center"/>
        </w:trPr>
        <w:tc>
          <w:tcPr>
            <w:tcW w:w="1620" w:type="dxa"/>
            <w:shd w:val="clear" w:color="auto" w:fill="auto"/>
          </w:tcPr>
          <w:p w14:paraId="3FB3F466" w14:textId="3C18B201" w:rsidR="00C14D08" w:rsidRPr="00FC1749" w:rsidRDefault="00C14D08" w:rsidP="00C14D08">
            <w:pPr>
              <w:spacing w:after="0" w:line="240" w:lineRule="auto"/>
              <w:rPr>
                <w:rFonts w:eastAsia="Times New Roman" w:cs="Times New Roman"/>
              </w:rPr>
            </w:pPr>
            <w:r w:rsidRPr="00FC1749">
              <w:t>Braintree</w:t>
            </w:r>
          </w:p>
        </w:tc>
        <w:tc>
          <w:tcPr>
            <w:tcW w:w="1025" w:type="dxa"/>
            <w:gridSpan w:val="2"/>
            <w:shd w:val="clear" w:color="auto" w:fill="auto"/>
          </w:tcPr>
          <w:p w14:paraId="75B3C77D" w14:textId="128D81BE" w:rsidR="00C14D08" w:rsidRPr="00FC1749" w:rsidRDefault="00C14D08" w:rsidP="00C14D08">
            <w:pPr>
              <w:spacing w:after="0" w:line="240" w:lineRule="auto"/>
              <w:jc w:val="center"/>
              <w:rPr>
                <w:rFonts w:eastAsia="Times New Roman" w:cs="Times New Roman"/>
              </w:rPr>
            </w:pPr>
            <w:r w:rsidRPr="00FC1749">
              <w:t>4,627</w:t>
            </w:r>
          </w:p>
        </w:tc>
        <w:tc>
          <w:tcPr>
            <w:tcW w:w="983" w:type="dxa"/>
            <w:shd w:val="clear" w:color="auto" w:fill="auto"/>
          </w:tcPr>
          <w:p w14:paraId="0CF90FD5" w14:textId="271AC0A0" w:rsidR="00C14D08" w:rsidRPr="00FC1749" w:rsidRDefault="00C14D08" w:rsidP="00C14D08">
            <w:pPr>
              <w:spacing w:after="0" w:line="240" w:lineRule="auto"/>
              <w:jc w:val="center"/>
              <w:rPr>
                <w:rFonts w:eastAsia="Times New Roman" w:cs="Times New Roman"/>
              </w:rPr>
            </w:pPr>
            <w:r w:rsidRPr="00FC1749">
              <w:t>5.9%</w:t>
            </w:r>
          </w:p>
        </w:tc>
        <w:tc>
          <w:tcPr>
            <w:tcW w:w="983" w:type="dxa"/>
            <w:shd w:val="clear" w:color="auto" w:fill="auto"/>
          </w:tcPr>
          <w:p w14:paraId="49E116F3" w14:textId="4845A098" w:rsidR="00C14D08" w:rsidRPr="00FC1749" w:rsidRDefault="00C14D08" w:rsidP="00C14D08">
            <w:pPr>
              <w:spacing w:after="0" w:line="240" w:lineRule="auto"/>
              <w:jc w:val="center"/>
              <w:rPr>
                <w:rFonts w:eastAsia="Times New Roman" w:cs="Times New Roman"/>
              </w:rPr>
            </w:pPr>
            <w:r w:rsidRPr="00FC1749">
              <w:t>4,180</w:t>
            </w:r>
          </w:p>
        </w:tc>
        <w:tc>
          <w:tcPr>
            <w:tcW w:w="983" w:type="dxa"/>
            <w:shd w:val="clear" w:color="auto" w:fill="auto"/>
          </w:tcPr>
          <w:p w14:paraId="5B3A476F" w14:textId="5CBF80BF" w:rsidR="00C14D08" w:rsidRPr="00FC1749" w:rsidRDefault="00C14D08" w:rsidP="00C14D08">
            <w:pPr>
              <w:spacing w:after="0" w:line="240" w:lineRule="auto"/>
              <w:jc w:val="center"/>
              <w:rPr>
                <w:rFonts w:eastAsia="Times New Roman" w:cs="Times New Roman"/>
              </w:rPr>
            </w:pPr>
            <w:r w:rsidRPr="00FC1749">
              <w:t>6.1%</w:t>
            </w:r>
          </w:p>
        </w:tc>
        <w:tc>
          <w:tcPr>
            <w:tcW w:w="983" w:type="dxa"/>
            <w:shd w:val="clear" w:color="auto" w:fill="auto"/>
          </w:tcPr>
          <w:p w14:paraId="65D36163" w14:textId="06600EC2" w:rsidR="00C14D08" w:rsidRPr="00FC1749" w:rsidRDefault="00C14D08" w:rsidP="00C14D08">
            <w:pPr>
              <w:spacing w:after="0" w:line="240" w:lineRule="auto"/>
              <w:jc w:val="center"/>
              <w:rPr>
                <w:rFonts w:eastAsia="Times New Roman" w:cs="Times New Roman"/>
              </w:rPr>
            </w:pPr>
            <w:r w:rsidRPr="00FC1749">
              <w:t>4,170</w:t>
            </w:r>
          </w:p>
        </w:tc>
        <w:tc>
          <w:tcPr>
            <w:tcW w:w="983" w:type="dxa"/>
            <w:shd w:val="clear" w:color="auto" w:fill="auto"/>
          </w:tcPr>
          <w:p w14:paraId="794BFAAA" w14:textId="43196624" w:rsidR="00C14D08" w:rsidRPr="00FC1749" w:rsidRDefault="00C14D08" w:rsidP="00C14D08">
            <w:pPr>
              <w:spacing w:after="0" w:line="240" w:lineRule="auto"/>
              <w:jc w:val="center"/>
              <w:rPr>
                <w:rFonts w:eastAsia="Times New Roman" w:cs="Times New Roman"/>
              </w:rPr>
            </w:pPr>
            <w:r w:rsidRPr="00FC1749">
              <w:t>5.9%</w:t>
            </w:r>
          </w:p>
        </w:tc>
      </w:tr>
      <w:tr w:rsidR="00C14D08" w:rsidRPr="00FC1749" w14:paraId="5220764A" w14:textId="77777777" w:rsidTr="005E44B8">
        <w:trPr>
          <w:cantSplit/>
          <w:trHeight w:val="300"/>
          <w:jc w:val="center"/>
        </w:trPr>
        <w:tc>
          <w:tcPr>
            <w:tcW w:w="1620" w:type="dxa"/>
            <w:shd w:val="clear" w:color="auto" w:fill="auto"/>
          </w:tcPr>
          <w:p w14:paraId="04DA1678" w14:textId="2AC9DE7C" w:rsidR="00C14D08" w:rsidRPr="00FC1749" w:rsidRDefault="00C14D08" w:rsidP="00C14D08">
            <w:pPr>
              <w:spacing w:after="0" w:line="240" w:lineRule="auto"/>
              <w:rPr>
                <w:rFonts w:eastAsia="Times New Roman" w:cs="Times New Roman"/>
              </w:rPr>
            </w:pPr>
            <w:r w:rsidRPr="00FC1749">
              <w:t>Dorchester</w:t>
            </w:r>
          </w:p>
        </w:tc>
        <w:tc>
          <w:tcPr>
            <w:tcW w:w="1025" w:type="dxa"/>
            <w:gridSpan w:val="2"/>
            <w:shd w:val="clear" w:color="auto" w:fill="auto"/>
          </w:tcPr>
          <w:p w14:paraId="3D9CA115" w14:textId="5E8A913A" w:rsidR="00C14D08" w:rsidRPr="00FC1749" w:rsidRDefault="00C14D08" w:rsidP="00C14D08">
            <w:pPr>
              <w:spacing w:after="0" w:line="240" w:lineRule="auto"/>
              <w:jc w:val="center"/>
              <w:rPr>
                <w:rFonts w:eastAsia="Times New Roman" w:cs="Times New Roman"/>
              </w:rPr>
            </w:pPr>
            <w:r w:rsidRPr="00FC1749">
              <w:t>3,261</w:t>
            </w:r>
          </w:p>
        </w:tc>
        <w:tc>
          <w:tcPr>
            <w:tcW w:w="983" w:type="dxa"/>
            <w:shd w:val="clear" w:color="auto" w:fill="auto"/>
          </w:tcPr>
          <w:p w14:paraId="3CDC71E7" w14:textId="485C7E89" w:rsidR="00C14D08" w:rsidRPr="00FC1749" w:rsidRDefault="00C14D08" w:rsidP="00C14D08">
            <w:pPr>
              <w:spacing w:after="0" w:line="240" w:lineRule="auto"/>
              <w:jc w:val="center"/>
              <w:rPr>
                <w:rFonts w:eastAsia="Times New Roman" w:cs="Times New Roman"/>
              </w:rPr>
            </w:pPr>
            <w:r w:rsidRPr="00FC1749">
              <w:t>4.1%</w:t>
            </w:r>
          </w:p>
        </w:tc>
        <w:tc>
          <w:tcPr>
            <w:tcW w:w="983" w:type="dxa"/>
            <w:shd w:val="clear" w:color="auto" w:fill="auto"/>
          </w:tcPr>
          <w:p w14:paraId="700A8B7F" w14:textId="1E19A904" w:rsidR="00C14D08" w:rsidRPr="00FC1749" w:rsidRDefault="00C14D08" w:rsidP="00C14D08">
            <w:pPr>
              <w:spacing w:after="0" w:line="240" w:lineRule="auto"/>
              <w:jc w:val="center"/>
              <w:rPr>
                <w:rFonts w:eastAsia="Times New Roman" w:cs="Times New Roman"/>
              </w:rPr>
            </w:pPr>
            <w:r w:rsidRPr="00FC1749">
              <w:t>3,088</w:t>
            </w:r>
          </w:p>
        </w:tc>
        <w:tc>
          <w:tcPr>
            <w:tcW w:w="983" w:type="dxa"/>
            <w:shd w:val="clear" w:color="auto" w:fill="auto"/>
          </w:tcPr>
          <w:p w14:paraId="5F968C82" w14:textId="5963694F" w:rsidR="00C14D08" w:rsidRPr="00FC1749" w:rsidRDefault="00C14D08" w:rsidP="00C14D08">
            <w:pPr>
              <w:spacing w:after="0" w:line="240" w:lineRule="auto"/>
              <w:jc w:val="center"/>
              <w:rPr>
                <w:rFonts w:eastAsia="Times New Roman" w:cs="Times New Roman"/>
              </w:rPr>
            </w:pPr>
            <w:r w:rsidRPr="00FC1749">
              <w:t>4.5%</w:t>
            </w:r>
          </w:p>
        </w:tc>
        <w:tc>
          <w:tcPr>
            <w:tcW w:w="983" w:type="dxa"/>
            <w:shd w:val="clear" w:color="auto" w:fill="auto"/>
          </w:tcPr>
          <w:p w14:paraId="2D993D5B" w14:textId="5E130CFD" w:rsidR="00C14D08" w:rsidRPr="00FC1749" w:rsidRDefault="00C14D08" w:rsidP="00C14D08">
            <w:pPr>
              <w:spacing w:after="0" w:line="240" w:lineRule="auto"/>
              <w:jc w:val="center"/>
              <w:rPr>
                <w:rFonts w:eastAsia="Times New Roman" w:cs="Times New Roman"/>
              </w:rPr>
            </w:pPr>
            <w:r w:rsidRPr="00FC1749">
              <w:t>3,101</w:t>
            </w:r>
          </w:p>
        </w:tc>
        <w:tc>
          <w:tcPr>
            <w:tcW w:w="983" w:type="dxa"/>
            <w:shd w:val="clear" w:color="auto" w:fill="auto"/>
          </w:tcPr>
          <w:p w14:paraId="6AD395A3" w14:textId="264EEE21" w:rsidR="00C14D08" w:rsidRPr="00FC1749" w:rsidRDefault="00C14D08" w:rsidP="00C14D08">
            <w:pPr>
              <w:spacing w:after="0" w:line="240" w:lineRule="auto"/>
              <w:jc w:val="center"/>
              <w:rPr>
                <w:rFonts w:eastAsia="Times New Roman" w:cs="Times New Roman"/>
              </w:rPr>
            </w:pPr>
            <w:r w:rsidRPr="00FC1749">
              <w:t>4.4%</w:t>
            </w:r>
          </w:p>
        </w:tc>
      </w:tr>
      <w:tr w:rsidR="00C14D08" w:rsidRPr="00FC1749" w14:paraId="0E45EAE5" w14:textId="77777777" w:rsidTr="005E44B8">
        <w:trPr>
          <w:cantSplit/>
          <w:trHeight w:val="300"/>
          <w:jc w:val="center"/>
        </w:trPr>
        <w:tc>
          <w:tcPr>
            <w:tcW w:w="1620" w:type="dxa"/>
            <w:shd w:val="clear" w:color="auto" w:fill="auto"/>
          </w:tcPr>
          <w:p w14:paraId="4266DA43" w14:textId="0F809CDC" w:rsidR="00C14D08" w:rsidRPr="00FC1749" w:rsidRDefault="00C14D08" w:rsidP="00C14D08">
            <w:pPr>
              <w:spacing w:after="0" w:line="240" w:lineRule="auto"/>
              <w:rPr>
                <w:rFonts w:eastAsia="Times New Roman" w:cs="Times New Roman"/>
              </w:rPr>
            </w:pPr>
            <w:r w:rsidRPr="00FC1749">
              <w:t>Hyde Park</w:t>
            </w:r>
          </w:p>
        </w:tc>
        <w:tc>
          <w:tcPr>
            <w:tcW w:w="1025" w:type="dxa"/>
            <w:gridSpan w:val="2"/>
            <w:shd w:val="clear" w:color="auto" w:fill="auto"/>
          </w:tcPr>
          <w:p w14:paraId="7ED00CF6" w14:textId="483E1311" w:rsidR="00C14D08" w:rsidRPr="00FC1749" w:rsidRDefault="00C14D08" w:rsidP="00C14D08">
            <w:pPr>
              <w:spacing w:after="0" w:line="240" w:lineRule="auto"/>
              <w:jc w:val="center"/>
              <w:rPr>
                <w:rFonts w:eastAsia="Times New Roman" w:cs="Times New Roman"/>
              </w:rPr>
            </w:pPr>
            <w:r w:rsidRPr="00FC1749">
              <w:t>2,448</w:t>
            </w:r>
          </w:p>
        </w:tc>
        <w:tc>
          <w:tcPr>
            <w:tcW w:w="983" w:type="dxa"/>
            <w:shd w:val="clear" w:color="auto" w:fill="auto"/>
          </w:tcPr>
          <w:p w14:paraId="0E8E244B" w14:textId="1F6F2164" w:rsidR="00C14D08" w:rsidRPr="00FC1749" w:rsidRDefault="00C14D08" w:rsidP="00C14D08">
            <w:pPr>
              <w:spacing w:after="0" w:line="240" w:lineRule="auto"/>
              <w:jc w:val="center"/>
              <w:rPr>
                <w:rFonts w:eastAsia="Times New Roman" w:cs="Times New Roman"/>
              </w:rPr>
            </w:pPr>
            <w:r w:rsidRPr="00FC1749">
              <w:t>3.1%</w:t>
            </w:r>
          </w:p>
        </w:tc>
        <w:tc>
          <w:tcPr>
            <w:tcW w:w="983" w:type="dxa"/>
            <w:shd w:val="clear" w:color="auto" w:fill="auto"/>
          </w:tcPr>
          <w:p w14:paraId="7E130C83" w14:textId="4F33D16F" w:rsidR="00C14D08" w:rsidRPr="00FC1749" w:rsidRDefault="00C14D08" w:rsidP="00C14D08">
            <w:pPr>
              <w:spacing w:after="0" w:line="240" w:lineRule="auto"/>
              <w:jc w:val="center"/>
              <w:rPr>
                <w:rFonts w:eastAsia="Times New Roman" w:cs="Times New Roman"/>
              </w:rPr>
            </w:pPr>
            <w:r w:rsidRPr="00FC1749">
              <w:t>2,405</w:t>
            </w:r>
          </w:p>
        </w:tc>
        <w:tc>
          <w:tcPr>
            <w:tcW w:w="983" w:type="dxa"/>
            <w:shd w:val="clear" w:color="auto" w:fill="auto"/>
          </w:tcPr>
          <w:p w14:paraId="3BD3F16E" w14:textId="396EFEA2" w:rsidR="00C14D08" w:rsidRPr="00FC1749" w:rsidRDefault="00C14D08" w:rsidP="00C14D08">
            <w:pPr>
              <w:spacing w:after="0" w:line="240" w:lineRule="auto"/>
              <w:jc w:val="center"/>
              <w:rPr>
                <w:rFonts w:eastAsia="Times New Roman" w:cs="Times New Roman"/>
              </w:rPr>
            </w:pPr>
            <w:r w:rsidRPr="00FC1749">
              <w:t>3.5%</w:t>
            </w:r>
          </w:p>
        </w:tc>
        <w:tc>
          <w:tcPr>
            <w:tcW w:w="983" w:type="dxa"/>
            <w:shd w:val="clear" w:color="auto" w:fill="auto"/>
          </w:tcPr>
          <w:p w14:paraId="4CE1DBE8" w14:textId="51A07842" w:rsidR="00C14D08" w:rsidRPr="00FC1749" w:rsidRDefault="00C14D08" w:rsidP="00C14D08">
            <w:pPr>
              <w:spacing w:after="0" w:line="240" w:lineRule="auto"/>
              <w:jc w:val="center"/>
              <w:rPr>
                <w:rFonts w:eastAsia="Times New Roman" w:cs="Times New Roman"/>
              </w:rPr>
            </w:pPr>
            <w:r w:rsidRPr="00FC1749">
              <w:t>2,633</w:t>
            </w:r>
          </w:p>
        </w:tc>
        <w:tc>
          <w:tcPr>
            <w:tcW w:w="983" w:type="dxa"/>
            <w:shd w:val="clear" w:color="auto" w:fill="auto"/>
          </w:tcPr>
          <w:p w14:paraId="0FBE300C" w14:textId="3D121D0A" w:rsidR="00C14D08" w:rsidRPr="00FC1749" w:rsidRDefault="00C14D08" w:rsidP="00C14D08">
            <w:pPr>
              <w:spacing w:after="0" w:line="240" w:lineRule="auto"/>
              <w:jc w:val="center"/>
              <w:rPr>
                <w:rFonts w:eastAsia="Times New Roman" w:cs="Times New Roman"/>
              </w:rPr>
            </w:pPr>
            <w:r w:rsidRPr="00FC1749">
              <w:t>3.7%</w:t>
            </w:r>
          </w:p>
        </w:tc>
      </w:tr>
      <w:tr w:rsidR="00C14D08" w:rsidRPr="00FC1749" w14:paraId="3D20E377" w14:textId="77777777" w:rsidTr="005E44B8">
        <w:trPr>
          <w:cantSplit/>
          <w:trHeight w:val="300"/>
          <w:jc w:val="center"/>
        </w:trPr>
        <w:tc>
          <w:tcPr>
            <w:tcW w:w="1620" w:type="dxa"/>
            <w:shd w:val="clear" w:color="auto" w:fill="auto"/>
          </w:tcPr>
          <w:p w14:paraId="17B96A10" w14:textId="784C3D44" w:rsidR="00C14D08" w:rsidRPr="00FC1749" w:rsidRDefault="00C14D08" w:rsidP="00C14D08">
            <w:pPr>
              <w:spacing w:after="0" w:line="240" w:lineRule="auto"/>
            </w:pPr>
            <w:r w:rsidRPr="00FC1749">
              <w:t>Canton</w:t>
            </w:r>
          </w:p>
        </w:tc>
        <w:tc>
          <w:tcPr>
            <w:tcW w:w="1025" w:type="dxa"/>
            <w:gridSpan w:val="2"/>
            <w:shd w:val="clear" w:color="auto" w:fill="auto"/>
          </w:tcPr>
          <w:p w14:paraId="3F26A388" w14:textId="1FD75E07" w:rsidR="00C14D08" w:rsidRPr="00FC1749" w:rsidRDefault="00C14D08" w:rsidP="00C14D08">
            <w:pPr>
              <w:spacing w:after="0" w:line="240" w:lineRule="auto"/>
              <w:jc w:val="center"/>
            </w:pPr>
            <w:r w:rsidRPr="00FC1749">
              <w:t>2,475</w:t>
            </w:r>
          </w:p>
        </w:tc>
        <w:tc>
          <w:tcPr>
            <w:tcW w:w="983" w:type="dxa"/>
            <w:shd w:val="clear" w:color="auto" w:fill="auto"/>
          </w:tcPr>
          <w:p w14:paraId="485C6954" w14:textId="0560C815" w:rsidR="00C14D08" w:rsidRPr="00FC1749" w:rsidRDefault="00C14D08" w:rsidP="00C14D08">
            <w:pPr>
              <w:spacing w:after="0" w:line="240" w:lineRule="auto"/>
              <w:jc w:val="center"/>
            </w:pPr>
            <w:r w:rsidRPr="00FC1749">
              <w:t>3.1%</w:t>
            </w:r>
          </w:p>
        </w:tc>
        <w:tc>
          <w:tcPr>
            <w:tcW w:w="983" w:type="dxa"/>
            <w:shd w:val="clear" w:color="auto" w:fill="auto"/>
          </w:tcPr>
          <w:p w14:paraId="1C419BF3" w14:textId="2088EBC3" w:rsidR="00C14D08" w:rsidRPr="00FC1749" w:rsidRDefault="00C14D08" w:rsidP="00C14D08">
            <w:pPr>
              <w:spacing w:after="0" w:line="240" w:lineRule="auto"/>
              <w:jc w:val="center"/>
            </w:pPr>
            <w:r w:rsidRPr="00FC1749">
              <w:t>2,379</w:t>
            </w:r>
          </w:p>
        </w:tc>
        <w:tc>
          <w:tcPr>
            <w:tcW w:w="983" w:type="dxa"/>
            <w:shd w:val="clear" w:color="auto" w:fill="auto"/>
          </w:tcPr>
          <w:p w14:paraId="1C088A5A" w14:textId="70E43DE5" w:rsidR="00C14D08" w:rsidRPr="00FC1749" w:rsidRDefault="00C14D08" w:rsidP="00C14D08">
            <w:pPr>
              <w:spacing w:after="0" w:line="240" w:lineRule="auto"/>
              <w:jc w:val="center"/>
            </w:pPr>
            <w:r w:rsidRPr="00FC1749">
              <w:t>3.5%</w:t>
            </w:r>
          </w:p>
        </w:tc>
        <w:tc>
          <w:tcPr>
            <w:tcW w:w="983" w:type="dxa"/>
            <w:shd w:val="clear" w:color="auto" w:fill="auto"/>
          </w:tcPr>
          <w:p w14:paraId="0EB066B4" w14:textId="2877F2CE" w:rsidR="00C14D08" w:rsidRPr="00FC1749" w:rsidRDefault="00C14D08" w:rsidP="00C14D08">
            <w:pPr>
              <w:spacing w:after="0" w:line="240" w:lineRule="auto"/>
              <w:jc w:val="center"/>
            </w:pPr>
            <w:r w:rsidRPr="00FC1749">
              <w:t>2,445</w:t>
            </w:r>
          </w:p>
        </w:tc>
        <w:tc>
          <w:tcPr>
            <w:tcW w:w="983" w:type="dxa"/>
            <w:shd w:val="clear" w:color="auto" w:fill="auto"/>
          </w:tcPr>
          <w:p w14:paraId="2060D039" w14:textId="29545156" w:rsidR="00C14D08" w:rsidRPr="00FC1749" w:rsidRDefault="00C14D08" w:rsidP="00C14D08">
            <w:pPr>
              <w:spacing w:after="0" w:line="240" w:lineRule="auto"/>
              <w:jc w:val="center"/>
            </w:pPr>
            <w:r w:rsidRPr="00FC1749">
              <w:t>3.5%</w:t>
            </w:r>
          </w:p>
        </w:tc>
      </w:tr>
      <w:tr w:rsidR="00C14D08" w:rsidRPr="00FC1749" w14:paraId="33FC256B" w14:textId="77777777" w:rsidTr="005E44B8">
        <w:trPr>
          <w:cantSplit/>
          <w:trHeight w:val="300"/>
          <w:jc w:val="center"/>
        </w:trPr>
        <w:tc>
          <w:tcPr>
            <w:tcW w:w="1620" w:type="dxa"/>
            <w:shd w:val="clear" w:color="auto" w:fill="auto"/>
          </w:tcPr>
          <w:p w14:paraId="61440486" w14:textId="58B11E35" w:rsidR="00C14D08" w:rsidRPr="00FC1749" w:rsidRDefault="00C14D08" w:rsidP="00C14D08">
            <w:pPr>
              <w:spacing w:after="0" w:line="240" w:lineRule="auto"/>
            </w:pPr>
            <w:r w:rsidRPr="00FC1749">
              <w:t>Brockton</w:t>
            </w:r>
          </w:p>
        </w:tc>
        <w:tc>
          <w:tcPr>
            <w:tcW w:w="1025" w:type="dxa"/>
            <w:gridSpan w:val="2"/>
            <w:shd w:val="clear" w:color="auto" w:fill="auto"/>
          </w:tcPr>
          <w:p w14:paraId="096E78ED" w14:textId="1DE0CC85" w:rsidR="00C14D08" w:rsidRPr="00FC1749" w:rsidRDefault="00C14D08" w:rsidP="00C14D08">
            <w:pPr>
              <w:spacing w:after="0" w:line="240" w:lineRule="auto"/>
              <w:jc w:val="center"/>
            </w:pPr>
            <w:r w:rsidRPr="00FC1749">
              <w:t>2,277</w:t>
            </w:r>
          </w:p>
        </w:tc>
        <w:tc>
          <w:tcPr>
            <w:tcW w:w="983" w:type="dxa"/>
            <w:shd w:val="clear" w:color="auto" w:fill="auto"/>
          </w:tcPr>
          <w:p w14:paraId="6E21D351" w14:textId="3E5D9582" w:rsidR="00C14D08" w:rsidRPr="00FC1749" w:rsidRDefault="00C14D08" w:rsidP="00C14D08">
            <w:pPr>
              <w:spacing w:after="0" w:line="240" w:lineRule="auto"/>
              <w:jc w:val="center"/>
            </w:pPr>
            <w:r w:rsidRPr="00FC1749">
              <w:t>2.9%</w:t>
            </w:r>
          </w:p>
        </w:tc>
        <w:tc>
          <w:tcPr>
            <w:tcW w:w="983" w:type="dxa"/>
            <w:shd w:val="clear" w:color="auto" w:fill="auto"/>
          </w:tcPr>
          <w:p w14:paraId="22B4C59C" w14:textId="6F91B4B3" w:rsidR="00C14D08" w:rsidRPr="00FC1749" w:rsidRDefault="00C14D08" w:rsidP="00C14D08">
            <w:pPr>
              <w:spacing w:after="0" w:line="240" w:lineRule="auto"/>
              <w:jc w:val="center"/>
            </w:pPr>
            <w:r w:rsidRPr="00FC1749">
              <w:t>1,979</w:t>
            </w:r>
          </w:p>
        </w:tc>
        <w:tc>
          <w:tcPr>
            <w:tcW w:w="983" w:type="dxa"/>
            <w:shd w:val="clear" w:color="auto" w:fill="auto"/>
          </w:tcPr>
          <w:p w14:paraId="0C0DBCD4" w14:textId="4128691B" w:rsidR="00C14D08" w:rsidRPr="00FC1749" w:rsidRDefault="00C14D08" w:rsidP="00C14D08">
            <w:pPr>
              <w:spacing w:after="0" w:line="240" w:lineRule="auto"/>
              <w:jc w:val="center"/>
            </w:pPr>
            <w:r w:rsidRPr="00FC1749">
              <w:t>2.9%</w:t>
            </w:r>
          </w:p>
        </w:tc>
        <w:tc>
          <w:tcPr>
            <w:tcW w:w="983" w:type="dxa"/>
            <w:shd w:val="clear" w:color="auto" w:fill="auto"/>
          </w:tcPr>
          <w:p w14:paraId="0611CB9D" w14:textId="54F9747E" w:rsidR="00C14D08" w:rsidRPr="00FC1749" w:rsidRDefault="00C14D08" w:rsidP="00C14D08">
            <w:pPr>
              <w:spacing w:after="0" w:line="240" w:lineRule="auto"/>
              <w:jc w:val="center"/>
            </w:pPr>
            <w:r w:rsidRPr="00FC1749">
              <w:t>2,690</w:t>
            </w:r>
          </w:p>
        </w:tc>
        <w:tc>
          <w:tcPr>
            <w:tcW w:w="983" w:type="dxa"/>
            <w:shd w:val="clear" w:color="auto" w:fill="auto"/>
          </w:tcPr>
          <w:p w14:paraId="73BCFB28" w14:textId="22C10658" w:rsidR="00C14D08" w:rsidRPr="00FC1749" w:rsidRDefault="00C14D08" w:rsidP="00C14D08">
            <w:pPr>
              <w:spacing w:after="0" w:line="240" w:lineRule="auto"/>
              <w:jc w:val="center"/>
            </w:pPr>
            <w:r w:rsidRPr="00FC1749">
              <w:t>3.8%</w:t>
            </w:r>
          </w:p>
        </w:tc>
      </w:tr>
      <w:tr w:rsidR="00C14D08" w:rsidRPr="00FC1749" w14:paraId="142D963B" w14:textId="77777777" w:rsidTr="005E44B8">
        <w:trPr>
          <w:cantSplit/>
          <w:trHeight w:val="300"/>
          <w:jc w:val="center"/>
        </w:trPr>
        <w:tc>
          <w:tcPr>
            <w:tcW w:w="1620" w:type="dxa"/>
            <w:shd w:val="clear" w:color="auto" w:fill="auto"/>
          </w:tcPr>
          <w:p w14:paraId="6F804BD1" w14:textId="1C575FE8" w:rsidR="00C14D08" w:rsidRPr="00FC1749" w:rsidRDefault="00C14D08" w:rsidP="00C14D08">
            <w:pPr>
              <w:spacing w:after="0" w:line="240" w:lineRule="auto"/>
            </w:pPr>
            <w:r w:rsidRPr="00FC1749">
              <w:t>Stoughton</w:t>
            </w:r>
          </w:p>
        </w:tc>
        <w:tc>
          <w:tcPr>
            <w:tcW w:w="1025" w:type="dxa"/>
            <w:gridSpan w:val="2"/>
            <w:shd w:val="clear" w:color="auto" w:fill="auto"/>
          </w:tcPr>
          <w:p w14:paraId="27E977E1" w14:textId="5F06F6A3" w:rsidR="00C14D08" w:rsidRPr="00FC1749" w:rsidRDefault="00C14D08" w:rsidP="00C14D08">
            <w:pPr>
              <w:spacing w:after="0" w:line="240" w:lineRule="auto"/>
              <w:jc w:val="center"/>
            </w:pPr>
            <w:r w:rsidRPr="00FC1749">
              <w:t>1,532</w:t>
            </w:r>
          </w:p>
        </w:tc>
        <w:tc>
          <w:tcPr>
            <w:tcW w:w="983" w:type="dxa"/>
            <w:shd w:val="clear" w:color="auto" w:fill="auto"/>
          </w:tcPr>
          <w:p w14:paraId="42A8BC65" w14:textId="273D5F10" w:rsidR="00C14D08" w:rsidRPr="00FC1749" w:rsidRDefault="00C14D08" w:rsidP="00C14D08">
            <w:pPr>
              <w:spacing w:after="0" w:line="240" w:lineRule="auto"/>
              <w:jc w:val="center"/>
            </w:pPr>
            <w:r w:rsidRPr="00FC1749">
              <w:t>1.9%</w:t>
            </w:r>
          </w:p>
        </w:tc>
        <w:tc>
          <w:tcPr>
            <w:tcW w:w="983" w:type="dxa"/>
            <w:shd w:val="clear" w:color="auto" w:fill="auto"/>
          </w:tcPr>
          <w:p w14:paraId="5E50375F" w14:textId="4AC72565" w:rsidR="00C14D08" w:rsidRPr="00FC1749" w:rsidRDefault="00C14D08" w:rsidP="00C14D08">
            <w:pPr>
              <w:spacing w:after="0" w:line="240" w:lineRule="auto"/>
              <w:jc w:val="center"/>
            </w:pPr>
            <w:r w:rsidRPr="00FC1749">
              <w:t>1,441</w:t>
            </w:r>
          </w:p>
        </w:tc>
        <w:tc>
          <w:tcPr>
            <w:tcW w:w="983" w:type="dxa"/>
            <w:shd w:val="clear" w:color="auto" w:fill="auto"/>
          </w:tcPr>
          <w:p w14:paraId="466918B2" w14:textId="3C3EFF53" w:rsidR="00C14D08" w:rsidRPr="00FC1749" w:rsidRDefault="00C14D08" w:rsidP="00C14D08">
            <w:pPr>
              <w:spacing w:after="0" w:line="240" w:lineRule="auto"/>
              <w:jc w:val="center"/>
            </w:pPr>
            <w:r w:rsidRPr="00FC1749">
              <w:t>2.1%</w:t>
            </w:r>
          </w:p>
        </w:tc>
        <w:tc>
          <w:tcPr>
            <w:tcW w:w="983" w:type="dxa"/>
            <w:shd w:val="clear" w:color="auto" w:fill="auto"/>
          </w:tcPr>
          <w:p w14:paraId="48E52EB1" w14:textId="72021BDA" w:rsidR="00C14D08" w:rsidRPr="00FC1749" w:rsidRDefault="00C14D08" w:rsidP="00C14D08">
            <w:pPr>
              <w:spacing w:after="0" w:line="240" w:lineRule="auto"/>
              <w:jc w:val="center"/>
            </w:pPr>
            <w:r w:rsidRPr="00FC1749">
              <w:t>1,638</w:t>
            </w:r>
          </w:p>
        </w:tc>
        <w:tc>
          <w:tcPr>
            <w:tcW w:w="983" w:type="dxa"/>
            <w:shd w:val="clear" w:color="auto" w:fill="auto"/>
          </w:tcPr>
          <w:p w14:paraId="1B3D27D3" w14:textId="621D16FD" w:rsidR="00C14D08" w:rsidRPr="00FC1749" w:rsidRDefault="00C14D08" w:rsidP="00C14D08">
            <w:pPr>
              <w:spacing w:after="0" w:line="240" w:lineRule="auto"/>
              <w:jc w:val="center"/>
            </w:pPr>
            <w:r w:rsidRPr="00FC1749">
              <w:t>2.3%</w:t>
            </w:r>
          </w:p>
        </w:tc>
      </w:tr>
      <w:tr w:rsidR="00C14D08" w:rsidRPr="00FC1749" w14:paraId="70E2CC39" w14:textId="77777777" w:rsidTr="005E44B8">
        <w:trPr>
          <w:cantSplit/>
          <w:trHeight w:val="300"/>
          <w:jc w:val="center"/>
        </w:trPr>
        <w:tc>
          <w:tcPr>
            <w:tcW w:w="1620" w:type="dxa"/>
            <w:shd w:val="clear" w:color="auto" w:fill="auto"/>
          </w:tcPr>
          <w:p w14:paraId="291FF50D" w14:textId="79356697" w:rsidR="00C14D08" w:rsidRPr="00FC1749" w:rsidRDefault="00C14D08" w:rsidP="00C14D08">
            <w:pPr>
              <w:spacing w:after="0" w:line="240" w:lineRule="auto"/>
            </w:pPr>
            <w:r w:rsidRPr="00FC1749">
              <w:t>Mattapan</w:t>
            </w:r>
          </w:p>
        </w:tc>
        <w:tc>
          <w:tcPr>
            <w:tcW w:w="1025" w:type="dxa"/>
            <w:gridSpan w:val="2"/>
            <w:shd w:val="clear" w:color="auto" w:fill="auto"/>
          </w:tcPr>
          <w:p w14:paraId="4A08B6C8" w14:textId="10ADAF96" w:rsidR="00C14D08" w:rsidRPr="00FC1749" w:rsidRDefault="00C14D08" w:rsidP="00C14D08">
            <w:pPr>
              <w:spacing w:after="0" w:line="240" w:lineRule="auto"/>
              <w:jc w:val="center"/>
            </w:pPr>
            <w:r w:rsidRPr="00FC1749">
              <w:t>1,316</w:t>
            </w:r>
          </w:p>
        </w:tc>
        <w:tc>
          <w:tcPr>
            <w:tcW w:w="983" w:type="dxa"/>
            <w:shd w:val="clear" w:color="auto" w:fill="auto"/>
          </w:tcPr>
          <w:p w14:paraId="4B59064D" w14:textId="6E6F563F" w:rsidR="00C14D08" w:rsidRPr="00FC1749" w:rsidRDefault="00C14D08" w:rsidP="00C14D08">
            <w:pPr>
              <w:spacing w:after="0" w:line="240" w:lineRule="auto"/>
              <w:jc w:val="center"/>
            </w:pPr>
            <w:r w:rsidRPr="00FC1749">
              <w:t>1.7%</w:t>
            </w:r>
          </w:p>
        </w:tc>
        <w:tc>
          <w:tcPr>
            <w:tcW w:w="983" w:type="dxa"/>
            <w:shd w:val="clear" w:color="auto" w:fill="auto"/>
          </w:tcPr>
          <w:p w14:paraId="3153842D" w14:textId="1394B7A1" w:rsidR="00C14D08" w:rsidRPr="00FC1749" w:rsidRDefault="00C14D08" w:rsidP="00C14D08">
            <w:pPr>
              <w:spacing w:after="0" w:line="240" w:lineRule="auto"/>
              <w:jc w:val="center"/>
            </w:pPr>
            <w:r w:rsidRPr="00FC1749">
              <w:t>1,293</w:t>
            </w:r>
          </w:p>
        </w:tc>
        <w:tc>
          <w:tcPr>
            <w:tcW w:w="983" w:type="dxa"/>
            <w:shd w:val="clear" w:color="auto" w:fill="auto"/>
          </w:tcPr>
          <w:p w14:paraId="6C0281C5" w14:textId="3B77E9CE" w:rsidR="00C14D08" w:rsidRPr="00FC1749" w:rsidRDefault="00C14D08" w:rsidP="00C14D08">
            <w:pPr>
              <w:spacing w:after="0" w:line="240" w:lineRule="auto"/>
              <w:jc w:val="center"/>
            </w:pPr>
            <w:r w:rsidRPr="00FC1749">
              <w:t>1.9%</w:t>
            </w:r>
          </w:p>
        </w:tc>
        <w:tc>
          <w:tcPr>
            <w:tcW w:w="983" w:type="dxa"/>
            <w:shd w:val="clear" w:color="auto" w:fill="auto"/>
          </w:tcPr>
          <w:p w14:paraId="37395116" w14:textId="25F386AD" w:rsidR="00C14D08" w:rsidRPr="00FC1749" w:rsidRDefault="00C14D08" w:rsidP="00C14D08">
            <w:pPr>
              <w:spacing w:after="0" w:line="240" w:lineRule="auto"/>
              <w:jc w:val="center"/>
            </w:pPr>
            <w:r w:rsidRPr="00FC1749">
              <w:t>1,385</w:t>
            </w:r>
          </w:p>
        </w:tc>
        <w:tc>
          <w:tcPr>
            <w:tcW w:w="983" w:type="dxa"/>
            <w:shd w:val="clear" w:color="auto" w:fill="auto"/>
          </w:tcPr>
          <w:p w14:paraId="2CE88FD6" w14:textId="12DB2638" w:rsidR="00C14D08" w:rsidRPr="00FC1749" w:rsidRDefault="00C14D08" w:rsidP="00C14D08">
            <w:pPr>
              <w:spacing w:after="0" w:line="240" w:lineRule="auto"/>
              <w:jc w:val="center"/>
            </w:pPr>
            <w:r w:rsidRPr="00FC1749">
              <w:t>2.0%</w:t>
            </w:r>
          </w:p>
        </w:tc>
      </w:tr>
      <w:tr w:rsidR="00C14D08" w:rsidRPr="00FC1749" w14:paraId="13B080CD" w14:textId="77777777" w:rsidTr="005E44B8">
        <w:trPr>
          <w:cantSplit/>
          <w:trHeight w:val="300"/>
          <w:jc w:val="center"/>
        </w:trPr>
        <w:tc>
          <w:tcPr>
            <w:tcW w:w="1620" w:type="dxa"/>
            <w:shd w:val="clear" w:color="auto" w:fill="auto"/>
          </w:tcPr>
          <w:p w14:paraId="204D2293" w14:textId="46C6B803" w:rsidR="00C14D08" w:rsidRPr="00FC1749" w:rsidRDefault="00C14D08" w:rsidP="00C14D08">
            <w:pPr>
              <w:spacing w:after="0" w:line="240" w:lineRule="auto"/>
            </w:pPr>
            <w:r w:rsidRPr="00FC1749">
              <w:t>Dorchester Center</w:t>
            </w:r>
          </w:p>
        </w:tc>
        <w:tc>
          <w:tcPr>
            <w:tcW w:w="1025" w:type="dxa"/>
            <w:gridSpan w:val="2"/>
            <w:shd w:val="clear" w:color="auto" w:fill="auto"/>
          </w:tcPr>
          <w:p w14:paraId="4A34334C" w14:textId="508E1425" w:rsidR="00C14D08" w:rsidRPr="00FC1749" w:rsidRDefault="00C14D08" w:rsidP="00C14D08">
            <w:pPr>
              <w:spacing w:after="0" w:line="240" w:lineRule="auto"/>
              <w:jc w:val="center"/>
            </w:pPr>
            <w:r w:rsidRPr="00FC1749">
              <w:t>1,143</w:t>
            </w:r>
          </w:p>
        </w:tc>
        <w:tc>
          <w:tcPr>
            <w:tcW w:w="983" w:type="dxa"/>
            <w:shd w:val="clear" w:color="auto" w:fill="auto"/>
          </w:tcPr>
          <w:p w14:paraId="4FA0D8E7" w14:textId="6B9E4EFE" w:rsidR="00C14D08" w:rsidRPr="00FC1749" w:rsidRDefault="00C14D08" w:rsidP="00C14D08">
            <w:pPr>
              <w:spacing w:after="0" w:line="240" w:lineRule="auto"/>
              <w:jc w:val="center"/>
            </w:pPr>
            <w:r w:rsidRPr="00FC1749">
              <w:t>1.5%</w:t>
            </w:r>
          </w:p>
        </w:tc>
        <w:tc>
          <w:tcPr>
            <w:tcW w:w="983" w:type="dxa"/>
            <w:shd w:val="clear" w:color="auto" w:fill="auto"/>
          </w:tcPr>
          <w:p w14:paraId="68ADFE24" w14:textId="3CA89A3C" w:rsidR="00C14D08" w:rsidRPr="00FC1749" w:rsidRDefault="00C14D08" w:rsidP="00C14D08">
            <w:pPr>
              <w:spacing w:after="0" w:line="240" w:lineRule="auto"/>
              <w:jc w:val="center"/>
            </w:pPr>
            <w:r w:rsidRPr="00FC1749">
              <w:t>1,192</w:t>
            </w:r>
          </w:p>
        </w:tc>
        <w:tc>
          <w:tcPr>
            <w:tcW w:w="983" w:type="dxa"/>
            <w:shd w:val="clear" w:color="auto" w:fill="auto"/>
          </w:tcPr>
          <w:p w14:paraId="75FB9E51" w14:textId="02514614" w:rsidR="00C14D08" w:rsidRPr="00FC1749" w:rsidRDefault="00C14D08" w:rsidP="00C14D08">
            <w:pPr>
              <w:spacing w:after="0" w:line="240" w:lineRule="auto"/>
              <w:jc w:val="center"/>
            </w:pPr>
            <w:r w:rsidRPr="00FC1749">
              <w:t>1.7%</w:t>
            </w:r>
          </w:p>
        </w:tc>
        <w:tc>
          <w:tcPr>
            <w:tcW w:w="983" w:type="dxa"/>
            <w:shd w:val="clear" w:color="auto" w:fill="auto"/>
          </w:tcPr>
          <w:p w14:paraId="50F57133" w14:textId="2D42A438" w:rsidR="00C14D08" w:rsidRPr="00FC1749" w:rsidRDefault="00C14D08" w:rsidP="00C14D08">
            <w:pPr>
              <w:spacing w:after="0" w:line="240" w:lineRule="auto"/>
              <w:jc w:val="center"/>
            </w:pPr>
            <w:r w:rsidRPr="00FC1749">
              <w:t>1,362</w:t>
            </w:r>
          </w:p>
        </w:tc>
        <w:tc>
          <w:tcPr>
            <w:tcW w:w="983" w:type="dxa"/>
            <w:shd w:val="clear" w:color="auto" w:fill="auto"/>
          </w:tcPr>
          <w:p w14:paraId="7304A164" w14:textId="7C55DCAD" w:rsidR="00C14D08" w:rsidRPr="00FC1749" w:rsidRDefault="00C14D08" w:rsidP="00C14D08">
            <w:pPr>
              <w:spacing w:after="0" w:line="240" w:lineRule="auto"/>
              <w:jc w:val="center"/>
            </w:pPr>
            <w:r w:rsidRPr="00FC1749">
              <w:t>1.9%</w:t>
            </w:r>
          </w:p>
        </w:tc>
      </w:tr>
      <w:tr w:rsidR="00C14D08" w:rsidRPr="00FC1749" w14:paraId="0E88C98F" w14:textId="77777777" w:rsidTr="005E44B8">
        <w:trPr>
          <w:cantSplit/>
          <w:trHeight w:val="300"/>
          <w:jc w:val="center"/>
        </w:trPr>
        <w:tc>
          <w:tcPr>
            <w:tcW w:w="1620" w:type="dxa"/>
            <w:shd w:val="clear" w:color="auto" w:fill="auto"/>
          </w:tcPr>
          <w:p w14:paraId="519B5DE7" w14:textId="30803118" w:rsidR="00C14D08" w:rsidRPr="00FC1749" w:rsidRDefault="00C14D08" w:rsidP="00C14D08">
            <w:pPr>
              <w:spacing w:after="0" w:line="240" w:lineRule="auto"/>
            </w:pPr>
            <w:r w:rsidRPr="00FC1749">
              <w:t>Weymouth</w:t>
            </w:r>
          </w:p>
        </w:tc>
        <w:tc>
          <w:tcPr>
            <w:tcW w:w="1025" w:type="dxa"/>
            <w:gridSpan w:val="2"/>
            <w:shd w:val="clear" w:color="auto" w:fill="auto"/>
          </w:tcPr>
          <w:p w14:paraId="506E47BA" w14:textId="40E82FAC" w:rsidR="00C14D08" w:rsidRPr="00FC1749" w:rsidRDefault="00C14D08" w:rsidP="00C14D08">
            <w:pPr>
              <w:spacing w:after="0" w:line="240" w:lineRule="auto"/>
              <w:jc w:val="center"/>
            </w:pPr>
            <w:r w:rsidRPr="00FC1749">
              <w:t>1,419</w:t>
            </w:r>
          </w:p>
        </w:tc>
        <w:tc>
          <w:tcPr>
            <w:tcW w:w="983" w:type="dxa"/>
            <w:shd w:val="clear" w:color="auto" w:fill="auto"/>
          </w:tcPr>
          <w:p w14:paraId="31C2781F" w14:textId="14987DE0" w:rsidR="00C14D08" w:rsidRPr="00FC1749" w:rsidRDefault="00C14D08" w:rsidP="00C14D08">
            <w:pPr>
              <w:spacing w:after="0" w:line="240" w:lineRule="auto"/>
              <w:jc w:val="center"/>
            </w:pPr>
            <w:r w:rsidRPr="00FC1749">
              <w:t>1.8%</w:t>
            </w:r>
          </w:p>
        </w:tc>
        <w:tc>
          <w:tcPr>
            <w:tcW w:w="983" w:type="dxa"/>
            <w:shd w:val="clear" w:color="auto" w:fill="auto"/>
          </w:tcPr>
          <w:p w14:paraId="0C871707" w14:textId="277C5655" w:rsidR="00C14D08" w:rsidRPr="00FC1749" w:rsidRDefault="00C14D08" w:rsidP="00C14D08">
            <w:pPr>
              <w:spacing w:after="0" w:line="240" w:lineRule="auto"/>
              <w:jc w:val="center"/>
            </w:pPr>
            <w:r w:rsidRPr="00FC1749">
              <w:t>1,277</w:t>
            </w:r>
          </w:p>
        </w:tc>
        <w:tc>
          <w:tcPr>
            <w:tcW w:w="983" w:type="dxa"/>
            <w:shd w:val="clear" w:color="auto" w:fill="auto"/>
          </w:tcPr>
          <w:p w14:paraId="358B323F" w14:textId="35A39F1B" w:rsidR="00C14D08" w:rsidRPr="00FC1749" w:rsidRDefault="00C14D08" w:rsidP="00C14D08">
            <w:pPr>
              <w:spacing w:after="0" w:line="240" w:lineRule="auto"/>
              <w:jc w:val="center"/>
            </w:pPr>
            <w:r w:rsidRPr="00FC1749">
              <w:t>1.9%</w:t>
            </w:r>
          </w:p>
        </w:tc>
        <w:tc>
          <w:tcPr>
            <w:tcW w:w="983" w:type="dxa"/>
            <w:shd w:val="clear" w:color="auto" w:fill="auto"/>
          </w:tcPr>
          <w:p w14:paraId="38137866" w14:textId="33B06138" w:rsidR="00C14D08" w:rsidRPr="00FC1749" w:rsidRDefault="00C14D08" w:rsidP="00C14D08">
            <w:pPr>
              <w:spacing w:after="0" w:line="240" w:lineRule="auto"/>
              <w:jc w:val="center"/>
            </w:pPr>
            <w:r w:rsidRPr="00FC1749">
              <w:t>1,290</w:t>
            </w:r>
          </w:p>
        </w:tc>
        <w:tc>
          <w:tcPr>
            <w:tcW w:w="983" w:type="dxa"/>
            <w:shd w:val="clear" w:color="auto" w:fill="auto"/>
          </w:tcPr>
          <w:p w14:paraId="5DFEAEE7" w14:textId="04FFCABE" w:rsidR="00C14D08" w:rsidRPr="00FC1749" w:rsidRDefault="00C14D08" w:rsidP="00C14D08">
            <w:pPr>
              <w:spacing w:after="0" w:line="240" w:lineRule="auto"/>
              <w:jc w:val="center"/>
            </w:pPr>
            <w:r w:rsidRPr="00FC1749">
              <w:t>1.8%</w:t>
            </w:r>
          </w:p>
        </w:tc>
      </w:tr>
      <w:tr w:rsidR="00C14D08" w:rsidRPr="00FC1749" w14:paraId="54791067" w14:textId="77777777" w:rsidTr="005E44B8">
        <w:trPr>
          <w:cantSplit/>
          <w:trHeight w:val="300"/>
          <w:jc w:val="center"/>
        </w:trPr>
        <w:tc>
          <w:tcPr>
            <w:tcW w:w="1620" w:type="dxa"/>
            <w:shd w:val="clear" w:color="auto" w:fill="auto"/>
          </w:tcPr>
          <w:p w14:paraId="03CB60B0" w14:textId="42414C77" w:rsidR="00C14D08" w:rsidRPr="00FC1749" w:rsidRDefault="00C14D08" w:rsidP="00C14D08">
            <w:pPr>
              <w:spacing w:after="0" w:line="240" w:lineRule="auto"/>
            </w:pPr>
            <w:r w:rsidRPr="00FC1749">
              <w:t>Holbrook</w:t>
            </w:r>
          </w:p>
        </w:tc>
        <w:tc>
          <w:tcPr>
            <w:tcW w:w="1025" w:type="dxa"/>
            <w:gridSpan w:val="2"/>
            <w:shd w:val="clear" w:color="auto" w:fill="auto"/>
          </w:tcPr>
          <w:p w14:paraId="2C48E541" w14:textId="5E1F5170" w:rsidR="00C14D08" w:rsidRPr="00FC1749" w:rsidRDefault="00C14D08" w:rsidP="00C14D08">
            <w:pPr>
              <w:spacing w:after="0" w:line="240" w:lineRule="auto"/>
              <w:jc w:val="center"/>
            </w:pPr>
            <w:r w:rsidRPr="00FC1749">
              <w:t>993</w:t>
            </w:r>
          </w:p>
        </w:tc>
        <w:tc>
          <w:tcPr>
            <w:tcW w:w="983" w:type="dxa"/>
            <w:shd w:val="clear" w:color="auto" w:fill="auto"/>
          </w:tcPr>
          <w:p w14:paraId="038FB3A0" w14:textId="666260BB" w:rsidR="00C14D08" w:rsidRPr="00FC1749" w:rsidRDefault="00C14D08" w:rsidP="00C14D08">
            <w:pPr>
              <w:spacing w:after="0" w:line="240" w:lineRule="auto"/>
              <w:jc w:val="center"/>
            </w:pPr>
            <w:r w:rsidRPr="00FC1749">
              <w:t>1.3%</w:t>
            </w:r>
          </w:p>
        </w:tc>
        <w:tc>
          <w:tcPr>
            <w:tcW w:w="983" w:type="dxa"/>
            <w:shd w:val="clear" w:color="auto" w:fill="auto"/>
          </w:tcPr>
          <w:p w14:paraId="3AEABFC4" w14:textId="50A1F0B6" w:rsidR="00C14D08" w:rsidRPr="00FC1749" w:rsidRDefault="00C14D08" w:rsidP="00C14D08">
            <w:pPr>
              <w:spacing w:after="0" w:line="240" w:lineRule="auto"/>
              <w:jc w:val="center"/>
            </w:pPr>
            <w:r w:rsidRPr="00FC1749">
              <w:t>932</w:t>
            </w:r>
          </w:p>
        </w:tc>
        <w:tc>
          <w:tcPr>
            <w:tcW w:w="983" w:type="dxa"/>
            <w:shd w:val="clear" w:color="auto" w:fill="auto"/>
          </w:tcPr>
          <w:p w14:paraId="5ACB9659" w14:textId="619D7443" w:rsidR="00C14D08" w:rsidRPr="00FC1749" w:rsidRDefault="00C14D08" w:rsidP="00C14D08">
            <w:pPr>
              <w:spacing w:after="0" w:line="240" w:lineRule="auto"/>
              <w:jc w:val="center"/>
            </w:pPr>
            <w:r w:rsidRPr="00FC1749">
              <w:t>1.4%</w:t>
            </w:r>
          </w:p>
        </w:tc>
        <w:tc>
          <w:tcPr>
            <w:tcW w:w="983" w:type="dxa"/>
            <w:shd w:val="clear" w:color="auto" w:fill="auto"/>
          </w:tcPr>
          <w:p w14:paraId="4F53AD7F" w14:textId="5DC2187F" w:rsidR="00C14D08" w:rsidRPr="00FC1749" w:rsidRDefault="00C14D08" w:rsidP="00C14D08">
            <w:pPr>
              <w:spacing w:after="0" w:line="240" w:lineRule="auto"/>
              <w:jc w:val="center"/>
            </w:pPr>
            <w:r w:rsidRPr="00FC1749">
              <w:t>970</w:t>
            </w:r>
          </w:p>
        </w:tc>
        <w:tc>
          <w:tcPr>
            <w:tcW w:w="983" w:type="dxa"/>
            <w:shd w:val="clear" w:color="auto" w:fill="auto"/>
          </w:tcPr>
          <w:p w14:paraId="5833C0D2" w14:textId="5C85CA20" w:rsidR="00C14D08" w:rsidRPr="00FC1749" w:rsidRDefault="00C14D08" w:rsidP="00C14D08">
            <w:pPr>
              <w:spacing w:after="0" w:line="240" w:lineRule="auto"/>
              <w:jc w:val="center"/>
            </w:pPr>
            <w:r w:rsidRPr="00FC1749">
              <w:t>1.4%</w:t>
            </w:r>
          </w:p>
        </w:tc>
      </w:tr>
      <w:tr w:rsidR="00C14D08" w:rsidRPr="00FC1749" w14:paraId="2989A330" w14:textId="77777777" w:rsidTr="005E44B8">
        <w:trPr>
          <w:cantSplit/>
          <w:trHeight w:val="300"/>
          <w:jc w:val="center"/>
        </w:trPr>
        <w:tc>
          <w:tcPr>
            <w:tcW w:w="1620" w:type="dxa"/>
            <w:shd w:val="clear" w:color="auto" w:fill="auto"/>
          </w:tcPr>
          <w:p w14:paraId="523930C6" w14:textId="06BC2A48" w:rsidR="00C14D08" w:rsidRPr="00FC1749" w:rsidRDefault="00C14D08" w:rsidP="00C14D08">
            <w:pPr>
              <w:spacing w:after="0" w:line="240" w:lineRule="auto"/>
            </w:pPr>
            <w:r w:rsidRPr="00FC1749">
              <w:t>South Weymouth</w:t>
            </w:r>
          </w:p>
        </w:tc>
        <w:tc>
          <w:tcPr>
            <w:tcW w:w="1025" w:type="dxa"/>
            <w:gridSpan w:val="2"/>
            <w:shd w:val="clear" w:color="auto" w:fill="auto"/>
          </w:tcPr>
          <w:p w14:paraId="7710F9A9" w14:textId="7BAED103" w:rsidR="00C14D08" w:rsidRPr="00FC1749" w:rsidRDefault="00C14D08" w:rsidP="00C14D08">
            <w:pPr>
              <w:spacing w:after="0" w:line="240" w:lineRule="auto"/>
              <w:jc w:val="center"/>
            </w:pPr>
            <w:r w:rsidRPr="00FC1749">
              <w:t>854</w:t>
            </w:r>
          </w:p>
        </w:tc>
        <w:tc>
          <w:tcPr>
            <w:tcW w:w="983" w:type="dxa"/>
            <w:shd w:val="clear" w:color="auto" w:fill="auto"/>
          </w:tcPr>
          <w:p w14:paraId="6146D183" w14:textId="22603DF7" w:rsidR="00C14D08" w:rsidRPr="00FC1749" w:rsidRDefault="00C14D08" w:rsidP="00C14D08">
            <w:pPr>
              <w:spacing w:after="0" w:line="240" w:lineRule="auto"/>
              <w:jc w:val="center"/>
            </w:pPr>
            <w:r w:rsidRPr="00FC1749">
              <w:t>1.1%</w:t>
            </w:r>
          </w:p>
        </w:tc>
        <w:tc>
          <w:tcPr>
            <w:tcW w:w="983" w:type="dxa"/>
            <w:shd w:val="clear" w:color="auto" w:fill="auto"/>
          </w:tcPr>
          <w:p w14:paraId="74E07803" w14:textId="093193DB" w:rsidR="00C14D08" w:rsidRPr="00FC1749" w:rsidRDefault="00C14D08" w:rsidP="00C14D08">
            <w:pPr>
              <w:spacing w:after="0" w:line="240" w:lineRule="auto"/>
              <w:jc w:val="center"/>
            </w:pPr>
            <w:r w:rsidRPr="00FC1749">
              <w:t>764</w:t>
            </w:r>
          </w:p>
        </w:tc>
        <w:tc>
          <w:tcPr>
            <w:tcW w:w="983" w:type="dxa"/>
            <w:shd w:val="clear" w:color="auto" w:fill="auto"/>
          </w:tcPr>
          <w:p w14:paraId="6268FABB" w14:textId="70821F7B" w:rsidR="00C14D08" w:rsidRPr="00FC1749" w:rsidRDefault="00C14D08" w:rsidP="00C14D08">
            <w:pPr>
              <w:spacing w:after="0" w:line="240" w:lineRule="auto"/>
              <w:jc w:val="center"/>
            </w:pPr>
            <w:r w:rsidRPr="00FC1749">
              <w:t>1.1%</w:t>
            </w:r>
          </w:p>
        </w:tc>
        <w:tc>
          <w:tcPr>
            <w:tcW w:w="983" w:type="dxa"/>
            <w:shd w:val="clear" w:color="auto" w:fill="auto"/>
          </w:tcPr>
          <w:p w14:paraId="7067CAA5" w14:textId="3CABD137" w:rsidR="00C14D08" w:rsidRPr="00FC1749" w:rsidRDefault="00C14D08" w:rsidP="00C14D08">
            <w:pPr>
              <w:spacing w:after="0" w:line="240" w:lineRule="auto"/>
              <w:jc w:val="center"/>
            </w:pPr>
            <w:r w:rsidRPr="00FC1749">
              <w:t>730</w:t>
            </w:r>
          </w:p>
        </w:tc>
        <w:tc>
          <w:tcPr>
            <w:tcW w:w="983" w:type="dxa"/>
            <w:shd w:val="clear" w:color="auto" w:fill="auto"/>
          </w:tcPr>
          <w:p w14:paraId="58D61FAA" w14:textId="13A80DD6" w:rsidR="00C14D08" w:rsidRPr="00FC1749" w:rsidRDefault="00C14D08" w:rsidP="00C14D08">
            <w:pPr>
              <w:spacing w:after="0" w:line="240" w:lineRule="auto"/>
              <w:jc w:val="center"/>
            </w:pPr>
            <w:r w:rsidRPr="00FC1749">
              <w:t>1.0%</w:t>
            </w:r>
          </w:p>
        </w:tc>
      </w:tr>
      <w:tr w:rsidR="00C14D08" w:rsidRPr="00FC1749" w14:paraId="5FDE0EFB" w14:textId="77777777" w:rsidTr="005E44B8">
        <w:trPr>
          <w:cantSplit/>
          <w:trHeight w:val="300"/>
          <w:jc w:val="center"/>
        </w:trPr>
        <w:tc>
          <w:tcPr>
            <w:tcW w:w="1620" w:type="dxa"/>
            <w:shd w:val="clear" w:color="auto" w:fill="auto"/>
          </w:tcPr>
          <w:p w14:paraId="068E780F" w14:textId="7E1D81D6" w:rsidR="00C14D08" w:rsidRPr="00FC1749" w:rsidRDefault="00C14D08" w:rsidP="00C14D08">
            <w:pPr>
              <w:spacing w:after="0" w:line="240" w:lineRule="auto"/>
            </w:pPr>
            <w:r w:rsidRPr="00FC1749">
              <w:t>Boston</w:t>
            </w:r>
          </w:p>
        </w:tc>
        <w:tc>
          <w:tcPr>
            <w:tcW w:w="1025" w:type="dxa"/>
            <w:gridSpan w:val="2"/>
            <w:shd w:val="clear" w:color="auto" w:fill="auto"/>
          </w:tcPr>
          <w:p w14:paraId="22A0799E" w14:textId="4D0AF709" w:rsidR="00C14D08" w:rsidRPr="00FC1749" w:rsidRDefault="00C14D08" w:rsidP="00C14D08">
            <w:pPr>
              <w:spacing w:after="0" w:line="240" w:lineRule="auto"/>
              <w:jc w:val="center"/>
            </w:pPr>
            <w:r w:rsidRPr="00FC1749">
              <w:t>788</w:t>
            </w:r>
          </w:p>
        </w:tc>
        <w:tc>
          <w:tcPr>
            <w:tcW w:w="983" w:type="dxa"/>
            <w:shd w:val="clear" w:color="auto" w:fill="auto"/>
          </w:tcPr>
          <w:p w14:paraId="016675A6" w14:textId="6135FA6E" w:rsidR="00C14D08" w:rsidRPr="00FC1749" w:rsidRDefault="00C14D08" w:rsidP="00C14D08">
            <w:pPr>
              <w:spacing w:after="0" w:line="240" w:lineRule="auto"/>
              <w:jc w:val="center"/>
            </w:pPr>
            <w:r w:rsidRPr="00FC1749">
              <w:t>1.0%</w:t>
            </w:r>
          </w:p>
        </w:tc>
        <w:tc>
          <w:tcPr>
            <w:tcW w:w="983" w:type="dxa"/>
            <w:shd w:val="clear" w:color="auto" w:fill="auto"/>
          </w:tcPr>
          <w:p w14:paraId="52BC0D36" w14:textId="6C185EF1" w:rsidR="00C14D08" w:rsidRPr="00FC1749" w:rsidRDefault="00C14D08" w:rsidP="00C14D08">
            <w:pPr>
              <w:spacing w:after="0" w:line="240" w:lineRule="auto"/>
              <w:jc w:val="center"/>
            </w:pPr>
            <w:r w:rsidRPr="00FC1749">
              <w:t>675</w:t>
            </w:r>
          </w:p>
        </w:tc>
        <w:tc>
          <w:tcPr>
            <w:tcW w:w="983" w:type="dxa"/>
            <w:shd w:val="clear" w:color="auto" w:fill="auto"/>
          </w:tcPr>
          <w:p w14:paraId="1353BB65" w14:textId="6806B7E9" w:rsidR="00C14D08" w:rsidRPr="00FC1749" w:rsidRDefault="00C14D08" w:rsidP="00C14D08">
            <w:pPr>
              <w:spacing w:after="0" w:line="240" w:lineRule="auto"/>
              <w:jc w:val="center"/>
            </w:pPr>
            <w:r w:rsidRPr="00FC1749">
              <w:t>1.0%</w:t>
            </w:r>
          </w:p>
        </w:tc>
        <w:tc>
          <w:tcPr>
            <w:tcW w:w="983" w:type="dxa"/>
            <w:shd w:val="clear" w:color="auto" w:fill="auto"/>
          </w:tcPr>
          <w:p w14:paraId="0E48CA6A" w14:textId="42CBEC66" w:rsidR="00C14D08" w:rsidRPr="00FC1749" w:rsidRDefault="00C14D08" w:rsidP="00C14D08">
            <w:pPr>
              <w:spacing w:after="0" w:line="240" w:lineRule="auto"/>
              <w:jc w:val="center"/>
            </w:pPr>
            <w:r w:rsidRPr="00FC1749">
              <w:t>722</w:t>
            </w:r>
          </w:p>
        </w:tc>
        <w:tc>
          <w:tcPr>
            <w:tcW w:w="983" w:type="dxa"/>
            <w:shd w:val="clear" w:color="auto" w:fill="auto"/>
          </w:tcPr>
          <w:p w14:paraId="198A0B3E" w14:textId="312786E9" w:rsidR="00C14D08" w:rsidRPr="00FC1749" w:rsidRDefault="00C14D08" w:rsidP="00C14D08">
            <w:pPr>
              <w:spacing w:after="0" w:line="240" w:lineRule="auto"/>
              <w:jc w:val="center"/>
            </w:pPr>
            <w:r w:rsidRPr="00FC1749">
              <w:t>1.0%</w:t>
            </w:r>
          </w:p>
        </w:tc>
      </w:tr>
      <w:tr w:rsidR="00C14D08" w:rsidRPr="00FC1749" w14:paraId="082649E0" w14:textId="77777777" w:rsidTr="005E44B8">
        <w:trPr>
          <w:cantSplit/>
          <w:trHeight w:val="300"/>
          <w:jc w:val="center"/>
        </w:trPr>
        <w:tc>
          <w:tcPr>
            <w:tcW w:w="1620" w:type="dxa"/>
            <w:shd w:val="clear" w:color="auto" w:fill="auto"/>
          </w:tcPr>
          <w:p w14:paraId="659B4DBE" w14:textId="33339B3B" w:rsidR="00C14D08" w:rsidRPr="00FC1749" w:rsidRDefault="00C14D08" w:rsidP="00C14D08">
            <w:pPr>
              <w:spacing w:after="0" w:line="240" w:lineRule="auto"/>
            </w:pPr>
            <w:r w:rsidRPr="00FC1749">
              <w:t>Hingham</w:t>
            </w:r>
          </w:p>
        </w:tc>
        <w:tc>
          <w:tcPr>
            <w:tcW w:w="1025" w:type="dxa"/>
            <w:gridSpan w:val="2"/>
            <w:shd w:val="clear" w:color="auto" w:fill="auto"/>
          </w:tcPr>
          <w:p w14:paraId="12027108" w14:textId="5DD6E333" w:rsidR="00C14D08" w:rsidRPr="00FC1749" w:rsidRDefault="00C14D08" w:rsidP="00C14D08">
            <w:pPr>
              <w:spacing w:after="0" w:line="240" w:lineRule="auto"/>
              <w:jc w:val="center"/>
            </w:pPr>
            <w:r w:rsidRPr="00FC1749">
              <w:t>824</w:t>
            </w:r>
          </w:p>
        </w:tc>
        <w:tc>
          <w:tcPr>
            <w:tcW w:w="983" w:type="dxa"/>
            <w:shd w:val="clear" w:color="auto" w:fill="auto"/>
          </w:tcPr>
          <w:p w14:paraId="02B6EED1" w14:textId="6ED535A9" w:rsidR="00C14D08" w:rsidRPr="00FC1749" w:rsidRDefault="00C14D08" w:rsidP="00C14D08">
            <w:pPr>
              <w:spacing w:after="0" w:line="240" w:lineRule="auto"/>
              <w:jc w:val="center"/>
            </w:pPr>
            <w:r w:rsidRPr="00FC1749">
              <w:t>1.0%</w:t>
            </w:r>
          </w:p>
        </w:tc>
        <w:tc>
          <w:tcPr>
            <w:tcW w:w="983" w:type="dxa"/>
            <w:shd w:val="clear" w:color="auto" w:fill="auto"/>
          </w:tcPr>
          <w:p w14:paraId="3EF4702A" w14:textId="2E58F442" w:rsidR="00C14D08" w:rsidRPr="00FC1749" w:rsidRDefault="00C14D08" w:rsidP="00C14D08">
            <w:pPr>
              <w:spacing w:after="0" w:line="240" w:lineRule="auto"/>
              <w:jc w:val="center"/>
            </w:pPr>
            <w:r w:rsidRPr="00FC1749">
              <w:t>705</w:t>
            </w:r>
          </w:p>
        </w:tc>
        <w:tc>
          <w:tcPr>
            <w:tcW w:w="983" w:type="dxa"/>
            <w:shd w:val="clear" w:color="auto" w:fill="auto"/>
          </w:tcPr>
          <w:p w14:paraId="427FC37E" w14:textId="64CA5669" w:rsidR="00C14D08" w:rsidRPr="00FC1749" w:rsidRDefault="00C14D08" w:rsidP="00C14D08">
            <w:pPr>
              <w:spacing w:after="0" w:line="240" w:lineRule="auto"/>
              <w:jc w:val="center"/>
            </w:pPr>
            <w:r w:rsidRPr="00FC1749">
              <w:t>1.0%</w:t>
            </w:r>
          </w:p>
        </w:tc>
        <w:tc>
          <w:tcPr>
            <w:tcW w:w="983" w:type="dxa"/>
            <w:shd w:val="clear" w:color="auto" w:fill="auto"/>
          </w:tcPr>
          <w:p w14:paraId="3A7B8726" w14:textId="6DF146AC" w:rsidR="00C14D08" w:rsidRPr="00FC1749" w:rsidRDefault="00C14D08" w:rsidP="00C14D08">
            <w:pPr>
              <w:spacing w:after="0" w:line="240" w:lineRule="auto"/>
              <w:jc w:val="center"/>
            </w:pPr>
            <w:r w:rsidRPr="00FC1749">
              <w:t>692</w:t>
            </w:r>
          </w:p>
        </w:tc>
        <w:tc>
          <w:tcPr>
            <w:tcW w:w="983" w:type="dxa"/>
            <w:shd w:val="clear" w:color="auto" w:fill="auto"/>
          </w:tcPr>
          <w:p w14:paraId="2FFC967F" w14:textId="03E8864E" w:rsidR="00C14D08" w:rsidRPr="00FC1749" w:rsidRDefault="00C14D08" w:rsidP="00C14D08">
            <w:pPr>
              <w:spacing w:after="0" w:line="240" w:lineRule="auto"/>
              <w:jc w:val="center"/>
            </w:pPr>
            <w:r w:rsidRPr="00FC1749">
              <w:t>1.0%</w:t>
            </w:r>
          </w:p>
        </w:tc>
      </w:tr>
      <w:tr w:rsidR="00C14D08" w:rsidRPr="00FC1749" w14:paraId="576953A1" w14:textId="77777777" w:rsidTr="005E44B8">
        <w:trPr>
          <w:cantSplit/>
          <w:trHeight w:val="300"/>
          <w:jc w:val="center"/>
        </w:trPr>
        <w:tc>
          <w:tcPr>
            <w:tcW w:w="1620" w:type="dxa"/>
            <w:shd w:val="clear" w:color="auto" w:fill="auto"/>
          </w:tcPr>
          <w:p w14:paraId="1947CD21" w14:textId="66F5B34D" w:rsidR="00C14D08" w:rsidRPr="00FC1749" w:rsidRDefault="00C14D08" w:rsidP="00C14D08">
            <w:pPr>
              <w:spacing w:after="0" w:line="240" w:lineRule="auto"/>
            </w:pPr>
            <w:r w:rsidRPr="00FC1749">
              <w:t>Abington</w:t>
            </w:r>
          </w:p>
        </w:tc>
        <w:tc>
          <w:tcPr>
            <w:tcW w:w="1025" w:type="dxa"/>
            <w:gridSpan w:val="2"/>
            <w:shd w:val="clear" w:color="auto" w:fill="auto"/>
          </w:tcPr>
          <w:p w14:paraId="7295182B" w14:textId="7AEC76B9" w:rsidR="00C14D08" w:rsidRPr="00FC1749" w:rsidRDefault="00C14D08" w:rsidP="00C14D08">
            <w:pPr>
              <w:spacing w:after="0" w:line="240" w:lineRule="auto"/>
              <w:jc w:val="center"/>
            </w:pPr>
            <w:r w:rsidRPr="00FC1749">
              <w:t>690</w:t>
            </w:r>
          </w:p>
        </w:tc>
        <w:tc>
          <w:tcPr>
            <w:tcW w:w="983" w:type="dxa"/>
            <w:shd w:val="clear" w:color="auto" w:fill="auto"/>
          </w:tcPr>
          <w:p w14:paraId="5CCD17C4" w14:textId="538EFFFC" w:rsidR="00C14D08" w:rsidRPr="00FC1749" w:rsidRDefault="00C14D08" w:rsidP="00C14D08">
            <w:pPr>
              <w:spacing w:after="0" w:line="240" w:lineRule="auto"/>
              <w:jc w:val="center"/>
            </w:pPr>
            <w:r w:rsidRPr="00FC1749">
              <w:t>0.9%</w:t>
            </w:r>
          </w:p>
        </w:tc>
        <w:tc>
          <w:tcPr>
            <w:tcW w:w="983" w:type="dxa"/>
            <w:shd w:val="clear" w:color="auto" w:fill="auto"/>
          </w:tcPr>
          <w:p w14:paraId="431594A4" w14:textId="233BBEE1" w:rsidR="00C14D08" w:rsidRPr="00FC1749" w:rsidRDefault="00C14D08" w:rsidP="00C14D08">
            <w:pPr>
              <w:spacing w:after="0" w:line="240" w:lineRule="auto"/>
              <w:jc w:val="center"/>
            </w:pPr>
            <w:r w:rsidRPr="00FC1749">
              <w:t>602</w:t>
            </w:r>
          </w:p>
        </w:tc>
        <w:tc>
          <w:tcPr>
            <w:tcW w:w="983" w:type="dxa"/>
            <w:shd w:val="clear" w:color="auto" w:fill="auto"/>
          </w:tcPr>
          <w:p w14:paraId="2DF43AA2" w14:textId="64253711" w:rsidR="00C14D08" w:rsidRPr="00FC1749" w:rsidRDefault="00C14D08" w:rsidP="00C14D08">
            <w:pPr>
              <w:spacing w:after="0" w:line="240" w:lineRule="auto"/>
              <w:jc w:val="center"/>
            </w:pPr>
            <w:r w:rsidRPr="00FC1749">
              <w:t>0.9%</w:t>
            </w:r>
          </w:p>
        </w:tc>
        <w:tc>
          <w:tcPr>
            <w:tcW w:w="983" w:type="dxa"/>
            <w:shd w:val="clear" w:color="auto" w:fill="auto"/>
          </w:tcPr>
          <w:p w14:paraId="0D7A37A4" w14:textId="687D6012" w:rsidR="00C14D08" w:rsidRPr="00FC1749" w:rsidRDefault="00C14D08" w:rsidP="00C14D08">
            <w:pPr>
              <w:spacing w:after="0" w:line="240" w:lineRule="auto"/>
              <w:jc w:val="center"/>
            </w:pPr>
            <w:r w:rsidRPr="00FC1749">
              <w:t>687</w:t>
            </w:r>
          </w:p>
        </w:tc>
        <w:tc>
          <w:tcPr>
            <w:tcW w:w="983" w:type="dxa"/>
            <w:shd w:val="clear" w:color="auto" w:fill="auto"/>
          </w:tcPr>
          <w:p w14:paraId="24B53970" w14:textId="25462310" w:rsidR="00C14D08" w:rsidRPr="00FC1749" w:rsidRDefault="00C14D08" w:rsidP="00C14D08">
            <w:pPr>
              <w:spacing w:after="0" w:line="240" w:lineRule="auto"/>
              <w:jc w:val="center"/>
            </w:pPr>
            <w:r w:rsidRPr="00FC1749">
              <w:t>1.0%</w:t>
            </w:r>
          </w:p>
        </w:tc>
      </w:tr>
      <w:tr w:rsidR="00C14D08" w:rsidRPr="00FC1749" w14:paraId="2441318F" w14:textId="77777777" w:rsidTr="005E44B8">
        <w:trPr>
          <w:cantSplit/>
          <w:trHeight w:val="300"/>
          <w:jc w:val="center"/>
        </w:trPr>
        <w:tc>
          <w:tcPr>
            <w:tcW w:w="1620" w:type="dxa"/>
            <w:shd w:val="clear" w:color="auto" w:fill="auto"/>
          </w:tcPr>
          <w:p w14:paraId="2510C169" w14:textId="7A46A67C" w:rsidR="00C14D08" w:rsidRPr="00FC1749" w:rsidRDefault="00C14D08" w:rsidP="00C14D08">
            <w:pPr>
              <w:spacing w:after="0" w:line="240" w:lineRule="auto"/>
            </w:pPr>
            <w:r w:rsidRPr="00FC1749">
              <w:t>East Weymouth</w:t>
            </w:r>
          </w:p>
        </w:tc>
        <w:tc>
          <w:tcPr>
            <w:tcW w:w="1025" w:type="dxa"/>
            <w:gridSpan w:val="2"/>
            <w:shd w:val="clear" w:color="auto" w:fill="auto"/>
          </w:tcPr>
          <w:p w14:paraId="0ED8AA98" w14:textId="036DCA27" w:rsidR="00C14D08" w:rsidRPr="00FC1749" w:rsidRDefault="00C14D08" w:rsidP="00C14D08">
            <w:pPr>
              <w:spacing w:after="0" w:line="240" w:lineRule="auto"/>
              <w:jc w:val="center"/>
            </w:pPr>
            <w:r w:rsidRPr="00FC1749">
              <w:t>754</w:t>
            </w:r>
          </w:p>
        </w:tc>
        <w:tc>
          <w:tcPr>
            <w:tcW w:w="983" w:type="dxa"/>
            <w:shd w:val="clear" w:color="auto" w:fill="auto"/>
          </w:tcPr>
          <w:p w14:paraId="29154DB4" w14:textId="435A7CCC" w:rsidR="00C14D08" w:rsidRPr="00FC1749" w:rsidRDefault="00C14D08" w:rsidP="00C14D08">
            <w:pPr>
              <w:spacing w:after="0" w:line="240" w:lineRule="auto"/>
              <w:jc w:val="center"/>
            </w:pPr>
            <w:r w:rsidRPr="00FC1749">
              <w:t>1.0%</w:t>
            </w:r>
          </w:p>
        </w:tc>
        <w:tc>
          <w:tcPr>
            <w:tcW w:w="983" w:type="dxa"/>
            <w:shd w:val="clear" w:color="auto" w:fill="auto"/>
          </w:tcPr>
          <w:p w14:paraId="3152CCFB" w14:textId="267DA8C1" w:rsidR="00C14D08" w:rsidRPr="00FC1749" w:rsidRDefault="00C14D08" w:rsidP="00C14D08">
            <w:pPr>
              <w:spacing w:after="0" w:line="240" w:lineRule="auto"/>
              <w:jc w:val="center"/>
            </w:pPr>
            <w:r w:rsidRPr="00FC1749">
              <w:t>647</w:t>
            </w:r>
          </w:p>
        </w:tc>
        <w:tc>
          <w:tcPr>
            <w:tcW w:w="983" w:type="dxa"/>
            <w:shd w:val="clear" w:color="auto" w:fill="auto"/>
          </w:tcPr>
          <w:p w14:paraId="508E83D0" w14:textId="02BE75D9" w:rsidR="00C14D08" w:rsidRPr="00FC1749" w:rsidRDefault="00C14D08" w:rsidP="00C14D08">
            <w:pPr>
              <w:spacing w:after="0" w:line="240" w:lineRule="auto"/>
              <w:jc w:val="center"/>
            </w:pPr>
            <w:r w:rsidRPr="00FC1749">
              <w:t>0.9%</w:t>
            </w:r>
          </w:p>
        </w:tc>
        <w:tc>
          <w:tcPr>
            <w:tcW w:w="983" w:type="dxa"/>
            <w:shd w:val="clear" w:color="auto" w:fill="auto"/>
          </w:tcPr>
          <w:p w14:paraId="0663991C" w14:textId="7EFFC155" w:rsidR="00C14D08" w:rsidRPr="00FC1749" w:rsidRDefault="00C14D08" w:rsidP="00C14D08">
            <w:pPr>
              <w:spacing w:after="0" w:line="240" w:lineRule="auto"/>
              <w:jc w:val="center"/>
            </w:pPr>
            <w:r w:rsidRPr="00FC1749">
              <w:t>592</w:t>
            </w:r>
          </w:p>
        </w:tc>
        <w:tc>
          <w:tcPr>
            <w:tcW w:w="983" w:type="dxa"/>
            <w:shd w:val="clear" w:color="auto" w:fill="auto"/>
          </w:tcPr>
          <w:p w14:paraId="35F572C8" w14:textId="7CC9160A" w:rsidR="00C14D08" w:rsidRPr="00FC1749" w:rsidRDefault="00C14D08" w:rsidP="00C14D08">
            <w:pPr>
              <w:spacing w:after="0" w:line="240" w:lineRule="auto"/>
              <w:jc w:val="center"/>
            </w:pPr>
            <w:r w:rsidRPr="00FC1749">
              <w:t>0.8%</w:t>
            </w:r>
          </w:p>
        </w:tc>
      </w:tr>
      <w:tr w:rsidR="00C14D08" w:rsidRPr="00FC1749" w14:paraId="0B1352EA" w14:textId="77777777" w:rsidTr="005E44B8">
        <w:trPr>
          <w:cantSplit/>
          <w:trHeight w:val="300"/>
          <w:jc w:val="center"/>
        </w:trPr>
        <w:tc>
          <w:tcPr>
            <w:tcW w:w="1620" w:type="dxa"/>
            <w:shd w:val="clear" w:color="auto" w:fill="auto"/>
          </w:tcPr>
          <w:p w14:paraId="1E2282A9" w14:textId="4A4AC5D4" w:rsidR="00C14D08" w:rsidRPr="00FC1749" w:rsidRDefault="00C14D08" w:rsidP="00C14D08">
            <w:pPr>
              <w:spacing w:after="0" w:line="240" w:lineRule="auto"/>
            </w:pPr>
            <w:r w:rsidRPr="00FC1749">
              <w:t>Rockland</w:t>
            </w:r>
          </w:p>
        </w:tc>
        <w:tc>
          <w:tcPr>
            <w:tcW w:w="1025" w:type="dxa"/>
            <w:gridSpan w:val="2"/>
            <w:shd w:val="clear" w:color="auto" w:fill="auto"/>
          </w:tcPr>
          <w:p w14:paraId="2CFB624A" w14:textId="3194284A" w:rsidR="00C14D08" w:rsidRPr="00FC1749" w:rsidRDefault="00C14D08" w:rsidP="00C14D08">
            <w:pPr>
              <w:spacing w:after="0" w:line="240" w:lineRule="auto"/>
              <w:jc w:val="center"/>
            </w:pPr>
            <w:r w:rsidRPr="00FC1749">
              <w:t>647</w:t>
            </w:r>
          </w:p>
        </w:tc>
        <w:tc>
          <w:tcPr>
            <w:tcW w:w="983" w:type="dxa"/>
            <w:shd w:val="clear" w:color="auto" w:fill="auto"/>
          </w:tcPr>
          <w:p w14:paraId="42F68301" w14:textId="0172764E" w:rsidR="00C14D08" w:rsidRPr="00FC1749" w:rsidRDefault="00C14D08" w:rsidP="00C14D08">
            <w:pPr>
              <w:spacing w:after="0" w:line="240" w:lineRule="auto"/>
              <w:jc w:val="center"/>
            </w:pPr>
            <w:r w:rsidRPr="00FC1749">
              <w:t>0.8%</w:t>
            </w:r>
          </w:p>
        </w:tc>
        <w:tc>
          <w:tcPr>
            <w:tcW w:w="983" w:type="dxa"/>
            <w:shd w:val="clear" w:color="auto" w:fill="auto"/>
          </w:tcPr>
          <w:p w14:paraId="060C9A34" w14:textId="242007DE" w:rsidR="00C14D08" w:rsidRPr="00FC1749" w:rsidRDefault="00C14D08" w:rsidP="00C14D08">
            <w:pPr>
              <w:spacing w:after="0" w:line="240" w:lineRule="auto"/>
              <w:jc w:val="center"/>
            </w:pPr>
            <w:r w:rsidRPr="00FC1749">
              <w:t>543</w:t>
            </w:r>
          </w:p>
        </w:tc>
        <w:tc>
          <w:tcPr>
            <w:tcW w:w="983" w:type="dxa"/>
            <w:shd w:val="clear" w:color="auto" w:fill="auto"/>
          </w:tcPr>
          <w:p w14:paraId="2C847264" w14:textId="5ADB700D" w:rsidR="00C14D08" w:rsidRPr="00FC1749" w:rsidRDefault="00C14D08" w:rsidP="00C14D08">
            <w:pPr>
              <w:spacing w:after="0" w:line="240" w:lineRule="auto"/>
              <w:jc w:val="center"/>
            </w:pPr>
            <w:r w:rsidRPr="00FC1749">
              <w:t>0.8%</w:t>
            </w:r>
          </w:p>
        </w:tc>
        <w:tc>
          <w:tcPr>
            <w:tcW w:w="983" w:type="dxa"/>
            <w:shd w:val="clear" w:color="auto" w:fill="auto"/>
          </w:tcPr>
          <w:p w14:paraId="70253453" w14:textId="0CFB853A" w:rsidR="00C14D08" w:rsidRPr="00FC1749" w:rsidRDefault="00C14D08" w:rsidP="00C14D08">
            <w:pPr>
              <w:spacing w:after="0" w:line="240" w:lineRule="auto"/>
              <w:jc w:val="center"/>
            </w:pPr>
            <w:r w:rsidRPr="00FC1749">
              <w:t>573</w:t>
            </w:r>
          </w:p>
        </w:tc>
        <w:tc>
          <w:tcPr>
            <w:tcW w:w="983" w:type="dxa"/>
            <w:shd w:val="clear" w:color="auto" w:fill="auto"/>
          </w:tcPr>
          <w:p w14:paraId="5E5557BA" w14:textId="495F7152" w:rsidR="00C14D08" w:rsidRPr="00FC1749" w:rsidRDefault="00C14D08" w:rsidP="00C14D08">
            <w:pPr>
              <w:spacing w:after="0" w:line="240" w:lineRule="auto"/>
              <w:jc w:val="center"/>
            </w:pPr>
            <w:r w:rsidRPr="00FC1749">
              <w:t>0.8%</w:t>
            </w:r>
          </w:p>
        </w:tc>
      </w:tr>
      <w:tr w:rsidR="00C14D08" w:rsidRPr="00FC1749" w14:paraId="17E184A6" w14:textId="77777777" w:rsidTr="005E44B8">
        <w:trPr>
          <w:cantSplit/>
          <w:trHeight w:val="300"/>
          <w:jc w:val="center"/>
        </w:trPr>
        <w:tc>
          <w:tcPr>
            <w:tcW w:w="1620" w:type="dxa"/>
            <w:shd w:val="clear" w:color="auto" w:fill="auto"/>
          </w:tcPr>
          <w:p w14:paraId="05F51AE7" w14:textId="3BCA94C6" w:rsidR="00C14D08" w:rsidRPr="00FC1749" w:rsidRDefault="00C14D08" w:rsidP="00C14D08">
            <w:pPr>
              <w:spacing w:after="0" w:line="240" w:lineRule="auto"/>
            </w:pPr>
            <w:r w:rsidRPr="00FC1749">
              <w:t>Dedham</w:t>
            </w:r>
          </w:p>
        </w:tc>
        <w:tc>
          <w:tcPr>
            <w:tcW w:w="1025" w:type="dxa"/>
            <w:gridSpan w:val="2"/>
            <w:shd w:val="clear" w:color="auto" w:fill="auto"/>
          </w:tcPr>
          <w:p w14:paraId="2715BFF4" w14:textId="65BA49EB" w:rsidR="00C14D08" w:rsidRPr="00FC1749" w:rsidRDefault="00C14D08" w:rsidP="00C14D08">
            <w:pPr>
              <w:spacing w:after="0" w:line="240" w:lineRule="auto"/>
              <w:jc w:val="center"/>
            </w:pPr>
            <w:r w:rsidRPr="00FC1749">
              <w:t>755</w:t>
            </w:r>
          </w:p>
        </w:tc>
        <w:tc>
          <w:tcPr>
            <w:tcW w:w="983" w:type="dxa"/>
            <w:shd w:val="clear" w:color="auto" w:fill="auto"/>
          </w:tcPr>
          <w:p w14:paraId="0871A84F" w14:textId="744A2011" w:rsidR="00C14D08" w:rsidRPr="00FC1749" w:rsidRDefault="00C14D08" w:rsidP="00C14D08">
            <w:pPr>
              <w:spacing w:after="0" w:line="240" w:lineRule="auto"/>
              <w:jc w:val="center"/>
            </w:pPr>
            <w:r w:rsidRPr="00FC1749">
              <w:t>1.0%</w:t>
            </w:r>
          </w:p>
        </w:tc>
        <w:tc>
          <w:tcPr>
            <w:tcW w:w="983" w:type="dxa"/>
            <w:shd w:val="clear" w:color="auto" w:fill="auto"/>
          </w:tcPr>
          <w:p w14:paraId="0B529D88" w14:textId="7D16BD54" w:rsidR="00C14D08" w:rsidRPr="00FC1749" w:rsidRDefault="00C14D08" w:rsidP="00C14D08">
            <w:pPr>
              <w:spacing w:after="0" w:line="240" w:lineRule="auto"/>
              <w:jc w:val="center"/>
            </w:pPr>
            <w:r w:rsidRPr="00FC1749">
              <w:t>567</w:t>
            </w:r>
          </w:p>
        </w:tc>
        <w:tc>
          <w:tcPr>
            <w:tcW w:w="983" w:type="dxa"/>
            <w:shd w:val="clear" w:color="auto" w:fill="auto"/>
          </w:tcPr>
          <w:p w14:paraId="7B72166C" w14:textId="2F6677D8" w:rsidR="00C14D08" w:rsidRPr="00FC1749" w:rsidRDefault="00C14D08" w:rsidP="00C14D08">
            <w:pPr>
              <w:spacing w:after="0" w:line="240" w:lineRule="auto"/>
              <w:jc w:val="center"/>
            </w:pPr>
            <w:r w:rsidRPr="00FC1749">
              <w:t>0.8%</w:t>
            </w:r>
          </w:p>
        </w:tc>
        <w:tc>
          <w:tcPr>
            <w:tcW w:w="983" w:type="dxa"/>
            <w:shd w:val="clear" w:color="auto" w:fill="auto"/>
          </w:tcPr>
          <w:p w14:paraId="62D335A4" w14:textId="417A7A6B" w:rsidR="00C14D08" w:rsidRPr="00FC1749" w:rsidRDefault="00C14D08" w:rsidP="00C14D08">
            <w:pPr>
              <w:spacing w:after="0" w:line="240" w:lineRule="auto"/>
              <w:jc w:val="center"/>
            </w:pPr>
            <w:r w:rsidRPr="00FC1749">
              <w:t>530</w:t>
            </w:r>
          </w:p>
        </w:tc>
        <w:tc>
          <w:tcPr>
            <w:tcW w:w="983" w:type="dxa"/>
            <w:shd w:val="clear" w:color="auto" w:fill="auto"/>
          </w:tcPr>
          <w:p w14:paraId="5BBDB54F" w14:textId="77F38F11" w:rsidR="00C14D08" w:rsidRPr="00FC1749" w:rsidRDefault="00C14D08" w:rsidP="00C14D08">
            <w:pPr>
              <w:spacing w:after="0" w:line="240" w:lineRule="auto"/>
              <w:jc w:val="center"/>
            </w:pPr>
            <w:r w:rsidRPr="00FC1749">
              <w:t>0.8%</w:t>
            </w:r>
          </w:p>
        </w:tc>
      </w:tr>
      <w:tr w:rsidR="00C14D08" w:rsidRPr="00FC1749" w14:paraId="651BB447" w14:textId="77777777" w:rsidTr="005E44B8">
        <w:trPr>
          <w:cantSplit/>
          <w:trHeight w:val="300"/>
          <w:jc w:val="center"/>
        </w:trPr>
        <w:tc>
          <w:tcPr>
            <w:tcW w:w="1620" w:type="dxa"/>
            <w:shd w:val="clear" w:color="auto" w:fill="auto"/>
          </w:tcPr>
          <w:p w14:paraId="3534C903" w14:textId="19068073" w:rsidR="00C14D08" w:rsidRPr="00FC1749" w:rsidRDefault="00C14D08" w:rsidP="00C14D08">
            <w:pPr>
              <w:spacing w:after="0" w:line="240" w:lineRule="auto"/>
            </w:pPr>
            <w:r w:rsidRPr="00FC1749">
              <w:t>Norwood</w:t>
            </w:r>
          </w:p>
        </w:tc>
        <w:tc>
          <w:tcPr>
            <w:tcW w:w="1025" w:type="dxa"/>
            <w:gridSpan w:val="2"/>
            <w:shd w:val="clear" w:color="auto" w:fill="auto"/>
          </w:tcPr>
          <w:p w14:paraId="45104830" w14:textId="297A69B6" w:rsidR="00C14D08" w:rsidRPr="00FC1749" w:rsidRDefault="00C14D08" w:rsidP="00C14D08">
            <w:pPr>
              <w:spacing w:after="0" w:line="240" w:lineRule="auto"/>
              <w:jc w:val="center"/>
            </w:pPr>
            <w:r w:rsidRPr="00FC1749">
              <w:t>732</w:t>
            </w:r>
          </w:p>
        </w:tc>
        <w:tc>
          <w:tcPr>
            <w:tcW w:w="983" w:type="dxa"/>
            <w:shd w:val="clear" w:color="auto" w:fill="auto"/>
          </w:tcPr>
          <w:p w14:paraId="1CAE39F3" w14:textId="5ABD2F26" w:rsidR="00C14D08" w:rsidRPr="00FC1749" w:rsidRDefault="00C14D08" w:rsidP="00C14D08">
            <w:pPr>
              <w:spacing w:after="0" w:line="240" w:lineRule="auto"/>
              <w:jc w:val="center"/>
            </w:pPr>
            <w:r w:rsidRPr="00FC1749">
              <w:t>0.9%</w:t>
            </w:r>
          </w:p>
        </w:tc>
        <w:tc>
          <w:tcPr>
            <w:tcW w:w="983" w:type="dxa"/>
            <w:shd w:val="clear" w:color="auto" w:fill="auto"/>
          </w:tcPr>
          <w:p w14:paraId="62F1D0F4" w14:textId="313D4800" w:rsidR="00C14D08" w:rsidRPr="00FC1749" w:rsidRDefault="00C14D08" w:rsidP="00C14D08">
            <w:pPr>
              <w:spacing w:after="0" w:line="240" w:lineRule="auto"/>
              <w:jc w:val="center"/>
            </w:pPr>
            <w:r w:rsidRPr="00FC1749">
              <w:t>591</w:t>
            </w:r>
          </w:p>
        </w:tc>
        <w:tc>
          <w:tcPr>
            <w:tcW w:w="983" w:type="dxa"/>
            <w:shd w:val="clear" w:color="auto" w:fill="auto"/>
          </w:tcPr>
          <w:p w14:paraId="71EA0AE3" w14:textId="6F666DA3" w:rsidR="00C14D08" w:rsidRPr="00FC1749" w:rsidRDefault="00C14D08" w:rsidP="00C14D08">
            <w:pPr>
              <w:spacing w:after="0" w:line="240" w:lineRule="auto"/>
              <w:jc w:val="center"/>
            </w:pPr>
            <w:r w:rsidRPr="00FC1749">
              <w:t>0.9%</w:t>
            </w:r>
          </w:p>
        </w:tc>
        <w:tc>
          <w:tcPr>
            <w:tcW w:w="983" w:type="dxa"/>
            <w:shd w:val="clear" w:color="auto" w:fill="auto"/>
          </w:tcPr>
          <w:p w14:paraId="3AB09609" w14:textId="762E0875" w:rsidR="00C14D08" w:rsidRPr="00FC1749" w:rsidRDefault="00C14D08" w:rsidP="00C14D08">
            <w:pPr>
              <w:spacing w:after="0" w:line="240" w:lineRule="auto"/>
              <w:jc w:val="center"/>
            </w:pPr>
            <w:r w:rsidRPr="00FC1749">
              <w:t>515</w:t>
            </w:r>
          </w:p>
        </w:tc>
        <w:tc>
          <w:tcPr>
            <w:tcW w:w="983" w:type="dxa"/>
            <w:shd w:val="clear" w:color="auto" w:fill="auto"/>
          </w:tcPr>
          <w:p w14:paraId="23789C95" w14:textId="55C46587" w:rsidR="00C14D08" w:rsidRPr="00FC1749" w:rsidRDefault="00C14D08" w:rsidP="00C14D08">
            <w:pPr>
              <w:spacing w:after="0" w:line="240" w:lineRule="auto"/>
              <w:jc w:val="center"/>
            </w:pPr>
            <w:r w:rsidRPr="00FC1749">
              <w:t>0.7%</w:t>
            </w:r>
          </w:p>
        </w:tc>
      </w:tr>
      <w:tr w:rsidR="00C14D08" w:rsidRPr="00FC1749" w14:paraId="7BA1D64C" w14:textId="77777777" w:rsidTr="005E44B8">
        <w:trPr>
          <w:cantSplit/>
          <w:trHeight w:val="300"/>
          <w:jc w:val="center"/>
        </w:trPr>
        <w:tc>
          <w:tcPr>
            <w:tcW w:w="1620" w:type="dxa"/>
            <w:shd w:val="clear" w:color="auto" w:fill="auto"/>
          </w:tcPr>
          <w:p w14:paraId="5A4E06CC" w14:textId="37F22A2A" w:rsidR="00C14D08" w:rsidRPr="00FC1749" w:rsidRDefault="00C14D08" w:rsidP="00C14D08">
            <w:pPr>
              <w:spacing w:after="0" w:line="240" w:lineRule="auto"/>
            </w:pPr>
            <w:r w:rsidRPr="00FC1749">
              <w:t>Plymouth</w:t>
            </w:r>
          </w:p>
        </w:tc>
        <w:tc>
          <w:tcPr>
            <w:tcW w:w="1025" w:type="dxa"/>
            <w:gridSpan w:val="2"/>
            <w:shd w:val="clear" w:color="auto" w:fill="auto"/>
          </w:tcPr>
          <w:p w14:paraId="7E679AB2" w14:textId="6048606D" w:rsidR="00C14D08" w:rsidRPr="00FC1749" w:rsidRDefault="00C14D08" w:rsidP="00C14D08">
            <w:pPr>
              <w:spacing w:after="0" w:line="240" w:lineRule="auto"/>
              <w:jc w:val="center"/>
            </w:pPr>
            <w:r w:rsidRPr="00FC1749">
              <w:t>931</w:t>
            </w:r>
          </w:p>
        </w:tc>
        <w:tc>
          <w:tcPr>
            <w:tcW w:w="983" w:type="dxa"/>
            <w:shd w:val="clear" w:color="auto" w:fill="auto"/>
          </w:tcPr>
          <w:p w14:paraId="67A68FA7" w14:textId="00857900" w:rsidR="00C14D08" w:rsidRPr="00FC1749" w:rsidRDefault="00C14D08" w:rsidP="00C14D08">
            <w:pPr>
              <w:spacing w:after="0" w:line="240" w:lineRule="auto"/>
              <w:jc w:val="center"/>
            </w:pPr>
            <w:r w:rsidRPr="00FC1749">
              <w:t>1.2%</w:t>
            </w:r>
          </w:p>
        </w:tc>
        <w:tc>
          <w:tcPr>
            <w:tcW w:w="983" w:type="dxa"/>
            <w:shd w:val="clear" w:color="auto" w:fill="auto"/>
          </w:tcPr>
          <w:p w14:paraId="7BE1F692" w14:textId="74F7243B" w:rsidR="00C14D08" w:rsidRPr="00FC1749" w:rsidRDefault="00C14D08" w:rsidP="00C14D08">
            <w:pPr>
              <w:spacing w:after="0" w:line="240" w:lineRule="auto"/>
              <w:jc w:val="center"/>
            </w:pPr>
            <w:r w:rsidRPr="00FC1749">
              <w:t>474</w:t>
            </w:r>
          </w:p>
        </w:tc>
        <w:tc>
          <w:tcPr>
            <w:tcW w:w="983" w:type="dxa"/>
            <w:shd w:val="clear" w:color="auto" w:fill="auto"/>
          </w:tcPr>
          <w:p w14:paraId="26BD3760" w14:textId="3EBEE894" w:rsidR="00C14D08" w:rsidRPr="00FC1749" w:rsidRDefault="00C14D08" w:rsidP="00C14D08">
            <w:pPr>
              <w:spacing w:after="0" w:line="240" w:lineRule="auto"/>
              <w:jc w:val="center"/>
            </w:pPr>
            <w:r w:rsidRPr="00FC1749">
              <w:t>0.7%</w:t>
            </w:r>
          </w:p>
        </w:tc>
        <w:tc>
          <w:tcPr>
            <w:tcW w:w="983" w:type="dxa"/>
            <w:shd w:val="clear" w:color="auto" w:fill="auto"/>
          </w:tcPr>
          <w:p w14:paraId="44022CED" w14:textId="56A0A957" w:rsidR="00C14D08" w:rsidRPr="00FC1749" w:rsidRDefault="00C14D08" w:rsidP="00C14D08">
            <w:pPr>
              <w:spacing w:after="0" w:line="240" w:lineRule="auto"/>
              <w:jc w:val="center"/>
            </w:pPr>
            <w:r w:rsidRPr="00FC1749">
              <w:t>509</w:t>
            </w:r>
          </w:p>
        </w:tc>
        <w:tc>
          <w:tcPr>
            <w:tcW w:w="983" w:type="dxa"/>
            <w:shd w:val="clear" w:color="auto" w:fill="auto"/>
          </w:tcPr>
          <w:p w14:paraId="22824BC7" w14:textId="6A77CAAD" w:rsidR="00C14D08" w:rsidRPr="00FC1749" w:rsidRDefault="00C14D08" w:rsidP="00C14D08">
            <w:pPr>
              <w:spacing w:after="0" w:line="240" w:lineRule="auto"/>
              <w:jc w:val="center"/>
            </w:pPr>
            <w:r w:rsidRPr="00FC1749">
              <w:t>0.7%</w:t>
            </w:r>
          </w:p>
        </w:tc>
      </w:tr>
      <w:tr w:rsidR="00C14D08" w:rsidRPr="00FC1749" w14:paraId="697AC992" w14:textId="77777777" w:rsidTr="005E44B8">
        <w:trPr>
          <w:cantSplit/>
          <w:trHeight w:val="300"/>
          <w:jc w:val="center"/>
        </w:trPr>
        <w:tc>
          <w:tcPr>
            <w:tcW w:w="1620" w:type="dxa"/>
            <w:shd w:val="clear" w:color="auto" w:fill="auto"/>
          </w:tcPr>
          <w:p w14:paraId="55ADDA53" w14:textId="06B605D6" w:rsidR="00C14D08" w:rsidRPr="00FC1749" w:rsidRDefault="00C14D08" w:rsidP="00C14D08">
            <w:pPr>
              <w:spacing w:after="0" w:line="240" w:lineRule="auto"/>
            </w:pPr>
            <w:r w:rsidRPr="00FC1749">
              <w:t>Marshfield</w:t>
            </w:r>
          </w:p>
        </w:tc>
        <w:tc>
          <w:tcPr>
            <w:tcW w:w="1025" w:type="dxa"/>
            <w:gridSpan w:val="2"/>
            <w:shd w:val="clear" w:color="auto" w:fill="auto"/>
          </w:tcPr>
          <w:p w14:paraId="099D818A" w14:textId="100A8B95" w:rsidR="00C14D08" w:rsidRPr="00FC1749" w:rsidRDefault="00C14D08" w:rsidP="00C14D08">
            <w:pPr>
              <w:spacing w:after="0" w:line="240" w:lineRule="auto"/>
              <w:jc w:val="center"/>
            </w:pPr>
            <w:r w:rsidRPr="00FC1749">
              <w:t>552</w:t>
            </w:r>
          </w:p>
        </w:tc>
        <w:tc>
          <w:tcPr>
            <w:tcW w:w="983" w:type="dxa"/>
            <w:shd w:val="clear" w:color="auto" w:fill="auto"/>
          </w:tcPr>
          <w:p w14:paraId="7A7F475F" w14:textId="1B7FB18B" w:rsidR="00C14D08" w:rsidRPr="00FC1749" w:rsidRDefault="00C14D08" w:rsidP="00C14D08">
            <w:pPr>
              <w:spacing w:after="0" w:line="240" w:lineRule="auto"/>
              <w:jc w:val="center"/>
            </w:pPr>
            <w:r w:rsidRPr="00FC1749">
              <w:t>0.7%</w:t>
            </w:r>
          </w:p>
        </w:tc>
        <w:tc>
          <w:tcPr>
            <w:tcW w:w="983" w:type="dxa"/>
            <w:shd w:val="clear" w:color="auto" w:fill="auto"/>
          </w:tcPr>
          <w:p w14:paraId="7FE20936" w14:textId="3FC51A5E" w:rsidR="00C14D08" w:rsidRPr="00FC1749" w:rsidRDefault="00C14D08" w:rsidP="00C14D08">
            <w:pPr>
              <w:spacing w:after="0" w:line="240" w:lineRule="auto"/>
              <w:jc w:val="center"/>
            </w:pPr>
            <w:r w:rsidRPr="00FC1749">
              <w:t>503</w:t>
            </w:r>
          </w:p>
        </w:tc>
        <w:tc>
          <w:tcPr>
            <w:tcW w:w="983" w:type="dxa"/>
            <w:shd w:val="clear" w:color="auto" w:fill="auto"/>
          </w:tcPr>
          <w:p w14:paraId="1D8846A5" w14:textId="3CED4737" w:rsidR="00C14D08" w:rsidRPr="00FC1749" w:rsidRDefault="00C14D08" w:rsidP="00C14D08">
            <w:pPr>
              <w:spacing w:after="0" w:line="240" w:lineRule="auto"/>
              <w:jc w:val="center"/>
            </w:pPr>
            <w:r w:rsidRPr="00FC1749">
              <w:t>0.7%</w:t>
            </w:r>
          </w:p>
        </w:tc>
        <w:tc>
          <w:tcPr>
            <w:tcW w:w="983" w:type="dxa"/>
            <w:shd w:val="clear" w:color="auto" w:fill="auto"/>
          </w:tcPr>
          <w:p w14:paraId="100ADC52" w14:textId="7134E3E3" w:rsidR="00C14D08" w:rsidRPr="00FC1749" w:rsidRDefault="00C14D08" w:rsidP="00C14D08">
            <w:pPr>
              <w:spacing w:after="0" w:line="240" w:lineRule="auto"/>
              <w:jc w:val="center"/>
            </w:pPr>
            <w:r w:rsidRPr="00FC1749">
              <w:t>495</w:t>
            </w:r>
          </w:p>
        </w:tc>
        <w:tc>
          <w:tcPr>
            <w:tcW w:w="983" w:type="dxa"/>
            <w:shd w:val="clear" w:color="auto" w:fill="auto"/>
          </w:tcPr>
          <w:p w14:paraId="0BB2E7FF" w14:textId="10A73880" w:rsidR="00C14D08" w:rsidRPr="00FC1749" w:rsidRDefault="00C14D08" w:rsidP="00C14D08">
            <w:pPr>
              <w:spacing w:after="0" w:line="240" w:lineRule="auto"/>
              <w:jc w:val="center"/>
            </w:pPr>
            <w:r w:rsidRPr="00FC1749">
              <w:t>0.7%</w:t>
            </w:r>
          </w:p>
        </w:tc>
      </w:tr>
      <w:tr w:rsidR="00C14D08" w:rsidRPr="00FC1749" w14:paraId="6CCC0E3A" w14:textId="77777777" w:rsidTr="005E44B8">
        <w:trPr>
          <w:cantSplit/>
          <w:trHeight w:val="300"/>
          <w:jc w:val="center"/>
        </w:trPr>
        <w:tc>
          <w:tcPr>
            <w:tcW w:w="1620" w:type="dxa"/>
            <w:shd w:val="clear" w:color="auto" w:fill="auto"/>
          </w:tcPr>
          <w:p w14:paraId="306C1FB7" w14:textId="3FCAEE0F" w:rsidR="00C14D08" w:rsidRPr="00FC1749" w:rsidRDefault="00C14D08" w:rsidP="00C14D08">
            <w:pPr>
              <w:spacing w:after="0" w:line="240" w:lineRule="auto"/>
            </w:pPr>
            <w:r w:rsidRPr="00FC1749">
              <w:t>Sharon</w:t>
            </w:r>
          </w:p>
        </w:tc>
        <w:tc>
          <w:tcPr>
            <w:tcW w:w="1025" w:type="dxa"/>
            <w:gridSpan w:val="2"/>
            <w:shd w:val="clear" w:color="auto" w:fill="auto"/>
          </w:tcPr>
          <w:p w14:paraId="3F096ECC" w14:textId="671B9428" w:rsidR="00C14D08" w:rsidRPr="00FC1749" w:rsidRDefault="00C14D08" w:rsidP="00C14D08">
            <w:pPr>
              <w:spacing w:after="0" w:line="240" w:lineRule="auto"/>
              <w:jc w:val="center"/>
            </w:pPr>
            <w:r w:rsidRPr="00FC1749">
              <w:t>673</w:t>
            </w:r>
          </w:p>
        </w:tc>
        <w:tc>
          <w:tcPr>
            <w:tcW w:w="983" w:type="dxa"/>
            <w:shd w:val="clear" w:color="auto" w:fill="auto"/>
          </w:tcPr>
          <w:p w14:paraId="67EC4E3D" w14:textId="40A3FAAB" w:rsidR="00C14D08" w:rsidRPr="00FC1749" w:rsidRDefault="00C14D08" w:rsidP="00C14D08">
            <w:pPr>
              <w:spacing w:after="0" w:line="240" w:lineRule="auto"/>
              <w:jc w:val="center"/>
            </w:pPr>
            <w:r w:rsidRPr="00FC1749">
              <w:t>0.9%</w:t>
            </w:r>
          </w:p>
        </w:tc>
        <w:tc>
          <w:tcPr>
            <w:tcW w:w="983" w:type="dxa"/>
            <w:shd w:val="clear" w:color="auto" w:fill="auto"/>
          </w:tcPr>
          <w:p w14:paraId="6F827AF6" w14:textId="7D5892DD" w:rsidR="00C14D08" w:rsidRPr="00FC1749" w:rsidRDefault="00C14D08" w:rsidP="00C14D08">
            <w:pPr>
              <w:spacing w:after="0" w:line="240" w:lineRule="auto"/>
              <w:jc w:val="center"/>
            </w:pPr>
            <w:r w:rsidRPr="00FC1749">
              <w:t>438</w:t>
            </w:r>
          </w:p>
        </w:tc>
        <w:tc>
          <w:tcPr>
            <w:tcW w:w="983" w:type="dxa"/>
            <w:shd w:val="clear" w:color="auto" w:fill="auto"/>
          </w:tcPr>
          <w:p w14:paraId="7BB4126B" w14:textId="75D1CD76" w:rsidR="00C14D08" w:rsidRPr="00FC1749" w:rsidRDefault="00C14D08" w:rsidP="00C14D08">
            <w:pPr>
              <w:spacing w:after="0" w:line="240" w:lineRule="auto"/>
              <w:jc w:val="center"/>
            </w:pPr>
            <w:r w:rsidRPr="00FC1749">
              <w:t>0.6%</w:t>
            </w:r>
          </w:p>
        </w:tc>
        <w:tc>
          <w:tcPr>
            <w:tcW w:w="983" w:type="dxa"/>
            <w:shd w:val="clear" w:color="auto" w:fill="auto"/>
          </w:tcPr>
          <w:p w14:paraId="4633982B" w14:textId="1191BF2D" w:rsidR="00C14D08" w:rsidRPr="00FC1749" w:rsidRDefault="00C14D08" w:rsidP="00C14D08">
            <w:pPr>
              <w:spacing w:after="0" w:line="240" w:lineRule="auto"/>
              <w:jc w:val="center"/>
            </w:pPr>
            <w:r w:rsidRPr="00FC1749">
              <w:t>490</w:t>
            </w:r>
          </w:p>
        </w:tc>
        <w:tc>
          <w:tcPr>
            <w:tcW w:w="983" w:type="dxa"/>
            <w:shd w:val="clear" w:color="auto" w:fill="auto"/>
          </w:tcPr>
          <w:p w14:paraId="446188DB" w14:textId="4230A1D2" w:rsidR="00C14D08" w:rsidRPr="00FC1749" w:rsidRDefault="00C14D08" w:rsidP="00C14D08">
            <w:pPr>
              <w:spacing w:after="0" w:line="240" w:lineRule="auto"/>
              <w:jc w:val="center"/>
            </w:pPr>
            <w:r w:rsidRPr="00FC1749">
              <w:t>0.7%</w:t>
            </w:r>
          </w:p>
        </w:tc>
      </w:tr>
    </w:tbl>
    <w:p w14:paraId="20F372A3" w14:textId="2B50FEF3" w:rsidR="00692449" w:rsidRDefault="00692449">
      <w:pPr>
        <w:spacing w:line="259" w:lineRule="auto"/>
        <w:rPr>
          <w:rFonts w:eastAsia="Calibri" w:cs="Times New Roman"/>
          <w:b/>
          <w:kern w:val="2"/>
        </w:rPr>
      </w:pPr>
    </w:p>
    <w:p w14:paraId="138DE290" w14:textId="5CD5609E" w:rsidR="00EF218D" w:rsidRDefault="00EF218D">
      <w:pPr>
        <w:spacing w:line="259" w:lineRule="auto"/>
        <w:rPr>
          <w:rFonts w:eastAsia="Calibri" w:cs="Times New Roman"/>
          <w:b/>
          <w:kern w:val="2"/>
        </w:rPr>
      </w:pPr>
      <w:r>
        <w:rPr>
          <w:rFonts w:eastAsia="Calibri" w:cs="Times New Roman"/>
          <w:b/>
          <w:kern w:val="2"/>
        </w:rPr>
        <w:br w:type="page"/>
      </w:r>
    </w:p>
    <w:p w14:paraId="00E864EB" w14:textId="77777777" w:rsidR="008754FE" w:rsidRDefault="008754FE">
      <w:pPr>
        <w:spacing w:line="259" w:lineRule="auto"/>
        <w:rPr>
          <w:rFonts w:eastAsia="Calibri" w:cs="Times New Roman"/>
          <w:b/>
          <w:kern w:val="2"/>
        </w:rPr>
      </w:pPr>
    </w:p>
    <w:p w14:paraId="565DC85E" w14:textId="67FAF0C4" w:rsidR="00831312" w:rsidRPr="00F127C1" w:rsidRDefault="00831312" w:rsidP="00A4767B">
      <w:pPr>
        <w:spacing w:line="259" w:lineRule="auto"/>
        <w:rPr>
          <w:rFonts w:cs="Times New Roman"/>
        </w:rPr>
      </w:pPr>
      <w:r w:rsidRPr="00F127C1">
        <w:rPr>
          <w:rFonts w:eastAsia="Calibri" w:cs="Times New Roman"/>
          <w:b/>
          <w:kern w:val="2"/>
        </w:rPr>
        <w:t>F1.a.ii</w:t>
      </w:r>
      <w:r w:rsidRPr="00F127C1">
        <w:rPr>
          <w:rFonts w:eastAsia="Calibri" w:cs="Times New Roman"/>
          <w:b/>
          <w:kern w:val="2"/>
        </w:rPr>
        <w:tab/>
      </w:r>
      <w:r w:rsidRPr="00F127C1">
        <w:rPr>
          <w:rFonts w:eastAsia="Calibri" w:cs="Times New Roman"/>
          <w:kern w:val="2"/>
        </w:rPr>
        <w:tab/>
      </w:r>
      <w:r w:rsidRPr="00F127C1">
        <w:rPr>
          <w:rFonts w:eastAsia="Calibri" w:cs="Times New Roman"/>
          <w:b/>
          <w:kern w:val="2"/>
          <w:u w:val="single"/>
        </w:rPr>
        <w:t>Need by Patient Panel:</w:t>
      </w:r>
    </w:p>
    <w:p w14:paraId="5D9C90A1" w14:textId="2B2AD8EF" w:rsidR="00394AD2" w:rsidRPr="00F127C1" w:rsidRDefault="00831312" w:rsidP="00F87A40">
      <w:pPr>
        <w:spacing w:before="120" w:after="120" w:line="240" w:lineRule="auto"/>
        <w:ind w:left="1440"/>
        <w:jc w:val="both"/>
        <w:rPr>
          <w:rFonts w:eastAsia="Times New Roman" w:cs="Times New Roman"/>
          <w:b/>
          <w:kern w:val="2"/>
        </w:rPr>
      </w:pPr>
      <w:r w:rsidRPr="00F127C1">
        <w:rPr>
          <w:rFonts w:eastAsia="Times New Roman" w:cs="Times New Roman"/>
          <w:b/>
          <w:kern w:val="2"/>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341BAA9F" w14:textId="29036360" w:rsidR="00A00849" w:rsidRPr="00EA499A" w:rsidRDefault="00A00849" w:rsidP="00A00849">
      <w:pPr>
        <w:spacing w:after="0" w:line="240" w:lineRule="auto"/>
        <w:jc w:val="both"/>
        <w:rPr>
          <w:rFonts w:cs="Times New Roman"/>
          <w:b/>
          <w:bCs/>
        </w:rPr>
      </w:pPr>
      <w:r w:rsidRPr="00EA499A">
        <w:rPr>
          <w:rFonts w:cs="Times New Roman"/>
          <w:b/>
          <w:bCs/>
        </w:rPr>
        <w:t>Hematology</w:t>
      </w:r>
      <w:r w:rsidR="009E2214" w:rsidRPr="00EA499A">
        <w:rPr>
          <w:rFonts w:cs="Times New Roman"/>
          <w:b/>
          <w:bCs/>
        </w:rPr>
        <w:t>-</w:t>
      </w:r>
      <w:r w:rsidRPr="00EA499A">
        <w:rPr>
          <w:rFonts w:cs="Times New Roman"/>
          <w:b/>
          <w:bCs/>
        </w:rPr>
        <w:t>Oncology and Infusion Clinic</w:t>
      </w:r>
    </w:p>
    <w:p w14:paraId="14EC3DCB" w14:textId="460329EC" w:rsidR="00A00849" w:rsidRPr="00F127C1" w:rsidRDefault="00A00849" w:rsidP="00A00849">
      <w:pPr>
        <w:spacing w:after="0" w:line="240" w:lineRule="auto"/>
        <w:jc w:val="both"/>
        <w:rPr>
          <w:rFonts w:cs="Times New Roman"/>
        </w:rPr>
      </w:pPr>
      <w:r w:rsidRPr="00F127C1">
        <w:rPr>
          <w:rFonts w:cs="Times New Roman"/>
        </w:rPr>
        <w:t xml:space="preserve">Through the Proposed Project, the Applicant seeks to address issues with access to cancer care, specifically hematology-oncology and infusion services in the Plymouth region. The Plymouth region continues to be one of the </w:t>
      </w:r>
      <w:r w:rsidR="002460FB" w:rsidRPr="00F127C1">
        <w:rPr>
          <w:rFonts w:cs="Times New Roman"/>
        </w:rPr>
        <w:t>fastest growing</w:t>
      </w:r>
      <w:r w:rsidRPr="00F127C1">
        <w:rPr>
          <w:rFonts w:cs="Times New Roman"/>
        </w:rPr>
        <w:t xml:space="preserve"> in Eastern Massachusetts. Demand for health care services in the region has grown over 12% over the past six years, driven by a combination of an increase in population and an aging community.</w:t>
      </w:r>
      <w:r w:rsidRPr="00F127C1">
        <w:rPr>
          <w:rStyle w:val="FootnoteReference"/>
          <w:rFonts w:cs="Times New Roman"/>
        </w:rPr>
        <w:footnoteReference w:id="6"/>
      </w:r>
    </w:p>
    <w:p w14:paraId="2DC2D90D" w14:textId="77777777" w:rsidR="00264E7C" w:rsidRPr="00F127C1" w:rsidRDefault="00264E7C" w:rsidP="00A00849">
      <w:pPr>
        <w:spacing w:after="0" w:line="240" w:lineRule="auto"/>
        <w:jc w:val="both"/>
        <w:rPr>
          <w:rFonts w:cs="Times New Roman"/>
        </w:rPr>
      </w:pPr>
    </w:p>
    <w:p w14:paraId="460B5329" w14:textId="77777777" w:rsidR="00A00849" w:rsidRPr="00F127C1" w:rsidRDefault="00A00849" w:rsidP="00A00849">
      <w:pPr>
        <w:spacing w:after="0" w:line="240" w:lineRule="auto"/>
        <w:jc w:val="both"/>
        <w:rPr>
          <w:rFonts w:cs="Times New Roman"/>
        </w:rPr>
      </w:pPr>
      <w:r w:rsidRPr="00F127C1">
        <w:rPr>
          <w:rFonts w:cs="Times New Roman"/>
          <w:i/>
          <w:iCs/>
        </w:rPr>
        <w:t>Impact of High Utilization on Access</w:t>
      </w:r>
    </w:p>
    <w:p w14:paraId="3B82317F" w14:textId="29183326" w:rsidR="00A00849" w:rsidRPr="00F127C1" w:rsidRDefault="00A00849" w:rsidP="00A00849">
      <w:pPr>
        <w:spacing w:after="0" w:line="240" w:lineRule="auto"/>
        <w:jc w:val="both"/>
        <w:rPr>
          <w:rFonts w:cs="Times New Roman"/>
        </w:rPr>
      </w:pPr>
      <w:r w:rsidRPr="00F127C1">
        <w:rPr>
          <w:rFonts w:cs="Times New Roman"/>
        </w:rPr>
        <w:t xml:space="preserve">Currently, there is a significant undersupply of hematology-oncology physicians in the Plymouth </w:t>
      </w:r>
      <w:r w:rsidR="00E60F39">
        <w:rPr>
          <w:rFonts w:cs="Times New Roman"/>
        </w:rPr>
        <w:t>area</w:t>
      </w:r>
      <w:r w:rsidRPr="00F127C1">
        <w:rPr>
          <w:rFonts w:cs="Times New Roman"/>
        </w:rPr>
        <w:t>,</w:t>
      </w:r>
      <w:r w:rsidR="00880542">
        <w:rPr>
          <w:rFonts w:cs="Times New Roman"/>
        </w:rPr>
        <w:t xml:space="preserve"> which was exacerbated by the hematology-oncology unit at Good Samaritan Medical Center in Brockton earlier this year</w:t>
      </w:r>
      <w:r w:rsidR="0002490A">
        <w:rPr>
          <w:rStyle w:val="FootnoteReference"/>
          <w:rFonts w:cs="Times New Roman"/>
        </w:rPr>
        <w:footnoteReference w:id="7"/>
      </w:r>
      <w:r w:rsidR="00880542">
        <w:rPr>
          <w:rFonts w:cs="Times New Roman"/>
        </w:rPr>
        <w:t>,</w:t>
      </w:r>
      <w:r w:rsidRPr="00F127C1">
        <w:rPr>
          <w:rFonts w:cs="Times New Roman"/>
        </w:rPr>
        <w:t xml:space="preserve"> and access is limited for patients seeking an appointment</w:t>
      </w:r>
      <w:r w:rsidR="00EA499A">
        <w:rPr>
          <w:rFonts w:cs="Times New Roman"/>
        </w:rPr>
        <w:t xml:space="preserve">. </w:t>
      </w:r>
      <w:r w:rsidRPr="00F127C1">
        <w:rPr>
          <w:rFonts w:cs="Times New Roman"/>
        </w:rPr>
        <w:t xml:space="preserve">This need has not been met by the </w:t>
      </w:r>
      <w:r w:rsidR="009E2214">
        <w:rPr>
          <w:rFonts w:cs="Times New Roman"/>
        </w:rPr>
        <w:t>h</w:t>
      </w:r>
      <w:r w:rsidRPr="00F127C1">
        <w:rPr>
          <w:rFonts w:cs="Times New Roman"/>
        </w:rPr>
        <w:t>ematology-</w:t>
      </w:r>
      <w:r w:rsidR="009E2214">
        <w:rPr>
          <w:rFonts w:cs="Times New Roman"/>
        </w:rPr>
        <w:t>o</w:t>
      </w:r>
      <w:r w:rsidRPr="00F127C1">
        <w:rPr>
          <w:rFonts w:cs="Times New Roman"/>
        </w:rPr>
        <w:t xml:space="preserve">ncology and </w:t>
      </w:r>
      <w:r w:rsidR="009E2214">
        <w:rPr>
          <w:rFonts w:cs="Times New Roman"/>
        </w:rPr>
        <w:t>i</w:t>
      </w:r>
      <w:r w:rsidRPr="00F127C1">
        <w:rPr>
          <w:rFonts w:cs="Times New Roman"/>
        </w:rPr>
        <w:t xml:space="preserve">nfusion </w:t>
      </w:r>
      <w:r w:rsidR="009E2214">
        <w:rPr>
          <w:rFonts w:cs="Times New Roman"/>
        </w:rPr>
        <w:t>c</w:t>
      </w:r>
      <w:r w:rsidRPr="00F127C1">
        <w:rPr>
          <w:rFonts w:cs="Times New Roman"/>
        </w:rPr>
        <w:t xml:space="preserve">linics at </w:t>
      </w:r>
      <w:r w:rsidR="00424F30">
        <w:rPr>
          <w:rFonts w:cs="Times New Roman"/>
        </w:rPr>
        <w:t>BID Plymouth</w:t>
      </w:r>
      <w:r w:rsidR="001920D8">
        <w:rPr>
          <w:rFonts w:cs="Times New Roman"/>
        </w:rPr>
        <w:t xml:space="preserve">. </w:t>
      </w:r>
      <w:r w:rsidRPr="00F127C1">
        <w:rPr>
          <w:rFonts w:cs="Times New Roman"/>
        </w:rPr>
        <w:t>T</w:t>
      </w:r>
      <w:r w:rsidR="007A4A18">
        <w:rPr>
          <w:rFonts w:cs="Times New Roman"/>
        </w:rPr>
        <w:t>he hematology</w:t>
      </w:r>
      <w:r w:rsidR="007A4A18" w:rsidRPr="313FA362">
        <w:rPr>
          <w:rFonts w:cs="Times New Roman"/>
        </w:rPr>
        <w:t>-</w:t>
      </w:r>
      <w:r w:rsidR="007A4A18">
        <w:rPr>
          <w:rFonts w:cs="Times New Roman"/>
        </w:rPr>
        <w:t xml:space="preserve">oncology clinic at </w:t>
      </w:r>
      <w:r w:rsidR="00424F30">
        <w:rPr>
          <w:rFonts w:cs="Times New Roman"/>
        </w:rPr>
        <w:t>BID Plymouth</w:t>
      </w:r>
      <w:r w:rsidR="007A4A18">
        <w:rPr>
          <w:rFonts w:cs="Times New Roman"/>
        </w:rPr>
        <w:t xml:space="preserve"> had </w:t>
      </w:r>
      <w:r w:rsidR="007A4A18" w:rsidRPr="313FA362">
        <w:rPr>
          <w:rFonts w:cs="Times New Roman"/>
        </w:rPr>
        <w:t>13,727</w:t>
      </w:r>
      <w:r w:rsidR="007A4A18">
        <w:rPr>
          <w:rFonts w:cs="Times New Roman"/>
        </w:rPr>
        <w:t xml:space="preserve"> visits in FY23, an increase of</w:t>
      </w:r>
      <w:r w:rsidR="007A4A18" w:rsidRPr="313FA362">
        <w:rPr>
          <w:rFonts w:cs="Times New Roman"/>
        </w:rPr>
        <w:t xml:space="preserve"> 6% from FY21, </w:t>
      </w:r>
      <w:r w:rsidR="007A4A18">
        <w:rPr>
          <w:rFonts w:cs="Times New Roman"/>
        </w:rPr>
        <w:t xml:space="preserve">with </w:t>
      </w:r>
      <w:r w:rsidR="007A4A18" w:rsidRPr="313FA362">
        <w:rPr>
          <w:rFonts w:cs="Times New Roman"/>
        </w:rPr>
        <w:t>14,360</w:t>
      </w:r>
      <w:r w:rsidR="007A4A18">
        <w:rPr>
          <w:rFonts w:cs="Times New Roman"/>
        </w:rPr>
        <w:t xml:space="preserve"> unique patient infusion encounters</w:t>
      </w:r>
      <w:r w:rsidR="007A4A18" w:rsidRPr="313FA362">
        <w:rPr>
          <w:rFonts w:cs="Times New Roman"/>
        </w:rPr>
        <w:t xml:space="preserve">, </w:t>
      </w:r>
      <w:r w:rsidR="007A4A18">
        <w:rPr>
          <w:rFonts w:cs="Times New Roman"/>
        </w:rPr>
        <w:t>which was an increase of</w:t>
      </w:r>
      <w:r w:rsidR="007A4A18" w:rsidRPr="313FA362">
        <w:rPr>
          <w:rFonts w:cs="Times New Roman"/>
        </w:rPr>
        <w:t xml:space="preserve"> 11% from FY21.</w:t>
      </w:r>
      <w:r w:rsidR="001920D8">
        <w:rPr>
          <w:rFonts w:cs="Times New Roman"/>
        </w:rPr>
        <w:t xml:space="preserve"> S</w:t>
      </w:r>
      <w:r w:rsidRPr="00F127C1">
        <w:rPr>
          <w:rFonts w:cs="Times New Roman"/>
        </w:rPr>
        <w:t>chedules are consistently fully booked. This often requires physicians to review hematology-oncology referrals to determine urgency</w:t>
      </w:r>
      <w:r w:rsidR="001920D8">
        <w:rPr>
          <w:rFonts w:cs="Times New Roman"/>
        </w:rPr>
        <w:t>,</w:t>
      </w:r>
      <w:r w:rsidRPr="00F127C1">
        <w:rPr>
          <w:rFonts w:cs="Times New Roman"/>
        </w:rPr>
        <w:t xml:space="preserve"> and ultimately</w:t>
      </w:r>
      <w:r w:rsidR="001920D8">
        <w:rPr>
          <w:rFonts w:cs="Times New Roman"/>
        </w:rPr>
        <w:t>,</w:t>
      </w:r>
      <w:r w:rsidRPr="00F127C1">
        <w:rPr>
          <w:rFonts w:cs="Times New Roman"/>
        </w:rPr>
        <w:t xml:space="preserve"> an appointment may not be available for 2 to 9 weeks. </w:t>
      </w:r>
      <w:bookmarkStart w:id="2" w:name="_cp_change_3"/>
      <w:bookmarkStart w:id="3" w:name="_cp_change_4"/>
      <w:bookmarkEnd w:id="2"/>
      <w:bookmarkEnd w:id="3"/>
      <w:r w:rsidR="007A4A18" w:rsidRPr="007A4A18">
        <w:rPr>
          <w:rFonts w:cs="Times New Roman"/>
        </w:rPr>
        <w:t>The average new patient appointment wait time to the hematology-oncology clinic in FY23 was 50 days, nearly triple the 18 days average wait in FY21.</w:t>
      </w:r>
      <w:r w:rsidR="007A4A18">
        <w:rPr>
          <w:rStyle w:val="FootnoteReference"/>
          <w:rFonts w:cs="Times New Roman"/>
        </w:rPr>
        <w:footnoteReference w:id="8"/>
      </w:r>
      <w:r w:rsidR="007A4A18">
        <w:rPr>
          <w:rFonts w:cs="Times New Roman"/>
        </w:rPr>
        <w:t xml:space="preserve"> </w:t>
      </w:r>
      <w:r w:rsidRPr="00F127C1">
        <w:rPr>
          <w:rFonts w:cs="Times New Roman"/>
        </w:rPr>
        <w:t>Due to capacity and space issues at the current</w:t>
      </w:r>
      <w:r w:rsidR="00E60F39">
        <w:rPr>
          <w:rFonts w:cs="Times New Roman"/>
        </w:rPr>
        <w:t xml:space="preserve"> BID Plymouth</w:t>
      </w:r>
      <w:r w:rsidRPr="00F127C1">
        <w:rPr>
          <w:rFonts w:cs="Times New Roman"/>
        </w:rPr>
        <w:t xml:space="preserve"> site, the Applicant cannot expand the space for these services without making significant capital </w:t>
      </w:r>
      <w:r w:rsidR="00E60F39">
        <w:rPr>
          <w:rFonts w:cs="Times New Roman"/>
        </w:rPr>
        <w:t>investments</w:t>
      </w:r>
      <w:r w:rsidR="006E7383">
        <w:rPr>
          <w:rFonts w:cs="Times New Roman"/>
        </w:rPr>
        <w:t xml:space="preserve"> and sacrificing the need to expand the emergency department, which</w:t>
      </w:r>
      <w:r w:rsidRPr="00F127C1">
        <w:rPr>
          <w:rFonts w:cs="Times New Roman"/>
        </w:rPr>
        <w:t xml:space="preserve"> would adversely impact patient care.</w:t>
      </w:r>
    </w:p>
    <w:p w14:paraId="0CB1BAAB" w14:textId="77777777" w:rsidR="00A00849" w:rsidRPr="00F127C1" w:rsidRDefault="00A00849" w:rsidP="00A00849">
      <w:pPr>
        <w:spacing w:after="0" w:line="240" w:lineRule="auto"/>
        <w:jc w:val="both"/>
        <w:rPr>
          <w:rFonts w:cs="Times New Roman"/>
        </w:rPr>
      </w:pPr>
    </w:p>
    <w:p w14:paraId="1952EA52" w14:textId="0BDC1C38" w:rsidR="00A00849" w:rsidRPr="00F127C1" w:rsidRDefault="00A00849" w:rsidP="00A00849">
      <w:pPr>
        <w:spacing w:after="0" w:line="240" w:lineRule="auto"/>
        <w:jc w:val="both"/>
        <w:rPr>
          <w:rFonts w:cs="Times New Roman"/>
        </w:rPr>
      </w:pPr>
      <w:r w:rsidRPr="2A8A7BAD">
        <w:rPr>
          <w:rFonts w:cs="Times New Roman"/>
        </w:rPr>
        <w:t xml:space="preserve">The Applicant has considered expanding the current </w:t>
      </w:r>
      <w:r w:rsidR="00424F30">
        <w:rPr>
          <w:rFonts w:cs="Times New Roman"/>
        </w:rPr>
        <w:t>BID Plymouth</w:t>
      </w:r>
      <w:r w:rsidRPr="2A8A7BAD">
        <w:rPr>
          <w:rFonts w:cs="Times New Roman"/>
        </w:rPr>
        <w:t xml:space="preserve"> location, however, it determined that it would be more efficient</w:t>
      </w:r>
      <w:r w:rsidR="006E7383" w:rsidRPr="2A8A7BAD">
        <w:rPr>
          <w:rFonts w:cs="Times New Roman"/>
        </w:rPr>
        <w:t xml:space="preserve">, </w:t>
      </w:r>
      <w:r w:rsidRPr="2A8A7BAD">
        <w:rPr>
          <w:rFonts w:cs="Times New Roman"/>
        </w:rPr>
        <w:t>cost-effective</w:t>
      </w:r>
      <w:r w:rsidR="006E7383" w:rsidRPr="2A8A7BAD">
        <w:rPr>
          <w:rFonts w:cs="Times New Roman"/>
        </w:rPr>
        <w:t xml:space="preserve">, and </w:t>
      </w:r>
      <w:r w:rsidR="00D74EC1">
        <w:rPr>
          <w:rFonts w:cs="Times New Roman"/>
        </w:rPr>
        <w:t xml:space="preserve">better for </w:t>
      </w:r>
      <w:r w:rsidR="006E7383" w:rsidRPr="2A8A7BAD">
        <w:rPr>
          <w:rFonts w:cs="Times New Roman"/>
        </w:rPr>
        <w:t>patient</w:t>
      </w:r>
      <w:r w:rsidR="00D74EC1">
        <w:rPr>
          <w:rFonts w:cs="Times New Roman"/>
        </w:rPr>
        <w:t xml:space="preserve">s </w:t>
      </w:r>
      <w:r w:rsidRPr="2A8A7BAD">
        <w:rPr>
          <w:rFonts w:cs="Times New Roman"/>
        </w:rPr>
        <w:t>to expand emergency department services at</w:t>
      </w:r>
      <w:r w:rsidR="006E7383" w:rsidRPr="2A8A7BAD">
        <w:rPr>
          <w:rFonts w:cs="Times New Roman"/>
        </w:rPr>
        <w:t xml:space="preserve"> </w:t>
      </w:r>
      <w:r w:rsidR="00424F30">
        <w:rPr>
          <w:rFonts w:cs="Times New Roman"/>
        </w:rPr>
        <w:t>BID Plymouth</w:t>
      </w:r>
      <w:r w:rsidRPr="2A8A7BAD">
        <w:rPr>
          <w:rFonts w:cs="Times New Roman"/>
        </w:rPr>
        <w:t xml:space="preserve"> and develop a new community-based site, outside of the hospital campus but within Plymouth, for hematology-oncology</w:t>
      </w:r>
      <w:r w:rsidR="006E7383" w:rsidRPr="2A8A7BAD">
        <w:rPr>
          <w:rFonts w:cs="Times New Roman"/>
        </w:rPr>
        <w:t xml:space="preserve"> and infusion</w:t>
      </w:r>
      <w:r w:rsidRPr="2A8A7BAD">
        <w:rPr>
          <w:rFonts w:cs="Times New Roman"/>
        </w:rPr>
        <w:t xml:space="preserve"> services</w:t>
      </w:r>
      <w:r w:rsidR="003F4760">
        <w:rPr>
          <w:rFonts w:cs="Times New Roman"/>
        </w:rPr>
        <w:t xml:space="preserve"> given the limited space at the current </w:t>
      </w:r>
      <w:r w:rsidR="00424F30">
        <w:rPr>
          <w:rFonts w:cs="Times New Roman"/>
        </w:rPr>
        <w:t>BID Plymouth</w:t>
      </w:r>
      <w:r w:rsidR="003F4760">
        <w:rPr>
          <w:rFonts w:cs="Times New Roman"/>
        </w:rPr>
        <w:t xml:space="preserve"> location. </w:t>
      </w:r>
    </w:p>
    <w:p w14:paraId="1CF4081C" w14:textId="77777777" w:rsidR="00A00849" w:rsidRPr="00F127C1" w:rsidRDefault="00A00849" w:rsidP="00A00849">
      <w:pPr>
        <w:spacing w:after="0" w:line="259" w:lineRule="auto"/>
        <w:jc w:val="center"/>
        <w:rPr>
          <w:rFonts w:cs="Times New Roman"/>
          <w:b/>
          <w:bCs/>
        </w:rPr>
      </w:pPr>
    </w:p>
    <w:p w14:paraId="190B9B7F" w14:textId="77777777" w:rsidR="006F3A88" w:rsidRDefault="006F3A88">
      <w:pPr>
        <w:spacing w:line="259" w:lineRule="auto"/>
        <w:rPr>
          <w:rFonts w:cs="Times New Roman"/>
          <w:b/>
          <w:bCs/>
        </w:rPr>
      </w:pPr>
      <w:r>
        <w:rPr>
          <w:rFonts w:cs="Times New Roman"/>
          <w:b/>
          <w:bCs/>
        </w:rPr>
        <w:br w:type="page"/>
      </w:r>
    </w:p>
    <w:p w14:paraId="58E7D61D" w14:textId="00BACB08" w:rsidR="00A00849" w:rsidRPr="00F127C1" w:rsidRDefault="00A00849" w:rsidP="00A00849">
      <w:pPr>
        <w:spacing w:after="0" w:line="259" w:lineRule="auto"/>
        <w:jc w:val="center"/>
        <w:rPr>
          <w:rFonts w:cs="Times New Roman"/>
          <w:b/>
          <w:bCs/>
        </w:rPr>
      </w:pPr>
      <w:r w:rsidRPr="00F127C1">
        <w:rPr>
          <w:rFonts w:cs="Times New Roman"/>
          <w:b/>
          <w:bCs/>
        </w:rPr>
        <w:lastRenderedPageBreak/>
        <w:t xml:space="preserve">Table </w:t>
      </w:r>
      <w:r w:rsidR="00663729">
        <w:rPr>
          <w:rFonts w:cs="Times New Roman"/>
          <w:b/>
          <w:bCs/>
        </w:rPr>
        <w:t>1</w:t>
      </w:r>
      <w:r w:rsidR="005C3A36">
        <w:rPr>
          <w:rFonts w:cs="Times New Roman"/>
          <w:b/>
          <w:bCs/>
        </w:rPr>
        <w:t>1</w:t>
      </w:r>
    </w:p>
    <w:p w14:paraId="510DFC5D" w14:textId="45E0766E" w:rsidR="00A00849" w:rsidRPr="00F127C1" w:rsidRDefault="00A00849" w:rsidP="00A00849">
      <w:pPr>
        <w:spacing w:after="0" w:line="259" w:lineRule="auto"/>
        <w:jc w:val="center"/>
        <w:rPr>
          <w:rFonts w:cs="Times New Roman"/>
          <w:b/>
          <w:bCs/>
        </w:rPr>
      </w:pPr>
      <w:r w:rsidRPr="00F127C1">
        <w:rPr>
          <w:rFonts w:cs="Times New Roman"/>
          <w:b/>
          <w:bCs/>
        </w:rPr>
        <w:t xml:space="preserve">Utilization of Infusion Treatment at </w:t>
      </w:r>
      <w:r w:rsidR="00424F30">
        <w:rPr>
          <w:rFonts w:cs="Times New Roman"/>
          <w:b/>
          <w:bCs/>
        </w:rPr>
        <w:t>BID Plymouth</w:t>
      </w:r>
    </w:p>
    <w:p w14:paraId="20974FDB" w14:textId="77777777" w:rsidR="00A00849" w:rsidRPr="00F127C1" w:rsidRDefault="00A00849" w:rsidP="00A00849">
      <w:pPr>
        <w:spacing w:after="0" w:line="259" w:lineRule="auto"/>
        <w:jc w:val="center"/>
        <w:rPr>
          <w:rFonts w:cs="Times New Roman"/>
          <w:b/>
          <w:bCs/>
        </w:rPr>
      </w:pPr>
    </w:p>
    <w:tbl>
      <w:tblPr>
        <w:tblStyle w:val="TableGrid"/>
        <w:tblW w:w="5100" w:type="pct"/>
        <w:jc w:val="center"/>
        <w:tblLook w:val="04A0" w:firstRow="1" w:lastRow="0" w:firstColumn="1" w:lastColumn="0" w:noHBand="0" w:noVBand="1"/>
      </w:tblPr>
      <w:tblGrid>
        <w:gridCol w:w="3781"/>
        <w:gridCol w:w="1918"/>
        <w:gridCol w:w="1919"/>
        <w:gridCol w:w="1919"/>
      </w:tblGrid>
      <w:tr w:rsidR="00A00849" w:rsidRPr="00F127C1" w14:paraId="38587A35" w14:textId="77777777" w:rsidTr="00356FA8">
        <w:trPr>
          <w:cantSplit/>
          <w:tblHeader/>
          <w:jc w:val="center"/>
        </w:trPr>
        <w:tc>
          <w:tcPr>
            <w:tcW w:w="3781" w:type="dxa"/>
          </w:tcPr>
          <w:p w14:paraId="67DF56C1" w14:textId="77777777" w:rsidR="00A00849" w:rsidRPr="00F127C1" w:rsidRDefault="00A00849" w:rsidP="00E84698">
            <w:pPr>
              <w:spacing w:after="160" w:line="259" w:lineRule="auto"/>
              <w:jc w:val="center"/>
              <w:rPr>
                <w:rFonts w:cs="Times New Roman"/>
              </w:rPr>
            </w:pPr>
            <w:r w:rsidRPr="00F127C1">
              <w:rPr>
                <w:rFonts w:cs="Times New Roman"/>
                <w:b/>
                <w:bCs/>
              </w:rPr>
              <w:t>Metric</w:t>
            </w:r>
          </w:p>
        </w:tc>
        <w:tc>
          <w:tcPr>
            <w:tcW w:w="1918" w:type="dxa"/>
          </w:tcPr>
          <w:p w14:paraId="7E100DEA" w14:textId="77777777" w:rsidR="00A00849" w:rsidRPr="00F127C1" w:rsidRDefault="00A00849" w:rsidP="00E84698">
            <w:pPr>
              <w:spacing w:line="259" w:lineRule="auto"/>
              <w:jc w:val="center"/>
              <w:rPr>
                <w:rFonts w:cs="Times New Roman"/>
                <w:b/>
                <w:bCs/>
              </w:rPr>
            </w:pPr>
            <w:r w:rsidRPr="00F127C1">
              <w:rPr>
                <w:rFonts w:cs="Times New Roman"/>
                <w:b/>
                <w:bCs/>
              </w:rPr>
              <w:t>2021 Count</w:t>
            </w:r>
          </w:p>
        </w:tc>
        <w:tc>
          <w:tcPr>
            <w:tcW w:w="1919" w:type="dxa"/>
          </w:tcPr>
          <w:p w14:paraId="48F2C81D" w14:textId="77777777" w:rsidR="00A00849" w:rsidRPr="00F127C1" w:rsidRDefault="00A00849" w:rsidP="00E84698">
            <w:pPr>
              <w:spacing w:line="259" w:lineRule="auto"/>
              <w:jc w:val="center"/>
              <w:rPr>
                <w:rFonts w:cs="Times New Roman"/>
                <w:b/>
                <w:bCs/>
              </w:rPr>
            </w:pPr>
            <w:r w:rsidRPr="00F127C1">
              <w:rPr>
                <w:rFonts w:cs="Times New Roman"/>
                <w:b/>
                <w:bCs/>
              </w:rPr>
              <w:t>2022 Count</w:t>
            </w:r>
          </w:p>
        </w:tc>
        <w:tc>
          <w:tcPr>
            <w:tcW w:w="1919" w:type="dxa"/>
          </w:tcPr>
          <w:p w14:paraId="24F3CEFD" w14:textId="77777777" w:rsidR="00A00849" w:rsidRPr="00F127C1" w:rsidRDefault="00A00849" w:rsidP="00E84698">
            <w:pPr>
              <w:spacing w:line="259" w:lineRule="auto"/>
              <w:jc w:val="center"/>
              <w:rPr>
                <w:rFonts w:cs="Times New Roman"/>
                <w:b/>
                <w:bCs/>
              </w:rPr>
            </w:pPr>
            <w:r w:rsidRPr="00F127C1">
              <w:rPr>
                <w:rFonts w:cs="Times New Roman"/>
                <w:b/>
                <w:bCs/>
              </w:rPr>
              <w:t>2023 Count</w:t>
            </w:r>
          </w:p>
        </w:tc>
      </w:tr>
      <w:tr w:rsidR="009153C6" w:rsidRPr="00F127C1" w14:paraId="489F444B" w14:textId="77777777" w:rsidTr="00356FA8">
        <w:trPr>
          <w:cantSplit/>
          <w:jc w:val="center"/>
        </w:trPr>
        <w:tc>
          <w:tcPr>
            <w:tcW w:w="3781" w:type="dxa"/>
          </w:tcPr>
          <w:p w14:paraId="355502DE" w14:textId="77777777" w:rsidR="009153C6" w:rsidRPr="00F127C1" w:rsidRDefault="009153C6" w:rsidP="009153C6">
            <w:pPr>
              <w:spacing w:line="259" w:lineRule="auto"/>
              <w:rPr>
                <w:rFonts w:cs="Times New Roman"/>
              </w:rPr>
            </w:pPr>
            <w:r w:rsidRPr="00F127C1">
              <w:rPr>
                <w:rFonts w:cs="Times New Roman"/>
              </w:rPr>
              <w:t>Patient Visits for Chemotherapy by Infusion Treatment</w:t>
            </w:r>
          </w:p>
        </w:tc>
        <w:tc>
          <w:tcPr>
            <w:tcW w:w="1918" w:type="dxa"/>
            <w:vAlign w:val="center"/>
          </w:tcPr>
          <w:p w14:paraId="195BE0A8" w14:textId="1C7B627F" w:rsidR="009153C6" w:rsidRPr="00F127C1" w:rsidRDefault="009153C6" w:rsidP="009153C6">
            <w:pPr>
              <w:spacing w:line="259" w:lineRule="auto"/>
              <w:jc w:val="center"/>
              <w:rPr>
                <w:rFonts w:cs="Times New Roman"/>
              </w:rPr>
            </w:pPr>
            <w:r>
              <w:rPr>
                <w:rFonts w:cs="Times New Roman"/>
              </w:rPr>
              <w:t>12,865</w:t>
            </w:r>
          </w:p>
        </w:tc>
        <w:tc>
          <w:tcPr>
            <w:tcW w:w="1919" w:type="dxa"/>
            <w:vAlign w:val="center"/>
          </w:tcPr>
          <w:p w14:paraId="74C656FC" w14:textId="3F424737" w:rsidR="009153C6" w:rsidRPr="00F127C1" w:rsidRDefault="009153C6" w:rsidP="009153C6">
            <w:pPr>
              <w:spacing w:line="259" w:lineRule="auto"/>
              <w:jc w:val="center"/>
              <w:rPr>
                <w:rFonts w:cs="Times New Roman"/>
              </w:rPr>
            </w:pPr>
            <w:r>
              <w:rPr>
                <w:rFonts w:cs="Times New Roman"/>
              </w:rPr>
              <w:t>14,322</w:t>
            </w:r>
          </w:p>
        </w:tc>
        <w:tc>
          <w:tcPr>
            <w:tcW w:w="1919" w:type="dxa"/>
            <w:shd w:val="clear" w:color="auto" w:fill="auto"/>
            <w:vAlign w:val="center"/>
          </w:tcPr>
          <w:p w14:paraId="7803E619" w14:textId="238F5CAA" w:rsidR="009153C6" w:rsidRPr="00F127C1" w:rsidRDefault="009153C6" w:rsidP="009153C6">
            <w:pPr>
              <w:spacing w:line="259" w:lineRule="auto"/>
              <w:jc w:val="center"/>
              <w:rPr>
                <w:rFonts w:cs="Times New Roman"/>
              </w:rPr>
            </w:pPr>
            <w:r w:rsidRPr="00E73761">
              <w:rPr>
                <w:rFonts w:cs="Times New Roman"/>
              </w:rPr>
              <w:t>14,360</w:t>
            </w:r>
          </w:p>
        </w:tc>
      </w:tr>
      <w:tr w:rsidR="009153C6" w:rsidRPr="00F127C1" w14:paraId="3CE7982F" w14:textId="77777777" w:rsidTr="00356FA8">
        <w:trPr>
          <w:cantSplit/>
          <w:jc w:val="center"/>
        </w:trPr>
        <w:tc>
          <w:tcPr>
            <w:tcW w:w="3781" w:type="dxa"/>
          </w:tcPr>
          <w:p w14:paraId="210BCACA" w14:textId="77777777" w:rsidR="009153C6" w:rsidRPr="00F127C1" w:rsidRDefault="009153C6" w:rsidP="009153C6">
            <w:pPr>
              <w:spacing w:line="259" w:lineRule="auto"/>
              <w:rPr>
                <w:rFonts w:cs="Times New Roman"/>
              </w:rPr>
            </w:pPr>
            <w:r w:rsidRPr="00F127C1">
              <w:rPr>
                <w:rFonts w:cs="Times New Roman"/>
              </w:rPr>
              <w:t>Patients Visits for Non-Chemotherapy Infusion Treatments</w:t>
            </w:r>
          </w:p>
        </w:tc>
        <w:tc>
          <w:tcPr>
            <w:tcW w:w="1918" w:type="dxa"/>
            <w:vAlign w:val="center"/>
          </w:tcPr>
          <w:p w14:paraId="5C6F5D2E" w14:textId="0C08C2D9" w:rsidR="009153C6" w:rsidRPr="00F127C1" w:rsidRDefault="009153C6" w:rsidP="009153C6">
            <w:pPr>
              <w:spacing w:line="259" w:lineRule="auto"/>
              <w:jc w:val="center"/>
              <w:rPr>
                <w:rFonts w:cs="Times New Roman"/>
              </w:rPr>
            </w:pPr>
            <w:r>
              <w:rPr>
                <w:rFonts w:cs="Times New Roman"/>
              </w:rPr>
              <w:t>6,340</w:t>
            </w:r>
          </w:p>
        </w:tc>
        <w:tc>
          <w:tcPr>
            <w:tcW w:w="1919" w:type="dxa"/>
            <w:vAlign w:val="center"/>
          </w:tcPr>
          <w:p w14:paraId="37569796" w14:textId="59468E7D" w:rsidR="009153C6" w:rsidRPr="00F127C1" w:rsidRDefault="009153C6" w:rsidP="009153C6">
            <w:pPr>
              <w:spacing w:line="259" w:lineRule="auto"/>
              <w:jc w:val="center"/>
              <w:rPr>
                <w:rFonts w:cs="Times New Roman"/>
              </w:rPr>
            </w:pPr>
            <w:r>
              <w:rPr>
                <w:rFonts w:cs="Times New Roman"/>
              </w:rPr>
              <w:t>6,263</w:t>
            </w:r>
          </w:p>
        </w:tc>
        <w:tc>
          <w:tcPr>
            <w:tcW w:w="1919" w:type="dxa"/>
            <w:shd w:val="clear" w:color="auto" w:fill="auto"/>
            <w:vAlign w:val="center"/>
          </w:tcPr>
          <w:p w14:paraId="10022239" w14:textId="4B4FD53A" w:rsidR="009153C6" w:rsidRPr="00F127C1" w:rsidRDefault="009153C6" w:rsidP="009153C6">
            <w:pPr>
              <w:spacing w:line="259" w:lineRule="auto"/>
              <w:jc w:val="center"/>
              <w:rPr>
                <w:rFonts w:cs="Times New Roman"/>
              </w:rPr>
            </w:pPr>
            <w:r w:rsidRPr="00E73761">
              <w:rPr>
                <w:rFonts w:cs="Times New Roman"/>
              </w:rPr>
              <w:t>6,997</w:t>
            </w:r>
          </w:p>
        </w:tc>
      </w:tr>
      <w:tr w:rsidR="009153C6" w:rsidRPr="00F127C1" w14:paraId="32785C84" w14:textId="77777777" w:rsidTr="00356FA8">
        <w:trPr>
          <w:cantSplit/>
          <w:jc w:val="center"/>
        </w:trPr>
        <w:tc>
          <w:tcPr>
            <w:tcW w:w="3781" w:type="dxa"/>
          </w:tcPr>
          <w:p w14:paraId="1BC614C0" w14:textId="77777777" w:rsidR="009153C6" w:rsidRPr="00F127C1" w:rsidRDefault="009153C6" w:rsidP="009153C6">
            <w:pPr>
              <w:spacing w:line="259" w:lineRule="auto"/>
              <w:rPr>
                <w:rFonts w:cs="Times New Roman"/>
                <w:b/>
                <w:bCs/>
              </w:rPr>
            </w:pPr>
            <w:r w:rsidRPr="00F127C1">
              <w:rPr>
                <w:rFonts w:cs="Times New Roman"/>
                <w:b/>
                <w:bCs/>
              </w:rPr>
              <w:t>TOTAL</w:t>
            </w:r>
          </w:p>
        </w:tc>
        <w:tc>
          <w:tcPr>
            <w:tcW w:w="1918" w:type="dxa"/>
            <w:vAlign w:val="center"/>
          </w:tcPr>
          <w:p w14:paraId="1916BCC7" w14:textId="20BBFA57" w:rsidR="009153C6" w:rsidRPr="00F127C1" w:rsidRDefault="009153C6" w:rsidP="009153C6">
            <w:pPr>
              <w:spacing w:line="259" w:lineRule="auto"/>
              <w:jc w:val="center"/>
              <w:rPr>
                <w:rFonts w:cs="Times New Roman"/>
              </w:rPr>
            </w:pPr>
            <w:r w:rsidRPr="00E73761">
              <w:rPr>
                <w:rFonts w:cs="Times New Roman"/>
                <w:b/>
                <w:bCs/>
              </w:rPr>
              <w:t>19,205</w:t>
            </w:r>
          </w:p>
        </w:tc>
        <w:tc>
          <w:tcPr>
            <w:tcW w:w="1919" w:type="dxa"/>
            <w:vAlign w:val="center"/>
          </w:tcPr>
          <w:p w14:paraId="1854EC85" w14:textId="48FF6F03" w:rsidR="009153C6" w:rsidRPr="00F127C1" w:rsidRDefault="009153C6" w:rsidP="009153C6">
            <w:pPr>
              <w:spacing w:line="259" w:lineRule="auto"/>
              <w:jc w:val="center"/>
              <w:rPr>
                <w:rFonts w:cs="Times New Roman"/>
              </w:rPr>
            </w:pPr>
            <w:r w:rsidRPr="00E73761">
              <w:rPr>
                <w:rFonts w:cs="Times New Roman"/>
                <w:b/>
                <w:bCs/>
              </w:rPr>
              <w:t>20,585</w:t>
            </w:r>
          </w:p>
        </w:tc>
        <w:tc>
          <w:tcPr>
            <w:tcW w:w="1919" w:type="dxa"/>
            <w:shd w:val="clear" w:color="auto" w:fill="auto"/>
            <w:vAlign w:val="center"/>
          </w:tcPr>
          <w:p w14:paraId="0D027613" w14:textId="20A889CC" w:rsidR="009153C6" w:rsidRPr="00F127C1" w:rsidRDefault="009153C6" w:rsidP="009153C6">
            <w:pPr>
              <w:spacing w:line="259" w:lineRule="auto"/>
              <w:jc w:val="center"/>
              <w:rPr>
                <w:rFonts w:cs="Times New Roman"/>
              </w:rPr>
            </w:pPr>
            <w:r w:rsidRPr="00E73761">
              <w:rPr>
                <w:rFonts w:cs="Times New Roman"/>
                <w:b/>
                <w:bCs/>
              </w:rPr>
              <w:t>21,357</w:t>
            </w:r>
          </w:p>
        </w:tc>
      </w:tr>
    </w:tbl>
    <w:p w14:paraId="4E8214D6" w14:textId="77777777" w:rsidR="00A00849" w:rsidRPr="00F127C1" w:rsidRDefault="00A00849" w:rsidP="00A00849">
      <w:pPr>
        <w:spacing w:after="0" w:line="240" w:lineRule="auto"/>
        <w:jc w:val="both"/>
        <w:rPr>
          <w:rFonts w:cs="Times New Roman"/>
        </w:rPr>
      </w:pPr>
    </w:p>
    <w:p w14:paraId="7FA5068F" w14:textId="77777777" w:rsidR="00762879" w:rsidRDefault="00762879" w:rsidP="00A00849">
      <w:pPr>
        <w:spacing w:after="0" w:line="240" w:lineRule="auto"/>
        <w:jc w:val="both"/>
        <w:rPr>
          <w:rFonts w:cs="Times New Roman"/>
          <w:i/>
          <w:iCs/>
        </w:rPr>
      </w:pPr>
    </w:p>
    <w:p w14:paraId="6F662A42" w14:textId="43A081EC" w:rsidR="00A00849" w:rsidRPr="00F127C1" w:rsidRDefault="00A00849" w:rsidP="00A00849">
      <w:pPr>
        <w:spacing w:after="0" w:line="240" w:lineRule="auto"/>
        <w:jc w:val="both"/>
        <w:rPr>
          <w:rFonts w:cs="Times New Roman"/>
          <w:i/>
          <w:iCs/>
        </w:rPr>
      </w:pPr>
      <w:r w:rsidRPr="00F127C1">
        <w:rPr>
          <w:rFonts w:cs="Times New Roman"/>
          <w:i/>
          <w:iCs/>
        </w:rPr>
        <w:t>Projected Growth and Future Need</w:t>
      </w:r>
    </w:p>
    <w:p w14:paraId="19DFE1D1" w14:textId="77777777" w:rsidR="00762879" w:rsidRDefault="00762879" w:rsidP="00A00849">
      <w:pPr>
        <w:spacing w:after="0" w:line="240" w:lineRule="auto"/>
        <w:jc w:val="both"/>
        <w:rPr>
          <w:rFonts w:cs="Times New Roman"/>
        </w:rPr>
      </w:pPr>
    </w:p>
    <w:p w14:paraId="3D7021FC" w14:textId="6CC39D0A" w:rsidR="00A00849" w:rsidRPr="00F127C1" w:rsidRDefault="00A00849" w:rsidP="00A00849">
      <w:pPr>
        <w:spacing w:after="0" w:line="240" w:lineRule="auto"/>
        <w:jc w:val="both"/>
        <w:rPr>
          <w:rFonts w:cs="Times New Roman"/>
        </w:rPr>
      </w:pPr>
      <w:r w:rsidRPr="00F127C1">
        <w:rPr>
          <w:rFonts w:cs="Times New Roman"/>
        </w:rPr>
        <w:t xml:space="preserve">The </w:t>
      </w:r>
      <w:r w:rsidR="009E2214">
        <w:rPr>
          <w:rFonts w:cs="Times New Roman"/>
        </w:rPr>
        <w:t>h</w:t>
      </w:r>
      <w:r w:rsidRPr="00F127C1">
        <w:rPr>
          <w:rFonts w:cs="Times New Roman"/>
        </w:rPr>
        <w:t>ematology-</w:t>
      </w:r>
      <w:r w:rsidR="009E2214">
        <w:rPr>
          <w:rFonts w:cs="Times New Roman"/>
        </w:rPr>
        <w:t>o</w:t>
      </w:r>
      <w:r w:rsidRPr="00F127C1">
        <w:rPr>
          <w:rFonts w:cs="Times New Roman"/>
        </w:rPr>
        <w:t xml:space="preserve">ncology and </w:t>
      </w:r>
      <w:r w:rsidR="009E2214">
        <w:rPr>
          <w:rFonts w:cs="Times New Roman"/>
        </w:rPr>
        <w:t>i</w:t>
      </w:r>
      <w:r w:rsidRPr="00F127C1">
        <w:rPr>
          <w:rFonts w:cs="Times New Roman"/>
        </w:rPr>
        <w:t xml:space="preserve">nfusion </w:t>
      </w:r>
      <w:r w:rsidR="009E2214">
        <w:rPr>
          <w:rFonts w:cs="Times New Roman"/>
        </w:rPr>
        <w:t>c</w:t>
      </w:r>
      <w:r w:rsidRPr="00F127C1">
        <w:rPr>
          <w:rFonts w:cs="Times New Roman"/>
        </w:rPr>
        <w:t xml:space="preserve">linics at </w:t>
      </w:r>
      <w:r w:rsidR="00424F30">
        <w:rPr>
          <w:rFonts w:cs="Times New Roman"/>
        </w:rPr>
        <w:t>BID Plymouth</w:t>
      </w:r>
      <w:r w:rsidRPr="00F127C1">
        <w:rPr>
          <w:rFonts w:cs="Times New Roman"/>
        </w:rPr>
        <w:t xml:space="preserve"> will be relocated and expanded as part of the Proposed Project and will allow for significant program growth to meet growing demand for these services. The proposed new </w:t>
      </w:r>
      <w:r w:rsidR="00946E47">
        <w:rPr>
          <w:rFonts w:cs="Times New Roman"/>
        </w:rPr>
        <w:t xml:space="preserve">Cordage Park Satellite </w:t>
      </w:r>
      <w:r w:rsidRPr="00F127C1">
        <w:rPr>
          <w:rFonts w:cs="Times New Roman"/>
        </w:rPr>
        <w:t xml:space="preserve">allows for continued clinic and infusion growth and contemplates adding 5 incremental exam rooms (an increase from 12 to 17) and 14 incremental infusion chairs (an increase from 22 to 36). </w:t>
      </w:r>
      <w:r w:rsidR="00264E7C" w:rsidRPr="00F127C1">
        <w:rPr>
          <w:rFonts w:cs="Times New Roman"/>
        </w:rPr>
        <w:t xml:space="preserve">The Proposed Project will allow for enhanced clinical offerings, including expanded access to a greater variety of oncology clinical trials, infusion treatments and sub-specialized oncology physicians from BIDMC. </w:t>
      </w:r>
      <w:r w:rsidRPr="00F127C1">
        <w:rPr>
          <w:rFonts w:cs="Times New Roman"/>
          <w:u w:val="single"/>
        </w:rPr>
        <w:t xml:space="preserve">Table </w:t>
      </w:r>
      <w:r w:rsidR="00663729">
        <w:rPr>
          <w:rFonts w:cs="Times New Roman"/>
          <w:u w:val="single"/>
        </w:rPr>
        <w:t>1</w:t>
      </w:r>
      <w:r w:rsidR="005C3A36">
        <w:rPr>
          <w:rFonts w:cs="Times New Roman"/>
          <w:u w:val="single"/>
        </w:rPr>
        <w:t>2</w:t>
      </w:r>
      <w:r w:rsidRPr="00F127C1">
        <w:rPr>
          <w:rFonts w:cs="Times New Roman"/>
        </w:rPr>
        <w:t xml:space="preserve"> below demonstrates an increase in volume at the</w:t>
      </w:r>
      <w:r w:rsidR="006E7383">
        <w:rPr>
          <w:rFonts w:cs="Times New Roman"/>
        </w:rPr>
        <w:t xml:space="preserve"> proposed Cordage Park Satellite </w:t>
      </w:r>
      <w:r w:rsidRPr="00F127C1">
        <w:rPr>
          <w:rFonts w:cs="Times New Roman"/>
        </w:rPr>
        <w:t xml:space="preserve">as a result of the increase in infusion chairs. </w:t>
      </w:r>
    </w:p>
    <w:p w14:paraId="11D48BB4" w14:textId="77777777" w:rsidR="00A00849" w:rsidRPr="00F127C1" w:rsidRDefault="00A00849" w:rsidP="00A00849">
      <w:pPr>
        <w:spacing w:after="0" w:line="240" w:lineRule="auto"/>
        <w:jc w:val="both"/>
        <w:rPr>
          <w:rFonts w:cs="Times New Roman"/>
        </w:rPr>
      </w:pPr>
    </w:p>
    <w:p w14:paraId="220032FD" w14:textId="090C9407" w:rsidR="00A00849" w:rsidRPr="00F127C1" w:rsidRDefault="00A00849" w:rsidP="00A00849">
      <w:pPr>
        <w:spacing w:after="0" w:line="240" w:lineRule="auto"/>
        <w:jc w:val="both"/>
        <w:rPr>
          <w:rFonts w:cs="Times New Roman"/>
          <w:b/>
          <w:bCs/>
          <w:u w:val="single"/>
        </w:rPr>
      </w:pPr>
      <w:r w:rsidRPr="00F127C1">
        <w:rPr>
          <w:rFonts w:cs="Times New Roman"/>
        </w:rPr>
        <w:t xml:space="preserve">As shown in </w:t>
      </w:r>
      <w:r w:rsidRPr="00F127C1">
        <w:rPr>
          <w:rFonts w:cs="Times New Roman"/>
          <w:u w:val="single"/>
        </w:rPr>
        <w:t xml:space="preserve">Table </w:t>
      </w:r>
      <w:r w:rsidR="00663729">
        <w:rPr>
          <w:rFonts w:cs="Times New Roman"/>
          <w:u w:val="single"/>
        </w:rPr>
        <w:t>1</w:t>
      </w:r>
      <w:r w:rsidR="005C3A36">
        <w:rPr>
          <w:rFonts w:cs="Times New Roman"/>
          <w:u w:val="single"/>
        </w:rPr>
        <w:t>1</w:t>
      </w:r>
      <w:r w:rsidRPr="00F127C1">
        <w:rPr>
          <w:rFonts w:cs="Times New Roman"/>
          <w:u w:val="single"/>
        </w:rPr>
        <w:t>,</w:t>
      </w:r>
      <w:r w:rsidRPr="00F127C1">
        <w:rPr>
          <w:rFonts w:cs="Times New Roman"/>
        </w:rPr>
        <w:t xml:space="preserve"> utilization of infusion treatment has increased, but </w:t>
      </w:r>
      <w:r w:rsidR="00424F30">
        <w:rPr>
          <w:rFonts w:cs="Times New Roman"/>
        </w:rPr>
        <w:t>BID Plymouth</w:t>
      </w:r>
      <w:r w:rsidRPr="00F127C1">
        <w:rPr>
          <w:rFonts w:cs="Times New Roman"/>
        </w:rPr>
        <w:t xml:space="preserve"> is limited by the physical layout in its current location and cannot expand further to meet the growing demand. The Applicant analyzed scheduling data to determine the proposed volume for the hematology-oncology clinic and utilized a growth rate that assumes that additional hematology-oncology physicians and advanced practice providers would be hired to provide care at the new Cordage Park </w:t>
      </w:r>
      <w:r w:rsidR="00946E47">
        <w:rPr>
          <w:rFonts w:cs="Times New Roman"/>
        </w:rPr>
        <w:t>Satellite</w:t>
      </w:r>
      <w:r w:rsidRPr="00F127C1">
        <w:rPr>
          <w:rFonts w:cs="Times New Roman"/>
        </w:rPr>
        <w:t xml:space="preserve">, as demonstrated in </w:t>
      </w:r>
      <w:r w:rsidRPr="00F127C1">
        <w:rPr>
          <w:rFonts w:cs="Times New Roman"/>
          <w:u w:val="single"/>
        </w:rPr>
        <w:t xml:space="preserve">Table </w:t>
      </w:r>
      <w:r w:rsidR="00663729">
        <w:rPr>
          <w:rFonts w:cs="Times New Roman"/>
          <w:u w:val="single"/>
        </w:rPr>
        <w:t>1</w:t>
      </w:r>
      <w:r w:rsidR="005C3A36">
        <w:rPr>
          <w:rFonts w:cs="Times New Roman"/>
          <w:u w:val="single"/>
        </w:rPr>
        <w:t>2</w:t>
      </w:r>
      <w:r w:rsidRPr="00F127C1">
        <w:rPr>
          <w:rFonts w:cs="Times New Roman"/>
        </w:rPr>
        <w:t xml:space="preserve">. </w:t>
      </w:r>
    </w:p>
    <w:p w14:paraId="7CB0C908" w14:textId="77777777" w:rsidR="00A00849" w:rsidRPr="00F127C1" w:rsidRDefault="00A00849" w:rsidP="00A00849">
      <w:pPr>
        <w:spacing w:after="0" w:line="240" w:lineRule="auto"/>
        <w:jc w:val="both"/>
        <w:rPr>
          <w:rFonts w:cs="Times New Roman"/>
          <w:b/>
          <w:bCs/>
          <w:u w:val="single"/>
        </w:rPr>
      </w:pPr>
    </w:p>
    <w:p w14:paraId="251D2FCB" w14:textId="3D196943" w:rsidR="00A00849" w:rsidRPr="00F127C1" w:rsidRDefault="00A00849" w:rsidP="00A00849">
      <w:pPr>
        <w:spacing w:after="0" w:line="240" w:lineRule="auto"/>
        <w:jc w:val="center"/>
        <w:rPr>
          <w:rFonts w:cs="Times New Roman"/>
          <w:b/>
          <w:bCs/>
          <w:u w:val="single"/>
        </w:rPr>
      </w:pPr>
      <w:r w:rsidRPr="2A8A7BAD">
        <w:rPr>
          <w:rFonts w:cs="Times New Roman"/>
          <w:b/>
          <w:bCs/>
          <w:u w:val="single"/>
        </w:rPr>
        <w:t xml:space="preserve">Table </w:t>
      </w:r>
      <w:r w:rsidR="00663729" w:rsidRPr="2A8A7BAD">
        <w:rPr>
          <w:rFonts w:cs="Times New Roman"/>
          <w:b/>
          <w:bCs/>
          <w:u w:val="single"/>
        </w:rPr>
        <w:t>1</w:t>
      </w:r>
      <w:r w:rsidR="743BA4D9" w:rsidRPr="2A8A7BAD">
        <w:rPr>
          <w:rFonts w:cs="Times New Roman"/>
          <w:b/>
          <w:bCs/>
          <w:u w:val="single"/>
        </w:rPr>
        <w:t>2</w:t>
      </w:r>
    </w:p>
    <w:p w14:paraId="6BBF4A32" w14:textId="7B43A5C6" w:rsidR="00A00849" w:rsidRPr="00F127C1" w:rsidRDefault="00A00849" w:rsidP="00A00849">
      <w:pPr>
        <w:spacing w:after="0" w:line="240" w:lineRule="auto"/>
        <w:jc w:val="center"/>
        <w:rPr>
          <w:rFonts w:cs="Times New Roman"/>
          <w:b/>
          <w:bCs/>
          <w:u w:val="single"/>
        </w:rPr>
      </w:pPr>
      <w:r w:rsidRPr="00F127C1">
        <w:rPr>
          <w:rFonts w:cs="Times New Roman"/>
          <w:b/>
          <w:bCs/>
          <w:u w:val="single"/>
        </w:rPr>
        <w:t>Volume Project</w:t>
      </w:r>
      <w:r w:rsidR="008332C8">
        <w:rPr>
          <w:rFonts w:cs="Times New Roman"/>
          <w:b/>
          <w:bCs/>
          <w:u w:val="single"/>
        </w:rPr>
        <w:t>ions</w:t>
      </w:r>
      <w:r w:rsidRPr="00F127C1">
        <w:rPr>
          <w:rFonts w:cs="Times New Roman"/>
          <w:b/>
          <w:bCs/>
          <w:u w:val="single"/>
        </w:rPr>
        <w:t xml:space="preserve"> for </w:t>
      </w:r>
      <w:r w:rsidR="00946E47">
        <w:rPr>
          <w:rFonts w:cs="Times New Roman"/>
          <w:b/>
          <w:bCs/>
          <w:u w:val="single"/>
        </w:rPr>
        <w:t xml:space="preserve">Cordage Park Satellite </w:t>
      </w:r>
    </w:p>
    <w:p w14:paraId="248E5CFF" w14:textId="77777777" w:rsidR="00A00849" w:rsidRPr="00F127C1" w:rsidRDefault="00A00849" w:rsidP="00A00849">
      <w:pPr>
        <w:spacing w:after="0" w:line="240" w:lineRule="auto"/>
        <w:jc w:val="center"/>
        <w:rPr>
          <w:rFonts w:cs="Times New Roman"/>
          <w:b/>
          <w:bCs/>
          <w:u w:val="single"/>
        </w:rPr>
      </w:pPr>
      <w:r w:rsidRPr="00F127C1">
        <w:rPr>
          <w:rFonts w:cs="Times New Roman"/>
          <w:b/>
          <w:bCs/>
          <w:u w:val="single"/>
        </w:rPr>
        <w:t>Hematology Oncology Clinic and Infusion Clinics</w:t>
      </w:r>
      <w:r w:rsidRPr="00F127C1">
        <w:rPr>
          <w:rStyle w:val="FootnoteReference"/>
          <w:rFonts w:cs="Times New Roman"/>
          <w:b/>
          <w:bCs/>
          <w:u w:val="single"/>
        </w:rPr>
        <w:footnoteReference w:id="9"/>
      </w:r>
    </w:p>
    <w:p w14:paraId="04926DCB" w14:textId="77777777" w:rsidR="00A00849" w:rsidRPr="00F127C1" w:rsidRDefault="00A00849" w:rsidP="00A00849">
      <w:pPr>
        <w:spacing w:after="0" w:line="240" w:lineRule="auto"/>
        <w:jc w:val="center"/>
        <w:rPr>
          <w:rFonts w:cs="Times New Roman"/>
        </w:rPr>
      </w:pPr>
    </w:p>
    <w:tbl>
      <w:tblPr>
        <w:tblStyle w:val="TableGrid"/>
        <w:tblW w:w="9350" w:type="dxa"/>
        <w:tblLook w:val="04A0" w:firstRow="1" w:lastRow="0" w:firstColumn="1" w:lastColumn="0" w:noHBand="0" w:noVBand="1"/>
      </w:tblPr>
      <w:tblGrid>
        <w:gridCol w:w="2335"/>
        <w:gridCol w:w="1260"/>
        <w:gridCol w:w="1350"/>
        <w:gridCol w:w="1440"/>
        <w:gridCol w:w="1406"/>
        <w:gridCol w:w="1559"/>
      </w:tblGrid>
      <w:tr w:rsidR="00A00849" w:rsidRPr="00F127C1" w14:paraId="30E32E20" w14:textId="77777777" w:rsidTr="0007573C">
        <w:trPr>
          <w:cantSplit/>
          <w:trHeight w:val="771"/>
          <w:tblHeader/>
        </w:trPr>
        <w:tc>
          <w:tcPr>
            <w:tcW w:w="2335" w:type="dxa"/>
            <w:hideMark/>
          </w:tcPr>
          <w:p w14:paraId="008ABF58" w14:textId="77777777" w:rsidR="00A00849" w:rsidRPr="00F127C1" w:rsidRDefault="00A00849" w:rsidP="00E84698">
            <w:pPr>
              <w:spacing w:line="240" w:lineRule="auto"/>
              <w:jc w:val="center"/>
              <w:rPr>
                <w:rFonts w:cs="Times New Roman"/>
                <w:b/>
                <w:bCs/>
              </w:rPr>
            </w:pPr>
            <w:r w:rsidRPr="00F127C1">
              <w:rPr>
                <w:rFonts w:cs="Times New Roman"/>
                <w:b/>
                <w:bCs/>
              </w:rPr>
              <w:t>Volume Projections</w:t>
            </w:r>
          </w:p>
          <w:p w14:paraId="65DB4817" w14:textId="77777777" w:rsidR="00A00849" w:rsidRPr="00F127C1" w:rsidRDefault="00A00849" w:rsidP="00E84698">
            <w:pPr>
              <w:spacing w:line="240" w:lineRule="auto"/>
              <w:jc w:val="center"/>
              <w:rPr>
                <w:rFonts w:cs="Times New Roman"/>
                <w:b/>
                <w:bCs/>
              </w:rPr>
            </w:pPr>
            <w:r w:rsidRPr="00F127C1">
              <w:rPr>
                <w:rFonts w:cs="Times New Roman"/>
                <w:b/>
                <w:bCs/>
              </w:rPr>
              <w:t>(Outpatient)</w:t>
            </w:r>
          </w:p>
        </w:tc>
        <w:tc>
          <w:tcPr>
            <w:tcW w:w="1260" w:type="dxa"/>
            <w:hideMark/>
          </w:tcPr>
          <w:p w14:paraId="2869923E" w14:textId="77777777" w:rsidR="00A00849" w:rsidRPr="00F127C1" w:rsidRDefault="00A00849" w:rsidP="00E84698">
            <w:pPr>
              <w:spacing w:line="240" w:lineRule="auto"/>
              <w:jc w:val="center"/>
              <w:rPr>
                <w:rFonts w:cs="Times New Roman"/>
                <w:b/>
                <w:bCs/>
              </w:rPr>
            </w:pPr>
            <w:r w:rsidRPr="00F127C1">
              <w:rPr>
                <w:rFonts w:cs="Times New Roman"/>
                <w:b/>
                <w:bCs/>
              </w:rPr>
              <w:t>Year 1</w:t>
            </w:r>
          </w:p>
        </w:tc>
        <w:tc>
          <w:tcPr>
            <w:tcW w:w="1350" w:type="dxa"/>
            <w:hideMark/>
          </w:tcPr>
          <w:p w14:paraId="751C2B70" w14:textId="77777777" w:rsidR="00A00849" w:rsidRPr="00F127C1" w:rsidRDefault="00A00849" w:rsidP="00E84698">
            <w:pPr>
              <w:spacing w:line="240" w:lineRule="auto"/>
              <w:jc w:val="center"/>
              <w:rPr>
                <w:rFonts w:cs="Times New Roman"/>
                <w:b/>
                <w:bCs/>
              </w:rPr>
            </w:pPr>
            <w:r w:rsidRPr="00F127C1">
              <w:rPr>
                <w:rFonts w:cs="Times New Roman"/>
                <w:b/>
                <w:bCs/>
              </w:rPr>
              <w:t>Year 2</w:t>
            </w:r>
          </w:p>
        </w:tc>
        <w:tc>
          <w:tcPr>
            <w:tcW w:w="1440" w:type="dxa"/>
            <w:hideMark/>
          </w:tcPr>
          <w:p w14:paraId="54BB5C80" w14:textId="77777777" w:rsidR="00A00849" w:rsidRPr="00F127C1" w:rsidRDefault="00A00849" w:rsidP="00E84698">
            <w:pPr>
              <w:spacing w:line="240" w:lineRule="auto"/>
              <w:jc w:val="center"/>
              <w:rPr>
                <w:rFonts w:cs="Times New Roman"/>
                <w:b/>
                <w:bCs/>
              </w:rPr>
            </w:pPr>
            <w:r w:rsidRPr="00F127C1">
              <w:rPr>
                <w:rFonts w:cs="Times New Roman"/>
                <w:b/>
                <w:bCs/>
              </w:rPr>
              <w:t>Year 3</w:t>
            </w:r>
          </w:p>
        </w:tc>
        <w:tc>
          <w:tcPr>
            <w:tcW w:w="1406" w:type="dxa"/>
            <w:hideMark/>
          </w:tcPr>
          <w:p w14:paraId="32D87B3C" w14:textId="77777777" w:rsidR="00A00849" w:rsidRPr="00F127C1" w:rsidRDefault="00A00849" w:rsidP="00E84698">
            <w:pPr>
              <w:spacing w:line="240" w:lineRule="auto"/>
              <w:jc w:val="center"/>
              <w:rPr>
                <w:rFonts w:cs="Times New Roman"/>
                <w:b/>
                <w:bCs/>
              </w:rPr>
            </w:pPr>
            <w:r w:rsidRPr="00F127C1">
              <w:rPr>
                <w:rFonts w:cs="Times New Roman"/>
                <w:b/>
                <w:bCs/>
              </w:rPr>
              <w:t>Year 4</w:t>
            </w:r>
          </w:p>
        </w:tc>
        <w:tc>
          <w:tcPr>
            <w:tcW w:w="1559" w:type="dxa"/>
            <w:hideMark/>
          </w:tcPr>
          <w:p w14:paraId="35FC7361" w14:textId="77777777" w:rsidR="00A00849" w:rsidRPr="00F127C1" w:rsidRDefault="00A00849" w:rsidP="00E84698">
            <w:pPr>
              <w:spacing w:line="240" w:lineRule="auto"/>
              <w:jc w:val="center"/>
              <w:rPr>
                <w:rFonts w:cs="Times New Roman"/>
                <w:b/>
                <w:bCs/>
              </w:rPr>
            </w:pPr>
            <w:r w:rsidRPr="00F127C1">
              <w:rPr>
                <w:rFonts w:cs="Times New Roman"/>
                <w:b/>
                <w:bCs/>
              </w:rPr>
              <w:t>Year 5</w:t>
            </w:r>
          </w:p>
        </w:tc>
      </w:tr>
      <w:tr w:rsidR="00A00849" w:rsidRPr="00F127C1" w14:paraId="1075FE4E" w14:textId="77777777" w:rsidTr="0007573C">
        <w:trPr>
          <w:cantSplit/>
        </w:trPr>
        <w:tc>
          <w:tcPr>
            <w:tcW w:w="2335" w:type="dxa"/>
          </w:tcPr>
          <w:p w14:paraId="166D4BF5" w14:textId="77777777" w:rsidR="00A00849" w:rsidRPr="00F127C1" w:rsidRDefault="00A00849" w:rsidP="00E84698">
            <w:pPr>
              <w:spacing w:line="240" w:lineRule="auto"/>
              <w:jc w:val="both"/>
              <w:rPr>
                <w:rFonts w:cs="Times New Roman"/>
              </w:rPr>
            </w:pPr>
            <w:r w:rsidRPr="00F127C1">
              <w:rPr>
                <w:rFonts w:cs="Times New Roman"/>
                <w:b/>
                <w:bCs/>
              </w:rPr>
              <w:t>Hem/Oncology Clinic</w:t>
            </w:r>
            <w:r w:rsidRPr="00F127C1">
              <w:rPr>
                <w:rStyle w:val="FootnoteReference"/>
                <w:rFonts w:cs="Times New Roman"/>
                <w:b/>
                <w:bCs/>
              </w:rPr>
              <w:footnoteReference w:id="10"/>
            </w:r>
          </w:p>
        </w:tc>
        <w:tc>
          <w:tcPr>
            <w:tcW w:w="1260" w:type="dxa"/>
            <w:vAlign w:val="center"/>
          </w:tcPr>
          <w:p w14:paraId="7A07B0AB" w14:textId="77777777" w:rsidR="00A00849" w:rsidRPr="00F127C1" w:rsidRDefault="00A00849" w:rsidP="00E84698">
            <w:pPr>
              <w:rPr>
                <w:rFonts w:cs="Times New Roman"/>
              </w:rPr>
            </w:pPr>
            <w:r w:rsidRPr="00F127C1">
              <w:rPr>
                <w:rFonts w:cs="Times New Roman"/>
              </w:rPr>
              <w:t>15,208 </w:t>
            </w:r>
          </w:p>
        </w:tc>
        <w:tc>
          <w:tcPr>
            <w:tcW w:w="1350" w:type="dxa"/>
            <w:vAlign w:val="center"/>
          </w:tcPr>
          <w:p w14:paraId="141198F1" w14:textId="77777777" w:rsidR="00A00849" w:rsidRPr="00F127C1" w:rsidRDefault="00A00849" w:rsidP="00E84698">
            <w:pPr>
              <w:rPr>
                <w:rFonts w:cs="Times New Roman"/>
              </w:rPr>
            </w:pPr>
            <w:r w:rsidRPr="00F127C1">
              <w:rPr>
                <w:rFonts w:cs="Times New Roman"/>
              </w:rPr>
              <w:t>17,189 </w:t>
            </w:r>
          </w:p>
        </w:tc>
        <w:tc>
          <w:tcPr>
            <w:tcW w:w="1440" w:type="dxa"/>
            <w:vAlign w:val="center"/>
          </w:tcPr>
          <w:p w14:paraId="0225231B" w14:textId="77777777" w:rsidR="00A00849" w:rsidRPr="00F127C1" w:rsidRDefault="00A00849" w:rsidP="00E84698">
            <w:pPr>
              <w:rPr>
                <w:rFonts w:cs="Times New Roman"/>
              </w:rPr>
            </w:pPr>
            <w:r w:rsidRPr="00F127C1">
              <w:rPr>
                <w:rFonts w:cs="Times New Roman"/>
              </w:rPr>
              <w:t>19,032 </w:t>
            </w:r>
          </w:p>
        </w:tc>
        <w:tc>
          <w:tcPr>
            <w:tcW w:w="1406" w:type="dxa"/>
            <w:vAlign w:val="center"/>
          </w:tcPr>
          <w:p w14:paraId="65C07635" w14:textId="77777777" w:rsidR="00A00849" w:rsidRPr="00F127C1" w:rsidRDefault="00A00849" w:rsidP="00E84698">
            <w:pPr>
              <w:rPr>
                <w:rFonts w:cs="Times New Roman"/>
              </w:rPr>
            </w:pPr>
            <w:r w:rsidRPr="00F127C1">
              <w:rPr>
                <w:rFonts w:cs="Times New Roman"/>
              </w:rPr>
              <w:t>19,032 </w:t>
            </w:r>
          </w:p>
        </w:tc>
        <w:tc>
          <w:tcPr>
            <w:tcW w:w="1559" w:type="dxa"/>
            <w:vAlign w:val="center"/>
          </w:tcPr>
          <w:p w14:paraId="2383C053" w14:textId="77777777" w:rsidR="00A00849" w:rsidRPr="00F127C1" w:rsidRDefault="00A00849" w:rsidP="00E84698">
            <w:pPr>
              <w:rPr>
                <w:rFonts w:cs="Times New Roman"/>
              </w:rPr>
            </w:pPr>
            <w:r w:rsidRPr="00F127C1">
              <w:rPr>
                <w:rFonts w:cs="Times New Roman"/>
              </w:rPr>
              <w:t>20,875 </w:t>
            </w:r>
          </w:p>
        </w:tc>
      </w:tr>
      <w:tr w:rsidR="00A00849" w:rsidRPr="00F127C1" w14:paraId="1399798A" w14:textId="77777777" w:rsidTr="0007573C">
        <w:trPr>
          <w:cantSplit/>
        </w:trPr>
        <w:tc>
          <w:tcPr>
            <w:tcW w:w="2335" w:type="dxa"/>
          </w:tcPr>
          <w:p w14:paraId="19A9BB1F" w14:textId="77777777" w:rsidR="00A00849" w:rsidRPr="00F127C1" w:rsidRDefault="00A00849" w:rsidP="00E84698">
            <w:pPr>
              <w:spacing w:line="240" w:lineRule="auto"/>
              <w:jc w:val="both"/>
              <w:rPr>
                <w:rFonts w:cs="Times New Roman"/>
              </w:rPr>
            </w:pPr>
            <w:r w:rsidRPr="00F127C1">
              <w:rPr>
                <w:rFonts w:cs="Times New Roman"/>
                <w:b/>
                <w:bCs/>
              </w:rPr>
              <w:t>Infusion Clinic</w:t>
            </w:r>
            <w:r w:rsidRPr="00F127C1">
              <w:rPr>
                <w:rStyle w:val="FootnoteReference"/>
                <w:rFonts w:cs="Times New Roman"/>
                <w:b/>
                <w:bCs/>
              </w:rPr>
              <w:footnoteReference w:id="11"/>
            </w:r>
          </w:p>
        </w:tc>
        <w:tc>
          <w:tcPr>
            <w:tcW w:w="1260" w:type="dxa"/>
            <w:vAlign w:val="center"/>
          </w:tcPr>
          <w:p w14:paraId="1F7C645D" w14:textId="77777777" w:rsidR="00A00849" w:rsidRPr="00F127C1" w:rsidRDefault="00A00849" w:rsidP="00E84698">
            <w:pPr>
              <w:rPr>
                <w:rFonts w:cs="Times New Roman"/>
              </w:rPr>
            </w:pPr>
            <w:r w:rsidRPr="00F127C1">
              <w:rPr>
                <w:rFonts w:cs="Times New Roman"/>
              </w:rPr>
              <w:t>17,784 </w:t>
            </w:r>
          </w:p>
        </w:tc>
        <w:tc>
          <w:tcPr>
            <w:tcW w:w="1350" w:type="dxa"/>
            <w:vAlign w:val="center"/>
          </w:tcPr>
          <w:p w14:paraId="0222FDEF" w14:textId="77777777" w:rsidR="00A00849" w:rsidRPr="00F127C1" w:rsidRDefault="00A00849" w:rsidP="00E84698">
            <w:pPr>
              <w:rPr>
                <w:rFonts w:cs="Times New Roman"/>
              </w:rPr>
            </w:pPr>
            <w:r w:rsidRPr="00F127C1">
              <w:rPr>
                <w:rFonts w:cs="Times New Roman"/>
              </w:rPr>
              <w:t>20,452 </w:t>
            </w:r>
          </w:p>
        </w:tc>
        <w:tc>
          <w:tcPr>
            <w:tcW w:w="1440" w:type="dxa"/>
            <w:vAlign w:val="center"/>
          </w:tcPr>
          <w:p w14:paraId="13746B81" w14:textId="77777777" w:rsidR="00A00849" w:rsidRPr="00F127C1" w:rsidRDefault="00A00849" w:rsidP="00E84698">
            <w:pPr>
              <w:rPr>
                <w:rFonts w:cs="Times New Roman"/>
              </w:rPr>
            </w:pPr>
            <w:r w:rsidRPr="00F127C1">
              <w:rPr>
                <w:rFonts w:cs="Times New Roman"/>
              </w:rPr>
              <w:t>23,119 </w:t>
            </w:r>
          </w:p>
        </w:tc>
        <w:tc>
          <w:tcPr>
            <w:tcW w:w="1406" w:type="dxa"/>
            <w:vAlign w:val="center"/>
          </w:tcPr>
          <w:p w14:paraId="744CF7BF" w14:textId="77777777" w:rsidR="00A00849" w:rsidRPr="00F127C1" w:rsidRDefault="00A00849" w:rsidP="00E84698">
            <w:pPr>
              <w:rPr>
                <w:rFonts w:cs="Times New Roman"/>
              </w:rPr>
            </w:pPr>
            <w:r w:rsidRPr="00F127C1">
              <w:rPr>
                <w:rFonts w:cs="Times New Roman"/>
              </w:rPr>
              <w:t>26,676 </w:t>
            </w:r>
          </w:p>
        </w:tc>
        <w:tc>
          <w:tcPr>
            <w:tcW w:w="1559" w:type="dxa"/>
            <w:vAlign w:val="center"/>
          </w:tcPr>
          <w:p w14:paraId="47C960F5" w14:textId="77777777" w:rsidR="00A00849" w:rsidRPr="00F127C1" w:rsidRDefault="00A00849" w:rsidP="00E84698">
            <w:pPr>
              <w:rPr>
                <w:rFonts w:cs="Times New Roman"/>
              </w:rPr>
            </w:pPr>
            <w:r w:rsidRPr="00F127C1">
              <w:rPr>
                <w:rFonts w:cs="Times New Roman"/>
              </w:rPr>
              <w:t>27,000 </w:t>
            </w:r>
          </w:p>
        </w:tc>
      </w:tr>
    </w:tbl>
    <w:p w14:paraId="01D85125" w14:textId="77777777" w:rsidR="00A00849" w:rsidRPr="00F127C1" w:rsidRDefault="00A00849" w:rsidP="00A00849">
      <w:pPr>
        <w:spacing w:after="0" w:line="240" w:lineRule="auto"/>
        <w:jc w:val="both"/>
        <w:rPr>
          <w:rFonts w:cs="Times New Roman"/>
        </w:rPr>
      </w:pPr>
    </w:p>
    <w:p w14:paraId="62AD99C8" w14:textId="4B2ED44A" w:rsidR="00A00849" w:rsidRPr="00F127C1" w:rsidRDefault="00A00849" w:rsidP="00A00849">
      <w:pPr>
        <w:spacing w:after="0" w:line="240" w:lineRule="auto"/>
        <w:jc w:val="both"/>
        <w:rPr>
          <w:rFonts w:cs="Times New Roman"/>
        </w:rPr>
      </w:pPr>
      <w:r w:rsidRPr="00F127C1">
        <w:rPr>
          <w:rFonts w:cs="Times New Roman"/>
        </w:rPr>
        <w:t xml:space="preserve">The Advisory Board Cancer Incidence Estimator expects that cancer incidence in Plymouth and surrounding counties will increase by 9.6% between 2020 and 2025 and by nearly 17% between 2020 and </w:t>
      </w:r>
      <w:r w:rsidRPr="00F127C1">
        <w:rPr>
          <w:rFonts w:cs="Times New Roman"/>
        </w:rPr>
        <w:lastRenderedPageBreak/>
        <w:t>2030.</w:t>
      </w:r>
      <w:r w:rsidRPr="00F127C1">
        <w:rPr>
          <w:rStyle w:val="FootnoteReference"/>
          <w:rFonts w:cs="Times New Roman"/>
        </w:rPr>
        <w:footnoteReference w:id="12"/>
      </w:r>
      <w:r w:rsidRPr="00F127C1">
        <w:rPr>
          <w:rFonts w:cs="Times New Roman"/>
        </w:rPr>
        <w:t xml:space="preserve"> Certain types of cancer that are already prevalent among </w:t>
      </w:r>
      <w:r w:rsidR="00424F30">
        <w:rPr>
          <w:rFonts w:cs="Times New Roman"/>
        </w:rPr>
        <w:t>BID Plymouth</w:t>
      </w:r>
      <w:r w:rsidRPr="00F127C1">
        <w:rPr>
          <w:rFonts w:cs="Times New Roman"/>
        </w:rPr>
        <w:t xml:space="preserve"> patients, such as hematologic cancers and lung and bronchus cancers, are expected to increase by more than 10% during this period.</w:t>
      </w:r>
    </w:p>
    <w:p w14:paraId="38F18758" w14:textId="77777777" w:rsidR="00A00849" w:rsidRPr="00F127C1" w:rsidRDefault="00A00849" w:rsidP="00A00849">
      <w:pPr>
        <w:spacing w:after="0" w:line="240" w:lineRule="auto"/>
        <w:jc w:val="both"/>
        <w:rPr>
          <w:rFonts w:cs="Times New Roman"/>
          <w:b/>
          <w:bCs/>
          <w:i/>
          <w:iCs/>
        </w:rPr>
      </w:pPr>
    </w:p>
    <w:p w14:paraId="24E204DA" w14:textId="77777777" w:rsidR="00A00849" w:rsidRPr="00D74EC1" w:rsidRDefault="00A00849" w:rsidP="00A00849">
      <w:pPr>
        <w:spacing w:after="0" w:line="240" w:lineRule="auto"/>
        <w:jc w:val="both"/>
        <w:rPr>
          <w:rFonts w:cs="Times New Roman"/>
          <w:b/>
          <w:bCs/>
        </w:rPr>
      </w:pPr>
      <w:r w:rsidRPr="00D74EC1">
        <w:rPr>
          <w:rFonts w:cs="Times New Roman"/>
          <w:b/>
          <w:bCs/>
        </w:rPr>
        <w:t xml:space="preserve">Need for Primary and Specialty Care in Quincy </w:t>
      </w:r>
    </w:p>
    <w:p w14:paraId="0DE0D66C" w14:textId="0DD67E93" w:rsidR="00A00849" w:rsidRDefault="00A45039" w:rsidP="00A00849">
      <w:pPr>
        <w:spacing w:after="0" w:line="240" w:lineRule="auto"/>
        <w:jc w:val="both"/>
        <w:rPr>
          <w:rFonts w:cs="Times New Roman"/>
        </w:rPr>
      </w:pPr>
      <w:r w:rsidRPr="00A5562D">
        <w:rPr>
          <w:rFonts w:cs="Times New Roman"/>
        </w:rPr>
        <w:t xml:space="preserve">The Applicant seeks DoN approval to operate a </w:t>
      </w:r>
      <w:r>
        <w:rPr>
          <w:rFonts w:cs="Times New Roman"/>
        </w:rPr>
        <w:t>100,000-square-foot</w:t>
      </w:r>
      <w:r w:rsidRPr="00A5562D">
        <w:rPr>
          <w:rFonts w:cs="Times New Roman"/>
        </w:rPr>
        <w:t>, four-story, multispecialty ambulatory center in Quincy.</w:t>
      </w:r>
      <w:r>
        <w:rPr>
          <w:rFonts w:cs="Times New Roman"/>
        </w:rPr>
        <w:t xml:space="preserve"> </w:t>
      </w:r>
      <w:r w:rsidR="00A00849" w:rsidRPr="00F127C1">
        <w:rPr>
          <w:rFonts w:cs="Times New Roman"/>
        </w:rPr>
        <w:t>The Quincy region has a population of 340,000 that is projected to grow 3.3%, a rate that is significantly higher than Eastern Massachusetts at 2.5%.</w:t>
      </w:r>
      <w:r w:rsidR="00A00849" w:rsidRPr="00F127C1">
        <w:rPr>
          <w:rStyle w:val="FootnoteReference"/>
          <w:rFonts w:cs="Times New Roman"/>
        </w:rPr>
        <w:footnoteReference w:id="13"/>
      </w:r>
      <w:r w:rsidR="00A00849" w:rsidRPr="00F127C1">
        <w:rPr>
          <w:rFonts w:cs="Times New Roman"/>
        </w:rPr>
        <w:t xml:space="preserve"> The Applicant</w:t>
      </w:r>
      <w:r w:rsidR="00FC1749">
        <w:rPr>
          <w:rFonts w:cs="Times New Roman"/>
        </w:rPr>
        <w:t>’</w:t>
      </w:r>
      <w:r w:rsidR="00A00849" w:rsidRPr="00F127C1">
        <w:rPr>
          <w:rFonts w:cs="Times New Roman"/>
        </w:rPr>
        <w:t xml:space="preserve">s primary care providers have reported challenges with local specialty referral access to hematology-oncology, OBGYN, endocrinology, gastroenterology, </w:t>
      </w:r>
      <w:r w:rsidR="00FE4BF6" w:rsidRPr="00F127C1">
        <w:rPr>
          <w:rFonts w:cs="Times New Roman"/>
        </w:rPr>
        <w:t>pulmonology,</w:t>
      </w:r>
      <w:r w:rsidR="00A00849" w:rsidRPr="00F127C1">
        <w:rPr>
          <w:rFonts w:cs="Times New Roman"/>
        </w:rPr>
        <w:t xml:space="preserve"> and rheumatology. As such, patients from the Quincy region must travel into BIDMC</w:t>
      </w:r>
      <w:r w:rsidR="00FC1749">
        <w:rPr>
          <w:rFonts w:cs="Times New Roman"/>
        </w:rPr>
        <w:t>’</w:t>
      </w:r>
      <w:r w:rsidR="00A00849" w:rsidRPr="00F127C1">
        <w:rPr>
          <w:rFonts w:cs="Times New Roman"/>
        </w:rPr>
        <w:t>s Boston campus to receive these services</w:t>
      </w:r>
      <w:r w:rsidR="00FE4BF6" w:rsidRPr="00F127C1">
        <w:rPr>
          <w:rFonts w:cs="Times New Roman"/>
        </w:rPr>
        <w:t xml:space="preserve">. </w:t>
      </w:r>
      <w:r w:rsidR="00A00849" w:rsidRPr="00F127C1">
        <w:rPr>
          <w:rFonts w:cs="Times New Roman"/>
        </w:rPr>
        <w:t xml:space="preserve">Further, the closure of Quincy Medical Center in 2014 </w:t>
      </w:r>
      <w:r w:rsidR="00DD04F5">
        <w:rPr>
          <w:rFonts w:cs="Times New Roman"/>
        </w:rPr>
        <w:t xml:space="preserve">and the </w:t>
      </w:r>
      <w:r w:rsidR="28ECE1FE">
        <w:rPr>
          <w:rFonts w:cs="Times New Roman"/>
        </w:rPr>
        <w:t>recent</w:t>
      </w:r>
      <w:r w:rsidR="00B647BC">
        <w:rPr>
          <w:rFonts w:cs="Times New Roman"/>
        </w:rPr>
        <w:t xml:space="preserve"> </w:t>
      </w:r>
      <w:r w:rsidR="00DD04F5">
        <w:rPr>
          <w:rFonts w:cs="Times New Roman"/>
        </w:rPr>
        <w:t>closure of Steward Carney Hospital exacerbates</w:t>
      </w:r>
      <w:r w:rsidR="00A00849" w:rsidRPr="00F127C1">
        <w:rPr>
          <w:rFonts w:cs="Times New Roman"/>
        </w:rPr>
        <w:t xml:space="preserve"> the need for health care services in the area. Quincy is the largest city in Massachusetts without a hospital to serve the healthcare needs of its population. </w:t>
      </w:r>
    </w:p>
    <w:p w14:paraId="42BD4DED" w14:textId="77777777" w:rsidR="00A45039" w:rsidRPr="00F127C1" w:rsidRDefault="00A45039" w:rsidP="00A00849">
      <w:pPr>
        <w:spacing w:after="0" w:line="240" w:lineRule="auto"/>
        <w:jc w:val="both"/>
        <w:rPr>
          <w:rFonts w:cs="Times New Roman"/>
        </w:rPr>
      </w:pPr>
    </w:p>
    <w:p w14:paraId="058E9BB2" w14:textId="6567E066" w:rsidR="00A00849" w:rsidRPr="00F127C1" w:rsidRDefault="00A45039" w:rsidP="00A00849">
      <w:pPr>
        <w:spacing w:after="0" w:line="240" w:lineRule="auto"/>
        <w:jc w:val="both"/>
        <w:rPr>
          <w:rFonts w:cs="Times New Roman"/>
        </w:rPr>
      </w:pPr>
      <w:r w:rsidRPr="4FD018C9">
        <w:rPr>
          <w:rFonts w:cs="Times New Roman"/>
        </w:rPr>
        <w:t xml:space="preserve">Additionally, the Applicant met with </w:t>
      </w:r>
      <w:r w:rsidR="00DD04F5">
        <w:rPr>
          <w:rFonts w:cs="Times New Roman"/>
        </w:rPr>
        <w:t xml:space="preserve">leaders from </w:t>
      </w:r>
      <w:r w:rsidRPr="72D4731E">
        <w:rPr>
          <w:rFonts w:cs="Times New Roman"/>
        </w:rPr>
        <w:t xml:space="preserve">local community health centers – </w:t>
      </w:r>
      <w:r w:rsidRPr="4FD018C9">
        <w:rPr>
          <w:rFonts w:cs="Times New Roman"/>
        </w:rPr>
        <w:t xml:space="preserve">South </w:t>
      </w:r>
      <w:r w:rsidRPr="72D4731E">
        <w:rPr>
          <w:rFonts w:cs="Times New Roman"/>
        </w:rPr>
        <w:t>Cove</w:t>
      </w:r>
      <w:r w:rsidRPr="282AAE0A">
        <w:rPr>
          <w:rFonts w:cs="Times New Roman"/>
        </w:rPr>
        <w:t xml:space="preserve"> Community Health Center and </w:t>
      </w:r>
      <w:r w:rsidRPr="55B0C054">
        <w:rPr>
          <w:rFonts w:cs="Times New Roman"/>
        </w:rPr>
        <w:t xml:space="preserve">Manet Community Health Center – to </w:t>
      </w:r>
      <w:r w:rsidRPr="170E24AB">
        <w:rPr>
          <w:rFonts w:cs="Times New Roman"/>
        </w:rPr>
        <w:t xml:space="preserve">learn more about their patient need for specialty care. </w:t>
      </w:r>
      <w:r w:rsidRPr="10836AA2">
        <w:rPr>
          <w:rFonts w:cs="Times New Roman"/>
        </w:rPr>
        <w:t xml:space="preserve">Cardiology, </w:t>
      </w:r>
      <w:r w:rsidRPr="0C4514DF">
        <w:rPr>
          <w:rFonts w:cs="Times New Roman"/>
        </w:rPr>
        <w:t xml:space="preserve">gastroenterology, </w:t>
      </w:r>
      <w:r w:rsidRPr="453E442B">
        <w:rPr>
          <w:rFonts w:cs="Times New Roman"/>
        </w:rPr>
        <w:t xml:space="preserve">hematology-oncology, </w:t>
      </w:r>
      <w:r w:rsidRPr="2606A017">
        <w:rPr>
          <w:rFonts w:cs="Times New Roman"/>
        </w:rPr>
        <w:t xml:space="preserve">neurology, and </w:t>
      </w:r>
      <w:r w:rsidRPr="19D1BE5A">
        <w:rPr>
          <w:rFonts w:cs="Times New Roman"/>
        </w:rPr>
        <w:t xml:space="preserve">ultrasound </w:t>
      </w:r>
      <w:r w:rsidRPr="63DDCE04">
        <w:rPr>
          <w:rFonts w:cs="Times New Roman"/>
        </w:rPr>
        <w:t xml:space="preserve">represented high need among </w:t>
      </w:r>
      <w:r w:rsidRPr="76117630">
        <w:rPr>
          <w:rFonts w:cs="Times New Roman"/>
        </w:rPr>
        <w:t>the community health center patient base</w:t>
      </w:r>
      <w:r w:rsidRPr="40172AD6">
        <w:rPr>
          <w:rFonts w:cs="Times New Roman"/>
        </w:rPr>
        <w:t xml:space="preserve">. </w:t>
      </w:r>
      <w:r w:rsidRPr="191AD72D">
        <w:rPr>
          <w:rFonts w:cs="Times New Roman"/>
        </w:rPr>
        <w:t xml:space="preserve">Based on this feedback, the Applicant will </w:t>
      </w:r>
      <w:r w:rsidRPr="45CA8A85">
        <w:rPr>
          <w:rFonts w:cs="Times New Roman"/>
        </w:rPr>
        <w:t xml:space="preserve">be providing each of these services in the </w:t>
      </w:r>
      <w:r w:rsidRPr="5EBF37B7">
        <w:rPr>
          <w:rFonts w:cs="Times New Roman"/>
        </w:rPr>
        <w:t xml:space="preserve">Quincy </w:t>
      </w:r>
      <w:r>
        <w:rPr>
          <w:rFonts w:cs="Times New Roman"/>
        </w:rPr>
        <w:t>Satellite</w:t>
      </w:r>
      <w:r w:rsidRPr="5F185830">
        <w:rPr>
          <w:rFonts w:cs="Times New Roman"/>
        </w:rPr>
        <w:t xml:space="preserve"> to </w:t>
      </w:r>
      <w:r w:rsidRPr="6EF8E8E0">
        <w:rPr>
          <w:rFonts w:cs="Times New Roman"/>
        </w:rPr>
        <w:t xml:space="preserve">enhance access to </w:t>
      </w:r>
      <w:r w:rsidRPr="29A04BF3">
        <w:rPr>
          <w:rFonts w:cs="Times New Roman"/>
        </w:rPr>
        <w:t>care for this patient population.</w:t>
      </w:r>
    </w:p>
    <w:p w14:paraId="5CF3DE2E" w14:textId="77777777" w:rsidR="00A45039" w:rsidRPr="00F127C1" w:rsidRDefault="00A45039">
      <w:pPr>
        <w:spacing w:after="0" w:line="240" w:lineRule="auto"/>
        <w:jc w:val="both"/>
        <w:rPr>
          <w:rFonts w:cs="Times New Roman"/>
        </w:rPr>
      </w:pPr>
    </w:p>
    <w:p w14:paraId="4AF7A074" w14:textId="5039A697" w:rsidR="00A00849" w:rsidRPr="00F127C1" w:rsidRDefault="00A00849" w:rsidP="00A00849">
      <w:pPr>
        <w:spacing w:after="0" w:line="240" w:lineRule="auto"/>
        <w:jc w:val="both"/>
        <w:rPr>
          <w:rFonts w:cs="Times New Roman"/>
        </w:rPr>
      </w:pPr>
      <w:r w:rsidRPr="00F127C1">
        <w:rPr>
          <w:rFonts w:cs="Times New Roman"/>
        </w:rPr>
        <w:t>The Applicant conducted a survey of market need and determined that, despite there being some baseline of physicians practicing in the region, there remains an under-supply in several specialties, including hematology</w:t>
      </w:r>
      <w:r w:rsidR="6DCD6EC3" w:rsidRPr="00F127C1">
        <w:rPr>
          <w:rFonts w:cs="Times New Roman"/>
        </w:rPr>
        <w:t>-</w:t>
      </w:r>
      <w:r w:rsidRPr="00F127C1">
        <w:rPr>
          <w:rFonts w:cs="Times New Roman"/>
        </w:rPr>
        <w:t>oncology, gastroenterology, OBGYN, orthopedics and cardiology.</w:t>
      </w:r>
      <w:r w:rsidR="00631BF4" w:rsidRPr="00631BF4">
        <w:rPr>
          <w:rFonts w:cs="Times New Roman"/>
        </w:rPr>
        <w:t xml:space="preserve"> </w:t>
      </w:r>
      <w:r w:rsidR="00631BF4" w:rsidRPr="00F127C1">
        <w:rPr>
          <w:rStyle w:val="FootnoteReference"/>
          <w:rFonts w:cs="Times New Roman"/>
        </w:rPr>
        <w:footnoteReference w:id="14"/>
      </w:r>
      <w:r w:rsidRPr="00F127C1">
        <w:rPr>
          <w:rFonts w:cs="Times New Roman"/>
        </w:rPr>
        <w:t xml:space="preserve"> The Applicant plans to offer these services in the new </w:t>
      </w:r>
      <w:r w:rsidR="00946E47">
        <w:rPr>
          <w:rFonts w:cs="Times New Roman"/>
        </w:rPr>
        <w:t xml:space="preserve">Quincy Satellite </w:t>
      </w:r>
      <w:r w:rsidRPr="00F127C1">
        <w:rPr>
          <w:rFonts w:cs="Times New Roman"/>
        </w:rPr>
        <w:t xml:space="preserve">to ensure local availability, support unmet market demand, and to coordinate care within the community and keep care local. </w:t>
      </w:r>
    </w:p>
    <w:p w14:paraId="52165F8F" w14:textId="77777777" w:rsidR="00A00849" w:rsidRPr="00F127C1" w:rsidRDefault="00A00849" w:rsidP="00A00849">
      <w:pPr>
        <w:spacing w:after="0" w:line="240" w:lineRule="auto"/>
        <w:rPr>
          <w:rFonts w:cs="Times New Roman"/>
        </w:rPr>
      </w:pPr>
    </w:p>
    <w:p w14:paraId="3F5CE2C4" w14:textId="36A68839" w:rsidR="00A00849" w:rsidRPr="00F127C1" w:rsidRDefault="00A00849" w:rsidP="00A00849">
      <w:pPr>
        <w:spacing w:after="0" w:line="240" w:lineRule="auto"/>
        <w:ind w:firstLine="720"/>
        <w:jc w:val="both"/>
        <w:rPr>
          <w:rFonts w:cs="Times New Roman"/>
          <w:i/>
          <w:iCs/>
        </w:rPr>
      </w:pPr>
      <w:r w:rsidRPr="00F127C1">
        <w:rPr>
          <w:rFonts w:cs="Times New Roman"/>
          <w:i/>
          <w:iCs/>
        </w:rPr>
        <w:t xml:space="preserve">Need for Imaging Equipment at Quincy </w:t>
      </w:r>
      <w:r w:rsidR="00946E47">
        <w:rPr>
          <w:rFonts w:cs="Times New Roman"/>
          <w:i/>
          <w:iCs/>
        </w:rPr>
        <w:t xml:space="preserve">Satellite </w:t>
      </w:r>
    </w:p>
    <w:p w14:paraId="69745B22" w14:textId="77777777" w:rsidR="00A00849" w:rsidRPr="00F127C1" w:rsidRDefault="00A00849" w:rsidP="00A00849">
      <w:pPr>
        <w:spacing w:after="0" w:line="240" w:lineRule="auto"/>
        <w:jc w:val="both"/>
        <w:rPr>
          <w:rFonts w:cs="Times New Roman"/>
          <w:b/>
          <w:bCs/>
          <w:i/>
          <w:iCs/>
        </w:rPr>
      </w:pPr>
    </w:p>
    <w:p w14:paraId="499E1A6D" w14:textId="3E874A94" w:rsidR="00631BF4" w:rsidRDefault="00631BF4" w:rsidP="003D77A9">
      <w:pPr>
        <w:spacing w:line="259" w:lineRule="auto"/>
        <w:jc w:val="both"/>
        <w:rPr>
          <w:rFonts w:cs="Times New Roman"/>
        </w:rPr>
      </w:pPr>
      <w:r>
        <w:rPr>
          <w:rFonts w:cs="Times New Roman"/>
        </w:rPr>
        <w:t xml:space="preserve">The Applicant derived the need for imaging in the Quincy Satellite based on the services and specialties </w:t>
      </w:r>
      <w:r w:rsidRPr="05149C86">
        <w:rPr>
          <w:rFonts w:cs="Times New Roman"/>
        </w:rPr>
        <w:t xml:space="preserve">that will be delivered through the new Quincy </w:t>
      </w:r>
      <w:r>
        <w:rPr>
          <w:rFonts w:cs="Times New Roman"/>
        </w:rPr>
        <w:t>Satellite</w:t>
      </w:r>
      <w:r w:rsidRPr="61471774">
        <w:rPr>
          <w:rFonts w:cs="Times New Roman"/>
        </w:rPr>
        <w:t xml:space="preserve">. </w:t>
      </w:r>
      <w:r w:rsidRPr="62E7DDD9">
        <w:rPr>
          <w:rFonts w:cs="Times New Roman"/>
        </w:rPr>
        <w:t xml:space="preserve">The Applicant used </w:t>
      </w:r>
      <w:r w:rsidRPr="05149C86">
        <w:rPr>
          <w:rFonts w:cs="Times New Roman"/>
        </w:rPr>
        <w:t>referral ratios for imaging exams</w:t>
      </w:r>
      <w:r w:rsidR="0017657A">
        <w:rPr>
          <w:rFonts w:cs="Times New Roman"/>
        </w:rPr>
        <w:t xml:space="preserve"> at</w:t>
      </w:r>
      <w:r w:rsidRPr="05149C86">
        <w:rPr>
          <w:rFonts w:cs="Times New Roman"/>
        </w:rPr>
        <w:t xml:space="preserve"> their other ambulatory sites</w:t>
      </w:r>
      <w:r w:rsidRPr="4F591590">
        <w:rPr>
          <w:rFonts w:cs="Times New Roman"/>
        </w:rPr>
        <w:t xml:space="preserve"> </w:t>
      </w:r>
      <w:r w:rsidRPr="68E127A7">
        <w:rPr>
          <w:rFonts w:cs="Times New Roman"/>
        </w:rPr>
        <w:t xml:space="preserve">to </w:t>
      </w:r>
      <w:r w:rsidRPr="583EF0EB">
        <w:rPr>
          <w:rFonts w:cs="Times New Roman"/>
        </w:rPr>
        <w:t xml:space="preserve">project </w:t>
      </w:r>
      <w:r w:rsidRPr="5C48E07F">
        <w:rPr>
          <w:rFonts w:cs="Times New Roman"/>
        </w:rPr>
        <w:t>utilization of</w:t>
      </w:r>
      <w:r w:rsidRPr="68E127A7">
        <w:rPr>
          <w:rFonts w:cs="Times New Roman"/>
        </w:rPr>
        <w:t xml:space="preserve"> </w:t>
      </w:r>
      <w:r w:rsidRPr="3EC753B3">
        <w:rPr>
          <w:rFonts w:cs="Times New Roman"/>
        </w:rPr>
        <w:t xml:space="preserve">imaging services in the Quincy </w:t>
      </w:r>
      <w:r>
        <w:rPr>
          <w:rFonts w:cs="Times New Roman"/>
        </w:rPr>
        <w:t>Satellite</w:t>
      </w:r>
      <w:r w:rsidRPr="05149C86">
        <w:rPr>
          <w:rFonts w:cs="Times New Roman"/>
        </w:rPr>
        <w:t>.</w:t>
      </w:r>
      <w:r w:rsidRPr="41E57B3B">
        <w:rPr>
          <w:rFonts w:cs="Times New Roman"/>
        </w:rPr>
        <w:t xml:space="preserve"> </w:t>
      </w:r>
      <w:r w:rsidRPr="43AE3262">
        <w:rPr>
          <w:rFonts w:cs="Times New Roman"/>
        </w:rPr>
        <w:t>Co-locating imaging with primary and specialty care</w:t>
      </w:r>
      <w:r w:rsidRPr="4CCA4B37">
        <w:rPr>
          <w:rFonts w:cs="Times New Roman"/>
        </w:rPr>
        <w:t>, in a community setting,</w:t>
      </w:r>
      <w:r w:rsidRPr="43AE3262">
        <w:rPr>
          <w:rFonts w:cs="Times New Roman"/>
        </w:rPr>
        <w:t xml:space="preserve"> provides patients</w:t>
      </w:r>
      <w:r w:rsidRPr="4CCA4B37">
        <w:rPr>
          <w:rFonts w:cs="Times New Roman"/>
        </w:rPr>
        <w:t xml:space="preserve"> with a convenient, </w:t>
      </w:r>
      <w:r w:rsidRPr="28EB5513">
        <w:rPr>
          <w:rFonts w:cs="Times New Roman"/>
        </w:rPr>
        <w:t xml:space="preserve">high-quality </w:t>
      </w:r>
      <w:r w:rsidRPr="2B2D3B7E">
        <w:rPr>
          <w:rFonts w:cs="Times New Roman"/>
        </w:rPr>
        <w:t xml:space="preserve">experience. Additionally, input from </w:t>
      </w:r>
      <w:r w:rsidR="006F3A88">
        <w:rPr>
          <w:rFonts w:cs="Times New Roman"/>
        </w:rPr>
        <w:t xml:space="preserve">leaders at </w:t>
      </w:r>
      <w:r w:rsidRPr="2B2D3B7E">
        <w:rPr>
          <w:rFonts w:cs="Times New Roman"/>
        </w:rPr>
        <w:t xml:space="preserve">South Cove Community Health Center in Quincy </w:t>
      </w:r>
      <w:r w:rsidRPr="6BBA8D92">
        <w:rPr>
          <w:rFonts w:cs="Times New Roman"/>
        </w:rPr>
        <w:t xml:space="preserve">stressed </w:t>
      </w:r>
      <w:r>
        <w:rPr>
          <w:rFonts w:cs="Times New Roman"/>
        </w:rPr>
        <w:t xml:space="preserve">the </w:t>
      </w:r>
      <w:r w:rsidRPr="6BBA8D92">
        <w:rPr>
          <w:rFonts w:cs="Times New Roman"/>
        </w:rPr>
        <w:t>high demand for ultrasound services for their patients.</w:t>
      </w:r>
    </w:p>
    <w:p w14:paraId="7A9EA78C" w14:textId="77777777" w:rsidR="00631BF4" w:rsidRDefault="00631BF4" w:rsidP="003D77A9">
      <w:pPr>
        <w:spacing w:line="259" w:lineRule="auto"/>
        <w:jc w:val="both"/>
        <w:rPr>
          <w:rFonts w:cs="Times New Roman"/>
        </w:rPr>
      </w:pPr>
      <w:r>
        <w:rPr>
          <w:rFonts w:cs="Times New Roman"/>
        </w:rPr>
        <w:br w:type="page"/>
      </w:r>
    </w:p>
    <w:p w14:paraId="5AA25F0F" w14:textId="6999514B" w:rsidR="00F5423C" w:rsidRPr="00707DD9" w:rsidRDefault="00F5423C" w:rsidP="00707DD9">
      <w:pPr>
        <w:spacing w:before="120" w:after="120" w:line="240" w:lineRule="auto"/>
        <w:jc w:val="both"/>
        <w:rPr>
          <w:rFonts w:cs="Times New Roman"/>
          <w:kern w:val="2"/>
        </w:rPr>
      </w:pPr>
      <w:r w:rsidRPr="000153E7">
        <w:rPr>
          <w:rFonts w:cs="Times New Roman"/>
          <w:b/>
          <w:kern w:val="2"/>
        </w:rPr>
        <w:lastRenderedPageBreak/>
        <w:t>F1.a.iii</w:t>
      </w:r>
      <w:r w:rsidRPr="000153E7">
        <w:rPr>
          <w:rFonts w:cs="Times New Roman"/>
          <w:b/>
          <w:kern w:val="2"/>
        </w:rPr>
        <w:tab/>
      </w:r>
      <w:r w:rsidRPr="000153E7">
        <w:rPr>
          <w:rFonts w:cs="Times New Roman"/>
          <w:kern w:val="2"/>
        </w:rPr>
        <w:tab/>
      </w:r>
      <w:r w:rsidRPr="000153E7">
        <w:rPr>
          <w:rFonts w:cs="Times New Roman"/>
          <w:b/>
          <w:kern w:val="2"/>
          <w:u w:val="single"/>
        </w:rPr>
        <w:t>Competition:</w:t>
      </w:r>
    </w:p>
    <w:p w14:paraId="7E6B0CFC" w14:textId="089CAC80" w:rsidR="00402438" w:rsidRDefault="00F5423C" w:rsidP="0033549B">
      <w:pPr>
        <w:pStyle w:val="BodyText"/>
        <w:widowControl/>
        <w:spacing w:before="120" w:after="120"/>
        <w:ind w:left="1440"/>
        <w:jc w:val="both"/>
        <w:rPr>
          <w:rFonts w:cs="Times New Roman"/>
          <w:b/>
          <w:kern w:val="2"/>
          <w:sz w:val="22"/>
          <w:szCs w:val="22"/>
        </w:rPr>
      </w:pPr>
      <w:bookmarkStart w:id="4" w:name="_Hlk484602333"/>
      <w:r w:rsidRPr="000153E7">
        <w:rPr>
          <w:rFonts w:cs="Times New Roman"/>
          <w:b/>
          <w:kern w:val="2"/>
          <w:sz w:val="22"/>
          <w:szCs w:val="22"/>
        </w:rPr>
        <w:t xml:space="preserve">Provide evidence that the Proposed Project will compete on the basis of price, total medical expenses, provider costs, and other recognized measures of health care spending. </w:t>
      </w:r>
      <w:bookmarkEnd w:id="4"/>
      <w:r w:rsidRPr="000153E7">
        <w:rPr>
          <w:rFonts w:cs="Times New Roman"/>
          <w:b/>
          <w:kern w:val="2"/>
          <w:sz w:val="22"/>
          <w:szCs w:val="22"/>
        </w:rPr>
        <w:t>When responding to this question, please consider Factor 4, Financial Feasibility and Reasonableness of Costs.</w:t>
      </w:r>
    </w:p>
    <w:p w14:paraId="0CD24983" w14:textId="77777777" w:rsidR="008E4BCB" w:rsidRDefault="008E4BCB">
      <w:pPr>
        <w:spacing w:line="259" w:lineRule="auto"/>
        <w:rPr>
          <w:rFonts w:cs="Times New Roman"/>
          <w:bCs/>
          <w:kern w:val="2"/>
        </w:rPr>
      </w:pPr>
    </w:p>
    <w:p w14:paraId="644EE576" w14:textId="7E07247A" w:rsidR="003F1C03" w:rsidRPr="00605021" w:rsidRDefault="003F1C03" w:rsidP="003F1C03">
      <w:pPr>
        <w:spacing w:line="259" w:lineRule="auto"/>
        <w:jc w:val="both"/>
        <w:rPr>
          <w:rFonts w:cs="Times New Roman"/>
        </w:rPr>
      </w:pPr>
      <w:r w:rsidRPr="2A8A7BAD">
        <w:rPr>
          <w:rFonts w:cs="Times New Roman"/>
          <w:kern w:val="2"/>
        </w:rPr>
        <w:t xml:space="preserve">The Proposed Project will compete </w:t>
      </w:r>
      <w:proofErr w:type="gramStart"/>
      <w:r w:rsidRPr="2A8A7BAD">
        <w:rPr>
          <w:rFonts w:cs="Times New Roman"/>
          <w:kern w:val="2"/>
        </w:rPr>
        <w:t>on the basis of</w:t>
      </w:r>
      <w:proofErr w:type="gramEnd"/>
      <w:r w:rsidRPr="2A8A7BAD">
        <w:rPr>
          <w:rFonts w:cs="Times New Roman"/>
          <w:kern w:val="2"/>
        </w:rPr>
        <w:t xml:space="preserve"> price, total medical expenses, provider costs, and other recognized measures of health care spending by improving access to and reliability of timely outpatient hematology</w:t>
      </w:r>
      <w:r w:rsidRPr="05149C86">
        <w:rPr>
          <w:rFonts w:cs="Times New Roman"/>
          <w:kern w:val="2"/>
        </w:rPr>
        <w:t>-</w:t>
      </w:r>
      <w:r w:rsidRPr="2A8A7BAD">
        <w:rPr>
          <w:rFonts w:cs="Times New Roman"/>
          <w:kern w:val="2"/>
        </w:rPr>
        <w:t xml:space="preserve">oncology and infusion services at the Cordage Park </w:t>
      </w:r>
      <w:r w:rsidR="00946E47" w:rsidRPr="2A8A7BAD">
        <w:rPr>
          <w:rFonts w:cs="Times New Roman"/>
          <w:kern w:val="2"/>
        </w:rPr>
        <w:t>Satellite</w:t>
      </w:r>
      <w:r w:rsidRPr="2A8A7BAD">
        <w:rPr>
          <w:rFonts w:cs="Times New Roman"/>
          <w:kern w:val="2"/>
        </w:rPr>
        <w:t>, and primary and specialty care</w:t>
      </w:r>
      <w:r w:rsidRPr="05149C86">
        <w:rPr>
          <w:rFonts w:cs="Times New Roman"/>
          <w:kern w:val="2"/>
        </w:rPr>
        <w:t>, urgent care, lab and diagnostic imaging</w:t>
      </w:r>
      <w:r w:rsidRPr="2A8A7BAD">
        <w:rPr>
          <w:rFonts w:cs="Times New Roman"/>
          <w:kern w:val="2"/>
        </w:rPr>
        <w:t xml:space="preserve"> services at </w:t>
      </w:r>
      <w:proofErr w:type="gramStart"/>
      <w:r w:rsidRPr="2A8A7BAD">
        <w:rPr>
          <w:rFonts w:cs="Times New Roman"/>
          <w:kern w:val="2"/>
        </w:rPr>
        <w:t>the Quincy</w:t>
      </w:r>
      <w:proofErr w:type="gramEnd"/>
      <w:r w:rsidRPr="2A8A7BAD">
        <w:rPr>
          <w:rFonts w:cs="Times New Roman"/>
          <w:kern w:val="2"/>
        </w:rPr>
        <w:t xml:space="preserve"> </w:t>
      </w:r>
      <w:r w:rsidR="00946E47" w:rsidRPr="2A8A7BAD">
        <w:rPr>
          <w:rFonts w:cs="Times New Roman"/>
          <w:kern w:val="2"/>
        </w:rPr>
        <w:t>Satellite</w:t>
      </w:r>
      <w:r w:rsidRPr="2A8A7BAD">
        <w:rPr>
          <w:rFonts w:cs="Times New Roman"/>
          <w:kern w:val="2"/>
        </w:rPr>
        <w:t xml:space="preserve">, by keeping these services readily accessible within the community. Further, the Proposed Project will create a centralized environment for the continued provision of the aforementioned services in these communities. The Proposed Project is necessary to ensure that access to high-quality services </w:t>
      </w:r>
      <w:r w:rsidR="2A854F45" w:rsidRPr="2A8A7BAD">
        <w:rPr>
          <w:rFonts w:cs="Times New Roman"/>
          <w:kern w:val="2"/>
        </w:rPr>
        <w:t>remains</w:t>
      </w:r>
      <w:r w:rsidRPr="2A8A7BAD">
        <w:rPr>
          <w:rFonts w:cs="Times New Roman"/>
          <w:kern w:val="2"/>
        </w:rPr>
        <w:t xml:space="preserve"> available </w:t>
      </w:r>
      <w:r w:rsidRPr="05149C86">
        <w:rPr>
          <w:rFonts w:cs="Times New Roman"/>
          <w:kern w:val="2"/>
        </w:rPr>
        <w:t xml:space="preserve">to </w:t>
      </w:r>
      <w:r w:rsidRPr="2A8A7BAD">
        <w:rPr>
          <w:rFonts w:cs="Times New Roman"/>
          <w:kern w:val="2"/>
        </w:rPr>
        <w:t>the Applicant</w:t>
      </w:r>
      <w:r w:rsidR="00FC1749" w:rsidRPr="2A8A7BAD">
        <w:rPr>
          <w:rFonts w:cs="Times New Roman"/>
          <w:kern w:val="2"/>
        </w:rPr>
        <w:t>’</w:t>
      </w:r>
      <w:r w:rsidRPr="2A8A7BAD">
        <w:rPr>
          <w:rFonts w:cs="Times New Roman"/>
          <w:kern w:val="2"/>
        </w:rPr>
        <w:t>s patients close to home and on a timely basis, thereby reducing the cost of care.</w:t>
      </w:r>
    </w:p>
    <w:p w14:paraId="0951AE09" w14:textId="730F61D7" w:rsidR="00B773DB" w:rsidRPr="00605021" w:rsidRDefault="00B773DB" w:rsidP="2A8A7BAD">
      <w:pPr>
        <w:spacing w:line="259" w:lineRule="auto"/>
        <w:jc w:val="both"/>
        <w:rPr>
          <w:rFonts w:cs="Times New Roman"/>
          <w:kern w:val="2"/>
        </w:rPr>
      </w:pPr>
      <w:r w:rsidRPr="2A8A7BAD">
        <w:rPr>
          <w:rFonts w:cs="Times New Roman"/>
        </w:rPr>
        <w:t>Community members are currently traveling into BIDMC</w:t>
      </w:r>
      <w:r w:rsidR="00FC1749" w:rsidRPr="2A8A7BAD">
        <w:rPr>
          <w:rFonts w:cs="Times New Roman"/>
        </w:rPr>
        <w:t>’</w:t>
      </w:r>
      <w:r w:rsidRPr="2A8A7BAD">
        <w:rPr>
          <w:rFonts w:cs="Times New Roman"/>
        </w:rPr>
        <w:t xml:space="preserve">s Boston campus for the services that the Applicant intends to provide at the Quincy </w:t>
      </w:r>
      <w:r w:rsidR="00946E47" w:rsidRPr="2A8A7BAD">
        <w:rPr>
          <w:rFonts w:cs="Times New Roman"/>
        </w:rPr>
        <w:t>Satellite</w:t>
      </w:r>
      <w:r w:rsidRPr="2A8A7BAD">
        <w:rPr>
          <w:rFonts w:cs="Times New Roman"/>
        </w:rPr>
        <w:t xml:space="preserve">. As a licensed off-campus </w:t>
      </w:r>
      <w:r w:rsidR="048D8A98" w:rsidRPr="2A8A7BAD">
        <w:rPr>
          <w:rFonts w:cs="Times New Roman"/>
        </w:rPr>
        <w:t xml:space="preserve">HOPD </w:t>
      </w:r>
      <w:r w:rsidRPr="2A8A7BAD">
        <w:rPr>
          <w:rFonts w:cs="Times New Roman"/>
        </w:rPr>
        <w:t xml:space="preserve"> of BIDMC, specialty services and most ancillaries offered through the </w:t>
      </w:r>
      <w:r w:rsidR="00946E47" w:rsidRPr="2A8A7BAD">
        <w:rPr>
          <w:rFonts w:cs="Times New Roman"/>
        </w:rPr>
        <w:t xml:space="preserve">Quincy Satellite </w:t>
      </w:r>
      <w:r w:rsidRPr="2A8A7BAD">
        <w:rPr>
          <w:rFonts w:cs="Times New Roman"/>
        </w:rPr>
        <w:t>will be at a 40% lower cost to both patients and insurers</w:t>
      </w:r>
      <w:r w:rsidR="00DD04F5" w:rsidRPr="2A8A7BAD">
        <w:rPr>
          <w:rFonts w:cs="Times New Roman"/>
        </w:rPr>
        <w:t>.</w:t>
      </w:r>
      <w:r w:rsidRPr="2A8A7BAD">
        <w:rPr>
          <w:rFonts w:cs="Times New Roman"/>
          <w:b/>
          <w:bCs/>
          <w:u w:val="single"/>
        </w:rPr>
        <w:br w:type="page"/>
      </w:r>
    </w:p>
    <w:p w14:paraId="379BCB00" w14:textId="381CED34" w:rsidR="00F5423C" w:rsidRPr="000153E7" w:rsidRDefault="00707DD9" w:rsidP="00F5423C">
      <w:pPr>
        <w:jc w:val="both"/>
        <w:rPr>
          <w:rFonts w:eastAsia="Arial" w:cs="Times New Roman"/>
          <w:kern w:val="2"/>
          <w:u w:val="single"/>
        </w:rPr>
      </w:pPr>
      <w:r>
        <w:rPr>
          <w:rFonts w:cs="Times New Roman"/>
          <w:b/>
          <w:kern w:val="2"/>
          <w:u w:val="single"/>
        </w:rPr>
        <w:lastRenderedPageBreak/>
        <w:t xml:space="preserve">F.1.b.i </w:t>
      </w:r>
      <w:r w:rsidR="00F5423C" w:rsidRPr="000153E7">
        <w:rPr>
          <w:rFonts w:cs="Times New Roman"/>
          <w:b/>
          <w:kern w:val="2"/>
          <w:u w:val="single"/>
        </w:rPr>
        <w:t>Public Health Value /Evidence-Based:</w:t>
      </w:r>
    </w:p>
    <w:p w14:paraId="7BAC515A" w14:textId="3AA78F09" w:rsidR="00F5423C" w:rsidRDefault="00F5423C" w:rsidP="00707DD9">
      <w:pPr>
        <w:pStyle w:val="BodyText"/>
        <w:widowControl/>
        <w:spacing w:before="0"/>
        <w:jc w:val="both"/>
        <w:rPr>
          <w:rFonts w:cs="Times New Roman"/>
          <w:b/>
          <w:kern w:val="2"/>
          <w:sz w:val="22"/>
          <w:szCs w:val="22"/>
        </w:rPr>
      </w:pPr>
      <w:r w:rsidRPr="000153E7">
        <w:rPr>
          <w:rFonts w:cs="Times New Roman"/>
          <w:b/>
          <w:kern w:val="2"/>
          <w:sz w:val="22"/>
          <w:szCs w:val="22"/>
        </w:rPr>
        <w:t>Provide information on the evidence-base for the Proposed Project. That is, how does the Proposed Project address the Need that Applicant has identified.</w:t>
      </w:r>
    </w:p>
    <w:p w14:paraId="0AE90FF3" w14:textId="4D414E9E" w:rsidR="00C2138F" w:rsidRPr="00C2138F" w:rsidRDefault="00C2138F" w:rsidP="00C2138F">
      <w:pPr>
        <w:pStyle w:val="BodyText"/>
        <w:widowControl/>
        <w:spacing w:before="0"/>
        <w:ind w:left="0"/>
        <w:jc w:val="both"/>
        <w:rPr>
          <w:rFonts w:cs="Times New Roman"/>
          <w:b/>
          <w:kern w:val="2"/>
          <w:sz w:val="22"/>
          <w:szCs w:val="22"/>
        </w:rPr>
      </w:pPr>
    </w:p>
    <w:p w14:paraId="58D47D39" w14:textId="5E9C97DE" w:rsidR="004633CC" w:rsidRPr="003A4290" w:rsidRDefault="00E00051" w:rsidP="003A4290">
      <w:pPr>
        <w:pStyle w:val="BodyText"/>
        <w:widowControl/>
        <w:spacing w:before="0"/>
        <w:jc w:val="both"/>
        <w:rPr>
          <w:rFonts w:cs="Times New Roman"/>
          <w:bCs/>
          <w:kern w:val="2"/>
          <w:sz w:val="22"/>
          <w:szCs w:val="22"/>
        </w:rPr>
      </w:pPr>
      <w:r>
        <w:rPr>
          <w:rFonts w:cs="Times New Roman"/>
          <w:bCs/>
          <w:kern w:val="2"/>
          <w:sz w:val="22"/>
          <w:szCs w:val="22"/>
        </w:rPr>
        <w:t>As described in</w:t>
      </w:r>
      <w:r w:rsidR="00CF6A2C">
        <w:rPr>
          <w:rFonts w:cs="Times New Roman"/>
          <w:bCs/>
          <w:kern w:val="2"/>
          <w:sz w:val="22"/>
          <w:szCs w:val="22"/>
        </w:rPr>
        <w:t xml:space="preserve"> Factor 1.a.ii</w:t>
      </w:r>
      <w:r>
        <w:rPr>
          <w:rFonts w:cs="Times New Roman"/>
          <w:bCs/>
          <w:kern w:val="2"/>
          <w:sz w:val="22"/>
          <w:szCs w:val="22"/>
        </w:rPr>
        <w:t xml:space="preserve">, </w:t>
      </w:r>
      <w:r w:rsidR="00880542" w:rsidRPr="00880542">
        <w:rPr>
          <w:rFonts w:cs="Times New Roman"/>
          <w:bCs/>
          <w:kern w:val="2"/>
          <w:sz w:val="22"/>
          <w:szCs w:val="22"/>
        </w:rPr>
        <w:t xml:space="preserve">cancer incidence in Plymouth and surrounding counties will increase by </w:t>
      </w:r>
      <w:r w:rsidR="00152FA6">
        <w:rPr>
          <w:rFonts w:cs="Times New Roman"/>
          <w:bCs/>
          <w:kern w:val="2"/>
          <w:sz w:val="22"/>
          <w:szCs w:val="22"/>
        </w:rPr>
        <w:t xml:space="preserve">approximately </w:t>
      </w:r>
      <w:r w:rsidR="00880542" w:rsidRPr="00880542">
        <w:rPr>
          <w:rFonts w:cs="Times New Roman"/>
          <w:bCs/>
          <w:kern w:val="2"/>
          <w:sz w:val="22"/>
          <w:szCs w:val="22"/>
        </w:rPr>
        <w:t>17% between 2020 and 2030</w:t>
      </w:r>
      <w:r w:rsidR="00880542">
        <w:rPr>
          <w:rFonts w:cs="Times New Roman"/>
          <w:bCs/>
          <w:kern w:val="2"/>
          <w:sz w:val="22"/>
          <w:szCs w:val="22"/>
        </w:rPr>
        <w:t xml:space="preserve">, and </w:t>
      </w:r>
      <w:r>
        <w:rPr>
          <w:rFonts w:cs="Times New Roman"/>
          <w:bCs/>
          <w:kern w:val="2"/>
          <w:sz w:val="22"/>
          <w:szCs w:val="22"/>
        </w:rPr>
        <w:t xml:space="preserve">there </w:t>
      </w:r>
      <w:r w:rsidRPr="00E00051">
        <w:rPr>
          <w:rFonts w:cs="Times New Roman"/>
          <w:bCs/>
          <w:kern w:val="2"/>
          <w:sz w:val="22"/>
          <w:szCs w:val="22"/>
        </w:rPr>
        <w:t>is a significant undersupply of hematology-oncology physicians in the Plymouth area</w:t>
      </w:r>
      <w:r w:rsidR="00F77502">
        <w:rPr>
          <w:rFonts w:cs="Times New Roman"/>
          <w:bCs/>
          <w:kern w:val="2"/>
          <w:sz w:val="22"/>
          <w:szCs w:val="22"/>
        </w:rPr>
        <w:t xml:space="preserve"> </w:t>
      </w:r>
      <w:r w:rsidRPr="00E00051">
        <w:rPr>
          <w:rFonts w:cs="Times New Roman"/>
          <w:bCs/>
          <w:kern w:val="2"/>
          <w:sz w:val="22"/>
          <w:szCs w:val="22"/>
        </w:rPr>
        <w:t>and</w:t>
      </w:r>
      <w:r>
        <w:rPr>
          <w:rFonts w:cs="Times New Roman"/>
          <w:bCs/>
          <w:kern w:val="2"/>
          <w:sz w:val="22"/>
          <w:szCs w:val="22"/>
        </w:rPr>
        <w:t xml:space="preserve"> limited access for patients seeking </w:t>
      </w:r>
      <w:r w:rsidR="00880542">
        <w:rPr>
          <w:rFonts w:cs="Times New Roman"/>
          <w:bCs/>
          <w:kern w:val="2"/>
          <w:sz w:val="22"/>
          <w:szCs w:val="22"/>
        </w:rPr>
        <w:t>these services.</w:t>
      </w:r>
      <w:r w:rsidR="0002490A">
        <w:rPr>
          <w:rFonts w:cs="Times New Roman"/>
          <w:bCs/>
          <w:kern w:val="2"/>
          <w:sz w:val="22"/>
          <w:szCs w:val="22"/>
        </w:rPr>
        <w:t xml:space="preserve"> </w:t>
      </w:r>
      <w:r w:rsidR="001D6894">
        <w:rPr>
          <w:rFonts w:cs="Times New Roman"/>
          <w:bCs/>
          <w:kern w:val="2"/>
          <w:sz w:val="22"/>
          <w:szCs w:val="22"/>
        </w:rPr>
        <w:t xml:space="preserve">There is also limited </w:t>
      </w:r>
      <w:r w:rsidR="001D6894" w:rsidRPr="00F77502">
        <w:rPr>
          <w:rFonts w:cs="Times New Roman"/>
          <w:bCs/>
          <w:kern w:val="2"/>
          <w:sz w:val="22"/>
          <w:szCs w:val="22"/>
        </w:rPr>
        <w:t xml:space="preserve">local specialty referral access to </w:t>
      </w:r>
      <w:r w:rsidR="008500C5">
        <w:rPr>
          <w:rFonts w:cs="Times New Roman"/>
          <w:bCs/>
          <w:kern w:val="2"/>
          <w:sz w:val="22"/>
          <w:szCs w:val="22"/>
        </w:rPr>
        <w:t xml:space="preserve">certain specialty services, including </w:t>
      </w:r>
      <w:r w:rsidR="001D6894" w:rsidRPr="00F77502">
        <w:rPr>
          <w:rFonts w:cs="Times New Roman"/>
          <w:bCs/>
          <w:kern w:val="2"/>
          <w:sz w:val="22"/>
          <w:szCs w:val="22"/>
        </w:rPr>
        <w:t>hematology-oncology, OBGYN, endocrinology, gastroenterology, pulmonology, and rheumatology</w:t>
      </w:r>
      <w:r w:rsidR="001D6894">
        <w:rPr>
          <w:rFonts w:cs="Times New Roman"/>
          <w:bCs/>
          <w:kern w:val="2"/>
          <w:sz w:val="22"/>
          <w:szCs w:val="22"/>
        </w:rPr>
        <w:t xml:space="preserve"> services</w:t>
      </w:r>
      <w:r w:rsidR="00152FA6">
        <w:rPr>
          <w:rFonts w:cs="Times New Roman"/>
          <w:bCs/>
          <w:kern w:val="2"/>
          <w:sz w:val="22"/>
          <w:szCs w:val="22"/>
        </w:rPr>
        <w:t xml:space="preserve"> in Quincy</w:t>
      </w:r>
      <w:r w:rsidR="001D6894">
        <w:rPr>
          <w:rFonts w:cs="Times New Roman"/>
          <w:bCs/>
          <w:kern w:val="2"/>
          <w:sz w:val="22"/>
          <w:szCs w:val="22"/>
        </w:rPr>
        <w:t xml:space="preserve">. </w:t>
      </w:r>
      <w:r w:rsidR="003A4290">
        <w:rPr>
          <w:rFonts w:cs="Times New Roman"/>
          <w:bCs/>
          <w:kern w:val="2"/>
          <w:sz w:val="22"/>
          <w:szCs w:val="22"/>
        </w:rPr>
        <w:t xml:space="preserve">The Proposed Project would address the need for these services by increasing availability of hematology-oncology, and infusion and specialty and primary care services in the community. </w:t>
      </w:r>
    </w:p>
    <w:p w14:paraId="224F6F8C" w14:textId="54D0435D" w:rsidR="00B44CD8" w:rsidRPr="00B44CD8" w:rsidRDefault="00B44CD8" w:rsidP="00CF18A8">
      <w:pPr>
        <w:pStyle w:val="BodyText"/>
        <w:widowControl/>
        <w:spacing w:before="0"/>
        <w:ind w:left="0"/>
        <w:jc w:val="both"/>
        <w:rPr>
          <w:rFonts w:cs="Times New Roman"/>
          <w:bCs/>
          <w:kern w:val="2"/>
          <w:sz w:val="22"/>
          <w:szCs w:val="22"/>
        </w:rPr>
      </w:pPr>
    </w:p>
    <w:p w14:paraId="450D3C26" w14:textId="63A33662" w:rsidR="003A4290" w:rsidRDefault="004633CC" w:rsidP="00A22943">
      <w:pPr>
        <w:pStyle w:val="BodyText"/>
        <w:widowControl/>
        <w:spacing w:before="0"/>
        <w:jc w:val="both"/>
        <w:rPr>
          <w:rFonts w:cs="Times New Roman"/>
          <w:bCs/>
          <w:kern w:val="2"/>
          <w:sz w:val="22"/>
          <w:szCs w:val="22"/>
        </w:rPr>
      </w:pPr>
      <w:r>
        <w:rPr>
          <w:rFonts w:cs="Times New Roman"/>
          <w:bCs/>
          <w:kern w:val="2"/>
          <w:sz w:val="22"/>
          <w:szCs w:val="22"/>
        </w:rPr>
        <w:t>Travel burden, or the travel time or distance that a patient must travel, can result in delays in diagnosis and can negatively influence treatment choice for certain common cancers.</w:t>
      </w:r>
      <w:r>
        <w:rPr>
          <w:rStyle w:val="FootnoteReference"/>
          <w:rFonts w:cs="Times New Roman"/>
          <w:bCs/>
          <w:kern w:val="2"/>
          <w:sz w:val="22"/>
          <w:szCs w:val="22"/>
        </w:rPr>
        <w:footnoteReference w:id="15"/>
      </w:r>
      <w:r w:rsidR="00331DBB">
        <w:rPr>
          <w:rFonts w:cs="Times New Roman"/>
          <w:bCs/>
          <w:kern w:val="2"/>
          <w:sz w:val="22"/>
          <w:szCs w:val="22"/>
        </w:rPr>
        <w:t xml:space="preserve"> A</w:t>
      </w:r>
      <w:r w:rsidR="00EF27A9">
        <w:rPr>
          <w:rFonts w:cs="Times New Roman"/>
          <w:bCs/>
          <w:kern w:val="2"/>
          <w:sz w:val="22"/>
          <w:szCs w:val="22"/>
        </w:rPr>
        <w:t>n increase in</w:t>
      </w:r>
      <w:r w:rsidR="00EF27A9" w:rsidRPr="00EF27A9">
        <w:rPr>
          <w:rFonts w:cs="Times New Roman"/>
          <w:bCs/>
          <w:kern w:val="2"/>
          <w:sz w:val="22"/>
          <w:szCs w:val="22"/>
        </w:rPr>
        <w:t xml:space="preserve"> travel </w:t>
      </w:r>
      <w:r w:rsidR="00EF27A9">
        <w:rPr>
          <w:rFonts w:cs="Times New Roman"/>
          <w:bCs/>
          <w:kern w:val="2"/>
          <w:sz w:val="22"/>
          <w:szCs w:val="22"/>
        </w:rPr>
        <w:t>distance</w:t>
      </w:r>
      <w:r w:rsidR="00EF27A9" w:rsidRPr="00EF27A9">
        <w:rPr>
          <w:rFonts w:cs="Times New Roman"/>
          <w:bCs/>
          <w:kern w:val="2"/>
          <w:sz w:val="22"/>
          <w:szCs w:val="22"/>
        </w:rPr>
        <w:t xml:space="preserve"> </w:t>
      </w:r>
      <w:r w:rsidR="00EF27A9">
        <w:rPr>
          <w:rFonts w:cs="Times New Roman"/>
          <w:bCs/>
          <w:kern w:val="2"/>
          <w:sz w:val="22"/>
          <w:szCs w:val="22"/>
        </w:rPr>
        <w:t>is</w:t>
      </w:r>
      <w:r w:rsidR="00EF27A9" w:rsidRPr="00EF27A9">
        <w:rPr>
          <w:rFonts w:cs="Times New Roman"/>
          <w:bCs/>
          <w:kern w:val="2"/>
          <w:sz w:val="22"/>
          <w:szCs w:val="22"/>
        </w:rPr>
        <w:t xml:space="preserve"> </w:t>
      </w:r>
      <w:r w:rsidR="00331DBB">
        <w:rPr>
          <w:rFonts w:cs="Times New Roman"/>
          <w:bCs/>
          <w:kern w:val="2"/>
          <w:sz w:val="22"/>
          <w:szCs w:val="22"/>
        </w:rPr>
        <w:t xml:space="preserve">also </w:t>
      </w:r>
      <w:r w:rsidR="00EF27A9" w:rsidRPr="00EF27A9">
        <w:rPr>
          <w:rFonts w:cs="Times New Roman"/>
          <w:bCs/>
          <w:kern w:val="2"/>
          <w:sz w:val="22"/>
          <w:szCs w:val="22"/>
        </w:rPr>
        <w:t>associated with more advanced disease at diagnosis, inappropriate treatment, a worse prognosis, and a worse quality of life.</w:t>
      </w:r>
      <w:r w:rsidR="00D57388">
        <w:rPr>
          <w:rStyle w:val="FootnoteReference"/>
          <w:rFonts w:cs="Times New Roman"/>
          <w:bCs/>
          <w:kern w:val="2"/>
          <w:sz w:val="22"/>
          <w:szCs w:val="22"/>
        </w:rPr>
        <w:footnoteReference w:id="16"/>
      </w:r>
      <w:r w:rsidR="00EF27A9">
        <w:rPr>
          <w:rFonts w:cs="Times New Roman"/>
          <w:bCs/>
          <w:kern w:val="2"/>
          <w:sz w:val="22"/>
          <w:szCs w:val="22"/>
        </w:rPr>
        <w:t xml:space="preserve"> </w:t>
      </w:r>
      <w:r w:rsidR="003A4290">
        <w:rPr>
          <w:rFonts w:cs="Times New Roman"/>
          <w:bCs/>
          <w:kern w:val="2"/>
          <w:sz w:val="22"/>
          <w:szCs w:val="22"/>
        </w:rPr>
        <w:t xml:space="preserve">Further, long </w:t>
      </w:r>
      <w:r w:rsidR="003A4290" w:rsidRPr="003A4290">
        <w:rPr>
          <w:rFonts w:cs="Times New Roman"/>
          <w:bCs/>
          <w:kern w:val="2"/>
          <w:sz w:val="22"/>
          <w:szCs w:val="22"/>
        </w:rPr>
        <w:t>delays or complete inaccessibility to primary and specialty care are common across the United States. Geographic access to health care is associated with increased use of preventative health and improved health outcomes for patients.</w:t>
      </w:r>
      <w:r w:rsidR="003A4290" w:rsidRPr="003A4290">
        <w:rPr>
          <w:rFonts w:cs="Times New Roman"/>
          <w:bCs/>
          <w:kern w:val="2"/>
          <w:sz w:val="22"/>
          <w:szCs w:val="22"/>
          <w:vertAlign w:val="superscript"/>
        </w:rPr>
        <w:footnoteReference w:id="17"/>
      </w:r>
    </w:p>
    <w:p w14:paraId="7225C742" w14:textId="77777777" w:rsidR="003A4290" w:rsidRDefault="003A4290" w:rsidP="00A22943">
      <w:pPr>
        <w:pStyle w:val="BodyText"/>
        <w:widowControl/>
        <w:spacing w:before="0"/>
        <w:jc w:val="both"/>
        <w:rPr>
          <w:rFonts w:cs="Times New Roman"/>
          <w:bCs/>
          <w:kern w:val="2"/>
          <w:sz w:val="22"/>
          <w:szCs w:val="22"/>
        </w:rPr>
      </w:pPr>
    </w:p>
    <w:p w14:paraId="33EF5DE1" w14:textId="73D46C92" w:rsidR="00A22943" w:rsidRDefault="003A4290" w:rsidP="00A22943">
      <w:pPr>
        <w:pStyle w:val="BodyText"/>
        <w:widowControl/>
        <w:spacing w:before="0"/>
        <w:jc w:val="both"/>
        <w:rPr>
          <w:rFonts w:cs="Times New Roman"/>
          <w:bCs/>
          <w:kern w:val="2"/>
          <w:sz w:val="22"/>
          <w:szCs w:val="22"/>
        </w:rPr>
      </w:pPr>
      <w:r>
        <w:rPr>
          <w:rFonts w:cs="Times New Roman"/>
          <w:bCs/>
          <w:kern w:val="2"/>
          <w:sz w:val="22"/>
          <w:szCs w:val="22"/>
        </w:rPr>
        <w:t>Infusion clinics, such as the proposed Cordage Park Satellite,</w:t>
      </w:r>
      <w:r w:rsidRPr="00B12787">
        <w:rPr>
          <w:rFonts w:cs="Times New Roman"/>
          <w:bCs/>
          <w:kern w:val="2"/>
          <w:sz w:val="22"/>
          <w:szCs w:val="22"/>
        </w:rPr>
        <w:t xml:space="preserve"> help patients better manage and control their disease and associated symptoms by providing a continuity of care throughout their medical need, enhancing continuity of care and improving compliance.</w:t>
      </w:r>
      <w:r>
        <w:rPr>
          <w:rStyle w:val="FootnoteReference"/>
          <w:rFonts w:cs="Times New Roman"/>
          <w:bCs/>
          <w:kern w:val="2"/>
          <w:sz w:val="22"/>
          <w:szCs w:val="22"/>
        </w:rPr>
        <w:footnoteReference w:id="18"/>
      </w:r>
      <w:r>
        <w:rPr>
          <w:rFonts w:cs="Times New Roman"/>
          <w:bCs/>
          <w:kern w:val="2"/>
          <w:sz w:val="22"/>
          <w:szCs w:val="22"/>
        </w:rPr>
        <w:t xml:space="preserve"> </w:t>
      </w:r>
      <w:r w:rsidR="0002490A" w:rsidRPr="00514348">
        <w:rPr>
          <w:rFonts w:cs="Times New Roman"/>
          <w:bCs/>
          <w:kern w:val="2"/>
          <w:sz w:val="22"/>
          <w:szCs w:val="22"/>
        </w:rPr>
        <w:t>HOPD</w:t>
      </w:r>
      <w:r w:rsidR="0002490A">
        <w:rPr>
          <w:rFonts w:cs="Times New Roman"/>
          <w:bCs/>
          <w:kern w:val="2"/>
          <w:sz w:val="22"/>
          <w:szCs w:val="22"/>
        </w:rPr>
        <w:t>s</w:t>
      </w:r>
      <w:r w:rsidR="0002490A" w:rsidRPr="00514348">
        <w:rPr>
          <w:rFonts w:cs="Times New Roman"/>
          <w:bCs/>
          <w:kern w:val="2"/>
          <w:sz w:val="22"/>
          <w:szCs w:val="22"/>
        </w:rPr>
        <w:t xml:space="preserve"> provide closer monitoring of patients receiving </w:t>
      </w:r>
      <w:r w:rsidR="006C3B11" w:rsidRPr="00514348">
        <w:rPr>
          <w:rFonts w:cs="Times New Roman"/>
          <w:bCs/>
          <w:kern w:val="2"/>
          <w:sz w:val="22"/>
          <w:szCs w:val="22"/>
        </w:rPr>
        <w:t>infusions</w:t>
      </w:r>
      <w:r w:rsidR="006C3B11">
        <w:rPr>
          <w:rFonts w:cs="Times New Roman"/>
          <w:bCs/>
          <w:kern w:val="2"/>
          <w:sz w:val="22"/>
          <w:szCs w:val="22"/>
        </w:rPr>
        <w:t xml:space="preserve">, allow for the coordination of care between a patient’s primary care physician </w:t>
      </w:r>
      <w:r w:rsidR="0002490A" w:rsidRPr="00514348">
        <w:rPr>
          <w:rFonts w:cs="Times New Roman"/>
          <w:bCs/>
          <w:kern w:val="2"/>
          <w:sz w:val="22"/>
          <w:szCs w:val="22"/>
        </w:rPr>
        <w:t xml:space="preserve">and </w:t>
      </w:r>
      <w:r w:rsidR="006C3B11">
        <w:rPr>
          <w:rFonts w:cs="Times New Roman"/>
          <w:bCs/>
          <w:kern w:val="2"/>
          <w:sz w:val="22"/>
          <w:szCs w:val="22"/>
        </w:rPr>
        <w:t xml:space="preserve">specialists and </w:t>
      </w:r>
      <w:r w:rsidR="0002490A" w:rsidRPr="00514348">
        <w:rPr>
          <w:rFonts w:cs="Times New Roman"/>
          <w:bCs/>
          <w:kern w:val="2"/>
          <w:sz w:val="22"/>
          <w:szCs w:val="22"/>
        </w:rPr>
        <w:t>care can be escalated</w:t>
      </w:r>
      <w:r w:rsidR="0002490A">
        <w:rPr>
          <w:rFonts w:cs="Times New Roman"/>
          <w:bCs/>
          <w:kern w:val="2"/>
          <w:sz w:val="22"/>
          <w:szCs w:val="22"/>
        </w:rPr>
        <w:t xml:space="preserve"> to a hospital when appropriate</w:t>
      </w:r>
      <w:r w:rsidR="0002490A" w:rsidRPr="00514348">
        <w:rPr>
          <w:rFonts w:cs="Times New Roman"/>
          <w:bCs/>
          <w:kern w:val="2"/>
          <w:sz w:val="22"/>
          <w:szCs w:val="22"/>
        </w:rPr>
        <w:t>.</w:t>
      </w:r>
      <w:r w:rsidR="0002490A">
        <w:rPr>
          <w:rStyle w:val="FootnoteReference"/>
          <w:rFonts w:cs="Times New Roman"/>
          <w:bCs/>
          <w:kern w:val="2"/>
          <w:sz w:val="22"/>
          <w:szCs w:val="22"/>
        </w:rPr>
        <w:footnoteReference w:id="19"/>
      </w:r>
      <w:r w:rsidR="0002490A">
        <w:rPr>
          <w:rFonts w:cs="Times New Roman"/>
          <w:bCs/>
          <w:kern w:val="2"/>
          <w:sz w:val="22"/>
          <w:szCs w:val="22"/>
        </w:rPr>
        <w:t xml:space="preserve"> </w:t>
      </w:r>
      <w:r w:rsidR="001D6894">
        <w:rPr>
          <w:rFonts w:cs="Times New Roman"/>
          <w:bCs/>
          <w:kern w:val="2"/>
          <w:sz w:val="22"/>
          <w:szCs w:val="22"/>
        </w:rPr>
        <w:t xml:space="preserve"> </w:t>
      </w:r>
      <w:r w:rsidR="00B06D4F">
        <w:rPr>
          <w:rFonts w:cs="Times New Roman"/>
          <w:bCs/>
          <w:kern w:val="2"/>
          <w:sz w:val="22"/>
          <w:szCs w:val="22"/>
        </w:rPr>
        <w:t xml:space="preserve">The </w:t>
      </w:r>
      <w:r>
        <w:rPr>
          <w:rFonts w:cs="Times New Roman"/>
          <w:bCs/>
          <w:kern w:val="2"/>
          <w:sz w:val="22"/>
          <w:szCs w:val="22"/>
        </w:rPr>
        <w:t xml:space="preserve"> Proposed Project would provide greater access to care in the communities in which patients live, which results in better outcomes.</w:t>
      </w:r>
    </w:p>
    <w:p w14:paraId="4027C085" w14:textId="3A926F18" w:rsidR="00402438" w:rsidRDefault="00402438" w:rsidP="00F5423C">
      <w:pPr>
        <w:spacing w:after="0" w:line="240" w:lineRule="auto"/>
        <w:jc w:val="both"/>
        <w:rPr>
          <w:rFonts w:eastAsia="Times New Roman" w:cs="Times New Roman"/>
          <w:bCs/>
          <w:kern w:val="2"/>
        </w:rPr>
      </w:pPr>
    </w:p>
    <w:p w14:paraId="32211C31" w14:textId="77777777" w:rsidR="00B44CD8" w:rsidRDefault="00B44CD8" w:rsidP="00F5423C">
      <w:pPr>
        <w:spacing w:after="0" w:line="240" w:lineRule="auto"/>
        <w:jc w:val="both"/>
        <w:rPr>
          <w:rFonts w:cs="Times New Roman"/>
        </w:rPr>
      </w:pPr>
    </w:p>
    <w:p w14:paraId="482B3431" w14:textId="7DD4E375" w:rsidR="00F5423C" w:rsidRPr="006C3B11" w:rsidRDefault="00F5423C" w:rsidP="006C3B11">
      <w:pPr>
        <w:spacing w:line="259" w:lineRule="auto"/>
        <w:rPr>
          <w:rFonts w:cs="Times New Roman"/>
          <w:b/>
          <w:kern w:val="2"/>
        </w:rPr>
      </w:pPr>
      <w:r w:rsidRPr="000153E7">
        <w:rPr>
          <w:rFonts w:cs="Times New Roman"/>
          <w:b/>
          <w:kern w:val="2"/>
        </w:rPr>
        <w:t>F.1.b.ii</w:t>
      </w:r>
      <w:r w:rsidRPr="000153E7">
        <w:rPr>
          <w:rFonts w:cs="Times New Roman"/>
          <w:b/>
          <w:kern w:val="2"/>
        </w:rPr>
        <w:tab/>
      </w:r>
      <w:r w:rsidRPr="000153E7">
        <w:rPr>
          <w:rFonts w:cs="Times New Roman"/>
          <w:kern w:val="2"/>
        </w:rPr>
        <w:tab/>
      </w:r>
      <w:bookmarkStart w:id="5" w:name="_Hlk91070060"/>
      <w:r w:rsidRPr="000153E7">
        <w:rPr>
          <w:rFonts w:cs="Times New Roman"/>
          <w:b/>
          <w:kern w:val="2"/>
          <w:u w:val="single"/>
        </w:rPr>
        <w:t>Public Health Value /Outcome-Oriented:</w:t>
      </w:r>
    </w:p>
    <w:p w14:paraId="3C7E1DA8" w14:textId="6599CA69" w:rsidR="00F5423C" w:rsidRDefault="00F5423C" w:rsidP="00F5423C">
      <w:pPr>
        <w:pStyle w:val="BodyText"/>
        <w:widowControl/>
        <w:spacing w:before="0"/>
        <w:ind w:left="1440"/>
        <w:jc w:val="both"/>
        <w:rPr>
          <w:rFonts w:cs="Times New Roman"/>
          <w:b/>
          <w:kern w:val="2"/>
          <w:sz w:val="22"/>
          <w:szCs w:val="22"/>
        </w:rPr>
      </w:pPr>
      <w:r w:rsidRPr="000153E7">
        <w:rPr>
          <w:rFonts w:cs="Times New Roman"/>
          <w:b/>
          <w:kern w:val="2"/>
          <w:sz w:val="22"/>
          <w:szCs w:val="22"/>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57F70DB6" w14:textId="3BD5EAB7" w:rsidR="00F55CEC" w:rsidRDefault="00F55CEC" w:rsidP="00F55CEC">
      <w:pPr>
        <w:pStyle w:val="BodyText"/>
        <w:widowControl/>
        <w:spacing w:before="0"/>
        <w:jc w:val="both"/>
        <w:rPr>
          <w:rFonts w:cs="Times New Roman"/>
          <w:b/>
          <w:kern w:val="2"/>
          <w:sz w:val="22"/>
          <w:szCs w:val="22"/>
        </w:rPr>
      </w:pPr>
    </w:p>
    <w:p w14:paraId="189A4207" w14:textId="30296952" w:rsidR="00F55CEC" w:rsidRDefault="005426B7" w:rsidP="2A8A7BAD">
      <w:pPr>
        <w:pStyle w:val="BodyText"/>
        <w:widowControl/>
        <w:spacing w:before="0"/>
        <w:jc w:val="both"/>
        <w:rPr>
          <w:rFonts w:cs="Times New Roman"/>
          <w:kern w:val="2"/>
          <w:sz w:val="22"/>
          <w:szCs w:val="22"/>
        </w:rPr>
      </w:pPr>
      <w:r w:rsidRPr="2A8A7BAD">
        <w:rPr>
          <w:rFonts w:cs="Times New Roman"/>
          <w:kern w:val="2"/>
          <w:sz w:val="22"/>
          <w:szCs w:val="22"/>
        </w:rPr>
        <w:t xml:space="preserve">To assess the impact of the </w:t>
      </w:r>
      <w:r w:rsidR="36B1FCFA" w:rsidRPr="2A8A7BAD">
        <w:rPr>
          <w:rFonts w:cs="Times New Roman"/>
          <w:kern w:val="2"/>
          <w:sz w:val="22"/>
          <w:szCs w:val="22"/>
        </w:rPr>
        <w:t>P</w:t>
      </w:r>
      <w:r w:rsidRPr="2A8A7BAD">
        <w:rPr>
          <w:rFonts w:cs="Times New Roman"/>
          <w:kern w:val="2"/>
          <w:sz w:val="22"/>
          <w:szCs w:val="22"/>
        </w:rPr>
        <w:t>roposed Project, the Applicant will report on the following measures of patient satisfaction and quality of care. The measures are discussed below and will be reported to DPH on an annual basis following implementation of the Proposed Project.</w:t>
      </w:r>
    </w:p>
    <w:p w14:paraId="71971106" w14:textId="4B751182" w:rsidR="005426B7" w:rsidRDefault="005426B7" w:rsidP="00F55CEC">
      <w:pPr>
        <w:pStyle w:val="BodyText"/>
        <w:widowControl/>
        <w:spacing w:before="0"/>
        <w:jc w:val="both"/>
        <w:rPr>
          <w:rFonts w:cs="Times New Roman"/>
          <w:bCs/>
          <w:kern w:val="2"/>
          <w:sz w:val="22"/>
          <w:szCs w:val="22"/>
        </w:rPr>
      </w:pPr>
    </w:p>
    <w:p w14:paraId="06343D1B" w14:textId="77777777" w:rsidR="005426B7" w:rsidRDefault="005426B7" w:rsidP="005426B7">
      <w:pPr>
        <w:pStyle w:val="BodyText"/>
        <w:widowControl/>
        <w:numPr>
          <w:ilvl w:val="0"/>
          <w:numId w:val="12"/>
        </w:numPr>
        <w:spacing w:before="0"/>
        <w:jc w:val="both"/>
        <w:rPr>
          <w:rFonts w:cs="Times New Roman"/>
          <w:bCs/>
          <w:kern w:val="2"/>
          <w:sz w:val="22"/>
          <w:szCs w:val="22"/>
        </w:rPr>
      </w:pPr>
      <w:r w:rsidRPr="004F7A2A">
        <w:rPr>
          <w:rFonts w:cs="Times New Roman"/>
          <w:b/>
          <w:kern w:val="2"/>
          <w:sz w:val="22"/>
          <w:szCs w:val="22"/>
        </w:rPr>
        <w:t>Patient Satisfaction</w:t>
      </w:r>
      <w:r w:rsidRPr="005426B7">
        <w:rPr>
          <w:rFonts w:cs="Times New Roman"/>
          <w:bCs/>
          <w:kern w:val="2"/>
          <w:sz w:val="22"/>
          <w:szCs w:val="22"/>
        </w:rPr>
        <w:t xml:space="preserve">: Patients that are satisfied with their care are more likely to seek additional treatment when necessary. </w:t>
      </w:r>
    </w:p>
    <w:p w14:paraId="6B6FE4B5" w14:textId="77777777" w:rsidR="005426B7" w:rsidRDefault="005426B7" w:rsidP="005426B7">
      <w:pPr>
        <w:pStyle w:val="BodyText"/>
        <w:widowControl/>
        <w:numPr>
          <w:ilvl w:val="1"/>
          <w:numId w:val="12"/>
        </w:numPr>
        <w:spacing w:before="0"/>
        <w:jc w:val="both"/>
        <w:rPr>
          <w:rFonts w:cs="Times New Roman"/>
          <w:bCs/>
          <w:kern w:val="2"/>
          <w:sz w:val="22"/>
          <w:szCs w:val="22"/>
        </w:rPr>
      </w:pPr>
      <w:r w:rsidRPr="004F7A2A">
        <w:rPr>
          <w:rFonts w:cs="Times New Roman"/>
          <w:b/>
          <w:kern w:val="2"/>
          <w:sz w:val="22"/>
          <w:szCs w:val="22"/>
        </w:rPr>
        <w:t>Measure</w:t>
      </w:r>
      <w:r w:rsidRPr="005426B7">
        <w:rPr>
          <w:rFonts w:cs="Times New Roman"/>
          <w:bCs/>
          <w:kern w:val="2"/>
          <w:sz w:val="22"/>
          <w:szCs w:val="22"/>
        </w:rPr>
        <w:t xml:space="preserve">: Patient satisfaction scores will be used to determine the impact of the Proposed Project on patient experience. </w:t>
      </w:r>
    </w:p>
    <w:p w14:paraId="55C730BC" w14:textId="77777777" w:rsidR="004F7A2A" w:rsidRDefault="004F7A2A" w:rsidP="005426B7">
      <w:pPr>
        <w:pStyle w:val="BodyText"/>
        <w:widowControl/>
        <w:spacing w:before="0"/>
        <w:ind w:left="1820"/>
        <w:jc w:val="both"/>
        <w:rPr>
          <w:rFonts w:cs="Times New Roman"/>
          <w:bCs/>
          <w:kern w:val="2"/>
          <w:sz w:val="22"/>
          <w:szCs w:val="22"/>
        </w:rPr>
      </w:pPr>
    </w:p>
    <w:p w14:paraId="7D247C17" w14:textId="7C57E12F" w:rsidR="005426B7" w:rsidRDefault="005426B7" w:rsidP="005426B7">
      <w:pPr>
        <w:pStyle w:val="BodyText"/>
        <w:widowControl/>
        <w:spacing w:before="0"/>
        <w:ind w:left="1820"/>
        <w:jc w:val="both"/>
        <w:rPr>
          <w:rFonts w:cs="Times New Roman"/>
          <w:bCs/>
          <w:kern w:val="2"/>
          <w:sz w:val="22"/>
          <w:szCs w:val="22"/>
        </w:rPr>
      </w:pPr>
      <w:r w:rsidRPr="005426B7">
        <w:rPr>
          <w:rFonts w:cs="Times New Roman"/>
          <w:bCs/>
          <w:kern w:val="2"/>
          <w:sz w:val="22"/>
          <w:szCs w:val="22"/>
        </w:rPr>
        <w:lastRenderedPageBreak/>
        <w:t>Numerator = Number of top scores,</w:t>
      </w:r>
      <w:r w:rsidR="00DD04F5">
        <w:rPr>
          <w:rFonts w:cs="Times New Roman"/>
          <w:bCs/>
          <w:kern w:val="2"/>
          <w:sz w:val="22"/>
          <w:szCs w:val="22"/>
        </w:rPr>
        <w:t xml:space="preserve"> for overall visit rating,</w:t>
      </w:r>
      <w:r w:rsidRPr="005426B7">
        <w:rPr>
          <w:rFonts w:cs="Times New Roman"/>
          <w:bCs/>
          <w:kern w:val="2"/>
          <w:sz w:val="22"/>
          <w:szCs w:val="22"/>
        </w:rPr>
        <w:t xml:space="preserve"> such as </w:t>
      </w:r>
      <w:r w:rsidR="00FC1749">
        <w:rPr>
          <w:rFonts w:cs="Times New Roman"/>
          <w:bCs/>
          <w:kern w:val="2"/>
          <w:sz w:val="22"/>
          <w:szCs w:val="22"/>
        </w:rPr>
        <w:t>“</w:t>
      </w:r>
      <w:r w:rsidRPr="005426B7">
        <w:rPr>
          <w:rFonts w:cs="Times New Roman"/>
          <w:bCs/>
          <w:kern w:val="2"/>
          <w:sz w:val="22"/>
          <w:szCs w:val="22"/>
        </w:rPr>
        <w:t>likely to recommend</w:t>
      </w:r>
      <w:r w:rsidR="00FC1749">
        <w:rPr>
          <w:rFonts w:cs="Times New Roman"/>
          <w:bCs/>
          <w:kern w:val="2"/>
          <w:sz w:val="22"/>
          <w:szCs w:val="22"/>
        </w:rPr>
        <w:t>”</w:t>
      </w:r>
      <w:r w:rsidRPr="005426B7">
        <w:rPr>
          <w:rFonts w:cs="Times New Roman"/>
          <w:bCs/>
          <w:kern w:val="2"/>
          <w:sz w:val="22"/>
          <w:szCs w:val="22"/>
        </w:rPr>
        <w:t xml:space="preserve"> or </w:t>
      </w:r>
      <w:r w:rsidR="00FC1749">
        <w:rPr>
          <w:rFonts w:cs="Times New Roman"/>
          <w:bCs/>
          <w:kern w:val="2"/>
          <w:sz w:val="22"/>
          <w:szCs w:val="22"/>
        </w:rPr>
        <w:t>“</w:t>
      </w:r>
      <w:r w:rsidRPr="005426B7">
        <w:rPr>
          <w:rFonts w:cs="Times New Roman"/>
          <w:bCs/>
          <w:kern w:val="2"/>
          <w:sz w:val="22"/>
          <w:szCs w:val="22"/>
        </w:rPr>
        <w:t>highly satisfied</w:t>
      </w:r>
      <w:r w:rsidR="00CE1CC0" w:rsidRPr="005426B7">
        <w:rPr>
          <w:rFonts w:cs="Times New Roman"/>
          <w:bCs/>
          <w:kern w:val="2"/>
          <w:sz w:val="22"/>
          <w:szCs w:val="22"/>
        </w:rPr>
        <w:t>.</w:t>
      </w:r>
      <w:r w:rsidR="00FC1749">
        <w:rPr>
          <w:rFonts w:cs="Times New Roman"/>
          <w:bCs/>
          <w:kern w:val="2"/>
          <w:sz w:val="22"/>
          <w:szCs w:val="22"/>
        </w:rPr>
        <w:t>”</w:t>
      </w:r>
    </w:p>
    <w:p w14:paraId="2DEB11BC" w14:textId="77777777" w:rsidR="004F7A2A" w:rsidRDefault="004F7A2A" w:rsidP="004F7A2A">
      <w:pPr>
        <w:pStyle w:val="BodyText"/>
        <w:widowControl/>
        <w:spacing w:before="0"/>
        <w:ind w:left="1820"/>
        <w:jc w:val="both"/>
        <w:rPr>
          <w:rFonts w:cs="Times New Roman"/>
          <w:bCs/>
          <w:kern w:val="2"/>
          <w:sz w:val="22"/>
          <w:szCs w:val="22"/>
        </w:rPr>
      </w:pPr>
    </w:p>
    <w:p w14:paraId="0FD08797" w14:textId="1AD98182" w:rsidR="004F7A2A" w:rsidRDefault="005426B7" w:rsidP="004F7A2A">
      <w:pPr>
        <w:pStyle w:val="BodyText"/>
        <w:widowControl/>
        <w:spacing w:before="0"/>
        <w:ind w:left="1820"/>
        <w:jc w:val="both"/>
        <w:rPr>
          <w:rFonts w:cs="Times New Roman"/>
          <w:bCs/>
          <w:kern w:val="2"/>
          <w:sz w:val="22"/>
          <w:szCs w:val="22"/>
        </w:rPr>
      </w:pPr>
      <w:r w:rsidRPr="005426B7">
        <w:rPr>
          <w:rFonts w:cs="Times New Roman"/>
          <w:bCs/>
          <w:kern w:val="2"/>
          <w:sz w:val="22"/>
          <w:szCs w:val="22"/>
        </w:rPr>
        <w:t>Denominator = Total number of survey respondents</w:t>
      </w:r>
    </w:p>
    <w:p w14:paraId="254A0F60" w14:textId="253CA3BA" w:rsidR="00DD04F5" w:rsidRDefault="00DD04F5" w:rsidP="004F7A2A">
      <w:pPr>
        <w:pStyle w:val="BodyText"/>
        <w:widowControl/>
        <w:spacing w:before="0"/>
        <w:ind w:left="1820"/>
        <w:jc w:val="both"/>
        <w:rPr>
          <w:rFonts w:cs="Times New Roman"/>
          <w:bCs/>
          <w:kern w:val="2"/>
          <w:sz w:val="22"/>
          <w:szCs w:val="22"/>
        </w:rPr>
      </w:pPr>
    </w:p>
    <w:p w14:paraId="2261E5D9" w14:textId="3B74AE4D" w:rsidR="00DD04F5" w:rsidRDefault="00DD04F5" w:rsidP="004F7A2A">
      <w:pPr>
        <w:pStyle w:val="BodyText"/>
        <w:widowControl/>
        <w:spacing w:before="0"/>
        <w:ind w:left="1820"/>
        <w:jc w:val="both"/>
        <w:rPr>
          <w:rFonts w:cs="Times New Roman"/>
          <w:bCs/>
          <w:kern w:val="2"/>
          <w:sz w:val="22"/>
          <w:szCs w:val="22"/>
        </w:rPr>
      </w:pPr>
      <w:r>
        <w:rPr>
          <w:rFonts w:cs="Times New Roman"/>
          <w:bCs/>
          <w:kern w:val="2"/>
          <w:sz w:val="22"/>
          <w:szCs w:val="22"/>
        </w:rPr>
        <w:t xml:space="preserve">Numerator = Number of top scores for shared decision making with the clinician </w:t>
      </w:r>
    </w:p>
    <w:p w14:paraId="064F8788" w14:textId="340F31CA" w:rsidR="00DD04F5" w:rsidRDefault="00DD04F5" w:rsidP="004F7A2A">
      <w:pPr>
        <w:pStyle w:val="BodyText"/>
        <w:widowControl/>
        <w:spacing w:before="0"/>
        <w:ind w:left="1820"/>
        <w:jc w:val="both"/>
        <w:rPr>
          <w:rFonts w:cs="Times New Roman"/>
          <w:bCs/>
          <w:kern w:val="2"/>
          <w:sz w:val="22"/>
          <w:szCs w:val="22"/>
        </w:rPr>
      </w:pPr>
    </w:p>
    <w:p w14:paraId="45F5F3DD" w14:textId="4E1935B9" w:rsidR="00DD04F5" w:rsidRDefault="00DD04F5" w:rsidP="004F7A2A">
      <w:pPr>
        <w:pStyle w:val="BodyText"/>
        <w:widowControl/>
        <w:spacing w:before="0"/>
        <w:ind w:left="1820"/>
        <w:jc w:val="both"/>
        <w:rPr>
          <w:rFonts w:cs="Times New Roman"/>
          <w:bCs/>
          <w:kern w:val="2"/>
          <w:sz w:val="22"/>
          <w:szCs w:val="22"/>
        </w:rPr>
      </w:pPr>
      <w:r>
        <w:rPr>
          <w:rFonts w:cs="Times New Roman"/>
          <w:bCs/>
          <w:kern w:val="2"/>
          <w:sz w:val="22"/>
          <w:szCs w:val="22"/>
        </w:rPr>
        <w:t>Denominator = Total number of survey respondents</w:t>
      </w:r>
    </w:p>
    <w:p w14:paraId="382EC68F" w14:textId="77777777" w:rsidR="00DD04F5" w:rsidRDefault="00DD04F5" w:rsidP="004F7A2A">
      <w:pPr>
        <w:pStyle w:val="BodyText"/>
        <w:widowControl/>
        <w:spacing w:before="0"/>
        <w:ind w:left="1820"/>
        <w:jc w:val="both"/>
        <w:rPr>
          <w:rFonts w:cs="Times New Roman"/>
          <w:bCs/>
          <w:kern w:val="2"/>
          <w:sz w:val="22"/>
          <w:szCs w:val="22"/>
        </w:rPr>
      </w:pPr>
    </w:p>
    <w:p w14:paraId="51BD925A" w14:textId="22908AE8" w:rsidR="004F7A2A" w:rsidRDefault="005426B7" w:rsidP="004F7A2A">
      <w:pPr>
        <w:pStyle w:val="BodyText"/>
        <w:widowControl/>
        <w:numPr>
          <w:ilvl w:val="1"/>
          <w:numId w:val="12"/>
        </w:numPr>
        <w:spacing w:before="0"/>
        <w:jc w:val="both"/>
        <w:rPr>
          <w:rFonts w:cs="Times New Roman"/>
          <w:bCs/>
          <w:kern w:val="2"/>
          <w:sz w:val="22"/>
          <w:szCs w:val="22"/>
        </w:rPr>
      </w:pPr>
      <w:r w:rsidRPr="004F7A2A">
        <w:rPr>
          <w:rFonts w:cs="Times New Roman"/>
          <w:b/>
          <w:kern w:val="2"/>
          <w:sz w:val="22"/>
          <w:szCs w:val="22"/>
        </w:rPr>
        <w:t>Projections</w:t>
      </w:r>
      <w:r w:rsidRPr="005426B7">
        <w:rPr>
          <w:rFonts w:cs="Times New Roman"/>
          <w:bCs/>
          <w:kern w:val="2"/>
          <w:sz w:val="22"/>
          <w:szCs w:val="22"/>
        </w:rPr>
        <w:t xml:space="preserve">: As the Proposed Project is to establish </w:t>
      </w:r>
      <w:r w:rsidR="004F7A2A">
        <w:rPr>
          <w:rFonts w:cs="Times New Roman"/>
          <w:bCs/>
          <w:kern w:val="2"/>
          <w:sz w:val="22"/>
          <w:szCs w:val="22"/>
        </w:rPr>
        <w:t xml:space="preserve">two new </w:t>
      </w:r>
      <w:r w:rsidR="00946E47">
        <w:rPr>
          <w:rFonts w:cs="Times New Roman"/>
          <w:bCs/>
          <w:kern w:val="2"/>
          <w:sz w:val="22"/>
          <w:szCs w:val="22"/>
        </w:rPr>
        <w:t>Satellites</w:t>
      </w:r>
      <w:r w:rsidRPr="005426B7">
        <w:rPr>
          <w:rFonts w:cs="Times New Roman"/>
          <w:bCs/>
          <w:kern w:val="2"/>
          <w:sz w:val="22"/>
          <w:szCs w:val="22"/>
        </w:rPr>
        <w:t>, the Applicant will provide baseline measures and three years of projections following the first fiscal year of operation</w:t>
      </w:r>
      <w:r w:rsidR="004F7A2A">
        <w:rPr>
          <w:rFonts w:cs="Times New Roman"/>
          <w:bCs/>
          <w:kern w:val="2"/>
          <w:sz w:val="22"/>
          <w:szCs w:val="22"/>
        </w:rPr>
        <w:t>.</w:t>
      </w:r>
    </w:p>
    <w:p w14:paraId="652D8BA8" w14:textId="3FBA3E23" w:rsidR="005426B7" w:rsidRDefault="005426B7" w:rsidP="2A8A7BAD">
      <w:pPr>
        <w:pStyle w:val="BodyText"/>
        <w:widowControl/>
        <w:numPr>
          <w:ilvl w:val="1"/>
          <w:numId w:val="12"/>
        </w:numPr>
        <w:spacing w:before="0"/>
        <w:jc w:val="both"/>
        <w:rPr>
          <w:rFonts w:cs="Times New Roman"/>
          <w:kern w:val="2"/>
          <w:sz w:val="22"/>
          <w:szCs w:val="22"/>
        </w:rPr>
      </w:pPr>
      <w:r w:rsidRPr="2A8A7BAD">
        <w:rPr>
          <w:rFonts w:cs="Times New Roman"/>
          <w:b/>
          <w:bCs/>
          <w:kern w:val="2"/>
          <w:sz w:val="22"/>
          <w:szCs w:val="22"/>
        </w:rPr>
        <w:t>Monitoring</w:t>
      </w:r>
      <w:r w:rsidRPr="2A8A7BAD">
        <w:rPr>
          <w:rFonts w:cs="Times New Roman"/>
          <w:kern w:val="2"/>
          <w:sz w:val="22"/>
          <w:szCs w:val="22"/>
        </w:rPr>
        <w:t xml:space="preserve">: </w:t>
      </w:r>
      <w:r w:rsidR="004F7A2A" w:rsidRPr="2A8A7BAD">
        <w:rPr>
          <w:rFonts w:cs="Times New Roman"/>
          <w:kern w:val="2"/>
          <w:sz w:val="22"/>
          <w:szCs w:val="22"/>
        </w:rPr>
        <w:t xml:space="preserve">Each </w:t>
      </w:r>
      <w:r w:rsidR="00946E47" w:rsidRPr="2A8A7BAD">
        <w:rPr>
          <w:rFonts w:cs="Times New Roman"/>
          <w:kern w:val="2"/>
          <w:sz w:val="22"/>
          <w:szCs w:val="22"/>
        </w:rPr>
        <w:t>Satellite</w:t>
      </w:r>
      <w:r w:rsidR="00FC1749" w:rsidRPr="2A8A7BAD">
        <w:rPr>
          <w:rFonts w:cs="Times New Roman"/>
          <w:kern w:val="2"/>
          <w:sz w:val="22"/>
          <w:szCs w:val="22"/>
        </w:rPr>
        <w:t>‘</w:t>
      </w:r>
      <w:r w:rsidR="004F7A2A" w:rsidRPr="2A8A7BAD">
        <w:rPr>
          <w:rFonts w:cs="Times New Roman"/>
          <w:kern w:val="2"/>
          <w:sz w:val="22"/>
          <w:szCs w:val="22"/>
        </w:rPr>
        <w:t>s</w:t>
      </w:r>
      <w:r w:rsidRPr="2A8A7BAD">
        <w:rPr>
          <w:rFonts w:cs="Times New Roman"/>
          <w:kern w:val="2"/>
          <w:sz w:val="22"/>
          <w:szCs w:val="22"/>
        </w:rPr>
        <w:t xml:space="preserve"> Administrator or their designee will review survey scores monthly and report quarterly to the governing board of the Applicant</w:t>
      </w:r>
      <w:r w:rsidR="004F7A2A" w:rsidRPr="2A8A7BAD">
        <w:rPr>
          <w:rFonts w:cs="Times New Roman"/>
          <w:kern w:val="2"/>
          <w:sz w:val="22"/>
          <w:szCs w:val="22"/>
        </w:rPr>
        <w:t>.</w:t>
      </w:r>
    </w:p>
    <w:p w14:paraId="6C9771F9" w14:textId="77777777" w:rsidR="00DD04F5" w:rsidRDefault="00DD04F5" w:rsidP="007A4A18">
      <w:pPr>
        <w:pStyle w:val="BodyText"/>
        <w:widowControl/>
        <w:spacing w:before="0"/>
        <w:ind w:left="1100"/>
        <w:jc w:val="both"/>
        <w:rPr>
          <w:rFonts w:cs="Times New Roman"/>
          <w:bCs/>
          <w:kern w:val="2"/>
          <w:sz w:val="22"/>
          <w:szCs w:val="22"/>
        </w:rPr>
      </w:pPr>
    </w:p>
    <w:p w14:paraId="21058402" w14:textId="6BA61159" w:rsidR="00B773DB" w:rsidRPr="00B773DB" w:rsidRDefault="00B773DB" w:rsidP="00B773DB">
      <w:pPr>
        <w:pStyle w:val="ListParagraph"/>
        <w:numPr>
          <w:ilvl w:val="0"/>
          <w:numId w:val="12"/>
        </w:numPr>
        <w:rPr>
          <w:rFonts w:cs="Times New Roman"/>
        </w:rPr>
      </w:pPr>
      <w:r w:rsidRPr="00B773DB">
        <w:rPr>
          <w:rFonts w:cs="Times New Roman"/>
          <w:b/>
          <w:bCs/>
        </w:rPr>
        <w:t xml:space="preserve">Blood Pressure Control: </w:t>
      </w:r>
      <w:r w:rsidRPr="00B773DB">
        <w:rPr>
          <w:rFonts w:cs="Times New Roman"/>
        </w:rPr>
        <w:t>Patients with a diagnosis of high blood pressure and/or diabetes are at a higher risk of coronary artery disease if their blood pressure is not controlled.</w:t>
      </w:r>
    </w:p>
    <w:p w14:paraId="46EE7526" w14:textId="45879B06" w:rsidR="00B773DB" w:rsidRPr="00B773DB" w:rsidRDefault="00B773DB" w:rsidP="00B773DB">
      <w:pPr>
        <w:pStyle w:val="ListParagraph"/>
        <w:numPr>
          <w:ilvl w:val="1"/>
          <w:numId w:val="12"/>
        </w:numPr>
        <w:rPr>
          <w:rFonts w:cs="Times New Roman"/>
        </w:rPr>
      </w:pPr>
      <w:r w:rsidRPr="00B773DB">
        <w:rPr>
          <w:b/>
          <w:bCs/>
        </w:rPr>
        <w:t>Measure:</w:t>
      </w:r>
      <w:r>
        <w:t xml:space="preserve"> Blood Pressure Control will be used to measure the Proposed Project</w:t>
      </w:r>
      <w:r w:rsidR="00FC1749">
        <w:t>’</w:t>
      </w:r>
      <w:r>
        <w:t>s impact on patient outcomes.</w:t>
      </w:r>
    </w:p>
    <w:p w14:paraId="451113B0" w14:textId="66EEAC44" w:rsidR="00B773DB" w:rsidRDefault="00B773DB" w:rsidP="00B773DB">
      <w:pPr>
        <w:spacing w:line="259" w:lineRule="auto"/>
        <w:ind w:left="1440"/>
      </w:pPr>
      <w:r>
        <w:t xml:space="preserve">Numerator = </w:t>
      </w:r>
      <w:r w:rsidR="64DF827B">
        <w:t>Number</w:t>
      </w:r>
      <w:r>
        <w:t xml:space="preserve"> of risk patients with high blood pressure and/or diabetes whose blood pressure is within the control range</w:t>
      </w:r>
    </w:p>
    <w:p w14:paraId="4187CCD1" w14:textId="6D538797" w:rsidR="00B773DB" w:rsidRDefault="00B773DB" w:rsidP="00B773DB">
      <w:pPr>
        <w:spacing w:line="259" w:lineRule="auto"/>
      </w:pPr>
      <w:r>
        <w:tab/>
      </w:r>
      <w:r>
        <w:tab/>
        <w:t xml:space="preserve">Denominator = </w:t>
      </w:r>
      <w:r w:rsidR="0DCFD35A">
        <w:t>-Number</w:t>
      </w:r>
      <w:r>
        <w:t xml:space="preserve"> of risk patients with high blood pressure and/or diabetes</w:t>
      </w:r>
    </w:p>
    <w:p w14:paraId="089CC52D" w14:textId="58B7FEE5" w:rsidR="00B773DB" w:rsidRPr="00B773DB" w:rsidRDefault="00B773DB" w:rsidP="00B773DB">
      <w:pPr>
        <w:pStyle w:val="ListParagraph"/>
        <w:numPr>
          <w:ilvl w:val="1"/>
          <w:numId w:val="12"/>
        </w:numPr>
      </w:pPr>
      <w:r w:rsidRPr="00B773DB">
        <w:rPr>
          <w:b/>
          <w:bCs/>
        </w:rPr>
        <w:t>Projections</w:t>
      </w:r>
      <w:r>
        <w:t xml:space="preserve">: </w:t>
      </w:r>
      <w:r w:rsidRPr="00B773DB">
        <w:rPr>
          <w:rFonts w:cs="Times New Roman"/>
        </w:rPr>
        <w:t xml:space="preserve">As the Proposed Project is to establish two new </w:t>
      </w:r>
      <w:r w:rsidR="00946E47">
        <w:rPr>
          <w:rFonts w:cs="Times New Roman"/>
        </w:rPr>
        <w:t>Satellites</w:t>
      </w:r>
      <w:r w:rsidRPr="00B773DB">
        <w:rPr>
          <w:rFonts w:cs="Times New Roman"/>
        </w:rPr>
        <w:t>, the Applicant will provide baseline measures and three years of projections following the first fiscal year of operation.</w:t>
      </w:r>
    </w:p>
    <w:p w14:paraId="114FE917" w14:textId="3885925C" w:rsidR="00B773DB" w:rsidRPr="00DD04F5" w:rsidRDefault="00B773DB" w:rsidP="00B773DB">
      <w:pPr>
        <w:pStyle w:val="ListParagraph"/>
        <w:numPr>
          <w:ilvl w:val="1"/>
          <w:numId w:val="12"/>
        </w:numPr>
      </w:pPr>
      <w:r w:rsidRPr="2A8A7BAD">
        <w:rPr>
          <w:rFonts w:cs="Times New Roman"/>
          <w:b/>
          <w:bCs/>
        </w:rPr>
        <w:t>Monitoring</w:t>
      </w:r>
      <w:r w:rsidRPr="2A8A7BAD">
        <w:rPr>
          <w:rFonts w:cs="Times New Roman"/>
        </w:rPr>
        <w:t xml:space="preserve">: Each </w:t>
      </w:r>
      <w:r w:rsidR="00946E47" w:rsidRPr="2A8A7BAD">
        <w:rPr>
          <w:rFonts w:cs="Times New Roman"/>
        </w:rPr>
        <w:t>Satellite</w:t>
      </w:r>
      <w:r w:rsidR="00FC1749" w:rsidRPr="2A8A7BAD">
        <w:rPr>
          <w:rFonts w:cs="Times New Roman"/>
        </w:rPr>
        <w:t>‘</w:t>
      </w:r>
      <w:r w:rsidRPr="2A8A7BAD">
        <w:rPr>
          <w:rFonts w:cs="Times New Roman"/>
        </w:rPr>
        <w:t>s Administrator or their designee will</w:t>
      </w:r>
      <w:r w:rsidR="00DD04F5" w:rsidRPr="2A8A7BAD">
        <w:rPr>
          <w:rFonts w:cs="Times New Roman"/>
        </w:rPr>
        <w:t xml:space="preserve"> review patient outcomes monthly and report quarterly to the governing board of the Applicant. </w:t>
      </w:r>
    </w:p>
    <w:p w14:paraId="45AEE049" w14:textId="77777777" w:rsidR="00DD04F5" w:rsidRDefault="00DD04F5" w:rsidP="00DD04F5">
      <w:pPr>
        <w:pStyle w:val="ListParagraph"/>
        <w:numPr>
          <w:ilvl w:val="0"/>
          <w:numId w:val="12"/>
        </w:numPr>
        <w:rPr>
          <w:b/>
          <w:bCs/>
        </w:rPr>
      </w:pPr>
      <w:r w:rsidRPr="00DD04F5">
        <w:rPr>
          <w:b/>
          <w:bCs/>
        </w:rPr>
        <w:t xml:space="preserve">A1c Control and Compliance: </w:t>
      </w:r>
      <w:r w:rsidRPr="00DD04F5">
        <w:t xml:space="preserve">Patients with diabetes must control their blood sugar levels to improve their health outcome. </w:t>
      </w:r>
    </w:p>
    <w:p w14:paraId="745EA2F1" w14:textId="264B1B91" w:rsidR="00DD04F5" w:rsidRPr="00DD04F5" w:rsidRDefault="00DD04F5" w:rsidP="00DD04F5">
      <w:pPr>
        <w:pStyle w:val="ListParagraph"/>
        <w:numPr>
          <w:ilvl w:val="1"/>
          <w:numId w:val="12"/>
        </w:numPr>
        <w:rPr>
          <w:b/>
          <w:bCs/>
        </w:rPr>
      </w:pPr>
      <w:r w:rsidRPr="00DD04F5">
        <w:rPr>
          <w:b/>
          <w:bCs/>
        </w:rPr>
        <w:t xml:space="preserve">Measure: </w:t>
      </w:r>
      <w:r w:rsidRPr="00DD04F5">
        <w:t>A1c Control and Compliance will be used to measure the Proposed Project</w:t>
      </w:r>
      <w:r w:rsidR="00FC1749">
        <w:t>’</w:t>
      </w:r>
      <w:r w:rsidRPr="00DD04F5">
        <w:t xml:space="preserve">s impact on patient outcomes. </w:t>
      </w:r>
    </w:p>
    <w:p w14:paraId="5D341B85" w14:textId="77777777" w:rsidR="00DD04F5" w:rsidRDefault="00DD04F5" w:rsidP="00DD04F5">
      <w:pPr>
        <w:pStyle w:val="ListParagraph"/>
        <w:ind w:left="1100"/>
        <w:rPr>
          <w:b/>
          <w:bCs/>
        </w:rPr>
      </w:pPr>
    </w:p>
    <w:p w14:paraId="4BCB6FCF" w14:textId="77777777" w:rsidR="00DD04F5" w:rsidRPr="00DD04F5" w:rsidRDefault="00DD04F5" w:rsidP="00DD04F5">
      <w:pPr>
        <w:pStyle w:val="ListParagraph"/>
        <w:ind w:left="1440"/>
      </w:pPr>
      <w:r w:rsidRPr="00DD04F5">
        <w:t xml:space="preserve">Numerator = Number of risk patients with a diagnosis of diabetes whose A1c levels are within target range </w:t>
      </w:r>
    </w:p>
    <w:p w14:paraId="01134354" w14:textId="77777777" w:rsidR="00DD04F5" w:rsidRDefault="00DD04F5" w:rsidP="00DD04F5">
      <w:pPr>
        <w:pStyle w:val="ListParagraph"/>
        <w:ind w:left="1440"/>
        <w:rPr>
          <w:b/>
          <w:bCs/>
        </w:rPr>
      </w:pPr>
    </w:p>
    <w:p w14:paraId="49AE49DE" w14:textId="254E9869" w:rsidR="00DD04F5" w:rsidRDefault="00DD04F5" w:rsidP="00DD04F5">
      <w:pPr>
        <w:pStyle w:val="ListParagraph"/>
        <w:ind w:left="1440"/>
      </w:pPr>
      <w:r w:rsidRPr="00DD04F5">
        <w:t xml:space="preserve">Denominator = Number of risk patients with a diagnosis of diabetes </w:t>
      </w:r>
    </w:p>
    <w:p w14:paraId="5339AF69" w14:textId="77777777" w:rsidR="00DD04F5" w:rsidRPr="00DD04F5" w:rsidRDefault="00DD04F5" w:rsidP="00DD04F5">
      <w:pPr>
        <w:pStyle w:val="ListParagraph"/>
        <w:ind w:left="1440"/>
      </w:pPr>
    </w:p>
    <w:p w14:paraId="1047DD85" w14:textId="77777777" w:rsidR="00DD04F5" w:rsidRPr="00DD04F5" w:rsidRDefault="00DD04F5" w:rsidP="00DD04F5">
      <w:pPr>
        <w:pStyle w:val="ListParagraph"/>
        <w:numPr>
          <w:ilvl w:val="1"/>
          <w:numId w:val="12"/>
        </w:numPr>
        <w:rPr>
          <w:b/>
          <w:bCs/>
        </w:rPr>
      </w:pPr>
      <w:r w:rsidRPr="00DD04F5">
        <w:rPr>
          <w:b/>
          <w:bCs/>
        </w:rPr>
        <w:t>Projections</w:t>
      </w:r>
      <w:r w:rsidRPr="00DD04F5">
        <w:t>: As the Proposed Project is to establish two new Facilities, the Applicant will provide baseline measures and three years of projections following the first fiscal year of operation.</w:t>
      </w:r>
    </w:p>
    <w:p w14:paraId="2F841D66" w14:textId="3E1A3875" w:rsidR="00DD04F5" w:rsidRDefault="00DD04F5" w:rsidP="00DD04F5">
      <w:pPr>
        <w:pStyle w:val="ListParagraph"/>
        <w:numPr>
          <w:ilvl w:val="1"/>
          <w:numId w:val="12"/>
        </w:numPr>
      </w:pPr>
      <w:r w:rsidRPr="00DD04F5">
        <w:rPr>
          <w:b/>
          <w:bCs/>
        </w:rPr>
        <w:t xml:space="preserve">Monitoring: </w:t>
      </w:r>
      <w:r w:rsidRPr="00DD04F5">
        <w:t xml:space="preserve">Each </w:t>
      </w:r>
      <w:r w:rsidR="003E06AC">
        <w:rPr>
          <w:rFonts w:eastAsia="Calibri" w:cs="Times New Roman"/>
        </w:rPr>
        <w:t>Satellite</w:t>
      </w:r>
      <w:r w:rsidR="00FC1749">
        <w:t>’</w:t>
      </w:r>
      <w:r w:rsidR="003E06AC">
        <w:t xml:space="preserve">s </w:t>
      </w:r>
      <w:r w:rsidRPr="00DD04F5">
        <w:t>Administrator or their designee will review patient outcomes monthly and report quarterly to the governing board of the Applicant.</w:t>
      </w:r>
    </w:p>
    <w:p w14:paraId="06B248BC" w14:textId="458380E0" w:rsidR="00DD04F5" w:rsidRDefault="00DD04F5" w:rsidP="00DD04F5"/>
    <w:p w14:paraId="60F3F6D4" w14:textId="77777777" w:rsidR="00DD04F5" w:rsidRPr="00DD04F5" w:rsidRDefault="00DD04F5" w:rsidP="00DD04F5"/>
    <w:p w14:paraId="2234EE67" w14:textId="77777777" w:rsidR="00402438" w:rsidRPr="000153E7" w:rsidRDefault="00402438" w:rsidP="00F5423C">
      <w:pPr>
        <w:pStyle w:val="BodyText"/>
        <w:widowControl/>
        <w:spacing w:before="0"/>
        <w:ind w:left="1440"/>
        <w:jc w:val="both"/>
        <w:rPr>
          <w:rFonts w:cs="Times New Roman"/>
          <w:b/>
          <w:kern w:val="2"/>
          <w:sz w:val="22"/>
          <w:szCs w:val="22"/>
        </w:rPr>
      </w:pPr>
    </w:p>
    <w:bookmarkEnd w:id="5"/>
    <w:p w14:paraId="5CD4FBB4" w14:textId="77777777" w:rsidR="008E4BCB" w:rsidRDefault="008E4BCB">
      <w:pPr>
        <w:spacing w:line="259" w:lineRule="auto"/>
        <w:rPr>
          <w:rFonts w:cs="Times New Roman"/>
          <w:b/>
          <w:kern w:val="2"/>
        </w:rPr>
      </w:pPr>
      <w:r>
        <w:rPr>
          <w:rFonts w:cs="Times New Roman"/>
          <w:b/>
          <w:kern w:val="2"/>
        </w:rPr>
        <w:lastRenderedPageBreak/>
        <w:br w:type="page"/>
      </w:r>
    </w:p>
    <w:p w14:paraId="7AF3078B" w14:textId="3BAFA836" w:rsidR="00411DB8" w:rsidRPr="000153E7" w:rsidRDefault="00411DB8" w:rsidP="00411DB8">
      <w:pPr>
        <w:spacing w:after="120" w:line="240" w:lineRule="auto"/>
        <w:jc w:val="both"/>
        <w:rPr>
          <w:rFonts w:eastAsia="Arial" w:cs="Times New Roman"/>
          <w:b/>
          <w:kern w:val="2"/>
        </w:rPr>
      </w:pPr>
      <w:r w:rsidRPr="000153E7">
        <w:rPr>
          <w:rFonts w:cs="Times New Roman"/>
          <w:b/>
          <w:kern w:val="2"/>
        </w:rPr>
        <w:lastRenderedPageBreak/>
        <w:t>F1.b.iii</w:t>
      </w:r>
      <w:r w:rsidRPr="000153E7">
        <w:rPr>
          <w:rFonts w:cs="Times New Roman"/>
          <w:b/>
          <w:kern w:val="2"/>
        </w:rPr>
        <w:tab/>
      </w:r>
      <w:r w:rsidRPr="000153E7">
        <w:rPr>
          <w:rFonts w:cs="Times New Roman"/>
          <w:kern w:val="2"/>
        </w:rPr>
        <w:tab/>
      </w:r>
      <w:r w:rsidRPr="000153E7">
        <w:rPr>
          <w:rFonts w:cs="Times New Roman"/>
          <w:b/>
          <w:kern w:val="2"/>
          <w:u w:val="single"/>
        </w:rPr>
        <w:t>Public Health Value /Health Equity-Focused:</w:t>
      </w:r>
    </w:p>
    <w:p w14:paraId="15D46C03" w14:textId="0242F742" w:rsidR="00760C24" w:rsidRDefault="00411DB8" w:rsidP="00DA280A">
      <w:pPr>
        <w:pStyle w:val="BodyText"/>
        <w:widowControl/>
        <w:spacing w:before="0" w:after="120"/>
        <w:ind w:left="1440"/>
        <w:jc w:val="both"/>
        <w:rPr>
          <w:rFonts w:cs="Times New Roman"/>
          <w:b/>
          <w:kern w:val="2"/>
          <w:sz w:val="22"/>
          <w:szCs w:val="22"/>
        </w:rPr>
      </w:pPr>
      <w:r w:rsidRPr="000153E7">
        <w:rPr>
          <w:rFonts w:cs="Times New Roman"/>
          <w:b/>
          <w:kern w:val="2"/>
          <w:sz w:val="22"/>
          <w:szCs w:val="22"/>
        </w:rPr>
        <w:t>For Proposed Projects addressing health inequities identified within the Applicant</w:t>
      </w:r>
      <w:r w:rsidR="00FC1749">
        <w:rPr>
          <w:rFonts w:cs="Times New Roman"/>
          <w:b/>
          <w:kern w:val="2"/>
          <w:sz w:val="22"/>
          <w:szCs w:val="22"/>
        </w:rPr>
        <w:t>’</w:t>
      </w:r>
      <w:r w:rsidRPr="000153E7">
        <w:rPr>
          <w:rFonts w:cs="Times New Roman"/>
          <w:b/>
          <w:kern w:val="2"/>
          <w:sz w:val="22"/>
          <w:szCs w:val="22"/>
        </w:rPr>
        <w:t>s description of the Proposed Project</w:t>
      </w:r>
      <w:r w:rsidR="00FC1749">
        <w:rPr>
          <w:rFonts w:cs="Times New Roman"/>
          <w:b/>
          <w:kern w:val="2"/>
          <w:sz w:val="22"/>
          <w:szCs w:val="22"/>
        </w:rPr>
        <w:t>’</w:t>
      </w:r>
      <w:r w:rsidRPr="000153E7">
        <w:rPr>
          <w:rFonts w:cs="Times New Roman"/>
          <w:b/>
          <w:kern w:val="2"/>
          <w:sz w:val="22"/>
          <w:szCs w:val="22"/>
        </w:rPr>
        <w:t>s need</w:t>
      </w:r>
      <w:r w:rsidRPr="000153E7">
        <w:rPr>
          <w:rFonts w:cs="Times New Roman"/>
          <w:b/>
          <w:kern w:val="2"/>
          <w:sz w:val="22"/>
          <w:szCs w:val="22"/>
        </w:rPr>
        <w:softHyphen/>
      </w:r>
      <w:r w:rsidR="00402438">
        <w:rPr>
          <w:rFonts w:cs="Times New Roman"/>
          <w:b/>
          <w:kern w:val="2"/>
          <w:sz w:val="22"/>
          <w:szCs w:val="22"/>
        </w:rPr>
        <w:t xml:space="preserve"> </w:t>
      </w:r>
      <w:r w:rsidRPr="000153E7">
        <w:rPr>
          <w:rFonts w:cs="Times New Roman"/>
          <w:b/>
          <w:kern w:val="2"/>
          <w:sz w:val="22"/>
          <w:szCs w:val="22"/>
        </w:rPr>
        <w:t>base, please justify how the Proposed Project will reduce the health inequity, including the operational components (</w:t>
      </w:r>
      <w:r w:rsidR="00CE1CC0" w:rsidRPr="000153E7">
        <w:rPr>
          <w:rFonts w:cs="Times New Roman"/>
          <w:b/>
          <w:kern w:val="2"/>
          <w:sz w:val="22"/>
          <w:szCs w:val="22"/>
        </w:rPr>
        <w:t>e.g.,</w:t>
      </w:r>
      <w:r w:rsidRPr="000153E7">
        <w:rPr>
          <w:rFonts w:cs="Times New Roman"/>
          <w:b/>
          <w:kern w:val="2"/>
          <w:sz w:val="22"/>
          <w:szCs w:val="22"/>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6876E5D8" w14:textId="49EE9D5F" w:rsidR="00107A79" w:rsidRDefault="00107A79" w:rsidP="00107A79">
      <w:pPr>
        <w:pStyle w:val="BodyText"/>
        <w:widowControl/>
        <w:spacing w:before="0" w:after="120"/>
        <w:jc w:val="both"/>
        <w:rPr>
          <w:rFonts w:cs="Times New Roman"/>
          <w:bCs/>
          <w:kern w:val="2"/>
          <w:sz w:val="22"/>
          <w:szCs w:val="22"/>
        </w:rPr>
      </w:pPr>
      <w:r w:rsidRPr="00DA4756">
        <w:rPr>
          <w:sz w:val="22"/>
        </w:rPr>
        <w:t xml:space="preserve">BIDMC </w:t>
      </w:r>
      <w:r>
        <w:rPr>
          <w:sz w:val="22"/>
        </w:rPr>
        <w:t>takes</w:t>
      </w:r>
      <w:r w:rsidRPr="00DA4756">
        <w:rPr>
          <w:sz w:val="22"/>
        </w:rPr>
        <w:t xml:space="preserve"> an individualized, patient-centered approach to care and treatment of all patients, with an aim of providing holistic well-being for the individual. Through discussion</w:t>
      </w:r>
      <w:r>
        <w:rPr>
          <w:sz w:val="22"/>
        </w:rPr>
        <w:t>s</w:t>
      </w:r>
      <w:r w:rsidRPr="00DA4756">
        <w:rPr>
          <w:sz w:val="22"/>
        </w:rPr>
        <w:t xml:space="preserve"> with the patient, and assessments of physical, functional, psychosocial, personal safety, financial, </w:t>
      </w:r>
      <w:r w:rsidR="00DD04F5">
        <w:rPr>
          <w:sz w:val="22"/>
        </w:rPr>
        <w:t xml:space="preserve">and </w:t>
      </w:r>
      <w:r w:rsidRPr="00DA4756">
        <w:rPr>
          <w:sz w:val="22"/>
        </w:rPr>
        <w:t>substance use,</w:t>
      </w:r>
      <w:r>
        <w:rPr>
          <w:sz w:val="22"/>
        </w:rPr>
        <w:t xml:space="preserve"> BIDMC identifies patient needs across the spectrum of care.</w:t>
      </w:r>
      <w:r w:rsidR="00251717">
        <w:rPr>
          <w:sz w:val="22"/>
        </w:rPr>
        <w:t xml:space="preserve"> </w:t>
      </w:r>
      <w:r w:rsidRPr="00760C24">
        <w:rPr>
          <w:rFonts w:cs="Times New Roman"/>
          <w:bCs/>
          <w:kern w:val="2"/>
          <w:sz w:val="22"/>
          <w:szCs w:val="22"/>
        </w:rPr>
        <w:t>As detailed throughout this Application, the Proposed Project will increase access to lower-cost, high quality</w:t>
      </w:r>
      <w:r>
        <w:rPr>
          <w:rFonts w:cs="Times New Roman"/>
          <w:bCs/>
          <w:kern w:val="2"/>
          <w:sz w:val="22"/>
          <w:szCs w:val="22"/>
        </w:rPr>
        <w:t xml:space="preserve"> care </w:t>
      </w:r>
      <w:r w:rsidRPr="00760C24">
        <w:rPr>
          <w:rFonts w:cs="Times New Roman"/>
          <w:bCs/>
          <w:kern w:val="2"/>
          <w:sz w:val="22"/>
          <w:szCs w:val="22"/>
        </w:rPr>
        <w:t>for patients in the proposed service area</w:t>
      </w:r>
      <w:r>
        <w:rPr>
          <w:rFonts w:cs="Times New Roman"/>
          <w:bCs/>
          <w:kern w:val="2"/>
          <w:sz w:val="22"/>
          <w:szCs w:val="22"/>
        </w:rPr>
        <w:t>s</w:t>
      </w:r>
      <w:r w:rsidRPr="00760C24">
        <w:rPr>
          <w:rFonts w:cs="Times New Roman"/>
          <w:bCs/>
          <w:kern w:val="2"/>
          <w:sz w:val="22"/>
          <w:szCs w:val="22"/>
        </w:rPr>
        <w:t>. The</w:t>
      </w:r>
      <w:r>
        <w:rPr>
          <w:rFonts w:cs="Times New Roman"/>
          <w:bCs/>
          <w:kern w:val="2"/>
          <w:sz w:val="22"/>
          <w:szCs w:val="22"/>
        </w:rPr>
        <w:t xml:space="preserve"> Applicant</w:t>
      </w:r>
      <w:r w:rsidRPr="00760C24">
        <w:rPr>
          <w:rFonts w:cs="Times New Roman"/>
          <w:bCs/>
          <w:kern w:val="2"/>
          <w:sz w:val="22"/>
          <w:szCs w:val="22"/>
        </w:rPr>
        <w:t xml:space="preserve"> </w:t>
      </w:r>
      <w:r>
        <w:rPr>
          <w:rFonts w:cs="Times New Roman"/>
          <w:bCs/>
          <w:kern w:val="2"/>
          <w:sz w:val="22"/>
          <w:szCs w:val="22"/>
        </w:rPr>
        <w:t>does</w:t>
      </w:r>
      <w:r w:rsidRPr="00760C24">
        <w:rPr>
          <w:rFonts w:cs="Times New Roman"/>
          <w:bCs/>
          <w:kern w:val="2"/>
          <w:sz w:val="22"/>
          <w:szCs w:val="22"/>
        </w:rPr>
        <w:t xml:space="preserve"> not discriminate based on age, race, ethnicity, gender/gender-identity, physical ability, sensory or speech limitations, or religious, spiritual</w:t>
      </w:r>
      <w:r>
        <w:rPr>
          <w:rFonts w:cs="Times New Roman"/>
          <w:bCs/>
          <w:kern w:val="2"/>
          <w:sz w:val="22"/>
          <w:szCs w:val="22"/>
        </w:rPr>
        <w:t>,</w:t>
      </w:r>
      <w:r w:rsidRPr="00760C24">
        <w:rPr>
          <w:rFonts w:cs="Times New Roman"/>
          <w:bCs/>
          <w:kern w:val="2"/>
          <w:sz w:val="22"/>
          <w:szCs w:val="22"/>
        </w:rPr>
        <w:t xml:space="preserve"> and cultural beliefs, nor a patient</w:t>
      </w:r>
      <w:r w:rsidR="00FC1749">
        <w:rPr>
          <w:rFonts w:cs="Times New Roman"/>
          <w:bCs/>
          <w:kern w:val="2"/>
          <w:sz w:val="22"/>
          <w:szCs w:val="22"/>
        </w:rPr>
        <w:t>’</w:t>
      </w:r>
      <w:r w:rsidRPr="00760C24">
        <w:rPr>
          <w:rFonts w:cs="Times New Roman"/>
          <w:bCs/>
          <w:kern w:val="2"/>
          <w:sz w:val="22"/>
          <w:szCs w:val="22"/>
        </w:rPr>
        <w:t xml:space="preserve">s ability to pay or payer source. </w:t>
      </w:r>
    </w:p>
    <w:p w14:paraId="032ADE2E" w14:textId="70F8EFBC" w:rsidR="00DB0D69" w:rsidRPr="00DB0D69" w:rsidRDefault="00DB0D69" w:rsidP="00DB0D69">
      <w:pPr>
        <w:pStyle w:val="BodyText"/>
        <w:widowControl/>
        <w:numPr>
          <w:ilvl w:val="0"/>
          <w:numId w:val="22"/>
        </w:numPr>
        <w:spacing w:before="0" w:after="120"/>
        <w:jc w:val="both"/>
        <w:rPr>
          <w:rFonts w:cs="Times New Roman"/>
          <w:bCs/>
          <w:kern w:val="2"/>
          <w:sz w:val="22"/>
          <w:szCs w:val="22"/>
          <w:u w:val="single"/>
        </w:rPr>
      </w:pPr>
      <w:r w:rsidRPr="00DB0D69">
        <w:rPr>
          <w:rFonts w:cs="Times New Roman"/>
          <w:bCs/>
          <w:kern w:val="2"/>
          <w:sz w:val="22"/>
          <w:szCs w:val="22"/>
          <w:u w:val="single"/>
        </w:rPr>
        <w:t>Accessibility</w:t>
      </w:r>
      <w:r>
        <w:rPr>
          <w:rFonts w:cs="Times New Roman"/>
          <w:bCs/>
          <w:kern w:val="2"/>
          <w:sz w:val="22"/>
          <w:szCs w:val="22"/>
          <w:u w:val="single"/>
        </w:rPr>
        <w:t xml:space="preserve"> and Social Determinants of Health</w:t>
      </w:r>
    </w:p>
    <w:p w14:paraId="345C8170" w14:textId="514F7EB0" w:rsidR="00107A79" w:rsidRDefault="00107A79" w:rsidP="00107A79">
      <w:pPr>
        <w:pStyle w:val="BodyText"/>
        <w:widowControl/>
        <w:spacing w:before="0" w:after="120"/>
        <w:jc w:val="both"/>
        <w:rPr>
          <w:rFonts w:cs="Times New Roman"/>
          <w:bCs/>
          <w:kern w:val="2"/>
          <w:sz w:val="22"/>
          <w:szCs w:val="22"/>
        </w:rPr>
      </w:pPr>
      <w:r>
        <w:rPr>
          <w:rFonts w:cs="Times New Roman"/>
          <w:bCs/>
          <w:kern w:val="2"/>
          <w:sz w:val="22"/>
          <w:szCs w:val="22"/>
        </w:rPr>
        <w:t xml:space="preserve">The </w:t>
      </w:r>
      <w:r w:rsidR="00946E47">
        <w:rPr>
          <w:rFonts w:cs="Times New Roman"/>
          <w:bCs/>
          <w:kern w:val="2"/>
          <w:sz w:val="22"/>
          <w:szCs w:val="22"/>
        </w:rPr>
        <w:t>Satellites</w:t>
      </w:r>
      <w:r>
        <w:rPr>
          <w:rFonts w:cs="Times New Roman"/>
          <w:bCs/>
          <w:kern w:val="2"/>
          <w:sz w:val="22"/>
          <w:szCs w:val="22"/>
        </w:rPr>
        <w:t xml:space="preserve"> </w:t>
      </w:r>
      <w:r w:rsidRPr="00760C24">
        <w:rPr>
          <w:rFonts w:cs="Times New Roman"/>
          <w:bCs/>
          <w:kern w:val="2"/>
          <w:sz w:val="22"/>
          <w:szCs w:val="22"/>
        </w:rPr>
        <w:t xml:space="preserve">will be physically accessible to all patients. In addition, the </w:t>
      </w:r>
      <w:r w:rsidR="00946E47">
        <w:rPr>
          <w:rFonts w:cs="Times New Roman"/>
          <w:bCs/>
          <w:kern w:val="2"/>
          <w:sz w:val="22"/>
          <w:szCs w:val="22"/>
        </w:rPr>
        <w:t>Satellites</w:t>
      </w:r>
      <w:r>
        <w:rPr>
          <w:rFonts w:cs="Times New Roman"/>
          <w:bCs/>
          <w:kern w:val="2"/>
          <w:sz w:val="22"/>
          <w:szCs w:val="22"/>
        </w:rPr>
        <w:t xml:space="preserve"> </w:t>
      </w:r>
      <w:r w:rsidRPr="00760C24">
        <w:rPr>
          <w:rFonts w:cs="Times New Roman"/>
          <w:bCs/>
          <w:kern w:val="2"/>
          <w:sz w:val="22"/>
          <w:szCs w:val="22"/>
        </w:rPr>
        <w:t>will offer multiple tools to address language barriers and emotional barriers at the point of scheduling. A key component will be translation and video interpretive services. This service will be available 24 hours per day, seven days per week. Deaf and hard</w:t>
      </w:r>
      <w:r w:rsidR="00915EB7">
        <w:rPr>
          <w:rFonts w:cs="Times New Roman"/>
          <w:bCs/>
          <w:kern w:val="2"/>
          <w:sz w:val="22"/>
          <w:szCs w:val="22"/>
        </w:rPr>
        <w:t>-</w:t>
      </w:r>
      <w:r w:rsidRPr="00760C24">
        <w:rPr>
          <w:rFonts w:cs="Times New Roman"/>
          <w:bCs/>
          <w:kern w:val="2"/>
          <w:sz w:val="22"/>
          <w:szCs w:val="22"/>
        </w:rPr>
        <w:t>of</w:t>
      </w:r>
      <w:r w:rsidR="00915EB7">
        <w:rPr>
          <w:rFonts w:cs="Times New Roman"/>
          <w:bCs/>
          <w:kern w:val="2"/>
          <w:sz w:val="22"/>
          <w:szCs w:val="22"/>
        </w:rPr>
        <w:t>-</w:t>
      </w:r>
      <w:r w:rsidRPr="00760C24">
        <w:rPr>
          <w:rFonts w:cs="Times New Roman"/>
          <w:bCs/>
          <w:kern w:val="2"/>
          <w:sz w:val="22"/>
          <w:szCs w:val="22"/>
        </w:rPr>
        <w:t xml:space="preserve">hearing patients will access the same high-quality services through the interpreter service, via LanguageLine. </w:t>
      </w:r>
      <w:r>
        <w:rPr>
          <w:rFonts w:cs="Times New Roman"/>
          <w:bCs/>
          <w:kern w:val="2"/>
          <w:sz w:val="22"/>
          <w:szCs w:val="22"/>
        </w:rPr>
        <w:t>The</w:t>
      </w:r>
      <w:r w:rsidRPr="00760C24">
        <w:rPr>
          <w:rFonts w:cs="Times New Roman"/>
          <w:bCs/>
          <w:kern w:val="2"/>
          <w:sz w:val="22"/>
          <w:szCs w:val="22"/>
        </w:rPr>
        <w:t xml:space="preserve"> Applicant will </w:t>
      </w:r>
      <w:r>
        <w:rPr>
          <w:rFonts w:cs="Times New Roman"/>
          <w:bCs/>
          <w:kern w:val="2"/>
          <w:sz w:val="22"/>
          <w:szCs w:val="22"/>
        </w:rPr>
        <w:t xml:space="preserve">additionally </w:t>
      </w:r>
      <w:r w:rsidRPr="00760C24">
        <w:rPr>
          <w:rFonts w:cs="Times New Roman"/>
          <w:bCs/>
          <w:kern w:val="2"/>
          <w:sz w:val="22"/>
          <w:szCs w:val="22"/>
        </w:rPr>
        <w:t>employ a culturally competent staff to ensure each patient</w:t>
      </w:r>
      <w:r w:rsidR="00FC1749">
        <w:rPr>
          <w:rFonts w:cs="Times New Roman"/>
          <w:bCs/>
          <w:kern w:val="2"/>
          <w:sz w:val="22"/>
          <w:szCs w:val="22"/>
        </w:rPr>
        <w:t>’</w:t>
      </w:r>
      <w:r w:rsidRPr="00760C24">
        <w:rPr>
          <w:rFonts w:cs="Times New Roman"/>
          <w:bCs/>
          <w:kern w:val="2"/>
          <w:sz w:val="22"/>
          <w:szCs w:val="22"/>
        </w:rPr>
        <w:t>s experience meets their needs. Utilizing culturally competent staff recognizes the holistic needs of patients throughout their encounter at</w:t>
      </w:r>
      <w:r>
        <w:rPr>
          <w:rFonts w:cs="Times New Roman"/>
          <w:bCs/>
          <w:kern w:val="2"/>
          <w:sz w:val="22"/>
          <w:szCs w:val="22"/>
        </w:rPr>
        <w:t xml:space="preserve"> each </w:t>
      </w:r>
      <w:r w:rsidR="00946E47">
        <w:rPr>
          <w:rFonts w:cs="Times New Roman"/>
          <w:bCs/>
          <w:kern w:val="2"/>
          <w:sz w:val="22"/>
          <w:szCs w:val="22"/>
        </w:rPr>
        <w:t>Satellite</w:t>
      </w:r>
      <w:r w:rsidR="00FE4BF6">
        <w:rPr>
          <w:rFonts w:cs="Times New Roman"/>
          <w:bCs/>
          <w:kern w:val="2"/>
          <w:sz w:val="22"/>
          <w:szCs w:val="22"/>
        </w:rPr>
        <w:t xml:space="preserve">. </w:t>
      </w:r>
    </w:p>
    <w:p w14:paraId="5BDE63BA" w14:textId="08E6D335" w:rsidR="00107A79" w:rsidRDefault="00107A79" w:rsidP="2A8A7BAD">
      <w:pPr>
        <w:pStyle w:val="BodyText"/>
        <w:spacing w:after="120"/>
        <w:jc w:val="both"/>
        <w:rPr>
          <w:rFonts w:cs="Times New Roman"/>
          <w:kern w:val="2"/>
          <w:sz w:val="22"/>
          <w:szCs w:val="22"/>
        </w:rPr>
      </w:pPr>
      <w:r w:rsidRPr="2A8A7BAD">
        <w:rPr>
          <w:rFonts w:cs="Times New Roman"/>
          <w:kern w:val="2"/>
          <w:sz w:val="22"/>
          <w:szCs w:val="22"/>
        </w:rPr>
        <w:t>BIDMC seeks to provide culturally sensitive services whenever possible and offers clinics for both Spanish-speaking patients and for Russian-speaking patients. This includes the Latinx Cardiovascular Clinic, the Latinx Colorectal Surgery Clinic, the Latinx Rheumatology Clinic, and the Russian Cardiovascular Clinic.</w:t>
      </w:r>
    </w:p>
    <w:p w14:paraId="78A5D464" w14:textId="2687E565" w:rsidR="00DB0D69" w:rsidRDefault="00DB0D69" w:rsidP="00DB0D69">
      <w:pPr>
        <w:pStyle w:val="BodyText"/>
        <w:widowControl/>
        <w:spacing w:before="0" w:after="120"/>
        <w:jc w:val="both"/>
        <w:rPr>
          <w:rFonts w:cs="Times New Roman"/>
          <w:bCs/>
          <w:kern w:val="2"/>
          <w:sz w:val="22"/>
          <w:szCs w:val="22"/>
        </w:rPr>
      </w:pPr>
      <w:r w:rsidRPr="00DB0D69">
        <w:rPr>
          <w:rFonts w:cs="Times New Roman"/>
          <w:bCs/>
          <w:kern w:val="2"/>
          <w:sz w:val="22"/>
          <w:szCs w:val="22"/>
        </w:rPr>
        <w:t xml:space="preserve">Recently, </w:t>
      </w:r>
      <w:r>
        <w:rPr>
          <w:rFonts w:cs="Times New Roman"/>
          <w:bCs/>
          <w:kern w:val="2"/>
          <w:sz w:val="22"/>
          <w:szCs w:val="22"/>
        </w:rPr>
        <w:t>the Applicant</w:t>
      </w:r>
      <w:r w:rsidRPr="00DB0D69">
        <w:rPr>
          <w:rFonts w:cs="Times New Roman"/>
          <w:bCs/>
          <w:kern w:val="2"/>
          <w:sz w:val="22"/>
          <w:szCs w:val="22"/>
        </w:rPr>
        <w:t xml:space="preserve"> created the Massachusetts Institute for Equity-Focused Learning Health System Science (the </w:t>
      </w:r>
      <w:r w:rsidR="00FC1749">
        <w:rPr>
          <w:rFonts w:cs="Times New Roman"/>
          <w:bCs/>
          <w:kern w:val="2"/>
          <w:sz w:val="22"/>
          <w:szCs w:val="22"/>
        </w:rPr>
        <w:t>“</w:t>
      </w:r>
      <w:r w:rsidRPr="00DB0D69">
        <w:rPr>
          <w:rFonts w:cs="Times New Roman"/>
          <w:bCs/>
          <w:kern w:val="2"/>
          <w:sz w:val="22"/>
          <w:szCs w:val="22"/>
        </w:rPr>
        <w:t>Institute</w:t>
      </w:r>
      <w:r w:rsidR="00FC1749">
        <w:rPr>
          <w:rFonts w:cs="Times New Roman"/>
          <w:bCs/>
          <w:kern w:val="2"/>
          <w:sz w:val="22"/>
          <w:szCs w:val="22"/>
        </w:rPr>
        <w:t>”</w:t>
      </w:r>
      <w:r w:rsidRPr="00DB0D69">
        <w:rPr>
          <w:rFonts w:cs="Times New Roman"/>
          <w:bCs/>
          <w:kern w:val="2"/>
          <w:sz w:val="22"/>
          <w:szCs w:val="22"/>
        </w:rPr>
        <w:t>) in collaboration with leaders from other Massachusetts healthcare systems. Funded by a grant from the federal Agency for Healthcare Research and Quality (</w:t>
      </w:r>
      <w:r w:rsidR="00FC1749">
        <w:rPr>
          <w:rFonts w:cs="Times New Roman"/>
          <w:bCs/>
          <w:kern w:val="2"/>
          <w:sz w:val="22"/>
          <w:szCs w:val="22"/>
        </w:rPr>
        <w:t>“</w:t>
      </w:r>
      <w:r w:rsidRPr="00DB0D69">
        <w:rPr>
          <w:rFonts w:cs="Times New Roman"/>
          <w:bCs/>
          <w:kern w:val="2"/>
          <w:sz w:val="22"/>
          <w:szCs w:val="22"/>
        </w:rPr>
        <w:t>AHRQ</w:t>
      </w:r>
      <w:r w:rsidR="00FC1749">
        <w:rPr>
          <w:rFonts w:cs="Times New Roman"/>
          <w:bCs/>
          <w:kern w:val="2"/>
          <w:sz w:val="22"/>
          <w:szCs w:val="22"/>
        </w:rPr>
        <w:t>”</w:t>
      </w:r>
      <w:r w:rsidRPr="00DB0D69">
        <w:rPr>
          <w:rFonts w:cs="Times New Roman"/>
          <w:bCs/>
          <w:kern w:val="2"/>
          <w:sz w:val="22"/>
          <w:szCs w:val="22"/>
        </w:rPr>
        <w:t>), the Institute seeks to expedite equity-focused research to address health disparities and will work to ensure research of equity measures and social determinants of health is guided by common data standards and led by a diverse group of researchers representative of the Commonwealth</w:t>
      </w:r>
      <w:r w:rsidR="00FC1749">
        <w:rPr>
          <w:rFonts w:cs="Times New Roman"/>
          <w:bCs/>
          <w:kern w:val="2"/>
          <w:sz w:val="22"/>
          <w:szCs w:val="22"/>
        </w:rPr>
        <w:t>’</w:t>
      </w:r>
      <w:r w:rsidRPr="00DB0D69">
        <w:rPr>
          <w:rFonts w:cs="Times New Roman"/>
          <w:bCs/>
          <w:kern w:val="2"/>
          <w:sz w:val="22"/>
          <w:szCs w:val="22"/>
        </w:rPr>
        <w:t>s residents and their lived experiences.</w:t>
      </w:r>
    </w:p>
    <w:p w14:paraId="0361654C" w14:textId="1293CC62" w:rsidR="00DB0D69" w:rsidRPr="00DB0D69" w:rsidRDefault="00DB0D69" w:rsidP="00DB0D69">
      <w:pPr>
        <w:pStyle w:val="BodyText"/>
        <w:numPr>
          <w:ilvl w:val="0"/>
          <w:numId w:val="22"/>
        </w:numPr>
        <w:spacing w:after="120"/>
        <w:jc w:val="both"/>
        <w:rPr>
          <w:rFonts w:cs="Times New Roman"/>
          <w:bCs/>
          <w:kern w:val="2"/>
          <w:sz w:val="22"/>
          <w:szCs w:val="22"/>
          <w:u w:val="single"/>
        </w:rPr>
      </w:pPr>
      <w:r w:rsidRPr="00DB0D69">
        <w:rPr>
          <w:rFonts w:cs="Times New Roman"/>
          <w:bCs/>
          <w:kern w:val="2"/>
          <w:sz w:val="22"/>
          <w:szCs w:val="22"/>
          <w:u w:val="single"/>
        </w:rPr>
        <w:t>REAL Data Collection</w:t>
      </w:r>
    </w:p>
    <w:p w14:paraId="28CE1FD8" w14:textId="5F4B3EBD" w:rsidR="00DB0D69" w:rsidRDefault="00107A79" w:rsidP="00DB0D69">
      <w:pPr>
        <w:pStyle w:val="BodyText"/>
        <w:widowControl/>
        <w:spacing w:before="0" w:after="120"/>
        <w:jc w:val="both"/>
        <w:rPr>
          <w:rFonts w:cs="Times New Roman"/>
          <w:bCs/>
          <w:kern w:val="2"/>
          <w:sz w:val="22"/>
          <w:szCs w:val="22"/>
        </w:rPr>
      </w:pPr>
      <w:r>
        <w:rPr>
          <w:rFonts w:cs="Times New Roman"/>
          <w:bCs/>
          <w:kern w:val="2"/>
          <w:sz w:val="22"/>
          <w:szCs w:val="22"/>
        </w:rPr>
        <w:t>The Applicant</w:t>
      </w:r>
      <w:r w:rsidRPr="00662E20">
        <w:rPr>
          <w:rFonts w:cs="Times New Roman"/>
          <w:bCs/>
          <w:kern w:val="2"/>
          <w:sz w:val="22"/>
          <w:szCs w:val="22"/>
        </w:rPr>
        <w:t xml:space="preserve"> recently launched a</w:t>
      </w:r>
      <w:r>
        <w:rPr>
          <w:rFonts w:cs="Times New Roman"/>
          <w:bCs/>
          <w:kern w:val="2"/>
          <w:sz w:val="22"/>
          <w:szCs w:val="22"/>
        </w:rPr>
        <w:t xml:space="preserve">n </w:t>
      </w:r>
      <w:r w:rsidRPr="00662E20">
        <w:rPr>
          <w:rFonts w:cs="Times New Roman"/>
          <w:bCs/>
          <w:kern w:val="2"/>
          <w:sz w:val="22"/>
          <w:szCs w:val="22"/>
        </w:rPr>
        <w:t>initiative to consistently request more detailed and complete demographic information from patients in furtherance of an organizational culture that embraces diversity, equity, and inclusion. Capturing patient diversity demographics, including gender and race, ethnicity, and language (</w:t>
      </w:r>
      <w:r w:rsidR="00FC1749">
        <w:rPr>
          <w:rFonts w:cs="Times New Roman"/>
          <w:bCs/>
          <w:kern w:val="2"/>
          <w:sz w:val="22"/>
          <w:szCs w:val="22"/>
        </w:rPr>
        <w:t>“</w:t>
      </w:r>
      <w:r w:rsidRPr="00662E20">
        <w:rPr>
          <w:rFonts w:cs="Times New Roman"/>
          <w:bCs/>
          <w:kern w:val="2"/>
          <w:sz w:val="22"/>
          <w:szCs w:val="22"/>
        </w:rPr>
        <w:t>REAL Data</w:t>
      </w:r>
      <w:r w:rsidR="00FC1749">
        <w:rPr>
          <w:rFonts w:cs="Times New Roman"/>
          <w:bCs/>
          <w:kern w:val="2"/>
          <w:sz w:val="22"/>
          <w:szCs w:val="22"/>
        </w:rPr>
        <w:t>”</w:t>
      </w:r>
      <w:r w:rsidRPr="00662E20">
        <w:rPr>
          <w:rFonts w:cs="Times New Roman"/>
          <w:bCs/>
          <w:kern w:val="2"/>
          <w:sz w:val="22"/>
          <w:szCs w:val="22"/>
        </w:rPr>
        <w:t xml:space="preserve">) is foundational to understanding and addressing health disparities in the community. To that end, </w:t>
      </w:r>
      <w:r>
        <w:rPr>
          <w:rFonts w:cs="Times New Roman"/>
          <w:bCs/>
          <w:kern w:val="2"/>
          <w:sz w:val="22"/>
          <w:szCs w:val="22"/>
        </w:rPr>
        <w:t>the Applicant</w:t>
      </w:r>
      <w:r w:rsidRPr="00662E20">
        <w:rPr>
          <w:rFonts w:cs="Times New Roman"/>
          <w:bCs/>
          <w:kern w:val="2"/>
          <w:sz w:val="22"/>
          <w:szCs w:val="22"/>
        </w:rPr>
        <w:t xml:space="preserve"> created a multidisciplinary team of representatives from across the </w:t>
      </w:r>
      <w:r>
        <w:rPr>
          <w:rFonts w:cs="Times New Roman"/>
          <w:bCs/>
          <w:kern w:val="2"/>
          <w:sz w:val="22"/>
          <w:szCs w:val="22"/>
        </w:rPr>
        <w:t>Applicant</w:t>
      </w:r>
      <w:r w:rsidR="00FC1749">
        <w:rPr>
          <w:rFonts w:cs="Times New Roman"/>
          <w:bCs/>
          <w:kern w:val="2"/>
          <w:sz w:val="22"/>
          <w:szCs w:val="22"/>
        </w:rPr>
        <w:t>’</w:t>
      </w:r>
      <w:r>
        <w:rPr>
          <w:rFonts w:cs="Times New Roman"/>
          <w:bCs/>
          <w:kern w:val="2"/>
          <w:sz w:val="22"/>
          <w:szCs w:val="22"/>
        </w:rPr>
        <w:t xml:space="preserve">s system, </w:t>
      </w:r>
      <w:r w:rsidRPr="00662E20">
        <w:rPr>
          <w:rFonts w:cs="Times New Roman"/>
          <w:bCs/>
          <w:kern w:val="2"/>
          <w:sz w:val="22"/>
          <w:szCs w:val="22"/>
        </w:rPr>
        <w:t xml:space="preserve">including staff from patient access services, information services, nursing, social work, community benefits and community relations teams. Collaborating with patient representatives, the multidisciplinary team established a standard set of data along with best practices and processes in order to </w:t>
      </w:r>
      <w:r w:rsidR="00FE4BF6" w:rsidRPr="00662E20">
        <w:rPr>
          <w:rFonts w:cs="Times New Roman"/>
          <w:bCs/>
          <w:kern w:val="2"/>
          <w:sz w:val="22"/>
          <w:szCs w:val="22"/>
        </w:rPr>
        <w:t>capture the data more consistently</w:t>
      </w:r>
      <w:r w:rsidRPr="00662E20">
        <w:rPr>
          <w:rFonts w:cs="Times New Roman"/>
          <w:bCs/>
          <w:kern w:val="2"/>
          <w:sz w:val="22"/>
          <w:szCs w:val="22"/>
        </w:rPr>
        <w:t xml:space="preserve"> in the electronic medical record.</w:t>
      </w:r>
      <w:r>
        <w:rPr>
          <w:rFonts w:cs="Times New Roman"/>
          <w:bCs/>
          <w:kern w:val="2"/>
          <w:sz w:val="22"/>
          <w:szCs w:val="22"/>
        </w:rPr>
        <w:t xml:space="preserve"> </w:t>
      </w:r>
    </w:p>
    <w:p w14:paraId="6B1264BD" w14:textId="5C59CD37" w:rsidR="008E4BCB" w:rsidRPr="00492263" w:rsidRDefault="00107A79" w:rsidP="2A8A7BAD">
      <w:pPr>
        <w:pStyle w:val="BodyText"/>
        <w:widowControl/>
        <w:spacing w:before="0" w:after="120"/>
        <w:jc w:val="both"/>
        <w:rPr>
          <w:rFonts w:cs="Times New Roman"/>
          <w:b/>
          <w:bCs/>
          <w:kern w:val="2"/>
          <w:sz w:val="22"/>
          <w:szCs w:val="22"/>
          <w:u w:val="single"/>
        </w:rPr>
      </w:pPr>
      <w:r w:rsidRPr="2A8A7BAD">
        <w:rPr>
          <w:rFonts w:cs="Times New Roman"/>
          <w:kern w:val="2"/>
          <w:sz w:val="22"/>
          <w:szCs w:val="22"/>
        </w:rPr>
        <w:t xml:space="preserve">Further, the Applicant has begun its transition to implement </w:t>
      </w:r>
      <w:r w:rsidR="00AC082E" w:rsidRPr="2A8A7BAD">
        <w:rPr>
          <w:rFonts w:cs="Times New Roman"/>
          <w:kern w:val="2"/>
          <w:sz w:val="22"/>
          <w:szCs w:val="22"/>
        </w:rPr>
        <w:t>Epic</w:t>
      </w:r>
      <w:r w:rsidRPr="2A8A7BAD">
        <w:rPr>
          <w:rFonts w:cs="Times New Roman"/>
          <w:kern w:val="2"/>
          <w:sz w:val="22"/>
          <w:szCs w:val="22"/>
        </w:rPr>
        <w:t xml:space="preserve"> across all hospitals, which will facilitate coordination of  care for patients who receive services throughout the Applicant</w:t>
      </w:r>
      <w:r w:rsidR="00FC1749" w:rsidRPr="2A8A7BAD">
        <w:rPr>
          <w:rFonts w:cs="Times New Roman"/>
          <w:kern w:val="2"/>
          <w:sz w:val="22"/>
          <w:szCs w:val="22"/>
        </w:rPr>
        <w:t>’</w:t>
      </w:r>
      <w:r w:rsidRPr="2A8A7BAD">
        <w:rPr>
          <w:rFonts w:cs="Times New Roman"/>
          <w:kern w:val="2"/>
          <w:sz w:val="22"/>
          <w:szCs w:val="22"/>
        </w:rPr>
        <w:t>s system</w:t>
      </w:r>
      <w:r w:rsidR="00915EB7" w:rsidRPr="2A8A7BAD">
        <w:rPr>
          <w:rFonts w:cs="Times New Roman"/>
          <w:kern w:val="2"/>
          <w:sz w:val="22"/>
          <w:szCs w:val="22"/>
        </w:rPr>
        <w:t xml:space="preserve">. </w:t>
      </w:r>
      <w:r w:rsidR="00915EB7" w:rsidRPr="2A8A7BAD">
        <w:rPr>
          <w:color w:val="000000" w:themeColor="text1"/>
          <w:sz w:val="22"/>
          <w:szCs w:val="22"/>
        </w:rPr>
        <w:t>R</w:t>
      </w:r>
      <w:r w:rsidRPr="2A8A7BAD">
        <w:rPr>
          <w:color w:val="000000" w:themeColor="text1"/>
          <w:sz w:val="22"/>
          <w:szCs w:val="22"/>
        </w:rPr>
        <w:t>ace, ethnicity, language, gender, gender identity, disability accommodation needs, and health</w:t>
      </w:r>
      <w:r w:rsidR="00B773DB" w:rsidRPr="2A8A7BAD">
        <w:rPr>
          <w:color w:val="000000" w:themeColor="text1"/>
          <w:sz w:val="22"/>
          <w:szCs w:val="22"/>
        </w:rPr>
        <w:t>-</w:t>
      </w:r>
      <w:r w:rsidRPr="2A8A7BAD">
        <w:rPr>
          <w:color w:val="000000" w:themeColor="text1"/>
          <w:sz w:val="22"/>
          <w:szCs w:val="22"/>
        </w:rPr>
        <w:t xml:space="preserve">related social needs will be </w:t>
      </w:r>
      <w:r w:rsidRPr="2A8A7BAD">
        <w:rPr>
          <w:color w:val="000000" w:themeColor="text1"/>
          <w:sz w:val="22"/>
          <w:szCs w:val="22"/>
        </w:rPr>
        <w:lastRenderedPageBreak/>
        <w:t>collected for all patients, allowing the Applicant to have accurate and complete patient information</w:t>
      </w:r>
      <w:r w:rsidRPr="2A8A7BAD">
        <w:rPr>
          <w:rFonts w:cs="Times New Roman"/>
          <w:kern w:val="2"/>
          <w:sz w:val="22"/>
          <w:szCs w:val="22"/>
        </w:rPr>
        <w:t xml:space="preserve">. The transition to </w:t>
      </w:r>
      <w:r w:rsidR="00AC082E" w:rsidRPr="2A8A7BAD">
        <w:rPr>
          <w:rFonts w:cs="Times New Roman"/>
          <w:kern w:val="2"/>
          <w:sz w:val="22"/>
          <w:szCs w:val="22"/>
        </w:rPr>
        <w:t>Epic</w:t>
      </w:r>
      <w:r w:rsidRPr="2A8A7BAD">
        <w:rPr>
          <w:rFonts w:cs="Times New Roman"/>
          <w:kern w:val="2"/>
          <w:sz w:val="22"/>
          <w:szCs w:val="22"/>
        </w:rPr>
        <w:t xml:space="preserve"> will also create more opportunities for enhanced documentation capture of </w:t>
      </w:r>
      <w:r w:rsidR="000E5BB1" w:rsidRPr="2A8A7BAD">
        <w:rPr>
          <w:rFonts w:cs="Times New Roman"/>
          <w:kern w:val="2"/>
          <w:sz w:val="22"/>
          <w:szCs w:val="22"/>
        </w:rPr>
        <w:t>health</w:t>
      </w:r>
      <w:r w:rsidR="00B773DB" w:rsidRPr="2A8A7BAD">
        <w:rPr>
          <w:rFonts w:cs="Times New Roman"/>
          <w:kern w:val="2"/>
          <w:sz w:val="22"/>
          <w:szCs w:val="22"/>
        </w:rPr>
        <w:t>-</w:t>
      </w:r>
      <w:r w:rsidRPr="2A8A7BAD">
        <w:rPr>
          <w:rFonts w:cs="Times New Roman"/>
          <w:kern w:val="2"/>
          <w:sz w:val="22"/>
          <w:szCs w:val="22"/>
        </w:rPr>
        <w:t xml:space="preserve">related social need screening for a patient population and will allow the Applicant to better connect </w:t>
      </w:r>
      <w:r w:rsidRPr="2A8A7BAD">
        <w:rPr>
          <w:sz w:val="22"/>
          <w:szCs w:val="22"/>
        </w:rPr>
        <w:t>patients with identified needs for internal and/or external supports.</w:t>
      </w:r>
    </w:p>
    <w:p w14:paraId="4CC5FD81" w14:textId="4A0CE0A1" w:rsidR="00707DD9" w:rsidRDefault="00411DB8" w:rsidP="00411DB8">
      <w:pPr>
        <w:pStyle w:val="BodyText"/>
        <w:widowControl/>
        <w:spacing w:before="0" w:after="120"/>
        <w:ind w:left="1440" w:hanging="1440"/>
        <w:jc w:val="both"/>
        <w:rPr>
          <w:rFonts w:cs="Times New Roman"/>
          <w:b/>
          <w:kern w:val="2"/>
          <w:sz w:val="22"/>
          <w:szCs w:val="22"/>
        </w:rPr>
      </w:pPr>
      <w:r w:rsidRPr="000153E7">
        <w:rPr>
          <w:rFonts w:cs="Times New Roman"/>
          <w:b/>
          <w:kern w:val="2"/>
          <w:sz w:val="22"/>
          <w:szCs w:val="22"/>
        </w:rPr>
        <w:t>F1.b.iv</w:t>
      </w:r>
      <w:r w:rsidRPr="000153E7">
        <w:rPr>
          <w:rFonts w:cs="Times New Roman"/>
          <w:b/>
          <w:kern w:val="2"/>
          <w:sz w:val="22"/>
          <w:szCs w:val="22"/>
        </w:rPr>
        <w:tab/>
      </w:r>
      <w:r w:rsidR="00707DD9" w:rsidRPr="00707DD9">
        <w:rPr>
          <w:rFonts w:cs="Times New Roman"/>
          <w:b/>
          <w:kern w:val="2"/>
          <w:sz w:val="22"/>
          <w:szCs w:val="22"/>
          <w:u w:val="single"/>
        </w:rPr>
        <w:t>Public Health Value/Health Equity-Focused (Additional Information)</w:t>
      </w:r>
    </w:p>
    <w:p w14:paraId="4E88C657" w14:textId="2C478958" w:rsidR="00411DB8" w:rsidRPr="000153E7" w:rsidRDefault="00411DB8" w:rsidP="00707DD9">
      <w:pPr>
        <w:pStyle w:val="BodyText"/>
        <w:widowControl/>
        <w:spacing w:before="0" w:after="120"/>
        <w:ind w:left="1440"/>
        <w:jc w:val="both"/>
        <w:rPr>
          <w:rFonts w:cs="Times New Roman"/>
          <w:b/>
          <w:kern w:val="2"/>
          <w:sz w:val="22"/>
          <w:szCs w:val="22"/>
        </w:rPr>
      </w:pPr>
      <w:r w:rsidRPr="000153E7">
        <w:rPr>
          <w:rFonts w:cs="Times New Roman"/>
          <w:b/>
          <w:kern w:val="2"/>
          <w:sz w:val="22"/>
          <w:szCs w:val="22"/>
        </w:rPr>
        <w:t>Provide additional information to demonstrate that the Proposed Project will result in improved health outcomes and quality of life of the Applicant</w:t>
      </w:r>
      <w:r w:rsidR="00FC1749">
        <w:rPr>
          <w:rFonts w:cs="Times New Roman"/>
          <w:b/>
          <w:kern w:val="2"/>
          <w:sz w:val="22"/>
          <w:szCs w:val="22"/>
        </w:rPr>
        <w:t>’</w:t>
      </w:r>
      <w:r w:rsidRPr="000153E7">
        <w:rPr>
          <w:rFonts w:cs="Times New Roman"/>
          <w:b/>
          <w:kern w:val="2"/>
          <w:sz w:val="22"/>
          <w:szCs w:val="22"/>
        </w:rPr>
        <w:t>s existing Patient Panel, while providing reasonable assurances of health equity.</w:t>
      </w:r>
    </w:p>
    <w:p w14:paraId="070E48D6" w14:textId="07A9C944" w:rsidR="008E4BCB" w:rsidRPr="00041DA8" w:rsidRDefault="00692449" w:rsidP="00041DA8">
      <w:pPr>
        <w:spacing w:line="259" w:lineRule="auto"/>
        <w:jc w:val="both"/>
        <w:rPr>
          <w:rFonts w:eastAsia="Times New Roman" w:cs="Times New Roman"/>
          <w:kern w:val="2"/>
        </w:rPr>
      </w:pPr>
      <w:r w:rsidRPr="00692449">
        <w:rPr>
          <w:rFonts w:eastAsia="Times New Roman" w:cs="Times New Roman"/>
          <w:kern w:val="2"/>
        </w:rPr>
        <w:t>The Proposed Project will improve health outcomes and quality of life for the Applicant</w:t>
      </w:r>
      <w:r w:rsidR="00FC1749">
        <w:rPr>
          <w:rFonts w:eastAsia="Times New Roman" w:cs="Times New Roman"/>
          <w:kern w:val="2"/>
        </w:rPr>
        <w:t>’</w:t>
      </w:r>
      <w:r w:rsidRPr="00692449">
        <w:rPr>
          <w:rFonts w:eastAsia="Times New Roman" w:cs="Times New Roman"/>
          <w:kern w:val="2"/>
        </w:rPr>
        <w:t xml:space="preserve">s </w:t>
      </w:r>
      <w:r>
        <w:rPr>
          <w:rFonts w:eastAsia="Times New Roman" w:cs="Times New Roman"/>
          <w:kern w:val="2"/>
        </w:rPr>
        <w:t>p</w:t>
      </w:r>
      <w:r w:rsidRPr="00692449">
        <w:rPr>
          <w:rFonts w:eastAsia="Times New Roman" w:cs="Times New Roman"/>
          <w:kern w:val="2"/>
        </w:rPr>
        <w:t xml:space="preserve">atient </w:t>
      </w:r>
      <w:r>
        <w:rPr>
          <w:rFonts w:eastAsia="Times New Roman" w:cs="Times New Roman"/>
          <w:kern w:val="2"/>
        </w:rPr>
        <w:t>p</w:t>
      </w:r>
      <w:r w:rsidRPr="00692449">
        <w:rPr>
          <w:rFonts w:eastAsia="Times New Roman" w:cs="Times New Roman"/>
          <w:kern w:val="2"/>
        </w:rPr>
        <w:t>anel and community members by maintaining and expanding local access to outpatient hematology-oncology, infusion, primary and specialty care, urgent care, lab, and diagnostic imaging services and ensuring those services are accessible to all members of the communities it serves. The provision of equitable and comprehensive access to high-quality health care services, including primary care and specialty care, as well as urgent and emerging care, particularly for those who face cultural, linguistic, and economic barriers was identified as a priority implementation strategy in BID</w:t>
      </w:r>
      <w:r w:rsidR="00424F30">
        <w:rPr>
          <w:rFonts w:eastAsia="Times New Roman" w:cs="Times New Roman"/>
          <w:kern w:val="2"/>
        </w:rPr>
        <w:t xml:space="preserve"> </w:t>
      </w:r>
      <w:r w:rsidRPr="00692449">
        <w:rPr>
          <w:rFonts w:eastAsia="Times New Roman" w:cs="Times New Roman"/>
          <w:kern w:val="2"/>
        </w:rPr>
        <w:t>Milton</w:t>
      </w:r>
      <w:r w:rsidR="00FC1749">
        <w:rPr>
          <w:rFonts w:eastAsia="Times New Roman" w:cs="Times New Roman"/>
          <w:kern w:val="2"/>
        </w:rPr>
        <w:t>’</w:t>
      </w:r>
      <w:r w:rsidRPr="00692449">
        <w:rPr>
          <w:rFonts w:eastAsia="Times New Roman" w:cs="Times New Roman"/>
          <w:kern w:val="2"/>
        </w:rPr>
        <w:t xml:space="preserve">s </w:t>
      </w:r>
      <w:r w:rsidR="5A6ABFB1" w:rsidRPr="00692449">
        <w:rPr>
          <w:rFonts w:eastAsia="Times New Roman" w:cs="Times New Roman"/>
          <w:kern w:val="2"/>
        </w:rPr>
        <w:t>and BID</w:t>
      </w:r>
      <w:r w:rsidR="00424F30">
        <w:rPr>
          <w:rFonts w:eastAsia="Times New Roman" w:cs="Times New Roman"/>
          <w:kern w:val="2"/>
        </w:rPr>
        <w:t xml:space="preserve"> </w:t>
      </w:r>
      <w:r w:rsidR="5A6ABFB1" w:rsidRPr="00692449">
        <w:rPr>
          <w:rFonts w:eastAsia="Times New Roman" w:cs="Times New Roman"/>
          <w:kern w:val="2"/>
        </w:rPr>
        <w:t xml:space="preserve">Plymouth’s </w:t>
      </w:r>
      <w:r w:rsidRPr="00692449">
        <w:rPr>
          <w:rFonts w:eastAsia="Times New Roman" w:cs="Times New Roman"/>
          <w:kern w:val="2"/>
        </w:rPr>
        <w:t xml:space="preserve">2022 Community Health Needs Assessment. The Applicant is committed to promoting health equity and to that end, will ensure patients can access the </w:t>
      </w:r>
      <w:r w:rsidR="00041DA8">
        <w:rPr>
          <w:rFonts w:eastAsia="Times New Roman" w:cs="Times New Roman"/>
          <w:kern w:val="2"/>
        </w:rPr>
        <w:t>Satellites</w:t>
      </w:r>
      <w:r w:rsidR="00FC1749">
        <w:rPr>
          <w:rFonts w:eastAsia="Times New Roman" w:cs="Times New Roman"/>
          <w:kern w:val="2"/>
        </w:rPr>
        <w:t>’</w:t>
      </w:r>
      <w:r w:rsidRPr="00692449">
        <w:rPr>
          <w:rFonts w:eastAsia="Times New Roman" w:cs="Times New Roman"/>
          <w:kern w:val="2"/>
        </w:rPr>
        <w:t xml:space="preserve"> services, can effectively communicate with their providers, and will be connected to services outside of the </w:t>
      </w:r>
      <w:r w:rsidR="2E017E60">
        <w:rPr>
          <w:rFonts w:eastAsia="Times New Roman" w:cs="Times New Roman"/>
          <w:kern w:val="2"/>
        </w:rPr>
        <w:t>Satellites</w:t>
      </w:r>
      <w:r w:rsidRPr="00692449">
        <w:rPr>
          <w:rFonts w:eastAsia="Times New Roman" w:cs="Times New Roman"/>
          <w:kern w:val="2"/>
        </w:rPr>
        <w:t xml:space="preserve"> as required. As a result, the Applicant anticipates that the Proposed Project will result in improved patient care experiences and quality outcomes while promoting health equity. </w:t>
      </w:r>
      <w:r w:rsidR="008E4BCB" w:rsidRPr="2A8A7BAD">
        <w:rPr>
          <w:rFonts w:cs="Times New Roman"/>
          <w:b/>
          <w:bCs/>
          <w:kern w:val="2"/>
        </w:rPr>
        <w:br w:type="page"/>
      </w:r>
    </w:p>
    <w:p w14:paraId="3D36ADC1" w14:textId="29A96701" w:rsidR="00707DD9" w:rsidRDefault="00411DB8" w:rsidP="000177B9">
      <w:pPr>
        <w:pStyle w:val="BodyText"/>
        <w:widowControl/>
        <w:spacing w:before="0" w:after="120"/>
        <w:ind w:left="1440" w:right="136" w:hanging="1440"/>
        <w:jc w:val="both"/>
        <w:rPr>
          <w:rFonts w:cs="Times New Roman"/>
          <w:b/>
          <w:kern w:val="2"/>
          <w:sz w:val="22"/>
          <w:szCs w:val="22"/>
        </w:rPr>
      </w:pPr>
      <w:r w:rsidRPr="000153E7">
        <w:rPr>
          <w:rFonts w:cs="Times New Roman"/>
          <w:b/>
          <w:kern w:val="2"/>
          <w:sz w:val="22"/>
          <w:szCs w:val="22"/>
        </w:rPr>
        <w:lastRenderedPageBreak/>
        <w:t>F1.c</w:t>
      </w:r>
      <w:r w:rsidRPr="000153E7">
        <w:rPr>
          <w:rFonts w:cs="Times New Roman"/>
          <w:b/>
          <w:kern w:val="2"/>
          <w:sz w:val="22"/>
          <w:szCs w:val="22"/>
        </w:rPr>
        <w:tab/>
      </w:r>
      <w:r w:rsidR="00707DD9" w:rsidRPr="00707DD9">
        <w:rPr>
          <w:rFonts w:cs="Times New Roman"/>
          <w:b/>
          <w:kern w:val="2"/>
          <w:sz w:val="22"/>
          <w:szCs w:val="22"/>
          <w:u w:val="single"/>
        </w:rPr>
        <w:t>Furthering and Improving Continuity and Coordination of Care</w:t>
      </w:r>
    </w:p>
    <w:p w14:paraId="1A0003AB" w14:textId="05B77130" w:rsidR="00411DB8" w:rsidRPr="000153E7" w:rsidRDefault="000177B9" w:rsidP="00707DD9">
      <w:pPr>
        <w:pStyle w:val="BodyText"/>
        <w:widowControl/>
        <w:spacing w:before="0" w:after="120"/>
        <w:ind w:left="1440" w:right="136"/>
        <w:jc w:val="both"/>
        <w:rPr>
          <w:rFonts w:cs="Times New Roman"/>
          <w:b/>
          <w:kern w:val="2"/>
          <w:sz w:val="22"/>
          <w:szCs w:val="22"/>
        </w:rPr>
      </w:pPr>
      <w:r>
        <w:rPr>
          <w:rFonts w:cs="Times New Roman"/>
          <w:b/>
          <w:kern w:val="2"/>
          <w:sz w:val="22"/>
          <w:szCs w:val="22"/>
        </w:rPr>
        <w:t>P</w:t>
      </w:r>
      <w:r w:rsidR="00411DB8" w:rsidRPr="000153E7">
        <w:rPr>
          <w:rFonts w:cs="Times New Roman"/>
          <w:b/>
          <w:kern w:val="2"/>
          <w:sz w:val="22"/>
          <w:szCs w:val="22"/>
        </w:rPr>
        <w:t>rovide evidence that the Proposed Project will operate efficiently and effectively by furthering and improving continuity and coordination of care for the Applicant</w:t>
      </w:r>
      <w:r w:rsidR="00FC1749">
        <w:rPr>
          <w:rFonts w:cs="Times New Roman"/>
          <w:b/>
          <w:kern w:val="2"/>
          <w:sz w:val="22"/>
          <w:szCs w:val="22"/>
        </w:rPr>
        <w:t>’</w:t>
      </w:r>
      <w:r w:rsidR="00411DB8" w:rsidRPr="000153E7">
        <w:rPr>
          <w:rFonts w:cs="Times New Roman"/>
          <w:b/>
          <w:kern w:val="2"/>
          <w:sz w:val="22"/>
          <w:szCs w:val="22"/>
        </w:rPr>
        <w:t>s Patient Panel, including, how the Proposed Project will create or ensure appropriate linkages to patients</w:t>
      </w:r>
      <w:r w:rsidR="00FC1749">
        <w:rPr>
          <w:rFonts w:cs="Times New Roman"/>
          <w:b/>
          <w:kern w:val="2"/>
          <w:sz w:val="22"/>
          <w:szCs w:val="22"/>
        </w:rPr>
        <w:t>’</w:t>
      </w:r>
      <w:r w:rsidR="00411DB8" w:rsidRPr="000153E7">
        <w:rPr>
          <w:rFonts w:cs="Times New Roman"/>
          <w:b/>
          <w:kern w:val="2"/>
          <w:sz w:val="22"/>
          <w:szCs w:val="22"/>
        </w:rPr>
        <w:t xml:space="preserve"> primary care services.</w:t>
      </w:r>
    </w:p>
    <w:p w14:paraId="6B38C041" w14:textId="5A400D75" w:rsidR="00411DB8" w:rsidRPr="000153E7" w:rsidRDefault="00411DB8" w:rsidP="009D7F96">
      <w:pPr>
        <w:pStyle w:val="BodyText"/>
        <w:widowControl/>
        <w:spacing w:before="0"/>
        <w:ind w:left="0" w:right="136"/>
        <w:jc w:val="both"/>
        <w:rPr>
          <w:rFonts w:cs="Times New Roman"/>
          <w:bCs/>
          <w:kern w:val="2"/>
          <w:sz w:val="22"/>
          <w:szCs w:val="22"/>
        </w:rPr>
      </w:pPr>
      <w:r w:rsidRPr="000153E7">
        <w:rPr>
          <w:rFonts w:cs="Times New Roman"/>
          <w:bCs/>
          <w:kern w:val="2"/>
          <w:sz w:val="22"/>
          <w:szCs w:val="22"/>
        </w:rPr>
        <w:t xml:space="preserve">  </w:t>
      </w:r>
    </w:p>
    <w:p w14:paraId="1CC4A335" w14:textId="450B62AA" w:rsidR="007A42FB" w:rsidRDefault="007A42FB" w:rsidP="2A8A7BAD">
      <w:pPr>
        <w:spacing w:line="259" w:lineRule="auto"/>
        <w:jc w:val="both"/>
        <w:rPr>
          <w:rFonts w:cs="Times New Roman"/>
        </w:rPr>
      </w:pPr>
      <w:r w:rsidRPr="2A8A7BAD">
        <w:rPr>
          <w:rFonts w:cs="Times New Roman"/>
        </w:rPr>
        <w:t>The Proposed Project will improve care continuity and coordination of care by providing linkages between patients who are currently seen at the Applicant</w:t>
      </w:r>
      <w:r w:rsidR="00FC1749" w:rsidRPr="2A8A7BAD">
        <w:rPr>
          <w:rFonts w:cs="Times New Roman"/>
        </w:rPr>
        <w:t>’</w:t>
      </w:r>
      <w:r w:rsidRPr="2A8A7BAD">
        <w:rPr>
          <w:rFonts w:cs="Times New Roman"/>
        </w:rPr>
        <w:t>s member hospitals, including BID</w:t>
      </w:r>
      <w:r w:rsidR="00424F30">
        <w:rPr>
          <w:rFonts w:cs="Times New Roman"/>
        </w:rPr>
        <w:t xml:space="preserve"> </w:t>
      </w:r>
      <w:r w:rsidRPr="2A8A7BAD">
        <w:rPr>
          <w:rFonts w:cs="Times New Roman"/>
        </w:rPr>
        <w:t xml:space="preserve">Plymouth, </w:t>
      </w:r>
      <w:r w:rsidR="66BA87D4" w:rsidRPr="2A8A7BAD">
        <w:rPr>
          <w:rFonts w:cs="Times New Roman"/>
        </w:rPr>
        <w:t>BID</w:t>
      </w:r>
      <w:r w:rsidR="00424F30">
        <w:rPr>
          <w:rFonts w:cs="Times New Roman"/>
        </w:rPr>
        <w:t xml:space="preserve"> </w:t>
      </w:r>
      <w:r w:rsidRPr="2A8A7BAD">
        <w:rPr>
          <w:rFonts w:cs="Times New Roman"/>
        </w:rPr>
        <w:t>Milton and BIDMC in Boston. Without these services, patients would likely seek follow-up care farther from home, and potentially outside of the Applicant</w:t>
      </w:r>
      <w:r w:rsidR="00FC1749" w:rsidRPr="2A8A7BAD">
        <w:rPr>
          <w:rFonts w:cs="Times New Roman"/>
        </w:rPr>
        <w:t>’</w:t>
      </w:r>
      <w:r w:rsidRPr="2A8A7BAD">
        <w:rPr>
          <w:rFonts w:cs="Times New Roman"/>
        </w:rPr>
        <w:t xml:space="preserve">s system, which results in issues with care coordination and continuity. As HOPDs of BIDMC, </w:t>
      </w:r>
      <w:r w:rsidR="00915EB7" w:rsidRPr="2A8A7BAD">
        <w:rPr>
          <w:rFonts w:cs="Times New Roman"/>
        </w:rPr>
        <w:t xml:space="preserve">through the Proposed Project, </w:t>
      </w:r>
      <w:r w:rsidRPr="2A8A7BAD">
        <w:rPr>
          <w:rFonts w:cs="Times New Roman"/>
        </w:rPr>
        <w:t xml:space="preserve">patients will not have to go outside of their communities to Boston to receive care. Through the Proposed Project, local access to top quality hematology-oncology and infusion services for the </w:t>
      </w:r>
      <w:r w:rsidR="00424F30">
        <w:rPr>
          <w:rFonts w:cs="Times New Roman"/>
        </w:rPr>
        <w:t>BID Plymouth</w:t>
      </w:r>
      <w:r w:rsidRPr="2A8A7BAD">
        <w:rPr>
          <w:rFonts w:cs="Times New Roman"/>
        </w:rPr>
        <w:t xml:space="preserve"> Patient Panel, and primary and specialty care, urgent care, </w:t>
      </w:r>
      <w:r w:rsidR="00C0052C" w:rsidRPr="2A8A7BAD">
        <w:rPr>
          <w:rFonts w:cs="Times New Roman"/>
        </w:rPr>
        <w:t>lab,</w:t>
      </w:r>
      <w:r w:rsidRPr="2A8A7BAD">
        <w:rPr>
          <w:rFonts w:cs="Times New Roman"/>
        </w:rPr>
        <w:t xml:space="preserve"> and diagnostic imaging services will be maintained and provided in collaboration with BIDMC.</w:t>
      </w:r>
    </w:p>
    <w:p w14:paraId="02D6F5D8" w14:textId="27EB43B9" w:rsidR="00B773DB" w:rsidRDefault="007A42FB" w:rsidP="2A8A7BAD">
      <w:pPr>
        <w:spacing w:line="259" w:lineRule="auto"/>
        <w:jc w:val="both"/>
        <w:rPr>
          <w:rFonts w:cs="Times New Roman"/>
        </w:rPr>
      </w:pPr>
      <w:r w:rsidRPr="2A8A7BAD">
        <w:rPr>
          <w:rFonts w:cs="Times New Roman"/>
        </w:rPr>
        <w:t xml:space="preserve">Furthermore, the </w:t>
      </w:r>
      <w:r w:rsidR="00946E47" w:rsidRPr="2A8A7BAD">
        <w:rPr>
          <w:rFonts w:cs="Times New Roman"/>
        </w:rPr>
        <w:t>Satellites</w:t>
      </w:r>
      <w:r w:rsidRPr="2A8A7BAD">
        <w:rPr>
          <w:rFonts w:cs="Times New Roman"/>
        </w:rPr>
        <w:t xml:space="preserve"> will participate in the MassHealth ACO Program through </w:t>
      </w:r>
      <w:r w:rsidR="00424F30" w:rsidRPr="00424F30">
        <w:rPr>
          <w:rFonts w:cs="Times New Roman"/>
        </w:rPr>
        <w:t xml:space="preserve">Beth Israel Deaconess Care Organization </w:t>
      </w:r>
      <w:r w:rsidR="00424F30">
        <w:rPr>
          <w:rFonts w:cs="Times New Roman"/>
        </w:rPr>
        <w:t>(“</w:t>
      </w:r>
      <w:r w:rsidRPr="2A8A7BAD">
        <w:rPr>
          <w:rFonts w:cs="Times New Roman"/>
        </w:rPr>
        <w:t>BIDCO</w:t>
      </w:r>
      <w:r w:rsidR="00424F30">
        <w:rPr>
          <w:rFonts w:cs="Times New Roman"/>
        </w:rPr>
        <w:t>”)</w:t>
      </w:r>
      <w:r w:rsidRPr="2A8A7BAD">
        <w:rPr>
          <w:rFonts w:cs="Times New Roman"/>
        </w:rPr>
        <w:t>, part of Beth Israel Lahey Health Performance Network, LLC (</w:t>
      </w:r>
      <w:r w:rsidR="00FC1749" w:rsidRPr="2A8A7BAD">
        <w:rPr>
          <w:rFonts w:cs="Times New Roman"/>
        </w:rPr>
        <w:t>“</w:t>
      </w:r>
      <w:r w:rsidRPr="2A8A7BAD">
        <w:rPr>
          <w:rFonts w:cs="Times New Roman"/>
        </w:rPr>
        <w:t>BILHPN</w:t>
      </w:r>
      <w:r w:rsidR="00FC1749" w:rsidRPr="2A8A7BAD">
        <w:rPr>
          <w:rFonts w:cs="Times New Roman"/>
        </w:rPr>
        <w:t>”</w:t>
      </w:r>
      <w:r w:rsidRPr="2A8A7BAD">
        <w:rPr>
          <w:rFonts w:cs="Times New Roman"/>
        </w:rPr>
        <w:t>), a clinically integrated network of physicians, clinicians, and hospitals and its clinically integrated network. BILHPN is a Health Policy Commission certified Accountable Care Organization committed to providing high-quality, cost-effective care to the patients and communities they serve, while effectively managing medical expense. By leveraging best practices in population health management and data analytics, BILHPN seeks to improve care quality and patient health outcomes across the system through population health initiatives. In furtherance of the goals of the Program, BIDCO strives to increase access to high quality care for members who are more likely to have unmet social determina</w:t>
      </w:r>
      <w:r w:rsidR="15AD8DAC" w:rsidRPr="2A8A7BAD">
        <w:rPr>
          <w:rFonts w:cs="Times New Roman"/>
        </w:rPr>
        <w:t>n</w:t>
      </w:r>
      <w:r w:rsidRPr="2A8A7BAD">
        <w:rPr>
          <w:rFonts w:cs="Times New Roman"/>
        </w:rPr>
        <w:t>t of health needs than the commercially insured population. A significant portion of BIDCO</w:t>
      </w:r>
      <w:r w:rsidR="00FC1749" w:rsidRPr="2A8A7BAD">
        <w:rPr>
          <w:rFonts w:cs="Times New Roman"/>
        </w:rPr>
        <w:t>’</w:t>
      </w:r>
      <w:r w:rsidRPr="2A8A7BAD">
        <w:rPr>
          <w:rFonts w:cs="Times New Roman"/>
        </w:rPr>
        <w:t>s efforts to improve health care are accomplished through care coordination. Specifically, BIDCO</w:t>
      </w:r>
      <w:r w:rsidR="00FC1749" w:rsidRPr="2A8A7BAD">
        <w:rPr>
          <w:rFonts w:cs="Times New Roman"/>
        </w:rPr>
        <w:t>’</w:t>
      </w:r>
      <w:r w:rsidRPr="2A8A7BAD">
        <w:rPr>
          <w:rFonts w:cs="Times New Roman"/>
        </w:rPr>
        <w:t xml:space="preserve">s data analysis and risk management tools are provided to </w:t>
      </w:r>
      <w:r w:rsidR="00424F30">
        <w:rPr>
          <w:rFonts w:cs="Times New Roman"/>
        </w:rPr>
        <w:t>BID Plymouth</w:t>
      </w:r>
      <w:r w:rsidR="00915EB7" w:rsidRPr="2A8A7BAD">
        <w:rPr>
          <w:rFonts w:cs="Times New Roman"/>
        </w:rPr>
        <w:t xml:space="preserve">, </w:t>
      </w:r>
      <w:r w:rsidR="43FF68E1" w:rsidRPr="2A8A7BAD">
        <w:rPr>
          <w:rFonts w:cs="Times New Roman"/>
        </w:rPr>
        <w:t xml:space="preserve">BID Milton, </w:t>
      </w:r>
      <w:r w:rsidR="00915EB7" w:rsidRPr="2A8A7BAD">
        <w:rPr>
          <w:rFonts w:cs="Times New Roman"/>
        </w:rPr>
        <w:t>BIDMC, and BILHPC</w:t>
      </w:r>
      <w:r w:rsidRPr="2A8A7BAD">
        <w:rPr>
          <w:rFonts w:cs="Times New Roman"/>
        </w:rPr>
        <w:t xml:space="preserve"> providers, including a </w:t>
      </w:r>
      <w:r w:rsidR="00424F30" w:rsidRPr="2A8A7BAD">
        <w:rPr>
          <w:rFonts w:cs="Times New Roman"/>
        </w:rPr>
        <w:t>population health management tool</w:t>
      </w:r>
      <w:r w:rsidRPr="2A8A7BAD">
        <w:rPr>
          <w:rFonts w:cs="Times New Roman"/>
        </w:rPr>
        <w:t xml:space="preserve"> that helps primary care physicians monitor patients</w:t>
      </w:r>
      <w:r w:rsidR="00FC1749" w:rsidRPr="2A8A7BAD">
        <w:rPr>
          <w:rFonts w:cs="Times New Roman"/>
        </w:rPr>
        <w:t>’</w:t>
      </w:r>
      <w:r w:rsidRPr="2A8A7BAD">
        <w:rPr>
          <w:rFonts w:cs="Times New Roman"/>
        </w:rPr>
        <w:t xml:space="preserve"> health and manage chronic conditions. The Applicant</w:t>
      </w:r>
      <w:r w:rsidR="00FC1749" w:rsidRPr="2A8A7BAD">
        <w:rPr>
          <w:rFonts w:cs="Times New Roman"/>
        </w:rPr>
        <w:t>’</w:t>
      </w:r>
      <w:r w:rsidRPr="2A8A7BAD">
        <w:rPr>
          <w:rFonts w:cs="Times New Roman"/>
        </w:rPr>
        <w:t>s links to community primary care providers are vital to providing high-quality care and promoting coordination of care. These primary care linkages will continue to enhance care for the Applicant</w:t>
      </w:r>
      <w:r w:rsidR="00FC1749" w:rsidRPr="2A8A7BAD">
        <w:rPr>
          <w:rFonts w:cs="Times New Roman"/>
        </w:rPr>
        <w:t>’</w:t>
      </w:r>
      <w:r w:rsidRPr="2A8A7BAD">
        <w:rPr>
          <w:rFonts w:cs="Times New Roman"/>
        </w:rPr>
        <w:t xml:space="preserve">s patients, including timely access to hematology-oncology, infusion, specialty care and diagnostic imaging services that will be achieved through the Proposed Project. </w:t>
      </w:r>
    </w:p>
    <w:p w14:paraId="46AC3EB4" w14:textId="612D676A" w:rsidR="00107A79" w:rsidRDefault="00B773DB" w:rsidP="007A42FB">
      <w:pPr>
        <w:spacing w:line="259" w:lineRule="auto"/>
        <w:jc w:val="both"/>
        <w:rPr>
          <w:rFonts w:cs="Times New Roman"/>
          <w:bCs/>
        </w:rPr>
      </w:pPr>
      <w:r w:rsidRPr="0E29643B">
        <w:rPr>
          <w:rFonts w:cs="Times New Roman"/>
        </w:rPr>
        <w:t xml:space="preserve">Further, as described in F1.b.iii, the Applicant has begun its transition to implement Epic across </w:t>
      </w:r>
      <w:r w:rsidRPr="3717C5AB">
        <w:rPr>
          <w:rFonts w:cs="Times New Roman"/>
        </w:rPr>
        <w:t>its network</w:t>
      </w:r>
      <w:r w:rsidRPr="0E29643B">
        <w:rPr>
          <w:rFonts w:cs="Times New Roman"/>
        </w:rPr>
        <w:t>, which will facilitate coordination of care for patients who receive services throughout the Applicant</w:t>
      </w:r>
      <w:r w:rsidR="00FC1749">
        <w:rPr>
          <w:rFonts w:cs="Times New Roman"/>
        </w:rPr>
        <w:t>’</w:t>
      </w:r>
      <w:r w:rsidRPr="0E29643B">
        <w:rPr>
          <w:rFonts w:cs="Times New Roman"/>
        </w:rPr>
        <w:t>s system.</w:t>
      </w:r>
    </w:p>
    <w:p w14:paraId="36BB52BA" w14:textId="77777777" w:rsidR="00107A79" w:rsidRDefault="00107A79" w:rsidP="00622C7D">
      <w:pPr>
        <w:spacing w:line="259" w:lineRule="auto"/>
        <w:jc w:val="both"/>
        <w:rPr>
          <w:rFonts w:cs="Times New Roman"/>
          <w:bCs/>
        </w:rPr>
      </w:pPr>
      <w:r>
        <w:rPr>
          <w:rFonts w:cs="Times New Roman"/>
          <w:bCs/>
        </w:rPr>
        <w:br w:type="page"/>
      </w:r>
    </w:p>
    <w:p w14:paraId="1971E158" w14:textId="77777777" w:rsidR="008E4BCB" w:rsidRDefault="008E4BCB" w:rsidP="00107A79">
      <w:pPr>
        <w:spacing w:line="259" w:lineRule="auto"/>
        <w:rPr>
          <w:rFonts w:cs="Times New Roman"/>
          <w:bCs/>
        </w:rPr>
      </w:pPr>
    </w:p>
    <w:p w14:paraId="65793B21" w14:textId="29F8F66C" w:rsidR="00707DD9" w:rsidRDefault="00411DB8" w:rsidP="009D7F96">
      <w:pPr>
        <w:spacing w:before="120" w:after="0" w:line="240" w:lineRule="auto"/>
        <w:ind w:left="1440" w:hanging="1440"/>
        <w:jc w:val="both"/>
        <w:rPr>
          <w:rFonts w:cs="Times New Roman"/>
          <w:b/>
        </w:rPr>
      </w:pPr>
      <w:r w:rsidRPr="000153E7">
        <w:rPr>
          <w:rFonts w:cs="Times New Roman"/>
          <w:b/>
        </w:rPr>
        <w:t>F</w:t>
      </w:r>
      <w:r w:rsidR="00814E07">
        <w:rPr>
          <w:rFonts w:cs="Times New Roman"/>
          <w:b/>
        </w:rPr>
        <w:t>.</w:t>
      </w:r>
      <w:r w:rsidRPr="000153E7">
        <w:rPr>
          <w:rFonts w:cs="Times New Roman"/>
          <w:b/>
        </w:rPr>
        <w:t>1.d</w:t>
      </w:r>
      <w:r w:rsidRPr="000153E7">
        <w:rPr>
          <w:rFonts w:cs="Times New Roman"/>
          <w:b/>
        </w:rPr>
        <w:tab/>
      </w:r>
      <w:bookmarkStart w:id="6" w:name="_Hlk5267844"/>
      <w:r w:rsidR="00707DD9" w:rsidRPr="00707DD9">
        <w:rPr>
          <w:rFonts w:cs="Times New Roman"/>
          <w:b/>
          <w:u w:val="single"/>
        </w:rPr>
        <w:t>Consultation with Government Agencies</w:t>
      </w:r>
    </w:p>
    <w:p w14:paraId="20EC1625" w14:textId="7CC67B68" w:rsidR="00411DB8" w:rsidRPr="000153E7" w:rsidRDefault="00411DB8" w:rsidP="00707DD9">
      <w:pPr>
        <w:spacing w:before="120" w:after="0" w:line="240" w:lineRule="auto"/>
        <w:ind w:left="1440"/>
        <w:jc w:val="both"/>
        <w:rPr>
          <w:rFonts w:cs="Times New Roman"/>
          <w:b/>
        </w:rPr>
      </w:pPr>
      <w:r w:rsidRPr="000153E7">
        <w:rPr>
          <w:rFonts w:cs="Times New Roman"/>
          <w:b/>
          <w:bCs/>
        </w:rPr>
        <w:t>Provide evidence of consultation, both prior to and after the Filing Date, with all Government Agencies with relevant licensure, certification, or other regulatory oversight of the Applicant or the Proposed Project</w:t>
      </w:r>
      <w:bookmarkEnd w:id="6"/>
      <w:r w:rsidRPr="000153E7">
        <w:rPr>
          <w:rFonts w:cs="Times New Roman"/>
          <w:b/>
          <w:bCs/>
        </w:rPr>
        <w:t>.</w:t>
      </w:r>
    </w:p>
    <w:p w14:paraId="01E4A9DD" w14:textId="121414E0" w:rsidR="00411DB8" w:rsidRPr="000153E7" w:rsidRDefault="00411DB8" w:rsidP="009D7F96">
      <w:pPr>
        <w:spacing w:before="120" w:after="120" w:line="240" w:lineRule="auto"/>
        <w:jc w:val="both"/>
        <w:rPr>
          <w:rFonts w:eastAsia="Arial" w:cs="Times New Roman"/>
          <w:spacing w:val="-1"/>
        </w:rPr>
      </w:pPr>
      <w:r w:rsidRPr="000153E7">
        <w:rPr>
          <w:rFonts w:cs="Times New Roman"/>
          <w:spacing w:val="-1"/>
        </w:rPr>
        <w:t xml:space="preserve">The </w:t>
      </w:r>
      <w:r w:rsidRPr="000153E7">
        <w:rPr>
          <w:rFonts w:cs="Times New Roman"/>
          <w:spacing w:val="-2"/>
        </w:rPr>
        <w:t xml:space="preserve">Applicant </w:t>
      </w:r>
      <w:r w:rsidR="00CE1CC0" w:rsidRPr="000153E7">
        <w:rPr>
          <w:rFonts w:cs="Times New Roman"/>
          <w:spacing w:val="-2"/>
        </w:rPr>
        <w:t>conducted</w:t>
      </w:r>
      <w:r w:rsidRPr="000153E7">
        <w:rPr>
          <w:rFonts w:cs="Times New Roman"/>
          <w:spacing w:val="-2"/>
        </w:rPr>
        <w:t xml:space="preserve"> a</w:t>
      </w:r>
      <w:r w:rsidRPr="000153E7">
        <w:rPr>
          <w:rFonts w:cs="Times New Roman"/>
          <w:spacing w:val="-5"/>
        </w:rPr>
        <w:t xml:space="preserve"> </w:t>
      </w:r>
      <w:r w:rsidRPr="000153E7">
        <w:rPr>
          <w:rFonts w:cs="Times New Roman"/>
          <w:spacing w:val="-2"/>
        </w:rPr>
        <w:t>diverse</w:t>
      </w:r>
      <w:r w:rsidRPr="000153E7">
        <w:rPr>
          <w:rFonts w:cs="Times New Roman"/>
          <w:spacing w:val="-6"/>
        </w:rPr>
        <w:t xml:space="preserve"> </w:t>
      </w:r>
      <w:r w:rsidRPr="000153E7">
        <w:rPr>
          <w:rFonts w:cs="Times New Roman"/>
          <w:spacing w:val="-2"/>
        </w:rPr>
        <w:t>consultative</w:t>
      </w:r>
      <w:r w:rsidRPr="000153E7">
        <w:rPr>
          <w:rFonts w:cs="Times New Roman"/>
          <w:spacing w:val="-6"/>
        </w:rPr>
        <w:t xml:space="preserve"> </w:t>
      </w:r>
      <w:r w:rsidRPr="000153E7">
        <w:rPr>
          <w:rFonts w:cs="Times New Roman"/>
          <w:spacing w:val="-1"/>
        </w:rPr>
        <w:t xml:space="preserve">process with individuals at various regulatory agencies and departments regarding the Proposed Project. </w:t>
      </w:r>
      <w:r w:rsidRPr="000153E7">
        <w:rPr>
          <w:rFonts w:eastAsia="Arial" w:cs="Times New Roman"/>
          <w:spacing w:val="-1"/>
        </w:rPr>
        <w:t>The following individuals and agencies are some of those consulted regarding this Project:</w:t>
      </w:r>
    </w:p>
    <w:p w14:paraId="6E788360" w14:textId="513E36AC" w:rsidR="00C46725" w:rsidRPr="000153E7" w:rsidRDefault="00C46725" w:rsidP="2A8A7BAD">
      <w:pPr>
        <w:pStyle w:val="ListParagraph"/>
        <w:numPr>
          <w:ilvl w:val="0"/>
          <w:numId w:val="6"/>
        </w:numPr>
        <w:spacing w:after="0" w:line="240" w:lineRule="auto"/>
        <w:jc w:val="both"/>
        <w:rPr>
          <w:rFonts w:cs="Times New Roman"/>
          <w:b/>
          <w:bCs/>
          <w:kern w:val="2"/>
        </w:rPr>
      </w:pPr>
      <w:r w:rsidRPr="000153E7">
        <w:rPr>
          <w:rFonts w:cs="Times New Roman"/>
          <w:kern w:val="2"/>
        </w:rPr>
        <w:t>Determination of Need Program, Department of Public Health</w:t>
      </w:r>
      <w:r w:rsidR="00A5686E">
        <w:rPr>
          <w:rFonts w:cs="Times New Roman"/>
          <w:kern w:val="2"/>
        </w:rPr>
        <w:t xml:space="preserve">, including </w:t>
      </w:r>
      <w:r w:rsidR="1B725AA2">
        <w:rPr>
          <w:rFonts w:cs="Times New Roman"/>
          <w:kern w:val="2"/>
        </w:rPr>
        <w:t xml:space="preserve">meetings held on </w:t>
      </w:r>
      <w:r w:rsidR="00A5686E">
        <w:rPr>
          <w:rFonts w:cs="Times New Roman"/>
          <w:kern w:val="2"/>
        </w:rPr>
        <w:t>April 1</w:t>
      </w:r>
      <w:r w:rsidR="00C166E9">
        <w:rPr>
          <w:rFonts w:cs="Times New Roman"/>
          <w:kern w:val="2"/>
        </w:rPr>
        <w:t>2</w:t>
      </w:r>
      <w:r w:rsidR="00A5686E">
        <w:rPr>
          <w:rFonts w:cs="Times New Roman"/>
          <w:kern w:val="2"/>
        </w:rPr>
        <w:t xml:space="preserve">, 2024 </w:t>
      </w:r>
      <w:r w:rsidR="59E45538">
        <w:rPr>
          <w:rFonts w:cs="Times New Roman"/>
          <w:kern w:val="2"/>
        </w:rPr>
        <w:t>and August 28, 2024</w:t>
      </w:r>
      <w:r w:rsidR="00772CA3">
        <w:rPr>
          <w:rFonts w:cs="Times New Roman"/>
          <w:kern w:val="2"/>
        </w:rPr>
        <w:t xml:space="preserve">. </w:t>
      </w:r>
    </w:p>
    <w:p w14:paraId="2054DE82" w14:textId="49AB8DCE" w:rsidR="00C46725" w:rsidRPr="000153E7" w:rsidRDefault="00C46725" w:rsidP="2A8A7BAD">
      <w:pPr>
        <w:pStyle w:val="ListParagraph"/>
        <w:numPr>
          <w:ilvl w:val="0"/>
          <w:numId w:val="6"/>
        </w:numPr>
        <w:spacing w:after="0" w:line="240" w:lineRule="auto"/>
        <w:jc w:val="both"/>
        <w:rPr>
          <w:rFonts w:cs="Times New Roman"/>
          <w:kern w:val="2"/>
        </w:rPr>
      </w:pPr>
      <w:r w:rsidRPr="000153E7">
        <w:rPr>
          <w:rFonts w:cs="Times New Roman"/>
          <w:kern w:val="2"/>
        </w:rPr>
        <w:t>Community Health Planning &amp; Engagement Specialist, Bureau of Community Health and Prevention, Department of Public Healt</w:t>
      </w:r>
      <w:r w:rsidR="00772CA3">
        <w:rPr>
          <w:rFonts w:cs="Times New Roman"/>
          <w:kern w:val="2"/>
        </w:rPr>
        <w:t xml:space="preserve">h, including a meeting on August 28, 2024. </w:t>
      </w:r>
    </w:p>
    <w:p w14:paraId="72E8D29A" w14:textId="3C216189" w:rsidR="00C46725" w:rsidRPr="000153E7" w:rsidRDefault="00C46725" w:rsidP="00C46725">
      <w:pPr>
        <w:pStyle w:val="ListParagraph"/>
        <w:numPr>
          <w:ilvl w:val="0"/>
          <w:numId w:val="6"/>
        </w:numPr>
        <w:spacing w:after="0" w:line="240" w:lineRule="auto"/>
        <w:contextualSpacing w:val="0"/>
        <w:jc w:val="both"/>
        <w:rPr>
          <w:rFonts w:cs="Times New Roman"/>
          <w:b/>
          <w:kern w:val="2"/>
        </w:rPr>
      </w:pPr>
      <w:r w:rsidRPr="000153E7">
        <w:rPr>
          <w:rFonts w:cs="Times New Roman"/>
          <w:kern w:val="2"/>
        </w:rPr>
        <w:t>Bureau of Community Health and Prevention, Department of Public Health</w:t>
      </w:r>
    </w:p>
    <w:p w14:paraId="68E452AE" w14:textId="77777777" w:rsidR="00C46725" w:rsidRPr="000153E7" w:rsidRDefault="00C46725" w:rsidP="00C46725">
      <w:pPr>
        <w:pStyle w:val="ListParagraph"/>
        <w:numPr>
          <w:ilvl w:val="0"/>
          <w:numId w:val="6"/>
        </w:numPr>
        <w:spacing w:after="0" w:line="240" w:lineRule="auto"/>
        <w:contextualSpacing w:val="0"/>
        <w:jc w:val="both"/>
        <w:rPr>
          <w:rFonts w:cs="Times New Roman"/>
          <w:b/>
          <w:kern w:val="2"/>
        </w:rPr>
      </w:pPr>
      <w:r w:rsidRPr="000153E7">
        <w:rPr>
          <w:rFonts w:cs="Times New Roman"/>
          <w:kern w:val="2"/>
        </w:rPr>
        <w:t xml:space="preserve">Massachusetts Executive Office of Health and Human Services </w:t>
      </w:r>
    </w:p>
    <w:p w14:paraId="1A44DD6A" w14:textId="77777777" w:rsidR="00C46725" w:rsidRPr="000153E7" w:rsidRDefault="00C46725" w:rsidP="00C46725">
      <w:pPr>
        <w:pStyle w:val="ListParagraph"/>
        <w:numPr>
          <w:ilvl w:val="0"/>
          <w:numId w:val="6"/>
        </w:numPr>
        <w:spacing w:after="0" w:line="240" w:lineRule="auto"/>
        <w:contextualSpacing w:val="0"/>
        <w:jc w:val="both"/>
        <w:rPr>
          <w:rFonts w:cs="Times New Roman"/>
          <w:b/>
          <w:kern w:val="2"/>
        </w:rPr>
      </w:pPr>
      <w:r w:rsidRPr="000153E7">
        <w:rPr>
          <w:rFonts w:cs="Times New Roman"/>
          <w:kern w:val="2"/>
        </w:rPr>
        <w:t>Health Policy Commission</w:t>
      </w:r>
    </w:p>
    <w:p w14:paraId="5EEEFD2E" w14:textId="77777777" w:rsidR="00C46725" w:rsidRPr="000153E7" w:rsidRDefault="00C46725" w:rsidP="00C46725">
      <w:pPr>
        <w:pStyle w:val="ListParagraph"/>
        <w:numPr>
          <w:ilvl w:val="0"/>
          <w:numId w:val="6"/>
        </w:numPr>
        <w:spacing w:after="0" w:line="240" w:lineRule="auto"/>
        <w:contextualSpacing w:val="0"/>
        <w:jc w:val="both"/>
        <w:rPr>
          <w:rFonts w:cs="Times New Roman"/>
          <w:b/>
          <w:kern w:val="2"/>
        </w:rPr>
      </w:pPr>
      <w:r w:rsidRPr="000153E7">
        <w:rPr>
          <w:rFonts w:cs="Times New Roman"/>
          <w:kern w:val="2"/>
        </w:rPr>
        <w:t xml:space="preserve">Center for Health Information and Analysis </w:t>
      </w:r>
    </w:p>
    <w:p w14:paraId="5203BB98" w14:textId="52D3B771" w:rsidR="00C46725" w:rsidRPr="000153E7" w:rsidRDefault="00C46725" w:rsidP="2A8A7BAD">
      <w:pPr>
        <w:pStyle w:val="ListParagraph"/>
        <w:numPr>
          <w:ilvl w:val="0"/>
          <w:numId w:val="6"/>
        </w:numPr>
        <w:spacing w:after="0" w:line="240" w:lineRule="auto"/>
        <w:jc w:val="both"/>
        <w:rPr>
          <w:rFonts w:cs="Times New Roman"/>
          <w:b/>
          <w:bCs/>
          <w:kern w:val="2"/>
        </w:rPr>
      </w:pPr>
      <w:r w:rsidRPr="000153E7">
        <w:rPr>
          <w:rFonts w:cs="Times New Roman"/>
          <w:kern w:val="2"/>
        </w:rPr>
        <w:t xml:space="preserve">The Centers for Medicare &amp; Medicaid Services </w:t>
      </w:r>
    </w:p>
    <w:p w14:paraId="1F3147A3" w14:textId="29407F1A" w:rsidR="00E90D1D" w:rsidRDefault="00E90D1D">
      <w:pPr>
        <w:spacing w:line="259" w:lineRule="auto"/>
        <w:rPr>
          <w:rFonts w:cs="Times New Roman"/>
          <w:b/>
          <w:kern w:val="2"/>
        </w:rPr>
      </w:pPr>
      <w:r>
        <w:rPr>
          <w:rFonts w:cs="Times New Roman"/>
          <w:b/>
          <w:kern w:val="2"/>
        </w:rPr>
        <w:br w:type="page"/>
      </w:r>
    </w:p>
    <w:p w14:paraId="2A58DB78" w14:textId="77777777" w:rsidR="00D801D5" w:rsidRPr="000153E7" w:rsidRDefault="00D801D5">
      <w:pPr>
        <w:spacing w:line="259" w:lineRule="auto"/>
        <w:rPr>
          <w:rFonts w:cs="Times New Roman"/>
          <w:b/>
          <w:kern w:val="2"/>
        </w:rPr>
      </w:pPr>
    </w:p>
    <w:p w14:paraId="14E9DF93" w14:textId="3475AA03" w:rsidR="00411DB8" w:rsidRPr="000153E7" w:rsidRDefault="00411DB8" w:rsidP="009D7F96">
      <w:pPr>
        <w:pStyle w:val="Heading1"/>
        <w:spacing w:after="120" w:line="257" w:lineRule="auto"/>
        <w:rPr>
          <w:rFonts w:cs="Times New Roman"/>
          <w:b/>
          <w:bCs/>
        </w:rPr>
      </w:pPr>
      <w:bookmarkStart w:id="7" w:name="_Hlk497463738"/>
      <w:r w:rsidRPr="000153E7">
        <w:rPr>
          <w:rFonts w:cs="Times New Roman"/>
          <w:b/>
          <w:bCs/>
        </w:rPr>
        <w:t>F1.e.i</w:t>
      </w:r>
      <w:bookmarkEnd w:id="7"/>
      <w:r w:rsidRPr="000153E7">
        <w:rPr>
          <w:rFonts w:cs="Times New Roman"/>
          <w:b/>
          <w:bCs/>
        </w:rPr>
        <w:tab/>
      </w:r>
      <w:r w:rsidRPr="000153E7">
        <w:rPr>
          <w:rFonts w:cs="Times New Roman"/>
          <w:b/>
          <w:bCs/>
        </w:rPr>
        <w:tab/>
      </w:r>
      <w:r w:rsidRPr="000153E7">
        <w:rPr>
          <w:rFonts w:cs="Times New Roman"/>
          <w:b/>
          <w:bCs/>
          <w:u w:val="single"/>
        </w:rPr>
        <w:t>Process for Determining Need/Evidence of Community Engagement</w:t>
      </w:r>
      <w:r w:rsidRPr="000153E7">
        <w:rPr>
          <w:rFonts w:cs="Times New Roman"/>
          <w:b/>
          <w:bCs/>
        </w:rPr>
        <w:t>:</w:t>
      </w:r>
    </w:p>
    <w:p w14:paraId="6B32B7E2" w14:textId="74DCAC3A" w:rsidR="00411DB8" w:rsidRDefault="00411DB8" w:rsidP="00411DB8">
      <w:pPr>
        <w:spacing w:after="0" w:line="240" w:lineRule="auto"/>
        <w:ind w:left="1440"/>
        <w:jc w:val="both"/>
        <w:rPr>
          <w:rFonts w:cs="Times New Roman"/>
          <w:b/>
          <w:kern w:val="2"/>
        </w:rPr>
      </w:pPr>
      <w:r w:rsidRPr="000153E7">
        <w:rPr>
          <w:rFonts w:cs="Times New Roman"/>
          <w:b/>
          <w:kern w:val="2"/>
        </w:rPr>
        <w:t xml:space="preserve">For assistance in responding to this portion of the Application, Applicant is encouraged to review </w:t>
      </w:r>
      <w:r w:rsidRPr="000153E7">
        <w:rPr>
          <w:rFonts w:cs="Times New Roman"/>
          <w:b/>
          <w:i/>
          <w:kern w:val="2"/>
        </w:rPr>
        <w:t xml:space="preserve">Community Engagement Standards for Community Health Planning Guideline. </w:t>
      </w:r>
      <w:r w:rsidRPr="000153E7">
        <w:rPr>
          <w:rFonts w:cs="Times New Roman"/>
          <w:b/>
          <w:kern w:val="2"/>
        </w:rPr>
        <w:t>With respect to the existing Patient Panel, please describe the process through which Applicant determined the need for the Proposed Project.</w:t>
      </w:r>
    </w:p>
    <w:p w14:paraId="7999BB42" w14:textId="0538E9B9" w:rsidR="00251717" w:rsidRDefault="00251717" w:rsidP="00251717">
      <w:pPr>
        <w:pStyle w:val="RBUBullets"/>
        <w:numPr>
          <w:ilvl w:val="0"/>
          <w:numId w:val="0"/>
        </w:numPr>
        <w:rPr>
          <w:sz w:val="22"/>
          <w:szCs w:val="18"/>
        </w:rPr>
      </w:pPr>
    </w:p>
    <w:p w14:paraId="279C8E55" w14:textId="7DA918B2" w:rsidR="006042C4" w:rsidRPr="00DD3301" w:rsidRDefault="006042C4" w:rsidP="00E54DA2">
      <w:pPr>
        <w:pStyle w:val="RBUBullets"/>
        <w:numPr>
          <w:ilvl w:val="0"/>
          <w:numId w:val="0"/>
        </w:numPr>
        <w:rPr>
          <w:sz w:val="22"/>
          <w:szCs w:val="22"/>
        </w:rPr>
      </w:pPr>
      <w:r w:rsidRPr="2A8A7BAD">
        <w:rPr>
          <w:sz w:val="22"/>
          <w:szCs w:val="22"/>
        </w:rPr>
        <w:t>During each of the presentations described below, attendees were educated on the Applicant</w:t>
      </w:r>
      <w:r w:rsidR="00FC1749" w:rsidRPr="2A8A7BAD">
        <w:rPr>
          <w:sz w:val="22"/>
          <w:szCs w:val="22"/>
        </w:rPr>
        <w:t>’</w:t>
      </w:r>
      <w:r w:rsidRPr="2A8A7BAD">
        <w:rPr>
          <w:sz w:val="22"/>
          <w:szCs w:val="22"/>
        </w:rPr>
        <w:t>s proposed plans, including how the Proposed Project will benefit the local communities and patient</w:t>
      </w:r>
      <w:r w:rsidR="2B08FFB4" w:rsidRPr="2A8A7BAD">
        <w:rPr>
          <w:sz w:val="22"/>
          <w:szCs w:val="22"/>
        </w:rPr>
        <w:t>s</w:t>
      </w:r>
      <w:r w:rsidRPr="2A8A7BAD">
        <w:rPr>
          <w:sz w:val="22"/>
          <w:szCs w:val="22"/>
        </w:rPr>
        <w:t>. Following the presentation, attendees were able to share feedback and ask the presenters questions.</w:t>
      </w:r>
    </w:p>
    <w:p w14:paraId="21C0821D" w14:textId="2648C144" w:rsidR="00634CAA" w:rsidRPr="00DD3301" w:rsidRDefault="00251717" w:rsidP="00E54DA2">
      <w:pPr>
        <w:pStyle w:val="RBUBullets"/>
        <w:numPr>
          <w:ilvl w:val="0"/>
          <w:numId w:val="0"/>
        </w:numPr>
        <w:rPr>
          <w:sz w:val="22"/>
          <w:szCs w:val="22"/>
        </w:rPr>
      </w:pPr>
      <w:r w:rsidRPr="2A8A7BAD">
        <w:rPr>
          <w:sz w:val="22"/>
          <w:szCs w:val="22"/>
        </w:rPr>
        <w:t xml:space="preserve">The Applicant presented the Proposed Project to </w:t>
      </w:r>
      <w:r w:rsidR="00424F30">
        <w:rPr>
          <w:sz w:val="22"/>
          <w:szCs w:val="22"/>
        </w:rPr>
        <w:t>BID Plymouth</w:t>
      </w:r>
      <w:r w:rsidR="00FC1749" w:rsidRPr="2A8A7BAD">
        <w:rPr>
          <w:sz w:val="22"/>
          <w:szCs w:val="22"/>
        </w:rPr>
        <w:t>’</w:t>
      </w:r>
      <w:r w:rsidR="002033A2" w:rsidRPr="2A8A7BAD">
        <w:rPr>
          <w:sz w:val="22"/>
          <w:szCs w:val="22"/>
        </w:rPr>
        <w:t>s P</w:t>
      </w:r>
      <w:r w:rsidRPr="2A8A7BAD">
        <w:rPr>
          <w:sz w:val="22"/>
          <w:szCs w:val="22"/>
        </w:rPr>
        <w:t>atient and Family Advisory Committee (</w:t>
      </w:r>
      <w:r w:rsidR="00FC1749" w:rsidRPr="2A8A7BAD">
        <w:rPr>
          <w:sz w:val="22"/>
          <w:szCs w:val="22"/>
        </w:rPr>
        <w:t>“</w:t>
      </w:r>
      <w:r w:rsidRPr="2A8A7BAD">
        <w:rPr>
          <w:sz w:val="22"/>
          <w:szCs w:val="22"/>
        </w:rPr>
        <w:t>PFAC</w:t>
      </w:r>
      <w:r w:rsidR="00FC1749" w:rsidRPr="2A8A7BAD">
        <w:rPr>
          <w:sz w:val="22"/>
          <w:szCs w:val="22"/>
        </w:rPr>
        <w:t>”</w:t>
      </w:r>
      <w:r w:rsidRPr="2A8A7BAD">
        <w:rPr>
          <w:sz w:val="22"/>
          <w:szCs w:val="22"/>
        </w:rPr>
        <w:t>) on</w:t>
      </w:r>
      <w:r w:rsidR="005F6D1D" w:rsidRPr="2A8A7BAD">
        <w:rPr>
          <w:sz w:val="22"/>
          <w:szCs w:val="22"/>
        </w:rPr>
        <w:t xml:space="preserve"> </w:t>
      </w:r>
      <w:r w:rsidRPr="2A8A7BAD">
        <w:rPr>
          <w:sz w:val="22"/>
          <w:szCs w:val="22"/>
        </w:rPr>
        <w:t xml:space="preserve">June </w:t>
      </w:r>
      <w:r w:rsidR="00C00F56" w:rsidRPr="2A8A7BAD">
        <w:rPr>
          <w:sz w:val="22"/>
          <w:szCs w:val="22"/>
        </w:rPr>
        <w:t>12</w:t>
      </w:r>
      <w:r w:rsidRPr="2A8A7BAD">
        <w:rPr>
          <w:sz w:val="22"/>
          <w:szCs w:val="22"/>
        </w:rPr>
        <w:t>, 2024</w:t>
      </w:r>
      <w:r w:rsidR="00E54DA2" w:rsidRPr="2A8A7BAD">
        <w:rPr>
          <w:sz w:val="22"/>
          <w:szCs w:val="22"/>
        </w:rPr>
        <w:t>,</w:t>
      </w:r>
      <w:r w:rsidRPr="2A8A7BAD">
        <w:rPr>
          <w:sz w:val="22"/>
          <w:szCs w:val="22"/>
        </w:rPr>
        <w:t xml:space="preserve"> to inform them of the Proposed Project and solicit their feedback in the development of the Proposed Project.</w:t>
      </w:r>
      <w:r w:rsidR="00C00F56" w:rsidRPr="2A8A7BAD">
        <w:rPr>
          <w:sz w:val="22"/>
          <w:szCs w:val="22"/>
        </w:rPr>
        <w:t xml:space="preserve"> The meeting was held over Zoom</w:t>
      </w:r>
      <w:r w:rsidR="00634CAA" w:rsidRPr="2A8A7BAD">
        <w:rPr>
          <w:sz w:val="22"/>
          <w:szCs w:val="22"/>
        </w:rPr>
        <w:t xml:space="preserve"> and there were seven individuals in attendance. T</w:t>
      </w:r>
      <w:r w:rsidR="00C00F56" w:rsidRPr="2A8A7BAD">
        <w:rPr>
          <w:sz w:val="22"/>
          <w:szCs w:val="22"/>
        </w:rPr>
        <w:t>here was a question as to whether the Proposed Project would allow for the sharing of clinical resources around clinical care. The</w:t>
      </w:r>
      <w:r w:rsidR="00634CAA" w:rsidRPr="2A8A7BAD">
        <w:rPr>
          <w:sz w:val="22"/>
          <w:szCs w:val="22"/>
        </w:rPr>
        <w:t xml:space="preserve"> Applicant</w:t>
      </w:r>
      <w:r w:rsidR="00FC1749" w:rsidRPr="2A8A7BAD">
        <w:rPr>
          <w:sz w:val="22"/>
          <w:szCs w:val="22"/>
        </w:rPr>
        <w:t>’</w:t>
      </w:r>
      <w:r w:rsidR="00634CAA" w:rsidRPr="2A8A7BAD">
        <w:rPr>
          <w:sz w:val="22"/>
          <w:szCs w:val="22"/>
        </w:rPr>
        <w:t xml:space="preserve">s representatives </w:t>
      </w:r>
      <w:r w:rsidR="00C00F56" w:rsidRPr="2A8A7BAD">
        <w:rPr>
          <w:sz w:val="22"/>
          <w:szCs w:val="22"/>
        </w:rPr>
        <w:t xml:space="preserve">confirmed that the Plymouth staff would work together with specialized physicians from BIDMC to provide enhanced and new clinical offerings for cancer care, in particular, clinical trials and additional infusion treatments for different types of cancer. </w:t>
      </w:r>
    </w:p>
    <w:p w14:paraId="2100322C" w14:textId="5B3E8CB1" w:rsidR="00634CAA" w:rsidRPr="00DD3301" w:rsidRDefault="006C2169" w:rsidP="2A8A7BAD">
      <w:pPr>
        <w:autoSpaceDE w:val="0"/>
        <w:autoSpaceDN w:val="0"/>
        <w:jc w:val="both"/>
        <w:rPr>
          <w:rFonts w:ascii="ArialMT" w:eastAsiaTheme="minorEastAsia" w:hAnsi="ArialMT"/>
        </w:rPr>
      </w:pPr>
      <w:r>
        <w:t xml:space="preserve">The Applicant also presented to </w:t>
      </w:r>
      <w:r w:rsidR="00424F30">
        <w:t>BID Plymouth</w:t>
      </w:r>
      <w:r w:rsidR="00FC1749">
        <w:t>’</w:t>
      </w:r>
      <w:r>
        <w:t>s Community Benefits Advisory Committee (</w:t>
      </w:r>
      <w:r w:rsidR="00FC1749">
        <w:t>“</w:t>
      </w:r>
      <w:r>
        <w:t>CBAC</w:t>
      </w:r>
      <w:r w:rsidR="00FC1749">
        <w:t>”</w:t>
      </w:r>
      <w:r>
        <w:t>) on June 10, 2024</w:t>
      </w:r>
      <w:r w:rsidR="00E54DA2">
        <w:t>,</w:t>
      </w:r>
      <w:r>
        <w:t xml:space="preserve"> to provide an overview of the Proposed Project. </w:t>
      </w:r>
      <w:r w:rsidR="008758D9">
        <w:t>There were ten individuals in attendance</w:t>
      </w:r>
      <w:r w:rsidR="00814E07">
        <w:t xml:space="preserve"> and the meeting was open to the public</w:t>
      </w:r>
      <w:r w:rsidR="008758D9">
        <w:t xml:space="preserve">. </w:t>
      </w:r>
      <w:r>
        <w:t xml:space="preserve">The CBAC members asked questions related to the timeline for CHNA with respect to the Proposed Project and whether there were any certain DPH priorities with respect to the </w:t>
      </w:r>
      <w:r w:rsidR="00671394" w:rsidRPr="00671394">
        <w:t>Community Health Initiative (</w:t>
      </w:r>
      <w:r w:rsidR="00671394">
        <w:t>“</w:t>
      </w:r>
      <w:r w:rsidR="00671394" w:rsidRPr="00671394">
        <w:t>CHI</w:t>
      </w:r>
      <w:r w:rsidR="00671394">
        <w:t xml:space="preserve">”) </w:t>
      </w:r>
      <w:r>
        <w:t>funds.</w:t>
      </w:r>
      <w:r w:rsidR="00634CAA">
        <w:t xml:space="preserve"> As with the PFAC presentation, Hospital representatives spoke about the purpose of the Proposed Project and what it would mean for patients and the community.</w:t>
      </w:r>
    </w:p>
    <w:p w14:paraId="0B80CAB0" w14:textId="44070C5B" w:rsidR="008758D9" w:rsidRPr="00DD3301" w:rsidRDefault="002033A2" w:rsidP="00E54DA2">
      <w:pPr>
        <w:pStyle w:val="RBUBullets"/>
        <w:numPr>
          <w:ilvl w:val="0"/>
          <w:numId w:val="0"/>
        </w:numPr>
        <w:rPr>
          <w:sz w:val="22"/>
          <w:szCs w:val="22"/>
        </w:rPr>
      </w:pPr>
      <w:r w:rsidRPr="2A8A7BAD">
        <w:rPr>
          <w:sz w:val="22"/>
          <w:szCs w:val="22"/>
        </w:rPr>
        <w:t xml:space="preserve">The Applicant also presented to the </w:t>
      </w:r>
      <w:r w:rsidR="00424F30">
        <w:rPr>
          <w:sz w:val="22"/>
          <w:szCs w:val="22"/>
        </w:rPr>
        <w:t>BID Milton</w:t>
      </w:r>
      <w:r w:rsidR="00634CAA" w:rsidRPr="2A8A7BAD">
        <w:rPr>
          <w:sz w:val="22"/>
          <w:szCs w:val="22"/>
        </w:rPr>
        <w:t xml:space="preserve"> </w:t>
      </w:r>
      <w:r w:rsidR="008758D9" w:rsidRPr="2A8A7BAD">
        <w:rPr>
          <w:sz w:val="22"/>
          <w:szCs w:val="22"/>
        </w:rPr>
        <w:t>CBAC</w:t>
      </w:r>
      <w:r w:rsidR="00634CAA" w:rsidRPr="2A8A7BAD">
        <w:rPr>
          <w:sz w:val="22"/>
          <w:szCs w:val="22"/>
        </w:rPr>
        <w:t xml:space="preserve"> on </w:t>
      </w:r>
      <w:r w:rsidR="008758D9" w:rsidRPr="2A8A7BAD">
        <w:rPr>
          <w:sz w:val="22"/>
          <w:szCs w:val="22"/>
        </w:rPr>
        <w:t xml:space="preserve">June 20, 2024. The meeting was held over Zoom and there were </w:t>
      </w:r>
      <w:r w:rsidR="00671394">
        <w:rPr>
          <w:sz w:val="22"/>
          <w:szCs w:val="22"/>
        </w:rPr>
        <w:t>16</w:t>
      </w:r>
      <w:r w:rsidR="008758D9" w:rsidRPr="2A8A7BAD">
        <w:rPr>
          <w:sz w:val="22"/>
          <w:szCs w:val="22"/>
        </w:rPr>
        <w:t xml:space="preserve"> individuals in attendance. As mentioned above for the </w:t>
      </w:r>
      <w:r w:rsidR="00424F30">
        <w:rPr>
          <w:sz w:val="22"/>
          <w:szCs w:val="22"/>
        </w:rPr>
        <w:t>BID Plymouth</w:t>
      </w:r>
      <w:r w:rsidR="008758D9" w:rsidRPr="2A8A7BAD">
        <w:rPr>
          <w:sz w:val="22"/>
          <w:szCs w:val="22"/>
        </w:rPr>
        <w:t xml:space="preserve"> meetings, Hospital representatives spoke about the purpose of the Proposed Project and what it would mean for patients and the community. There were no questions regarding the Proposed Project. The Applicant also presented to </w:t>
      </w:r>
      <w:r w:rsidR="00424F30">
        <w:rPr>
          <w:sz w:val="22"/>
          <w:szCs w:val="22"/>
        </w:rPr>
        <w:t>BID Milton</w:t>
      </w:r>
      <w:r w:rsidR="00FC1749" w:rsidRPr="2A8A7BAD">
        <w:rPr>
          <w:sz w:val="22"/>
          <w:szCs w:val="22"/>
        </w:rPr>
        <w:t>’</w:t>
      </w:r>
      <w:r w:rsidR="008758D9" w:rsidRPr="2A8A7BAD">
        <w:rPr>
          <w:sz w:val="22"/>
          <w:szCs w:val="22"/>
        </w:rPr>
        <w:t>s PFAC on August 8</w:t>
      </w:r>
      <w:r w:rsidR="008758D9" w:rsidRPr="2A8A7BAD">
        <w:rPr>
          <w:sz w:val="22"/>
          <w:szCs w:val="22"/>
          <w:vertAlign w:val="superscript"/>
        </w:rPr>
        <w:t>th</w:t>
      </w:r>
      <w:r w:rsidR="00915EB7" w:rsidRPr="2A8A7BAD">
        <w:rPr>
          <w:sz w:val="22"/>
          <w:szCs w:val="22"/>
        </w:rPr>
        <w:t>, 2024.</w:t>
      </w:r>
    </w:p>
    <w:p w14:paraId="307DD8FE" w14:textId="409055C1" w:rsidR="002A2CFC" w:rsidRPr="00DD3301" w:rsidRDefault="008758D9" w:rsidP="00E54DA2">
      <w:pPr>
        <w:pStyle w:val="RBUBullets"/>
        <w:numPr>
          <w:ilvl w:val="0"/>
          <w:numId w:val="0"/>
        </w:numPr>
        <w:rPr>
          <w:sz w:val="22"/>
          <w:szCs w:val="22"/>
        </w:rPr>
      </w:pPr>
      <w:r w:rsidRPr="2A8A7BAD">
        <w:rPr>
          <w:sz w:val="22"/>
          <w:szCs w:val="22"/>
        </w:rPr>
        <w:t xml:space="preserve">Finally, the Applicant presented to the </w:t>
      </w:r>
      <w:r w:rsidR="006042C4" w:rsidRPr="2A8A7BAD">
        <w:rPr>
          <w:sz w:val="22"/>
          <w:szCs w:val="22"/>
        </w:rPr>
        <w:t xml:space="preserve">BIDMC CBAC on June 25, 2024. The meeting was held on Zoom and there were </w:t>
      </w:r>
      <w:r w:rsidR="00671394">
        <w:rPr>
          <w:sz w:val="22"/>
          <w:szCs w:val="22"/>
        </w:rPr>
        <w:t>27</w:t>
      </w:r>
      <w:r w:rsidR="006042C4" w:rsidRPr="2A8A7BAD">
        <w:rPr>
          <w:sz w:val="22"/>
          <w:szCs w:val="22"/>
        </w:rPr>
        <w:t xml:space="preserve"> individuals in attendance. </w:t>
      </w:r>
      <w:r w:rsidR="002A2CFC" w:rsidRPr="2A8A7BAD">
        <w:rPr>
          <w:rFonts w:eastAsia="Times New Roman"/>
          <w:color w:val="000000" w:themeColor="text1"/>
          <w:sz w:val="22"/>
          <w:szCs w:val="22"/>
        </w:rPr>
        <w:t xml:space="preserve">One attendee asked if BIDMC would be supporting the Milton and Plymouth teams with the DoN process and an Applicant representative confirmed this point, noting that the Applicant was developing a toolkit to support applicable managers in responding to CHI requirements. The Applicant representative also shared that the </w:t>
      </w:r>
      <w:r w:rsidR="00424F30">
        <w:rPr>
          <w:rFonts w:eastAsia="Times New Roman"/>
          <w:color w:val="000000" w:themeColor="text1"/>
          <w:sz w:val="22"/>
          <w:szCs w:val="22"/>
        </w:rPr>
        <w:t>BID Milton</w:t>
      </w:r>
      <w:r w:rsidR="002A2CFC" w:rsidRPr="2A8A7BAD">
        <w:rPr>
          <w:rFonts w:eastAsia="Times New Roman"/>
          <w:color w:val="000000" w:themeColor="text1"/>
          <w:sz w:val="22"/>
          <w:szCs w:val="22"/>
        </w:rPr>
        <w:t xml:space="preserve"> and </w:t>
      </w:r>
      <w:r w:rsidR="00424F30">
        <w:rPr>
          <w:rFonts w:eastAsia="Times New Roman"/>
          <w:color w:val="000000" w:themeColor="text1"/>
          <w:sz w:val="22"/>
          <w:szCs w:val="22"/>
        </w:rPr>
        <w:t>BID Plymouth</w:t>
      </w:r>
      <w:r w:rsidR="002A2CFC" w:rsidRPr="2A8A7BAD">
        <w:rPr>
          <w:rFonts w:eastAsia="Times New Roman"/>
          <w:color w:val="000000" w:themeColor="text1"/>
          <w:sz w:val="22"/>
          <w:szCs w:val="22"/>
        </w:rPr>
        <w:t xml:space="preserve"> teams will be actively engaging with their communities to put together plans for investments. The Applicant also presented to the BIDMC </w:t>
      </w:r>
      <w:r w:rsidR="002A2CFC" w:rsidRPr="2A8A7BAD">
        <w:rPr>
          <w:sz w:val="22"/>
          <w:szCs w:val="22"/>
        </w:rPr>
        <w:t>PFAC on July 10, 2024.</w:t>
      </w:r>
    </w:p>
    <w:p w14:paraId="41ACA17F" w14:textId="6A1C1EB4" w:rsidR="00814E07" w:rsidRPr="00DD3301" w:rsidRDefault="002A2CFC" w:rsidP="00E54DA2">
      <w:pPr>
        <w:pStyle w:val="RBUBullets"/>
        <w:numPr>
          <w:ilvl w:val="0"/>
          <w:numId w:val="0"/>
        </w:numPr>
        <w:rPr>
          <w:sz w:val="22"/>
          <w:szCs w:val="22"/>
        </w:rPr>
      </w:pPr>
      <w:r w:rsidRPr="2A8A7BAD">
        <w:rPr>
          <w:sz w:val="22"/>
          <w:szCs w:val="22"/>
        </w:rPr>
        <w:t xml:space="preserve">The PFAC and CBAC members for each of </w:t>
      </w:r>
      <w:r w:rsidR="00424F30">
        <w:rPr>
          <w:sz w:val="22"/>
          <w:szCs w:val="22"/>
        </w:rPr>
        <w:t>BID Plymouth</w:t>
      </w:r>
      <w:r w:rsidRPr="2A8A7BAD">
        <w:rPr>
          <w:sz w:val="22"/>
          <w:szCs w:val="22"/>
        </w:rPr>
        <w:t xml:space="preserve">, </w:t>
      </w:r>
      <w:r w:rsidR="00424F30">
        <w:rPr>
          <w:sz w:val="22"/>
          <w:szCs w:val="22"/>
        </w:rPr>
        <w:t>BID Milton</w:t>
      </w:r>
      <w:r w:rsidRPr="2A8A7BAD">
        <w:rPr>
          <w:sz w:val="22"/>
          <w:szCs w:val="22"/>
        </w:rPr>
        <w:t>, and BIDMC</w:t>
      </w:r>
      <w:r w:rsidR="00814E07">
        <w:rPr>
          <w:sz w:val="22"/>
          <w:szCs w:val="22"/>
        </w:rPr>
        <w:t xml:space="preserve"> had the opportunity to ask questions, </w:t>
      </w:r>
      <w:r w:rsidRPr="2A8A7BAD">
        <w:rPr>
          <w:sz w:val="22"/>
          <w:szCs w:val="22"/>
        </w:rPr>
        <w:t xml:space="preserve">generally had positive reactions regarding the Proposed Project and did not voice any concerns with the Proposed Project. </w:t>
      </w:r>
      <w:r w:rsidR="00915EB7" w:rsidRPr="2A8A7BAD">
        <w:rPr>
          <w:sz w:val="22"/>
          <w:szCs w:val="22"/>
        </w:rPr>
        <w:t xml:space="preserve">The Applicant also presented at the </w:t>
      </w:r>
      <w:r w:rsidR="00424F30">
        <w:rPr>
          <w:sz w:val="22"/>
          <w:szCs w:val="22"/>
        </w:rPr>
        <w:t>BID Plymouth</w:t>
      </w:r>
      <w:r w:rsidR="00915EB7" w:rsidRPr="2A8A7BAD">
        <w:rPr>
          <w:sz w:val="22"/>
          <w:szCs w:val="22"/>
        </w:rPr>
        <w:t xml:space="preserve"> Annual Meeting on September 18, 2024, and </w:t>
      </w:r>
      <w:r w:rsidR="00424F30">
        <w:rPr>
          <w:sz w:val="22"/>
          <w:szCs w:val="22"/>
        </w:rPr>
        <w:t>BID Milton</w:t>
      </w:r>
      <w:r w:rsidR="00915EB7" w:rsidRPr="2A8A7BAD">
        <w:rPr>
          <w:sz w:val="22"/>
          <w:szCs w:val="22"/>
        </w:rPr>
        <w:t xml:space="preserve"> Annual Meeting on September 27, 2027</w:t>
      </w:r>
      <w:r w:rsidR="00DD3301" w:rsidRPr="2A8A7BAD">
        <w:rPr>
          <w:sz w:val="22"/>
          <w:szCs w:val="22"/>
        </w:rPr>
        <w:t xml:space="preserve">, </w:t>
      </w:r>
      <w:r w:rsidR="00B647BC">
        <w:rPr>
          <w:sz w:val="22"/>
          <w:szCs w:val="22"/>
        </w:rPr>
        <w:t xml:space="preserve"> </w:t>
      </w:r>
      <w:r w:rsidR="00DD3301" w:rsidRPr="2A8A7BAD">
        <w:rPr>
          <w:sz w:val="22"/>
          <w:szCs w:val="22"/>
        </w:rPr>
        <w:t>and received positive feedback with respect to the Proposed Project.</w:t>
      </w:r>
    </w:p>
    <w:p w14:paraId="2AE9AE5E" w14:textId="77777777" w:rsidR="002A2CFC" w:rsidRDefault="002A2CFC" w:rsidP="00E54DA2">
      <w:pPr>
        <w:pStyle w:val="RBUBullets"/>
        <w:numPr>
          <w:ilvl w:val="0"/>
          <w:numId w:val="0"/>
        </w:numPr>
        <w:rPr>
          <w:sz w:val="22"/>
          <w:szCs w:val="22"/>
        </w:rPr>
      </w:pPr>
    </w:p>
    <w:p w14:paraId="30E21608" w14:textId="77777777" w:rsidR="002033A2" w:rsidRPr="00066BB9" w:rsidRDefault="002033A2" w:rsidP="00251717">
      <w:pPr>
        <w:pStyle w:val="RBUBullets"/>
        <w:numPr>
          <w:ilvl w:val="0"/>
          <w:numId w:val="0"/>
        </w:numPr>
        <w:rPr>
          <w:sz w:val="22"/>
          <w:szCs w:val="18"/>
        </w:rPr>
      </w:pPr>
    </w:p>
    <w:p w14:paraId="621DB7A2" w14:textId="74A3FA8C" w:rsidR="00251717" w:rsidRDefault="00251717" w:rsidP="00251717">
      <w:pPr>
        <w:pStyle w:val="RBUBullets"/>
        <w:numPr>
          <w:ilvl w:val="0"/>
          <w:numId w:val="0"/>
        </w:numPr>
      </w:pPr>
    </w:p>
    <w:p w14:paraId="4A6383CC" w14:textId="08914294" w:rsidR="008E4BCB" w:rsidRDefault="008E4BCB">
      <w:pPr>
        <w:spacing w:line="259" w:lineRule="auto"/>
        <w:rPr>
          <w:rFonts w:cs="Times New Roman"/>
          <w:b/>
          <w:bCs/>
        </w:rPr>
      </w:pPr>
      <w:bookmarkStart w:id="8" w:name="_Hlk497463745"/>
    </w:p>
    <w:p w14:paraId="66B90599" w14:textId="6A6C648D" w:rsidR="00411DB8" w:rsidRDefault="00411DB8" w:rsidP="009D7F96">
      <w:pPr>
        <w:spacing w:before="120" w:after="0"/>
        <w:ind w:left="1440" w:hanging="1440"/>
        <w:rPr>
          <w:rFonts w:cs="Times New Roman"/>
          <w:b/>
          <w:bCs/>
        </w:rPr>
      </w:pPr>
      <w:r w:rsidRPr="000153E7">
        <w:rPr>
          <w:rFonts w:cs="Times New Roman"/>
          <w:b/>
          <w:bCs/>
        </w:rPr>
        <w:t>F1.e.ii</w:t>
      </w:r>
      <w:bookmarkEnd w:id="8"/>
      <w:r w:rsidRPr="000153E7">
        <w:rPr>
          <w:rFonts w:cs="Times New Roman"/>
          <w:b/>
          <w:bCs/>
        </w:rPr>
        <w:tab/>
        <w:t xml:space="preserve">Please provide evidence of sound Community Engagement and consultation throughout the development of the Proposed Project. A successful Applicant will, at a minimum, describe the process whereby the </w:t>
      </w:r>
      <w:r w:rsidR="00FC1749">
        <w:rPr>
          <w:rFonts w:cs="Times New Roman"/>
          <w:b/>
          <w:bCs/>
        </w:rPr>
        <w:t>“</w:t>
      </w:r>
      <w:r w:rsidRPr="000153E7">
        <w:rPr>
          <w:rFonts w:cs="Times New Roman"/>
          <w:b/>
          <w:bCs/>
        </w:rPr>
        <w:t>Public Health Value</w:t>
      </w:r>
      <w:r w:rsidR="00FC1749">
        <w:rPr>
          <w:rFonts w:cs="Times New Roman"/>
          <w:b/>
          <w:bCs/>
        </w:rPr>
        <w:t>”</w:t>
      </w:r>
      <w:r w:rsidRPr="000153E7">
        <w:rPr>
          <w:rFonts w:cs="Times New Roman"/>
          <w:b/>
          <w:bCs/>
        </w:rPr>
        <w:t xml:space="preserve"> of the Proposed Project was considered, and will describe the Community Engagement process as it occurred and is occurring currently in, at least, the following contexts: Identification of Patient Panel Need; Design/selection of DoN Project in response to </w:t>
      </w:r>
      <w:r w:rsidR="00FC1749">
        <w:rPr>
          <w:rFonts w:cs="Times New Roman"/>
          <w:b/>
          <w:bCs/>
        </w:rPr>
        <w:t>“</w:t>
      </w:r>
      <w:r w:rsidRPr="000153E7">
        <w:rPr>
          <w:rFonts w:cs="Times New Roman"/>
          <w:b/>
          <w:bCs/>
        </w:rPr>
        <w:t>Patient Panel</w:t>
      </w:r>
      <w:r w:rsidR="00FC1749">
        <w:rPr>
          <w:rFonts w:cs="Times New Roman"/>
          <w:b/>
          <w:bCs/>
        </w:rPr>
        <w:t>”</w:t>
      </w:r>
      <w:r w:rsidRPr="000153E7">
        <w:rPr>
          <w:rFonts w:cs="Times New Roman"/>
          <w:b/>
          <w:bCs/>
        </w:rPr>
        <w:t xml:space="preserve"> need; and Linking the Proposed Project to </w:t>
      </w:r>
      <w:r w:rsidR="00FC1749">
        <w:rPr>
          <w:rFonts w:cs="Times New Roman"/>
          <w:b/>
          <w:bCs/>
        </w:rPr>
        <w:t>“</w:t>
      </w:r>
      <w:r w:rsidRPr="000153E7">
        <w:rPr>
          <w:rFonts w:cs="Times New Roman"/>
          <w:b/>
          <w:bCs/>
        </w:rPr>
        <w:t>Public Health Value</w:t>
      </w:r>
      <w:r w:rsidR="00FC1749">
        <w:rPr>
          <w:rFonts w:cs="Times New Roman"/>
          <w:b/>
          <w:bCs/>
        </w:rPr>
        <w:t>”</w:t>
      </w:r>
      <w:r w:rsidRPr="000153E7">
        <w:rPr>
          <w:rFonts w:cs="Times New Roman"/>
          <w:b/>
          <w:bCs/>
        </w:rPr>
        <w:t>.</w:t>
      </w:r>
    </w:p>
    <w:p w14:paraId="22FDF7EF" w14:textId="77777777" w:rsidR="00C166E9" w:rsidRDefault="00C166E9" w:rsidP="00C166E9">
      <w:pPr>
        <w:pStyle w:val="RBUBullets"/>
        <w:numPr>
          <w:ilvl w:val="0"/>
          <w:numId w:val="0"/>
        </w:numPr>
        <w:ind w:left="360"/>
        <w:rPr>
          <w:b/>
          <w:bCs/>
        </w:rPr>
      </w:pPr>
    </w:p>
    <w:p w14:paraId="31788BA8" w14:textId="0E044FB7" w:rsidR="00C166E9" w:rsidRDefault="00C166E9" w:rsidP="00915EB7">
      <w:pPr>
        <w:pStyle w:val="RBUBullets"/>
        <w:numPr>
          <w:ilvl w:val="0"/>
          <w:numId w:val="0"/>
        </w:numPr>
        <w:rPr>
          <w:sz w:val="22"/>
          <w:szCs w:val="22"/>
        </w:rPr>
      </w:pPr>
      <w:r w:rsidRPr="00066BB9">
        <w:rPr>
          <w:sz w:val="22"/>
          <w:szCs w:val="22"/>
        </w:rPr>
        <w:t xml:space="preserve">As discussed in Section F.1 a.ii, the Applicant determined the need for the </w:t>
      </w:r>
      <w:r w:rsidR="00946E47">
        <w:rPr>
          <w:sz w:val="22"/>
          <w:szCs w:val="22"/>
        </w:rPr>
        <w:t xml:space="preserve">Quincy Satellite </w:t>
      </w:r>
      <w:r w:rsidRPr="00066BB9">
        <w:rPr>
          <w:sz w:val="22"/>
          <w:szCs w:val="22"/>
        </w:rPr>
        <w:t xml:space="preserve">through a number of lenses. The Applicant engaged with leaders from local community health centers to understand the healthcare needs of their patient base. The Applicant interviewed their own primary care providers in the Quincy region to understand areas of concern with local access to specialty and ancillary services. </w:t>
      </w:r>
      <w:r w:rsidR="00492263">
        <w:rPr>
          <w:sz w:val="22"/>
          <w:szCs w:val="22"/>
        </w:rPr>
        <w:t>T</w:t>
      </w:r>
      <w:r w:rsidRPr="00066BB9">
        <w:rPr>
          <w:sz w:val="22"/>
          <w:szCs w:val="22"/>
        </w:rPr>
        <w:t>he Applicant</w:t>
      </w:r>
      <w:r w:rsidR="00492263">
        <w:rPr>
          <w:sz w:val="22"/>
          <w:szCs w:val="22"/>
        </w:rPr>
        <w:t xml:space="preserve"> also</w:t>
      </w:r>
      <w:r w:rsidRPr="00066BB9">
        <w:rPr>
          <w:sz w:val="22"/>
          <w:szCs w:val="22"/>
        </w:rPr>
        <w:t xml:space="preserve"> conducted a survey of market need for specialty services in the community. These data and information were consulted to determine</w:t>
      </w:r>
      <w:r w:rsidRPr="0E29643B">
        <w:rPr>
          <w:sz w:val="22"/>
          <w:szCs w:val="22"/>
        </w:rPr>
        <w:t xml:space="preserve"> which services should be prioritized at the Quincy </w:t>
      </w:r>
      <w:r w:rsidR="00946E47">
        <w:rPr>
          <w:sz w:val="22"/>
          <w:szCs w:val="22"/>
        </w:rPr>
        <w:t>Satellite</w:t>
      </w:r>
      <w:r w:rsidRPr="0E29643B">
        <w:rPr>
          <w:sz w:val="22"/>
          <w:szCs w:val="22"/>
        </w:rPr>
        <w:t>.</w:t>
      </w:r>
    </w:p>
    <w:p w14:paraId="5672CA7D" w14:textId="67DE8158" w:rsidR="00915EB7" w:rsidRPr="00066BB9" w:rsidRDefault="00915EB7" w:rsidP="00915EB7">
      <w:pPr>
        <w:pStyle w:val="RBUBullets"/>
        <w:numPr>
          <w:ilvl w:val="0"/>
          <w:numId w:val="0"/>
        </w:numPr>
        <w:rPr>
          <w:sz w:val="22"/>
          <w:szCs w:val="22"/>
        </w:rPr>
      </w:pPr>
      <w:r w:rsidRPr="2A8A7BAD">
        <w:rPr>
          <w:sz w:val="22"/>
          <w:szCs w:val="22"/>
        </w:rPr>
        <w:t xml:space="preserve">Additionally, improving health outcomes and reducing disparities for individuals at-risk for or living with chronic and/or complex conditions and their caregivers by enhancing access to screening, referral services, coordinated health and support services, medications, and other resources was identified as a priority implementation strategy </w:t>
      </w:r>
      <w:r w:rsidR="001D6894">
        <w:rPr>
          <w:sz w:val="22"/>
          <w:szCs w:val="22"/>
        </w:rPr>
        <w:t xml:space="preserve">both BID Plymouth’s and </w:t>
      </w:r>
      <w:r w:rsidR="00424F30">
        <w:rPr>
          <w:sz w:val="22"/>
          <w:szCs w:val="22"/>
        </w:rPr>
        <w:t>BID Milton</w:t>
      </w:r>
      <w:r w:rsidR="00FC1749" w:rsidRPr="2A8A7BAD">
        <w:rPr>
          <w:sz w:val="22"/>
          <w:szCs w:val="22"/>
        </w:rPr>
        <w:t>’</w:t>
      </w:r>
      <w:r w:rsidRPr="2A8A7BAD">
        <w:rPr>
          <w:sz w:val="22"/>
          <w:szCs w:val="22"/>
        </w:rPr>
        <w:t>s 2022 Community Health Needs Assessment.</w:t>
      </w:r>
    </w:p>
    <w:p w14:paraId="097E8D4F" w14:textId="5826E670" w:rsidR="00254070" w:rsidRPr="000E5BB1" w:rsidRDefault="00C166E9" w:rsidP="00915EB7">
      <w:pPr>
        <w:spacing w:after="0" w:line="240" w:lineRule="auto"/>
        <w:jc w:val="both"/>
      </w:pPr>
      <w:r>
        <w:t>F</w:t>
      </w:r>
      <w:r w:rsidRPr="00066BB9">
        <w:t xml:space="preserve">urther, the Applicant recognized a need for expansion of hematology-oncology services in Plymouth. Plymouth is one of the </w:t>
      </w:r>
      <w:r>
        <w:t>fastest-growing</w:t>
      </w:r>
      <w:r w:rsidRPr="00066BB9">
        <w:t xml:space="preserve"> regions in Eastern </w:t>
      </w:r>
      <w:r w:rsidR="003D77A9">
        <w:t>Massachusetts</w:t>
      </w:r>
      <w:r w:rsidRPr="00066BB9">
        <w:t xml:space="preserve"> and is undersupplied with oncology providers. </w:t>
      </w:r>
      <w:r w:rsidRPr="0E29643B">
        <w:rPr>
          <w:rFonts w:cs="Times New Roman"/>
        </w:rPr>
        <w:t xml:space="preserve">Hematology-oncology clinic schedules are consistently fully booked. This often requires physicians to review hematology-oncology referrals to determine urgency and ultimately an appointment may not be available for 2 to 9 weeks. Limited access for new patients and unmet market need drove the decision to expand the hematology-oncology and infusion clinics. </w:t>
      </w:r>
      <w:r w:rsidR="00424F30">
        <w:rPr>
          <w:rFonts w:cs="Times New Roman"/>
        </w:rPr>
        <w:t>BID Plymouth</w:t>
      </w:r>
      <w:r w:rsidRPr="00066BB9">
        <w:t xml:space="preserve"> does not have the capacity to expand in its current location due to physical space constraints.</w:t>
      </w:r>
      <w:r w:rsidRPr="00066BB9">
        <w:rPr>
          <w:rStyle w:val="FootnoteReference"/>
        </w:rPr>
        <w:footnoteReference w:id="20"/>
      </w:r>
      <w:r w:rsidRPr="57011C47">
        <w:rPr>
          <w:rStyle w:val="FootnoteReference"/>
        </w:rPr>
        <w:t xml:space="preserve"> </w:t>
      </w:r>
    </w:p>
    <w:p w14:paraId="0F7753FA" w14:textId="77777777" w:rsidR="00402438" w:rsidRDefault="00402438" w:rsidP="009D7F96">
      <w:pPr>
        <w:spacing w:before="120" w:after="0" w:line="240" w:lineRule="auto"/>
        <w:ind w:left="1440" w:hanging="1440"/>
        <w:jc w:val="both"/>
        <w:rPr>
          <w:rFonts w:eastAsia="Arial" w:cs="Times New Roman"/>
          <w:kern w:val="2"/>
        </w:rPr>
      </w:pPr>
    </w:p>
    <w:p w14:paraId="7FBE8BA1" w14:textId="77777777" w:rsidR="00A4767B" w:rsidRDefault="00A4767B">
      <w:pPr>
        <w:spacing w:line="259" w:lineRule="auto"/>
        <w:rPr>
          <w:rFonts w:cs="Times New Roman"/>
          <w:b/>
          <w:kern w:val="2"/>
          <w:u w:val="single"/>
        </w:rPr>
      </w:pPr>
      <w:r>
        <w:rPr>
          <w:rFonts w:cs="Times New Roman"/>
          <w:b/>
          <w:kern w:val="2"/>
          <w:u w:val="single"/>
        </w:rPr>
        <w:br w:type="page"/>
      </w:r>
    </w:p>
    <w:p w14:paraId="6369DF70" w14:textId="39C6191F" w:rsidR="00411DB8" w:rsidRPr="00CA14E9" w:rsidRDefault="00411DB8" w:rsidP="009D7F96">
      <w:pPr>
        <w:spacing w:before="120" w:after="0" w:line="240" w:lineRule="auto"/>
        <w:ind w:left="1440" w:hanging="1440"/>
        <w:jc w:val="both"/>
        <w:rPr>
          <w:rFonts w:cs="Times New Roman"/>
          <w:b/>
          <w:kern w:val="2"/>
          <w:highlight w:val="yellow"/>
          <w:u w:val="single"/>
        </w:rPr>
      </w:pPr>
      <w:r w:rsidRPr="00CA14E9">
        <w:rPr>
          <w:rFonts w:cs="Times New Roman"/>
          <w:b/>
          <w:kern w:val="2"/>
          <w:u w:val="single"/>
        </w:rPr>
        <w:lastRenderedPageBreak/>
        <w:t>Factor 2: Health Priorities</w:t>
      </w:r>
      <w:r w:rsidRPr="00CA14E9">
        <w:rPr>
          <w:rFonts w:cs="Times New Roman"/>
          <w:b/>
          <w:kern w:val="2"/>
        </w:rPr>
        <w:t xml:space="preserve"> </w:t>
      </w:r>
      <w:r w:rsidRPr="00CA14E9">
        <w:rPr>
          <w:rFonts w:cs="Times New Roman"/>
          <w:b/>
          <w:kern w:val="2"/>
        </w:rPr>
        <w:tab/>
      </w:r>
      <w:r w:rsidRPr="00CA14E9">
        <w:rPr>
          <w:rFonts w:cs="Times New Roman"/>
          <w:b/>
          <w:kern w:val="2"/>
        </w:rPr>
        <w:tab/>
      </w:r>
      <w:r w:rsidRPr="00CA14E9">
        <w:rPr>
          <w:rFonts w:cs="Times New Roman"/>
          <w:b/>
          <w:kern w:val="2"/>
        </w:rPr>
        <w:tab/>
      </w:r>
    </w:p>
    <w:p w14:paraId="744976FD" w14:textId="60DF2DF8" w:rsidR="00411DB8" w:rsidRPr="000153E7" w:rsidRDefault="00411DB8" w:rsidP="009D7F96">
      <w:pPr>
        <w:autoSpaceDE w:val="0"/>
        <w:autoSpaceDN w:val="0"/>
        <w:adjustRightInd w:val="0"/>
        <w:spacing w:before="120" w:after="0" w:line="240" w:lineRule="auto"/>
        <w:jc w:val="both"/>
        <w:rPr>
          <w:rFonts w:cs="Times New Roman"/>
          <w:b/>
        </w:rPr>
      </w:pPr>
      <w:r w:rsidRPr="000153E7">
        <w:rPr>
          <w:rFonts w:cs="Times New Roman"/>
          <w:b/>
        </w:rPr>
        <w:t>Addresses the impact of the Proposed Project on health more broadly (that is, beyond the Patient Panel) requiring that the Applicant demonstrate that the Proposed Project will meaningfully contribute to the Commonwealth</w:t>
      </w:r>
      <w:r w:rsidR="00FC1749">
        <w:rPr>
          <w:rFonts w:cs="Times New Roman"/>
          <w:b/>
        </w:rPr>
        <w:t>’</w:t>
      </w:r>
      <w:r w:rsidRPr="000153E7">
        <w:rPr>
          <w:rFonts w:cs="Times New Roman"/>
          <w:b/>
        </w:rPr>
        <w:t>s goals for cost containment, improved public health outcomes, and delivery system transformation.</w:t>
      </w:r>
    </w:p>
    <w:p w14:paraId="4166B156" w14:textId="34524A0E" w:rsidR="00411DB8" w:rsidRPr="000153E7" w:rsidRDefault="00411DB8" w:rsidP="009D7F96">
      <w:pPr>
        <w:tabs>
          <w:tab w:val="left" w:pos="1440"/>
        </w:tabs>
        <w:autoSpaceDE w:val="0"/>
        <w:autoSpaceDN w:val="0"/>
        <w:adjustRightInd w:val="0"/>
        <w:spacing w:before="120" w:after="0" w:line="240" w:lineRule="auto"/>
        <w:ind w:left="1440" w:hanging="1440"/>
        <w:jc w:val="both"/>
        <w:rPr>
          <w:rFonts w:cs="Times New Roman"/>
          <w:b/>
        </w:rPr>
      </w:pPr>
      <w:r w:rsidRPr="000153E7">
        <w:rPr>
          <w:rFonts w:cs="Times New Roman"/>
          <w:b/>
        </w:rPr>
        <w:t>F2.a.</w:t>
      </w:r>
      <w:r w:rsidRPr="000153E7">
        <w:rPr>
          <w:rFonts w:cs="Times New Roman"/>
          <w:b/>
        </w:rPr>
        <w:tab/>
      </w:r>
      <w:bookmarkStart w:id="9" w:name="_Hlk485381179"/>
      <w:bookmarkStart w:id="10" w:name="_Hlk496861717"/>
      <w:r w:rsidRPr="000153E7">
        <w:rPr>
          <w:rFonts w:cs="Times New Roman"/>
          <w:b/>
          <w:u w:val="single"/>
        </w:rPr>
        <w:t>Cost Containment:</w:t>
      </w:r>
    </w:p>
    <w:p w14:paraId="7C4D35C0" w14:textId="513DD79B" w:rsidR="00411DB8" w:rsidRDefault="00411DB8" w:rsidP="009D7F96">
      <w:pPr>
        <w:tabs>
          <w:tab w:val="left" w:pos="1440"/>
        </w:tabs>
        <w:autoSpaceDE w:val="0"/>
        <w:autoSpaceDN w:val="0"/>
        <w:adjustRightInd w:val="0"/>
        <w:spacing w:before="120" w:after="0" w:line="240" w:lineRule="auto"/>
        <w:ind w:left="1440" w:hanging="1440"/>
        <w:jc w:val="both"/>
        <w:rPr>
          <w:rFonts w:cs="Times New Roman"/>
          <w:b/>
          <w:kern w:val="2"/>
        </w:rPr>
      </w:pPr>
      <w:r w:rsidRPr="000153E7">
        <w:rPr>
          <w:rFonts w:cs="Times New Roman"/>
          <w:b/>
        </w:rPr>
        <w:tab/>
      </w:r>
      <w:r w:rsidRPr="000153E7">
        <w:rPr>
          <w:rFonts w:cs="Times New Roman"/>
          <w:b/>
          <w:kern w:val="2"/>
        </w:rPr>
        <w:t>Using objective data, please describe, for each new or expanded service, how the Proposed Project will meaningfully contribute to the Commonwealth</w:t>
      </w:r>
      <w:r w:rsidR="00FC1749">
        <w:rPr>
          <w:rFonts w:cs="Times New Roman"/>
          <w:b/>
          <w:kern w:val="2"/>
        </w:rPr>
        <w:t>’</w:t>
      </w:r>
      <w:r w:rsidRPr="000153E7">
        <w:rPr>
          <w:rFonts w:cs="Times New Roman"/>
          <w:b/>
          <w:kern w:val="2"/>
        </w:rPr>
        <w:t>s goals for cost containment.</w:t>
      </w:r>
      <w:bookmarkEnd w:id="9"/>
    </w:p>
    <w:p w14:paraId="2A6BF8FD" w14:textId="06117F11" w:rsidR="00760C24" w:rsidRDefault="00760C24" w:rsidP="009D7F96">
      <w:pPr>
        <w:tabs>
          <w:tab w:val="left" w:pos="1440"/>
        </w:tabs>
        <w:autoSpaceDE w:val="0"/>
        <w:autoSpaceDN w:val="0"/>
        <w:adjustRightInd w:val="0"/>
        <w:spacing w:before="120" w:after="0" w:line="240" w:lineRule="auto"/>
        <w:ind w:left="1440" w:hanging="1440"/>
        <w:jc w:val="both"/>
        <w:rPr>
          <w:rFonts w:cs="Times New Roman"/>
          <w:b/>
          <w:kern w:val="2"/>
        </w:rPr>
      </w:pPr>
    </w:p>
    <w:bookmarkEnd w:id="10"/>
    <w:p w14:paraId="47601910" w14:textId="55211C7F" w:rsidR="00692449" w:rsidRPr="00692449" w:rsidRDefault="00692449" w:rsidP="00692449">
      <w:pPr>
        <w:jc w:val="both"/>
        <w:rPr>
          <w:rStyle w:val="eop"/>
        </w:rPr>
      </w:pPr>
      <w:r>
        <w:t>The Proposed Project will meaningfully contribute to and further the Commonwealth</w:t>
      </w:r>
      <w:r w:rsidR="00FC1749">
        <w:t>’</w:t>
      </w:r>
      <w:r>
        <w:t xml:space="preserve">s goals for cost containment by ensuring high-quality, reliable, and convenient hematology-oncology, infusion, primary and specialty care, urgent care, </w:t>
      </w:r>
      <w:r w:rsidR="00FE4BF6">
        <w:t>lab,</w:t>
      </w:r>
      <w:r>
        <w:t xml:space="preserve"> and diagnostic imaging services are locally accessible and equitably available to every person at the lowest reasonable aggregate cost. </w:t>
      </w:r>
    </w:p>
    <w:p w14:paraId="071126D6" w14:textId="2F32E755" w:rsidR="00C166E9" w:rsidRPr="007D461F" w:rsidRDefault="00C166E9" w:rsidP="00C166E9">
      <w:pPr>
        <w:tabs>
          <w:tab w:val="left" w:pos="1440"/>
        </w:tabs>
        <w:autoSpaceDE w:val="0"/>
        <w:autoSpaceDN w:val="0"/>
        <w:adjustRightInd w:val="0"/>
        <w:spacing w:after="0" w:line="240" w:lineRule="auto"/>
        <w:jc w:val="both"/>
        <w:rPr>
          <w:rFonts w:cs="Times New Roman"/>
        </w:rPr>
      </w:pPr>
      <w:r w:rsidRPr="00492263">
        <w:rPr>
          <w:rFonts w:cs="Times New Roman"/>
        </w:rPr>
        <w:t>Additionally, as previously discussed in F1.a.iii, community members are currently traveling into BIDMC</w:t>
      </w:r>
      <w:r w:rsidR="00FC1749">
        <w:rPr>
          <w:rFonts w:cs="Times New Roman"/>
        </w:rPr>
        <w:t>’</w:t>
      </w:r>
      <w:r w:rsidRPr="00492263">
        <w:rPr>
          <w:rFonts w:cs="Times New Roman"/>
        </w:rPr>
        <w:t xml:space="preserve">s Boston campus for the services that the Applicant intends to provide at the Quincy </w:t>
      </w:r>
      <w:r w:rsidR="00946E47" w:rsidRPr="00492263">
        <w:rPr>
          <w:rFonts w:cs="Times New Roman"/>
        </w:rPr>
        <w:t>Satellite</w:t>
      </w:r>
      <w:r w:rsidRPr="00492263">
        <w:rPr>
          <w:rFonts w:cs="Times New Roman"/>
        </w:rPr>
        <w:t xml:space="preserve">. As a licensed off-campus outpatient department of BIDMC, specialty services and most ancillaries offered through the </w:t>
      </w:r>
      <w:r w:rsidR="00946E47" w:rsidRPr="00492263">
        <w:rPr>
          <w:rFonts w:cs="Times New Roman"/>
        </w:rPr>
        <w:t xml:space="preserve">Quincy Satellite </w:t>
      </w:r>
      <w:r w:rsidRPr="00492263">
        <w:rPr>
          <w:rFonts w:cs="Times New Roman"/>
        </w:rPr>
        <w:t>will be at a 40% lower cost to both patients and insurers</w:t>
      </w:r>
      <w:r w:rsidR="00DD3301">
        <w:rPr>
          <w:rFonts w:cs="Times New Roman"/>
        </w:rPr>
        <w:t>.</w:t>
      </w:r>
    </w:p>
    <w:p w14:paraId="380B85BB" w14:textId="77777777" w:rsidR="00C166E9" w:rsidRPr="007D461F" w:rsidRDefault="00C166E9" w:rsidP="00C166E9">
      <w:pPr>
        <w:tabs>
          <w:tab w:val="left" w:pos="1440"/>
        </w:tabs>
        <w:autoSpaceDE w:val="0"/>
        <w:autoSpaceDN w:val="0"/>
        <w:adjustRightInd w:val="0"/>
        <w:spacing w:after="0" w:line="240" w:lineRule="auto"/>
        <w:jc w:val="both"/>
        <w:rPr>
          <w:rFonts w:cs="Times New Roman"/>
        </w:rPr>
      </w:pPr>
    </w:p>
    <w:p w14:paraId="1867E394" w14:textId="724F293F" w:rsidR="00402438" w:rsidRPr="007D461F" w:rsidRDefault="00C166E9" w:rsidP="00C166E9">
      <w:pPr>
        <w:tabs>
          <w:tab w:val="left" w:pos="1440"/>
        </w:tabs>
        <w:autoSpaceDE w:val="0"/>
        <w:autoSpaceDN w:val="0"/>
        <w:adjustRightInd w:val="0"/>
        <w:spacing w:after="0" w:line="240" w:lineRule="auto"/>
        <w:jc w:val="both"/>
        <w:rPr>
          <w:rFonts w:cs="Times New Roman"/>
        </w:rPr>
      </w:pPr>
      <w:r w:rsidRPr="008F6130">
        <w:rPr>
          <w:rFonts w:cs="Times New Roman"/>
        </w:rPr>
        <w:t>By improving the reliability and flexibility of its services</w:t>
      </w:r>
      <w:r w:rsidR="79993FE8" w:rsidRPr="008F6130">
        <w:rPr>
          <w:rFonts w:cs="Times New Roman"/>
        </w:rPr>
        <w:t xml:space="preserve"> through the Proposed Project</w:t>
      </w:r>
      <w:r w:rsidRPr="008F6130">
        <w:rPr>
          <w:rFonts w:cs="Times New Roman"/>
        </w:rPr>
        <w:t>, the Applicant</w:t>
      </w:r>
      <w:r w:rsidR="6B1C6F0F" w:rsidRPr="008F6130">
        <w:rPr>
          <w:rFonts w:cs="Times New Roman"/>
        </w:rPr>
        <w:t xml:space="preserve"> </w:t>
      </w:r>
      <w:r w:rsidRPr="008F6130">
        <w:rPr>
          <w:rFonts w:cs="Times New Roman"/>
        </w:rPr>
        <w:t>will improve care delivery as well as health outcomes and quality of life.</w:t>
      </w:r>
      <w:r w:rsidRPr="007D461F">
        <w:rPr>
          <w:rFonts w:cs="Times New Roman"/>
        </w:rPr>
        <w:t xml:space="preserve"> To that end, the Proposed Project will meaningfully contribute to the Commonwealth</w:t>
      </w:r>
      <w:r w:rsidR="00FC1749">
        <w:rPr>
          <w:rFonts w:cs="Times New Roman"/>
        </w:rPr>
        <w:t>’</w:t>
      </w:r>
      <w:r w:rsidRPr="007D461F">
        <w:rPr>
          <w:rFonts w:cs="Times New Roman"/>
        </w:rPr>
        <w:t xml:space="preserve">s goals of cost containment by efficiently improving access to care and thereby lowering the overall cost of care. </w:t>
      </w:r>
      <w:r w:rsidRPr="007D461F">
        <w:rPr>
          <w:rFonts w:cs="Times New Roman"/>
        </w:rPr>
        <w:cr/>
      </w:r>
    </w:p>
    <w:p w14:paraId="0A6C8FDA" w14:textId="77777777" w:rsidR="008E4BCB" w:rsidRDefault="008E4BCB" w:rsidP="00622C7D">
      <w:pPr>
        <w:spacing w:line="259" w:lineRule="auto"/>
        <w:jc w:val="both"/>
        <w:rPr>
          <w:rFonts w:cs="Times New Roman"/>
          <w:b/>
          <w:kern w:val="2"/>
        </w:rPr>
      </w:pPr>
      <w:r>
        <w:rPr>
          <w:rFonts w:cs="Times New Roman"/>
          <w:b/>
          <w:kern w:val="2"/>
        </w:rPr>
        <w:br w:type="page"/>
      </w:r>
    </w:p>
    <w:p w14:paraId="5262C788" w14:textId="7A5ADA10" w:rsidR="00411DB8" w:rsidRPr="000153E7" w:rsidRDefault="00411DB8" w:rsidP="009D7F96">
      <w:pPr>
        <w:tabs>
          <w:tab w:val="left" w:pos="1440"/>
        </w:tabs>
        <w:autoSpaceDE w:val="0"/>
        <w:autoSpaceDN w:val="0"/>
        <w:adjustRightInd w:val="0"/>
        <w:spacing w:before="120" w:after="0" w:line="240" w:lineRule="auto"/>
        <w:ind w:left="1440" w:hanging="1440"/>
        <w:jc w:val="both"/>
        <w:rPr>
          <w:rFonts w:cs="Times New Roman"/>
          <w:b/>
          <w:kern w:val="2"/>
        </w:rPr>
      </w:pPr>
      <w:r w:rsidRPr="000153E7">
        <w:rPr>
          <w:rFonts w:cs="Times New Roman"/>
          <w:b/>
          <w:kern w:val="2"/>
        </w:rPr>
        <w:lastRenderedPageBreak/>
        <w:t>F2.b.</w:t>
      </w:r>
      <w:r w:rsidRPr="000153E7">
        <w:rPr>
          <w:rFonts w:cs="Times New Roman"/>
          <w:b/>
          <w:kern w:val="2"/>
        </w:rPr>
        <w:tab/>
      </w:r>
      <w:r w:rsidRPr="000153E7">
        <w:rPr>
          <w:rFonts w:cs="Times New Roman"/>
          <w:b/>
          <w:kern w:val="2"/>
          <w:u w:val="single"/>
        </w:rPr>
        <w:t>Public Health Outcomes:</w:t>
      </w:r>
      <w:r w:rsidRPr="000153E7">
        <w:rPr>
          <w:rFonts w:cs="Times New Roman"/>
          <w:b/>
          <w:kern w:val="2"/>
        </w:rPr>
        <w:t xml:space="preserve"> </w:t>
      </w:r>
    </w:p>
    <w:p w14:paraId="7E634284" w14:textId="021476C7" w:rsidR="00411DB8" w:rsidRPr="000153E7" w:rsidRDefault="00411DB8" w:rsidP="009D7F96">
      <w:pPr>
        <w:tabs>
          <w:tab w:val="left" w:pos="1440"/>
        </w:tabs>
        <w:autoSpaceDE w:val="0"/>
        <w:autoSpaceDN w:val="0"/>
        <w:adjustRightInd w:val="0"/>
        <w:spacing w:before="120" w:after="0" w:line="240" w:lineRule="auto"/>
        <w:ind w:left="1440" w:hanging="1440"/>
        <w:jc w:val="both"/>
        <w:rPr>
          <w:rFonts w:cs="Times New Roman"/>
          <w:b/>
          <w:kern w:val="2"/>
        </w:rPr>
      </w:pPr>
      <w:r w:rsidRPr="000153E7">
        <w:rPr>
          <w:rFonts w:cs="Times New Roman"/>
          <w:b/>
          <w:kern w:val="2"/>
        </w:rPr>
        <w:tab/>
        <w:t>Describe, as relevant, for each new or expanded service, how the Proposed Project will improve public health outcomes.</w:t>
      </w:r>
    </w:p>
    <w:p w14:paraId="23936A3D" w14:textId="77777777" w:rsidR="00261741" w:rsidRDefault="00261741" w:rsidP="00261741">
      <w:pPr>
        <w:tabs>
          <w:tab w:val="left" w:pos="1440"/>
        </w:tabs>
        <w:autoSpaceDE w:val="0"/>
        <w:autoSpaceDN w:val="0"/>
        <w:adjustRightInd w:val="0"/>
        <w:spacing w:before="120" w:after="0" w:line="240" w:lineRule="auto"/>
        <w:ind w:left="1440" w:hanging="1440"/>
        <w:jc w:val="both"/>
        <w:rPr>
          <w:rFonts w:eastAsia="Times New Roman" w:cs="Times New Roman"/>
        </w:rPr>
      </w:pPr>
    </w:p>
    <w:p w14:paraId="29E47E38" w14:textId="65C3F052" w:rsidR="00C166E9" w:rsidRDefault="00C166E9" w:rsidP="00C166E9">
      <w:pPr>
        <w:jc w:val="both"/>
        <w:rPr>
          <w:rFonts w:cs="Times New Roman"/>
        </w:rPr>
      </w:pPr>
      <w:r w:rsidRPr="00251CF9">
        <w:rPr>
          <w:rFonts w:cs="Times New Roman"/>
        </w:rPr>
        <w:t xml:space="preserve">The Proposed Project will improve public health outcomes by providing </w:t>
      </w:r>
      <w:r w:rsidRPr="05149C86">
        <w:rPr>
          <w:rFonts w:cs="Times New Roman"/>
        </w:rPr>
        <w:t xml:space="preserve">local </w:t>
      </w:r>
      <w:r w:rsidRPr="00251CF9">
        <w:rPr>
          <w:rFonts w:cs="Times New Roman"/>
        </w:rPr>
        <w:t xml:space="preserve">access to convenient outpatient </w:t>
      </w:r>
      <w:r w:rsidRPr="05149C86">
        <w:rPr>
          <w:rFonts w:cs="Times New Roman"/>
        </w:rPr>
        <w:t>hematology-</w:t>
      </w:r>
      <w:r>
        <w:rPr>
          <w:rFonts w:cs="Times New Roman"/>
        </w:rPr>
        <w:t xml:space="preserve">oncology, </w:t>
      </w:r>
      <w:r w:rsidRPr="05149C86">
        <w:rPr>
          <w:rFonts w:cs="Times New Roman"/>
        </w:rPr>
        <w:t xml:space="preserve">infusion, </w:t>
      </w:r>
      <w:r>
        <w:rPr>
          <w:rFonts w:cs="Times New Roman"/>
        </w:rPr>
        <w:t>primary and specialty care</w:t>
      </w:r>
      <w:r w:rsidRPr="05149C86">
        <w:rPr>
          <w:rFonts w:cs="Times New Roman"/>
        </w:rPr>
        <w:t xml:space="preserve">, urgent care, </w:t>
      </w:r>
      <w:r w:rsidR="00FE4BF6" w:rsidRPr="05149C86">
        <w:rPr>
          <w:rFonts w:cs="Times New Roman"/>
        </w:rPr>
        <w:t>lab,</w:t>
      </w:r>
      <w:r w:rsidRPr="05149C86">
        <w:rPr>
          <w:rFonts w:cs="Times New Roman"/>
        </w:rPr>
        <w:t xml:space="preserve"> and diagnostic imaging</w:t>
      </w:r>
      <w:r>
        <w:rPr>
          <w:rFonts w:cs="Times New Roman"/>
        </w:rPr>
        <w:t xml:space="preserve"> services in the communities that are being served. The p</w:t>
      </w:r>
      <w:r w:rsidRPr="00251CF9">
        <w:rPr>
          <w:rFonts w:cs="Times New Roman"/>
        </w:rPr>
        <w:t xml:space="preserve">roposed </w:t>
      </w:r>
      <w:r w:rsidR="00946E47">
        <w:rPr>
          <w:rFonts w:cs="Times New Roman"/>
        </w:rPr>
        <w:t xml:space="preserve">Cordage Park Satellite </w:t>
      </w:r>
      <w:r w:rsidRPr="00251CF9">
        <w:rPr>
          <w:rFonts w:cs="Times New Roman"/>
        </w:rPr>
        <w:t xml:space="preserve">will </w:t>
      </w:r>
      <w:r w:rsidRPr="05149C86">
        <w:rPr>
          <w:rFonts w:cs="Times New Roman"/>
        </w:rPr>
        <w:t>expand</w:t>
      </w:r>
      <w:r w:rsidRPr="00251CF9">
        <w:rPr>
          <w:rFonts w:cs="Times New Roman"/>
        </w:rPr>
        <w:t xml:space="preserve"> capacity fo</w:t>
      </w:r>
      <w:r>
        <w:rPr>
          <w:rFonts w:cs="Times New Roman"/>
        </w:rPr>
        <w:t xml:space="preserve">r hematology-oncology services, including </w:t>
      </w:r>
      <w:r w:rsidRPr="05149C86">
        <w:rPr>
          <w:rFonts w:cs="Times New Roman"/>
        </w:rPr>
        <w:t xml:space="preserve">physician consultation, and </w:t>
      </w:r>
      <w:r>
        <w:rPr>
          <w:rFonts w:cs="Times New Roman"/>
        </w:rPr>
        <w:t xml:space="preserve">chemotherapy and infusion services, </w:t>
      </w:r>
      <w:r w:rsidRPr="00251CF9">
        <w:rPr>
          <w:rFonts w:cs="Times New Roman"/>
        </w:rPr>
        <w:t>to be performed in the community.</w:t>
      </w:r>
      <w:r>
        <w:rPr>
          <w:rFonts w:cs="Times New Roman"/>
        </w:rPr>
        <w:t xml:space="preserve"> Further, the Proposed Project </w:t>
      </w:r>
      <w:r w:rsidRPr="701AE620">
        <w:rPr>
          <w:rFonts w:cs="Times New Roman"/>
        </w:rPr>
        <w:t>will</w:t>
      </w:r>
      <w:r w:rsidRPr="00150EFF">
        <w:rPr>
          <w:rFonts w:cs="Times New Roman"/>
        </w:rPr>
        <w:t xml:space="preserve"> enhance clinical offerings, including expanded access to a greater variety of oncology clinical trials, infusion treatments and sub-specialized oncology physicians from</w:t>
      </w:r>
      <w:r>
        <w:rPr>
          <w:rFonts w:cs="Times New Roman"/>
        </w:rPr>
        <w:t xml:space="preserve"> BIDMC. This will elevate the patient experience by allowing for </w:t>
      </w:r>
      <w:r w:rsidRPr="00251CF9">
        <w:rPr>
          <w:rFonts w:cs="Times New Roman"/>
        </w:rPr>
        <w:t xml:space="preserve">local access to </w:t>
      </w:r>
      <w:r w:rsidRPr="05149C86">
        <w:rPr>
          <w:rFonts w:cs="Times New Roman"/>
        </w:rPr>
        <w:t>high-quality hematology-</w:t>
      </w:r>
      <w:r>
        <w:rPr>
          <w:rFonts w:cs="Times New Roman"/>
        </w:rPr>
        <w:t>oncology services</w:t>
      </w:r>
      <w:r w:rsidRPr="00251CF9">
        <w:rPr>
          <w:rFonts w:cs="Times New Roman"/>
        </w:rPr>
        <w:t xml:space="preserve"> with shorter wait times for </w:t>
      </w:r>
      <w:r w:rsidRPr="05149C86">
        <w:rPr>
          <w:rFonts w:cs="Times New Roman"/>
        </w:rPr>
        <w:t xml:space="preserve">appointments and </w:t>
      </w:r>
      <w:r w:rsidRPr="00251CF9">
        <w:rPr>
          <w:rFonts w:cs="Times New Roman"/>
        </w:rPr>
        <w:t>procedures in a non-hospital-based setting. This local, timely access will contribute to improved patient experience and satisfaction</w:t>
      </w:r>
      <w:r>
        <w:rPr>
          <w:rFonts w:cs="Times New Roman"/>
        </w:rPr>
        <w:t xml:space="preserve"> and ultimately improve patient outcomes</w:t>
      </w:r>
      <w:r w:rsidRPr="00251CF9">
        <w:rPr>
          <w:rFonts w:cs="Times New Roman"/>
        </w:rPr>
        <w:t xml:space="preserve">. </w:t>
      </w:r>
    </w:p>
    <w:p w14:paraId="3DCAF100" w14:textId="1BB24AB1" w:rsidR="00C166E9" w:rsidRDefault="00DD3301" w:rsidP="00C166E9">
      <w:pPr>
        <w:jc w:val="both"/>
        <w:rPr>
          <w:rFonts w:cs="Times New Roman"/>
        </w:rPr>
      </w:pPr>
      <w:r w:rsidRPr="2A8A7BAD">
        <w:rPr>
          <w:rFonts w:cs="Times New Roman"/>
        </w:rPr>
        <w:t>T</w:t>
      </w:r>
      <w:r w:rsidR="00C166E9" w:rsidRPr="2A8A7BAD">
        <w:rPr>
          <w:rFonts w:cs="Times New Roman"/>
        </w:rPr>
        <w:t>he Proposed Project seeks to expand access to patients of all financial means, limiting the impact that cost of care plays in the patient</w:t>
      </w:r>
      <w:r w:rsidR="00FC1749" w:rsidRPr="2A8A7BAD">
        <w:rPr>
          <w:rFonts w:cs="Times New Roman"/>
        </w:rPr>
        <w:t>’</w:t>
      </w:r>
      <w:r w:rsidR="00C166E9" w:rsidRPr="2A8A7BAD">
        <w:rPr>
          <w:rFonts w:cs="Times New Roman"/>
        </w:rPr>
        <w:t xml:space="preserve">s decision to receive necessary care. To that end, the Proposed Project will improve health outcomes, patient satisfaction, and quality of life by providing timely access to outpatient hematology-oncology and infusion services in a lower-cost setting. </w:t>
      </w:r>
      <w:r w:rsidR="00424F30">
        <w:rPr>
          <w:rFonts w:cs="Times New Roman"/>
        </w:rPr>
        <w:t>BID Plymouth</w:t>
      </w:r>
      <w:r w:rsidR="00C166E9" w:rsidRPr="2A8A7BAD">
        <w:rPr>
          <w:rFonts w:cs="Times New Roman"/>
        </w:rPr>
        <w:t xml:space="preserve"> has experienced a </w:t>
      </w:r>
      <w:r w:rsidR="4E801CB9" w:rsidRPr="2A8A7BAD">
        <w:rPr>
          <w:rFonts w:cs="Times New Roman"/>
        </w:rPr>
        <w:t>6</w:t>
      </w:r>
      <w:r w:rsidR="00C166E9" w:rsidRPr="2A8A7BAD">
        <w:rPr>
          <w:rFonts w:cs="Times New Roman"/>
        </w:rPr>
        <w:t xml:space="preserve">% increase in hematology-oncology clinic visits FY21-FY23. Historical utilization demonstrates an ongoing need for hematology-oncology services, with outpatient oncology forecast to grow 7.6% over the next five years, given population aging trends. </w:t>
      </w:r>
    </w:p>
    <w:p w14:paraId="63F583A3" w14:textId="0E148926" w:rsidR="00EA2DD0" w:rsidRPr="00B25118" w:rsidRDefault="00C166E9" w:rsidP="00C166E9">
      <w:pPr>
        <w:jc w:val="both"/>
        <w:rPr>
          <w:rFonts w:cs="Times New Roman"/>
        </w:rPr>
      </w:pPr>
      <w:r w:rsidRPr="2A8A7BAD">
        <w:rPr>
          <w:rFonts w:cs="Times New Roman"/>
        </w:rPr>
        <w:t xml:space="preserve">Quincy and Randolph are among the fifteen most diverse communities in Eastern </w:t>
      </w:r>
      <w:r w:rsidR="00671394">
        <w:rPr>
          <w:rFonts w:cs="Times New Roman"/>
        </w:rPr>
        <w:t>Massachusetts</w:t>
      </w:r>
      <w:r w:rsidRPr="2A8A7BAD">
        <w:rPr>
          <w:rFonts w:cs="Times New Roman"/>
        </w:rPr>
        <w:t xml:space="preserve">. The </w:t>
      </w:r>
      <w:r w:rsidR="00946E47" w:rsidRPr="2A8A7BAD">
        <w:rPr>
          <w:rFonts w:cs="Times New Roman"/>
        </w:rPr>
        <w:t xml:space="preserve">Quincy Satellite </w:t>
      </w:r>
      <w:r w:rsidRPr="2A8A7BAD">
        <w:rPr>
          <w:rFonts w:cs="Times New Roman"/>
        </w:rPr>
        <w:t xml:space="preserve">will further equitable and local access to high-quality health care services, for those who face cultural, linguistic, mobility and economic barriers. Increased capacity and access in this underserved region </w:t>
      </w:r>
      <w:r w:rsidR="10645354" w:rsidRPr="2A8A7BAD">
        <w:rPr>
          <w:rFonts w:cs="Times New Roman"/>
        </w:rPr>
        <w:t>are</w:t>
      </w:r>
      <w:r w:rsidRPr="2A8A7BAD">
        <w:rPr>
          <w:rFonts w:cs="Times New Roman"/>
        </w:rPr>
        <w:t xml:space="preserve"> required to meet current and future demand and to provide timely access to healthcare services within the community. Improved local access will alleviate the need to travel outside the region for care which will enhance the patient care experience and patient satisfaction.</w:t>
      </w:r>
    </w:p>
    <w:p w14:paraId="5DAC100E" w14:textId="09C7031C" w:rsidR="00402438" w:rsidRPr="00B25118" w:rsidRDefault="00C76BC3" w:rsidP="00622C7D">
      <w:pPr>
        <w:jc w:val="both"/>
        <w:rPr>
          <w:rFonts w:cs="Times New Roman"/>
        </w:rPr>
      </w:pPr>
      <w:r w:rsidRPr="00B25118">
        <w:rPr>
          <w:rFonts w:cs="Times New Roman"/>
        </w:rPr>
        <w:t>.</w:t>
      </w:r>
    </w:p>
    <w:p w14:paraId="5763A404" w14:textId="3D69794B" w:rsidR="00007184" w:rsidRPr="00251CF9" w:rsidRDefault="00007184" w:rsidP="00251CF9">
      <w:pPr>
        <w:rPr>
          <w:rFonts w:cs="Times New Roman"/>
        </w:rPr>
      </w:pPr>
    </w:p>
    <w:p w14:paraId="2A23C31B" w14:textId="77777777" w:rsidR="00261741" w:rsidRDefault="00261741" w:rsidP="009D7F96">
      <w:pPr>
        <w:tabs>
          <w:tab w:val="left" w:pos="1440"/>
        </w:tabs>
        <w:autoSpaceDE w:val="0"/>
        <w:autoSpaceDN w:val="0"/>
        <w:adjustRightInd w:val="0"/>
        <w:spacing w:before="120" w:after="0" w:line="240" w:lineRule="auto"/>
        <w:ind w:left="1440" w:hanging="1440"/>
        <w:jc w:val="both"/>
        <w:rPr>
          <w:rFonts w:eastAsia="Times New Roman" w:cs="Times New Roman"/>
        </w:rPr>
      </w:pPr>
    </w:p>
    <w:p w14:paraId="3C5985AD" w14:textId="77777777" w:rsidR="008E4BCB" w:rsidRDefault="008E4BCB">
      <w:pPr>
        <w:spacing w:line="259" w:lineRule="auto"/>
        <w:rPr>
          <w:rFonts w:cs="Times New Roman"/>
          <w:b/>
          <w:kern w:val="2"/>
        </w:rPr>
      </w:pPr>
      <w:r>
        <w:rPr>
          <w:rFonts w:cs="Times New Roman"/>
          <w:b/>
          <w:kern w:val="2"/>
        </w:rPr>
        <w:br w:type="page"/>
      </w:r>
    </w:p>
    <w:p w14:paraId="5DF0A05D" w14:textId="01D75160" w:rsidR="00411DB8" w:rsidRPr="000153E7" w:rsidRDefault="00411DB8" w:rsidP="009D7F96">
      <w:pPr>
        <w:tabs>
          <w:tab w:val="left" w:pos="1440"/>
        </w:tabs>
        <w:autoSpaceDE w:val="0"/>
        <w:autoSpaceDN w:val="0"/>
        <w:adjustRightInd w:val="0"/>
        <w:spacing w:before="120" w:after="0" w:line="240" w:lineRule="auto"/>
        <w:ind w:left="1440" w:hanging="1440"/>
        <w:jc w:val="both"/>
        <w:rPr>
          <w:rFonts w:cs="Times New Roman"/>
          <w:b/>
          <w:kern w:val="2"/>
        </w:rPr>
      </w:pPr>
      <w:r w:rsidRPr="000153E7">
        <w:rPr>
          <w:rFonts w:cs="Times New Roman"/>
          <w:b/>
          <w:kern w:val="2"/>
        </w:rPr>
        <w:lastRenderedPageBreak/>
        <w:t>F2.c.</w:t>
      </w:r>
      <w:r w:rsidRPr="000153E7">
        <w:rPr>
          <w:rFonts w:cs="Times New Roman"/>
          <w:b/>
          <w:kern w:val="2"/>
        </w:rPr>
        <w:tab/>
      </w:r>
      <w:r w:rsidRPr="000153E7">
        <w:rPr>
          <w:rFonts w:cs="Times New Roman"/>
          <w:b/>
          <w:kern w:val="2"/>
          <w:u w:val="single"/>
        </w:rPr>
        <w:t>Delivery System Transformation:</w:t>
      </w:r>
      <w:r w:rsidRPr="000153E7">
        <w:rPr>
          <w:rFonts w:cs="Times New Roman"/>
          <w:b/>
          <w:kern w:val="2"/>
        </w:rPr>
        <w:t xml:space="preserve"> </w:t>
      </w:r>
    </w:p>
    <w:p w14:paraId="379ADB97" w14:textId="0FFF5474" w:rsidR="00411DB8" w:rsidRPr="000153E7" w:rsidRDefault="00411DB8" w:rsidP="009D7F96">
      <w:pPr>
        <w:tabs>
          <w:tab w:val="left" w:pos="1440"/>
        </w:tabs>
        <w:autoSpaceDE w:val="0"/>
        <w:autoSpaceDN w:val="0"/>
        <w:adjustRightInd w:val="0"/>
        <w:spacing w:before="120" w:after="0" w:line="240" w:lineRule="auto"/>
        <w:ind w:left="1440" w:hanging="1440"/>
        <w:jc w:val="both"/>
        <w:rPr>
          <w:rFonts w:cs="Times New Roman"/>
          <w:b/>
          <w:kern w:val="2"/>
        </w:rPr>
      </w:pPr>
      <w:r w:rsidRPr="000153E7">
        <w:rPr>
          <w:rFonts w:cs="Times New Roman"/>
          <w:b/>
          <w:kern w:val="2"/>
        </w:rPr>
        <w:tab/>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2E9D6B4D" w14:textId="77777777" w:rsidR="00402438" w:rsidRPr="000153E7" w:rsidRDefault="00402438" w:rsidP="00192F00">
      <w:pPr>
        <w:spacing w:before="120" w:after="0"/>
        <w:jc w:val="both"/>
        <w:rPr>
          <w:rFonts w:eastAsia="Times New Roman" w:cs="Times New Roman"/>
        </w:rPr>
      </w:pPr>
    </w:p>
    <w:p w14:paraId="35E092CD" w14:textId="5E9BA584" w:rsidR="00C166E9" w:rsidRDefault="00C166E9" w:rsidP="2A8A7BAD">
      <w:pPr>
        <w:tabs>
          <w:tab w:val="left" w:pos="1440"/>
        </w:tabs>
        <w:autoSpaceDE w:val="0"/>
        <w:autoSpaceDN w:val="0"/>
        <w:adjustRightInd w:val="0"/>
        <w:spacing w:after="0" w:line="240" w:lineRule="auto"/>
        <w:jc w:val="both"/>
        <w:rPr>
          <w:rFonts w:cs="Times New Roman"/>
          <w:kern w:val="2"/>
        </w:rPr>
      </w:pPr>
      <w:r w:rsidRPr="2A8A7BAD">
        <w:rPr>
          <w:rFonts w:cs="Times New Roman"/>
          <w:kern w:val="2"/>
        </w:rPr>
        <w:t>The Applicant will collaborate with patients and primary care providers to ensure patients are linked to social service organizations as needed. If concerns around social determinants of health are identified or suspected during pre-procedure screenings and appointments, staff will provide the patient with referral resources and notify the patient</w:t>
      </w:r>
      <w:r w:rsidR="00FC1749" w:rsidRPr="2A8A7BAD">
        <w:rPr>
          <w:rFonts w:cs="Times New Roman"/>
          <w:kern w:val="2"/>
        </w:rPr>
        <w:t>’</w:t>
      </w:r>
      <w:r w:rsidRPr="2A8A7BAD">
        <w:rPr>
          <w:rFonts w:cs="Times New Roman"/>
          <w:kern w:val="2"/>
        </w:rPr>
        <w:t>s primary care provider</w:t>
      </w:r>
      <w:r w:rsidR="42EC1541" w:rsidRPr="2A8A7BAD">
        <w:rPr>
          <w:rFonts w:cs="Times New Roman"/>
          <w:kern w:val="2"/>
        </w:rPr>
        <w:t>,</w:t>
      </w:r>
      <w:r w:rsidRPr="2A8A7BAD">
        <w:rPr>
          <w:rFonts w:cs="Times New Roman"/>
          <w:kern w:val="2"/>
        </w:rPr>
        <w:t xml:space="preserve"> as appropriate</w:t>
      </w:r>
      <w:r w:rsidR="1ECFE697" w:rsidRPr="2A8A7BAD">
        <w:rPr>
          <w:rFonts w:cs="Times New Roman"/>
          <w:kern w:val="2"/>
        </w:rPr>
        <w:t>,</w:t>
      </w:r>
      <w:r w:rsidRPr="2A8A7BAD">
        <w:rPr>
          <w:rFonts w:cs="Times New Roman"/>
          <w:kern w:val="2"/>
        </w:rPr>
        <w:t xml:space="preserve"> to encourage necessary follow-up. Further, as discussed in F1.b.iii, the transition to Epic will allow the Applicant to better connect patients with identified needs for internal and external supports, including community-based services. The Applicant also anticipates that its transition to Epic across its </w:t>
      </w:r>
      <w:r w:rsidRPr="3717C5AB">
        <w:rPr>
          <w:rFonts w:cs="Times New Roman"/>
          <w:kern w:val="2"/>
        </w:rPr>
        <w:t>network</w:t>
      </w:r>
      <w:r w:rsidRPr="2A8A7BAD">
        <w:rPr>
          <w:rFonts w:cs="Times New Roman"/>
          <w:kern w:val="2"/>
        </w:rPr>
        <w:t xml:space="preserve"> will facilitate linkages among its hospitals to HOPDs</w:t>
      </w:r>
      <w:r w:rsidRPr="3717C5AB">
        <w:rPr>
          <w:rFonts w:cs="Times New Roman"/>
          <w:kern w:val="2"/>
        </w:rPr>
        <w:t>,</w:t>
      </w:r>
      <w:r w:rsidRPr="2A8A7BAD">
        <w:rPr>
          <w:rFonts w:cs="Times New Roman"/>
          <w:kern w:val="2"/>
        </w:rPr>
        <w:t xml:space="preserve"> such as the </w:t>
      </w:r>
      <w:r w:rsidR="00946E47" w:rsidRPr="2A8A7BAD">
        <w:rPr>
          <w:rFonts w:cs="Times New Roman"/>
          <w:kern w:val="2"/>
        </w:rPr>
        <w:t>Satellites</w:t>
      </w:r>
      <w:r w:rsidRPr="2A8A7BAD">
        <w:rPr>
          <w:rFonts w:cs="Times New Roman"/>
          <w:kern w:val="2"/>
        </w:rPr>
        <w:t>.</w:t>
      </w:r>
    </w:p>
    <w:p w14:paraId="1A917D1C" w14:textId="77777777" w:rsidR="00C166E9" w:rsidRDefault="00C166E9">
      <w:pPr>
        <w:spacing w:line="259" w:lineRule="auto"/>
        <w:rPr>
          <w:rFonts w:cs="Times New Roman"/>
          <w:bCs/>
          <w:kern w:val="2"/>
        </w:rPr>
      </w:pPr>
      <w:r>
        <w:rPr>
          <w:rFonts w:cs="Times New Roman"/>
          <w:bCs/>
          <w:kern w:val="2"/>
        </w:rPr>
        <w:br w:type="page"/>
      </w:r>
    </w:p>
    <w:p w14:paraId="43872ABA" w14:textId="1C26E0F9" w:rsidR="00202FE9" w:rsidRPr="008D3B46" w:rsidRDefault="00202FE9" w:rsidP="00202FE9">
      <w:pPr>
        <w:tabs>
          <w:tab w:val="left" w:pos="1440"/>
        </w:tabs>
        <w:autoSpaceDE w:val="0"/>
        <w:autoSpaceDN w:val="0"/>
        <w:adjustRightInd w:val="0"/>
        <w:spacing w:after="0" w:line="240" w:lineRule="auto"/>
        <w:jc w:val="both"/>
        <w:rPr>
          <w:rFonts w:cs="Times New Roman"/>
          <w:b/>
          <w:kern w:val="2"/>
          <w:u w:val="single"/>
        </w:rPr>
      </w:pPr>
      <w:r w:rsidRPr="008D3B46">
        <w:rPr>
          <w:rFonts w:cs="Times New Roman"/>
          <w:b/>
          <w:kern w:val="2"/>
          <w:u w:val="single"/>
        </w:rPr>
        <w:lastRenderedPageBreak/>
        <w:t>Factor 5: Relative Merit</w:t>
      </w:r>
    </w:p>
    <w:p w14:paraId="337EF08C" w14:textId="77777777" w:rsidR="00202FE9" w:rsidRPr="000153E7" w:rsidRDefault="00202FE9" w:rsidP="00202FE9">
      <w:pPr>
        <w:tabs>
          <w:tab w:val="left" w:pos="1440"/>
        </w:tabs>
        <w:autoSpaceDE w:val="0"/>
        <w:autoSpaceDN w:val="0"/>
        <w:adjustRightInd w:val="0"/>
        <w:spacing w:after="0" w:line="240" w:lineRule="auto"/>
        <w:ind w:left="1440" w:hanging="1440"/>
        <w:jc w:val="both"/>
        <w:rPr>
          <w:rFonts w:cs="Times New Roman"/>
          <w:b/>
          <w:kern w:val="2"/>
        </w:rPr>
      </w:pPr>
    </w:p>
    <w:p w14:paraId="27DEEF92" w14:textId="77777777" w:rsidR="00202FE9" w:rsidRPr="000153E7" w:rsidRDefault="00202FE9" w:rsidP="00202FE9">
      <w:pPr>
        <w:tabs>
          <w:tab w:val="left" w:pos="1440"/>
        </w:tabs>
        <w:autoSpaceDE w:val="0"/>
        <w:autoSpaceDN w:val="0"/>
        <w:adjustRightInd w:val="0"/>
        <w:spacing w:after="0" w:line="240" w:lineRule="auto"/>
        <w:ind w:left="1440" w:hanging="1440"/>
        <w:jc w:val="both"/>
        <w:rPr>
          <w:rFonts w:cs="Times New Roman"/>
          <w:b/>
          <w:kern w:val="2"/>
        </w:rPr>
      </w:pPr>
      <w:r w:rsidRPr="000153E7">
        <w:rPr>
          <w:rFonts w:cs="Times New Roman"/>
          <w:b/>
          <w:kern w:val="2"/>
        </w:rPr>
        <w:t>F5.a.i</w:t>
      </w:r>
      <w:r w:rsidRPr="000153E7">
        <w:rPr>
          <w:rFonts w:cs="Times New Roman"/>
          <w:b/>
          <w:kern w:val="2"/>
        </w:rPr>
        <w:tab/>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0153E7">
        <w:rPr>
          <w:rFonts w:cs="Times New Roman"/>
          <w:b/>
          <w:kern w:val="2"/>
        </w:rPr>
        <w:t>take into account</w:t>
      </w:r>
      <w:proofErr w:type="gramEnd"/>
      <w:r w:rsidRPr="000153E7">
        <w:rPr>
          <w:rFonts w:cs="Times New Roman"/>
          <w:b/>
          <w:kern w:val="2"/>
        </w:rPr>
        <w:t>, at a minimum, the quality, efficiency, and capital and operating costs of the Proposed Project relative to potential alternatives or substitutes, including alternative evidence-based strategies and public health interventions.</w:t>
      </w:r>
    </w:p>
    <w:p w14:paraId="2E997D2C" w14:textId="77777777" w:rsidR="00202FE9" w:rsidRPr="000153E7" w:rsidRDefault="00202FE9" w:rsidP="00202FE9">
      <w:pPr>
        <w:pStyle w:val="ListParagraph"/>
        <w:tabs>
          <w:tab w:val="left" w:pos="1440"/>
        </w:tabs>
        <w:autoSpaceDE w:val="0"/>
        <w:autoSpaceDN w:val="0"/>
        <w:adjustRightInd w:val="0"/>
        <w:spacing w:after="0" w:line="240" w:lineRule="auto"/>
        <w:jc w:val="both"/>
        <w:rPr>
          <w:rFonts w:cs="Times New Roman"/>
          <w:kern w:val="2"/>
          <w:u w:val="single"/>
        </w:rPr>
      </w:pPr>
    </w:p>
    <w:p w14:paraId="3E18BB16" w14:textId="717FECDD" w:rsidR="00DD3301" w:rsidRPr="00DD3301" w:rsidRDefault="00DD3301" w:rsidP="00DD3301">
      <w:pPr>
        <w:tabs>
          <w:tab w:val="left" w:pos="720"/>
        </w:tabs>
        <w:autoSpaceDE w:val="0"/>
        <w:autoSpaceDN w:val="0"/>
        <w:adjustRightInd w:val="0"/>
        <w:spacing w:after="0" w:line="240" w:lineRule="auto"/>
        <w:jc w:val="both"/>
        <w:rPr>
          <w:rFonts w:eastAsia="Calibri" w:cs="Times New Roman"/>
          <w:bCs/>
          <w:kern w:val="2"/>
        </w:rPr>
      </w:pPr>
      <w:r w:rsidRPr="00DD3301">
        <w:rPr>
          <w:rFonts w:eastAsia="Calibri" w:cs="Times New Roman"/>
          <w:b/>
          <w:kern w:val="2"/>
        </w:rPr>
        <w:t xml:space="preserve">This Proposal: </w:t>
      </w:r>
      <w:r w:rsidRPr="00DD3301">
        <w:rPr>
          <w:rFonts w:eastAsia="Calibri" w:cs="Times New Roman"/>
          <w:bCs/>
          <w:kern w:val="2"/>
        </w:rPr>
        <w:t xml:space="preserve">The Proposed Project </w:t>
      </w:r>
      <w:r w:rsidRPr="00DD3301">
        <w:rPr>
          <w:rFonts w:eastAsia="Calibri" w:cs="Times New Roman"/>
          <w:kern w:val="2"/>
        </w:rPr>
        <w:t xml:space="preserve">is </w:t>
      </w:r>
      <w:r w:rsidRPr="00DD3301">
        <w:rPr>
          <w:rFonts w:eastAsia="Calibri" w:cs="Times New Roman"/>
        </w:rPr>
        <w:t xml:space="preserve">to develop the Cordage Park </w:t>
      </w:r>
      <w:r>
        <w:rPr>
          <w:rFonts w:eastAsia="Calibri" w:cs="Times New Roman"/>
        </w:rPr>
        <w:t xml:space="preserve">Satellite </w:t>
      </w:r>
      <w:r w:rsidRPr="00DD3301">
        <w:rPr>
          <w:rFonts w:eastAsia="Calibri" w:cs="Times New Roman"/>
        </w:rPr>
        <w:t xml:space="preserve">for the provision of hematology-oncology and infusion services in Plymouth, as well as the Quincy </w:t>
      </w:r>
      <w:r>
        <w:rPr>
          <w:rFonts w:eastAsia="Calibri" w:cs="Times New Roman"/>
        </w:rPr>
        <w:t xml:space="preserve">Satellite </w:t>
      </w:r>
      <w:r w:rsidRPr="00DD3301">
        <w:rPr>
          <w:rFonts w:eastAsia="Calibri" w:cs="Times New Roman"/>
        </w:rPr>
        <w:t xml:space="preserve">for the provision of primary and specialty care, urgent care, </w:t>
      </w:r>
      <w:r w:rsidR="00FE4BF6" w:rsidRPr="00DD3301">
        <w:rPr>
          <w:rFonts w:eastAsia="Calibri" w:cs="Times New Roman"/>
        </w:rPr>
        <w:t>lab,</w:t>
      </w:r>
      <w:r w:rsidRPr="00DD3301">
        <w:rPr>
          <w:rFonts w:eastAsia="Calibri" w:cs="Times New Roman"/>
        </w:rPr>
        <w:t xml:space="preserve"> and diagnostic imaging services.</w:t>
      </w:r>
    </w:p>
    <w:p w14:paraId="55CE15A8" w14:textId="77777777" w:rsidR="00DD3301" w:rsidRPr="00DD3301" w:rsidRDefault="00DD3301" w:rsidP="00DD3301">
      <w:pPr>
        <w:tabs>
          <w:tab w:val="left" w:pos="1440"/>
        </w:tabs>
        <w:autoSpaceDE w:val="0"/>
        <w:autoSpaceDN w:val="0"/>
        <w:adjustRightInd w:val="0"/>
        <w:spacing w:after="0" w:line="240" w:lineRule="auto"/>
        <w:ind w:left="1440" w:hanging="1440"/>
        <w:jc w:val="both"/>
        <w:rPr>
          <w:rFonts w:eastAsia="Calibri" w:cs="Times New Roman"/>
          <w:kern w:val="2"/>
        </w:rPr>
      </w:pPr>
    </w:p>
    <w:p w14:paraId="5E219FA0" w14:textId="42399B08" w:rsidR="00DD3301" w:rsidRPr="00DD3301" w:rsidRDefault="00DD3301" w:rsidP="00DD3301">
      <w:pPr>
        <w:tabs>
          <w:tab w:val="left" w:pos="720"/>
        </w:tabs>
        <w:autoSpaceDE w:val="0"/>
        <w:autoSpaceDN w:val="0"/>
        <w:adjustRightInd w:val="0"/>
        <w:spacing w:after="0" w:line="240" w:lineRule="auto"/>
        <w:ind w:left="720"/>
        <w:jc w:val="both"/>
        <w:rPr>
          <w:rFonts w:eastAsia="Calibri" w:cs="Times New Roman"/>
          <w:kern w:val="2"/>
        </w:rPr>
      </w:pPr>
      <w:r w:rsidRPr="00DD3301">
        <w:rPr>
          <w:rFonts w:eastAsia="Calibri" w:cs="Times New Roman"/>
          <w:b/>
          <w:bCs/>
          <w:kern w:val="2"/>
        </w:rPr>
        <w:t xml:space="preserve">Quality: </w:t>
      </w:r>
      <w:r w:rsidRPr="00DD3301">
        <w:rPr>
          <w:rFonts w:eastAsia="Calibri" w:cs="Times New Roman"/>
          <w:kern w:val="2"/>
        </w:rPr>
        <w:t xml:space="preserve">The Proposed Project is the superior option because of the significant impact it will have on patient outcomes, quality of life, and patient satisfaction. </w:t>
      </w:r>
      <w:r w:rsidRPr="00DD3301">
        <w:rPr>
          <w:rFonts w:eastAsia="Calibri" w:cs="Times New Roman"/>
        </w:rPr>
        <w:t>Through e</w:t>
      </w:r>
      <w:r w:rsidRPr="00DD3301">
        <w:rPr>
          <w:rFonts w:eastAsia="Calibri" w:cs="Times New Roman"/>
          <w:kern w:val="2"/>
        </w:rPr>
        <w:t xml:space="preserve">xpanded </w:t>
      </w:r>
      <w:r w:rsidRPr="00DD3301">
        <w:rPr>
          <w:rFonts w:eastAsia="Calibri" w:cs="Times New Roman"/>
        </w:rPr>
        <w:t xml:space="preserve">capacity in </w:t>
      </w:r>
      <w:r w:rsidRPr="00DD3301">
        <w:rPr>
          <w:rFonts w:eastAsia="Calibri" w:cs="Times New Roman"/>
          <w:kern w:val="2"/>
        </w:rPr>
        <w:t xml:space="preserve">outpatient </w:t>
      </w:r>
      <w:r w:rsidRPr="00DD3301">
        <w:rPr>
          <w:rFonts w:eastAsia="Calibri" w:cs="Times New Roman"/>
        </w:rPr>
        <w:t>hematology-</w:t>
      </w:r>
      <w:r w:rsidRPr="00DD3301">
        <w:rPr>
          <w:rFonts w:eastAsia="Calibri" w:cs="Times New Roman"/>
          <w:kern w:val="2"/>
        </w:rPr>
        <w:t xml:space="preserve">oncology </w:t>
      </w:r>
      <w:r w:rsidRPr="00DD3301">
        <w:rPr>
          <w:rFonts w:eastAsia="Calibri" w:cs="Times New Roman"/>
        </w:rPr>
        <w:t xml:space="preserve">and infusion </w:t>
      </w:r>
      <w:r w:rsidRPr="00DD3301">
        <w:rPr>
          <w:rFonts w:eastAsia="Calibri" w:cs="Times New Roman"/>
          <w:kern w:val="2"/>
        </w:rPr>
        <w:t>services,</w:t>
      </w:r>
      <w:r w:rsidRPr="00DD3301">
        <w:rPr>
          <w:rFonts w:eastAsia="Calibri" w:cs="Times New Roman"/>
        </w:rPr>
        <w:t xml:space="preserve"> </w:t>
      </w:r>
      <w:r w:rsidRPr="00DD3301">
        <w:rPr>
          <w:rFonts w:eastAsia="Calibri" w:cs="Times New Roman"/>
          <w:kern w:val="2"/>
        </w:rPr>
        <w:t xml:space="preserve">the Applicant will </w:t>
      </w:r>
      <w:r w:rsidRPr="00DD3301">
        <w:rPr>
          <w:rFonts w:eastAsia="Calibri" w:cs="Times New Roman"/>
        </w:rPr>
        <w:t xml:space="preserve">enhance access and their ability to keep care local and </w:t>
      </w:r>
      <w:r w:rsidRPr="00DD3301">
        <w:rPr>
          <w:rFonts w:eastAsia="Calibri" w:cs="Times New Roman"/>
          <w:kern w:val="2"/>
        </w:rPr>
        <w:t>treat more patients close to home.</w:t>
      </w:r>
      <w:r w:rsidRPr="00DD3301">
        <w:rPr>
          <w:rFonts w:eastAsia="Calibri" w:cs="Arial"/>
        </w:rPr>
        <w:t xml:space="preserve"> Further, through the development of the Quincy </w:t>
      </w:r>
      <w:r>
        <w:rPr>
          <w:rFonts w:eastAsia="Calibri" w:cs="Times New Roman"/>
        </w:rPr>
        <w:t>Satellite</w:t>
      </w:r>
      <w:r w:rsidRPr="00DD3301">
        <w:rPr>
          <w:rFonts w:eastAsia="Calibri" w:cs="Arial"/>
        </w:rPr>
        <w:t>, the Applicant will be adding specialty services to a community that has demonstrated high need in many areas, and will offer a more cost-effective, convenient option for patients currently traveling into Boston for care</w:t>
      </w:r>
      <w:r w:rsidR="00FE4BF6" w:rsidRPr="00DD3301">
        <w:rPr>
          <w:rFonts w:eastAsia="Calibri" w:cs="Arial"/>
        </w:rPr>
        <w:t xml:space="preserve">. </w:t>
      </w:r>
      <w:r w:rsidRPr="00DD3301">
        <w:rPr>
          <w:rFonts w:eastAsia="Calibri" w:cs="Times New Roman"/>
          <w:kern w:val="2"/>
        </w:rPr>
        <w:t xml:space="preserve">Accordingly, the Applicant believes that the proposed Facilities will provide patients with high-quality care within their communities. </w:t>
      </w:r>
    </w:p>
    <w:p w14:paraId="4AF5B5E9" w14:textId="77777777" w:rsidR="00DD3301" w:rsidRPr="00DD3301" w:rsidRDefault="00DD3301" w:rsidP="00DD3301">
      <w:pPr>
        <w:tabs>
          <w:tab w:val="left" w:pos="1440"/>
        </w:tabs>
        <w:autoSpaceDE w:val="0"/>
        <w:autoSpaceDN w:val="0"/>
        <w:adjustRightInd w:val="0"/>
        <w:spacing w:after="0" w:line="240" w:lineRule="auto"/>
        <w:ind w:left="1440" w:hanging="1440"/>
        <w:jc w:val="both"/>
        <w:rPr>
          <w:rFonts w:eastAsia="Calibri" w:cs="Times New Roman"/>
          <w:b/>
          <w:kern w:val="2"/>
        </w:rPr>
      </w:pPr>
    </w:p>
    <w:p w14:paraId="4F507DFD" w14:textId="508638C0" w:rsidR="00DD3301" w:rsidRPr="00DD3301" w:rsidRDefault="00DD3301" w:rsidP="00DD3301">
      <w:pPr>
        <w:tabs>
          <w:tab w:val="left" w:pos="720"/>
        </w:tabs>
        <w:autoSpaceDE w:val="0"/>
        <w:autoSpaceDN w:val="0"/>
        <w:adjustRightInd w:val="0"/>
        <w:spacing w:after="0" w:line="240" w:lineRule="auto"/>
        <w:ind w:left="720"/>
        <w:jc w:val="both"/>
        <w:rPr>
          <w:rFonts w:eastAsia="Calibri" w:cs="Times New Roman"/>
          <w:kern w:val="2"/>
        </w:rPr>
      </w:pPr>
      <w:r w:rsidRPr="00DD3301">
        <w:rPr>
          <w:rFonts w:eastAsia="Calibri" w:cs="Times New Roman"/>
          <w:b/>
          <w:bCs/>
          <w:kern w:val="2"/>
        </w:rPr>
        <w:t xml:space="preserve">Efficiency: </w:t>
      </w:r>
      <w:r w:rsidRPr="00DD3301">
        <w:rPr>
          <w:rFonts w:eastAsia="Calibri" w:cs="Times New Roman"/>
          <w:kern w:val="2"/>
        </w:rPr>
        <w:t xml:space="preserve">The Applicant will </w:t>
      </w:r>
      <w:r w:rsidRPr="00DD3301">
        <w:rPr>
          <w:rFonts w:eastAsia="Calibri" w:cs="Times New Roman"/>
        </w:rPr>
        <w:t xml:space="preserve">maximize operational efficiencies in the Quincy </w:t>
      </w:r>
      <w:r>
        <w:rPr>
          <w:rFonts w:eastAsia="Calibri" w:cs="Times New Roman"/>
        </w:rPr>
        <w:t xml:space="preserve">Satellite </w:t>
      </w:r>
      <w:r w:rsidRPr="00DD3301">
        <w:rPr>
          <w:rFonts w:eastAsia="Calibri" w:cs="Times New Roman"/>
        </w:rPr>
        <w:t>through the use of shared staff across multiple specialty services. The facility will also use the scheduling, registration, and check-in tools available via its Epic medical record system and other appropriate automated services to expedite patient access and reduce the costs of resourcing these services. Further, the Proposed Project will allow for consolidation of the services currently provided through the Quincy Square site, resulting in reduced lease and operating expenses</w:t>
      </w:r>
      <w:r w:rsidR="00FE4BF6" w:rsidRPr="00DD3301">
        <w:rPr>
          <w:rFonts w:eastAsia="Calibri" w:cs="Times New Roman"/>
        </w:rPr>
        <w:t xml:space="preserve">. </w:t>
      </w:r>
      <w:r w:rsidRPr="00DD3301">
        <w:rPr>
          <w:rFonts w:eastAsia="Calibri" w:cs="Times New Roman"/>
          <w:kern w:val="2"/>
        </w:rPr>
        <w:t xml:space="preserve">With respect to the proposed Cordage Park </w:t>
      </w:r>
      <w:r>
        <w:rPr>
          <w:rFonts w:eastAsia="Calibri" w:cs="Times New Roman"/>
        </w:rPr>
        <w:t>Satellite</w:t>
      </w:r>
      <w:r w:rsidRPr="00DD3301">
        <w:rPr>
          <w:rFonts w:eastAsia="Calibri" w:cs="Times New Roman"/>
          <w:kern w:val="2"/>
        </w:rPr>
        <w:t>, the Applicant will maximize clinical and operational efficiencies through the use of dedicated cancer staff and streamlined overhead costs. The Proposed Project is less disruptive to patient care, which is already constrained in the communities that the Applicant seeks to continue to serve</w:t>
      </w:r>
      <w:r w:rsidRPr="00DD3301">
        <w:rPr>
          <w:rFonts w:eastAsia="Times New Roman" w:cs="Times New Roman"/>
        </w:rPr>
        <w:t>, as the additional local capacity will allow patients to receive care in lower-cost settings in their community</w:t>
      </w:r>
      <w:r w:rsidRPr="00DD3301">
        <w:rPr>
          <w:rFonts w:eastAsia="Calibri" w:cs="Times New Roman"/>
          <w:kern w:val="2"/>
        </w:rPr>
        <w:t xml:space="preserve">. </w:t>
      </w:r>
    </w:p>
    <w:p w14:paraId="5DFE44A6" w14:textId="77777777" w:rsidR="00DD3301" w:rsidRPr="00DD3301" w:rsidRDefault="00DD3301" w:rsidP="00DD3301">
      <w:pPr>
        <w:tabs>
          <w:tab w:val="left" w:pos="720"/>
        </w:tabs>
        <w:autoSpaceDE w:val="0"/>
        <w:autoSpaceDN w:val="0"/>
        <w:adjustRightInd w:val="0"/>
        <w:spacing w:after="0" w:line="240" w:lineRule="auto"/>
        <w:ind w:left="720"/>
        <w:jc w:val="both"/>
        <w:rPr>
          <w:rFonts w:eastAsia="Calibri" w:cs="Times New Roman"/>
          <w:kern w:val="2"/>
        </w:rPr>
      </w:pPr>
    </w:p>
    <w:p w14:paraId="184C358E" w14:textId="59AC9881" w:rsidR="00DF4501" w:rsidRPr="00DD3301" w:rsidRDefault="00DF4501" w:rsidP="00DF4501">
      <w:pPr>
        <w:autoSpaceDE w:val="0"/>
        <w:autoSpaceDN w:val="0"/>
        <w:adjustRightInd w:val="0"/>
        <w:spacing w:after="0" w:line="240" w:lineRule="auto"/>
        <w:ind w:left="720"/>
        <w:jc w:val="both"/>
        <w:rPr>
          <w:rFonts w:eastAsia="Calibri" w:cs="Times New Roman"/>
          <w:kern w:val="2"/>
        </w:rPr>
      </w:pPr>
      <w:r w:rsidRPr="00DD3301">
        <w:rPr>
          <w:rFonts w:eastAsia="Calibri" w:cs="Times New Roman"/>
          <w:b/>
          <w:bCs/>
          <w:kern w:val="2"/>
        </w:rPr>
        <w:t xml:space="preserve">Capital Expense: </w:t>
      </w:r>
      <w:r w:rsidRPr="00DD3301">
        <w:rPr>
          <w:rFonts w:eastAsia="Calibri" w:cs="Times New Roman"/>
          <w:kern w:val="2"/>
        </w:rPr>
        <w:t xml:space="preserve">The capital expenses for the Proposed Project are $48,604,199 for the Cordage Park </w:t>
      </w:r>
      <w:r>
        <w:rPr>
          <w:rFonts w:eastAsia="Calibri" w:cs="Times New Roman"/>
        </w:rPr>
        <w:t xml:space="preserve">Satellite </w:t>
      </w:r>
      <w:r w:rsidRPr="00DD3301">
        <w:rPr>
          <w:rFonts w:eastAsia="Calibri" w:cs="Times New Roman"/>
          <w:kern w:val="2"/>
        </w:rPr>
        <w:t xml:space="preserve">and $68,401,871 for the Quincy </w:t>
      </w:r>
      <w:r>
        <w:rPr>
          <w:rFonts w:eastAsia="Calibri" w:cs="Times New Roman"/>
        </w:rPr>
        <w:t>Satellite</w:t>
      </w:r>
      <w:proofErr w:type="gramStart"/>
      <w:r>
        <w:rPr>
          <w:rFonts w:eastAsia="Calibri" w:cs="Times New Roman"/>
        </w:rPr>
        <w:t xml:space="preserve"> </w:t>
      </w:r>
      <w:r w:rsidRPr="00DD3301">
        <w:rPr>
          <w:rFonts w:eastAsia="Calibri" w:cs="Times New Roman"/>
          <w:kern w:val="2"/>
        </w:rPr>
        <w:t>The</w:t>
      </w:r>
      <w:proofErr w:type="gramEnd"/>
      <w:r w:rsidRPr="00DD3301">
        <w:rPr>
          <w:rFonts w:eastAsia="Calibri" w:cs="Times New Roman"/>
          <w:kern w:val="2"/>
        </w:rPr>
        <w:t xml:space="preserve"> capital expenses for the Proposed Project are less expensive than the capital expenses that would have to be spent to </w:t>
      </w:r>
      <w:r w:rsidRPr="00DD3301">
        <w:rPr>
          <w:rFonts w:eastAsia="Calibri" w:cs="Times New Roman"/>
        </w:rPr>
        <w:t xml:space="preserve">re-locate </w:t>
      </w:r>
      <w:r w:rsidRPr="00DD3301">
        <w:rPr>
          <w:rFonts w:eastAsia="Calibri" w:cs="Times New Roman"/>
          <w:kern w:val="2"/>
        </w:rPr>
        <w:t xml:space="preserve">services </w:t>
      </w:r>
      <w:r w:rsidRPr="00DD3301">
        <w:rPr>
          <w:rFonts w:eastAsia="Calibri" w:cs="Times New Roman"/>
        </w:rPr>
        <w:t xml:space="preserve">to a new </w:t>
      </w:r>
      <w:r>
        <w:rPr>
          <w:rFonts w:eastAsia="Calibri" w:cs="Times New Roman"/>
        </w:rPr>
        <w:t>MOB</w:t>
      </w:r>
      <w:r w:rsidRPr="00DD3301">
        <w:rPr>
          <w:rFonts w:eastAsia="Calibri" w:cs="Times New Roman"/>
        </w:rPr>
        <w:t xml:space="preserve"> on the campus of </w:t>
      </w:r>
      <w:r w:rsidR="00424F30">
        <w:rPr>
          <w:rFonts w:eastAsia="Calibri" w:cs="Times New Roman"/>
        </w:rPr>
        <w:t>BID Plymouth</w:t>
      </w:r>
      <w:r w:rsidRPr="00DD3301">
        <w:rPr>
          <w:rFonts w:eastAsia="Calibri" w:cs="Times New Roman"/>
        </w:rPr>
        <w:t xml:space="preserve"> Hospital, as the Proposed Project will only require fit out capital. </w:t>
      </w:r>
      <w:r w:rsidRPr="00DD3301">
        <w:rPr>
          <w:rFonts w:eastAsia="Calibri" w:cs="Times New Roman"/>
          <w:kern w:val="2"/>
        </w:rPr>
        <w:t xml:space="preserve">  </w:t>
      </w:r>
    </w:p>
    <w:p w14:paraId="3EAF4D85" w14:textId="77777777" w:rsidR="00DF4501" w:rsidRPr="00DD3301" w:rsidRDefault="00DF4501" w:rsidP="00DF4501">
      <w:pPr>
        <w:tabs>
          <w:tab w:val="left" w:pos="1440"/>
        </w:tabs>
        <w:autoSpaceDE w:val="0"/>
        <w:autoSpaceDN w:val="0"/>
        <w:adjustRightInd w:val="0"/>
        <w:spacing w:after="0" w:line="240" w:lineRule="auto"/>
        <w:ind w:left="1440" w:hanging="1440"/>
        <w:jc w:val="both"/>
        <w:rPr>
          <w:rFonts w:eastAsia="Calibri" w:cs="Times New Roman"/>
          <w:kern w:val="2"/>
        </w:rPr>
      </w:pPr>
    </w:p>
    <w:p w14:paraId="663DC559" w14:textId="7C7270A5" w:rsidR="00DF4501" w:rsidRPr="00903288" w:rsidRDefault="00DF4501" w:rsidP="00DF4501">
      <w:pPr>
        <w:tabs>
          <w:tab w:val="left" w:pos="720"/>
        </w:tabs>
        <w:autoSpaceDE w:val="0"/>
        <w:autoSpaceDN w:val="0"/>
        <w:adjustRightInd w:val="0"/>
        <w:spacing w:after="0" w:line="240" w:lineRule="auto"/>
        <w:ind w:left="720"/>
        <w:jc w:val="both"/>
        <w:rPr>
          <w:rFonts w:eastAsia="Calibri" w:cs="Times New Roman"/>
          <w:kern w:val="2"/>
        </w:rPr>
      </w:pPr>
      <w:r w:rsidRPr="00DD3301">
        <w:rPr>
          <w:rFonts w:eastAsia="Calibri" w:cs="Times New Roman"/>
          <w:b/>
          <w:bCs/>
          <w:kern w:val="2"/>
        </w:rPr>
        <w:t xml:space="preserve">Operating Costs: </w:t>
      </w:r>
      <w:r w:rsidR="0098004A" w:rsidRPr="0098004A">
        <w:rPr>
          <w:rFonts w:eastAsia="Calibri" w:cs="Times New Roman"/>
          <w:kern w:val="2"/>
        </w:rPr>
        <w:t>The operating costs for each Satellite are anticipated to be $91,025,087 for the Cordage Park Satellite in Year Five and $88,297,005 for the Quincy Satellite in Year Five</w:t>
      </w:r>
      <w:r w:rsidR="00903288">
        <w:rPr>
          <w:rFonts w:eastAsia="Calibri" w:cs="Times New Roman"/>
          <w:kern w:val="2"/>
        </w:rPr>
        <w:t>.</w:t>
      </w:r>
    </w:p>
    <w:p w14:paraId="3D720C08" w14:textId="26CCC271" w:rsidR="00DD3301" w:rsidRPr="00DD3301" w:rsidRDefault="00DD3301" w:rsidP="00DD3301">
      <w:pPr>
        <w:tabs>
          <w:tab w:val="left" w:pos="720"/>
        </w:tabs>
        <w:autoSpaceDE w:val="0"/>
        <w:autoSpaceDN w:val="0"/>
        <w:adjustRightInd w:val="0"/>
        <w:spacing w:after="0" w:line="240" w:lineRule="auto"/>
        <w:ind w:left="720"/>
        <w:jc w:val="both"/>
        <w:rPr>
          <w:rFonts w:eastAsia="Calibri" w:cs="Times New Roman"/>
          <w:kern w:val="2"/>
        </w:rPr>
      </w:pPr>
    </w:p>
    <w:p w14:paraId="5B447628" w14:textId="77777777" w:rsidR="00DD3301" w:rsidRPr="00DD3301" w:rsidRDefault="00DD3301" w:rsidP="00DD3301">
      <w:pPr>
        <w:tabs>
          <w:tab w:val="left" w:pos="1440"/>
        </w:tabs>
        <w:autoSpaceDE w:val="0"/>
        <w:autoSpaceDN w:val="0"/>
        <w:adjustRightInd w:val="0"/>
        <w:spacing w:after="0" w:line="240" w:lineRule="auto"/>
        <w:ind w:left="1440" w:hanging="1440"/>
        <w:jc w:val="both"/>
        <w:rPr>
          <w:rFonts w:eastAsia="Calibri" w:cs="Times New Roman"/>
          <w:b/>
          <w:kern w:val="2"/>
        </w:rPr>
      </w:pPr>
    </w:p>
    <w:p w14:paraId="6C75C1E8" w14:textId="7A17312C" w:rsidR="00DD3301" w:rsidRPr="00DD3301" w:rsidRDefault="00DD3301" w:rsidP="00DD3301">
      <w:pPr>
        <w:tabs>
          <w:tab w:val="left" w:pos="720"/>
        </w:tabs>
        <w:autoSpaceDE w:val="0"/>
        <w:autoSpaceDN w:val="0"/>
        <w:adjustRightInd w:val="0"/>
        <w:spacing w:after="0" w:line="240" w:lineRule="auto"/>
        <w:jc w:val="both"/>
        <w:rPr>
          <w:rFonts w:eastAsia="Calibri" w:cs="Times New Roman"/>
          <w:kern w:val="2"/>
        </w:rPr>
      </w:pPr>
      <w:r w:rsidRPr="00DD3301">
        <w:rPr>
          <w:rFonts w:eastAsia="Calibri" w:cs="Times New Roman"/>
          <w:b/>
          <w:bCs/>
          <w:kern w:val="2"/>
        </w:rPr>
        <w:t xml:space="preserve">Alternative Proposal: </w:t>
      </w:r>
      <w:r w:rsidRPr="00DD3301">
        <w:rPr>
          <w:rFonts w:eastAsia="Calibri" w:cs="Times New Roman"/>
        </w:rPr>
        <w:t xml:space="preserve">The Applicant considered a number of alternatives to the proposed Quincy </w:t>
      </w:r>
      <w:r>
        <w:rPr>
          <w:rFonts w:eastAsia="Calibri" w:cs="Times New Roman"/>
        </w:rPr>
        <w:t>Satellite</w:t>
      </w:r>
      <w:r w:rsidRPr="00DD3301">
        <w:rPr>
          <w:rFonts w:eastAsia="Calibri" w:cs="Times New Roman"/>
        </w:rPr>
        <w:t xml:space="preserve">. One that contemplated another South Quincy site </w:t>
      </w:r>
      <w:r w:rsidR="00DF4501">
        <w:rPr>
          <w:rFonts w:eastAsia="Calibri" w:cs="Times New Roman"/>
        </w:rPr>
        <w:t xml:space="preserve">in the Crown Colony complex </w:t>
      </w:r>
      <w:r w:rsidRPr="00DD3301">
        <w:rPr>
          <w:rFonts w:eastAsia="Calibri" w:cs="Times New Roman"/>
        </w:rPr>
        <w:t>and others that contemplated North Quincy location</w:t>
      </w:r>
      <w:r w:rsidR="00DF4501">
        <w:rPr>
          <w:rFonts w:eastAsia="Calibri" w:cs="Times New Roman"/>
        </w:rPr>
        <w:t>s, one at Newport Avenue and one at Enterprise Drive</w:t>
      </w:r>
      <w:r w:rsidRPr="00DD3301">
        <w:rPr>
          <w:rFonts w:eastAsia="Calibri" w:cs="Times New Roman"/>
        </w:rPr>
        <w:t xml:space="preserve">. Additionally, the Applicant considered on-campus expansion of the </w:t>
      </w:r>
      <w:r w:rsidR="00424F30">
        <w:rPr>
          <w:rFonts w:eastAsia="Calibri" w:cs="Times New Roman"/>
        </w:rPr>
        <w:t>BID Plymouth</w:t>
      </w:r>
      <w:r w:rsidRPr="00DD3301">
        <w:rPr>
          <w:rFonts w:eastAsia="Calibri" w:cs="Times New Roman"/>
        </w:rPr>
        <w:t xml:space="preserve"> </w:t>
      </w:r>
      <w:r w:rsidR="009E2214" w:rsidRPr="00DD3301">
        <w:rPr>
          <w:rFonts w:eastAsia="Calibri" w:cs="Times New Roman"/>
        </w:rPr>
        <w:t xml:space="preserve">hematology-oncology and infusion </w:t>
      </w:r>
      <w:r w:rsidR="009E2214" w:rsidRPr="00DD3301">
        <w:rPr>
          <w:rFonts w:eastAsia="Calibri" w:cs="Times New Roman"/>
        </w:rPr>
        <w:lastRenderedPageBreak/>
        <w:t>clinics</w:t>
      </w:r>
      <w:r w:rsidR="00DF4501">
        <w:rPr>
          <w:rFonts w:eastAsia="Calibri" w:cs="Times New Roman"/>
        </w:rPr>
        <w:t xml:space="preserve"> through expansion within the existing site, which would inhibit BID Plymouth’s ability to expand its Emergency Department, as well as its expansion through development of a new on-campus MOB.</w:t>
      </w:r>
    </w:p>
    <w:p w14:paraId="7C9CD844" w14:textId="77777777" w:rsidR="00DD3301" w:rsidRPr="00DD3301" w:rsidRDefault="00DD3301" w:rsidP="00DD3301">
      <w:pPr>
        <w:tabs>
          <w:tab w:val="left" w:pos="1440"/>
        </w:tabs>
        <w:autoSpaceDE w:val="0"/>
        <w:autoSpaceDN w:val="0"/>
        <w:adjustRightInd w:val="0"/>
        <w:spacing w:after="0" w:line="240" w:lineRule="auto"/>
        <w:jc w:val="both"/>
        <w:rPr>
          <w:rFonts w:eastAsia="Calibri" w:cs="Times New Roman"/>
          <w:kern w:val="2"/>
        </w:rPr>
      </w:pPr>
    </w:p>
    <w:p w14:paraId="13FF29B2" w14:textId="77777777" w:rsidR="00DD3301" w:rsidRDefault="00DD3301" w:rsidP="003E06AC">
      <w:pPr>
        <w:autoSpaceDE w:val="0"/>
        <w:autoSpaceDN w:val="0"/>
        <w:adjustRightInd w:val="0"/>
        <w:spacing w:after="0" w:line="240" w:lineRule="auto"/>
        <w:ind w:firstLine="720"/>
        <w:jc w:val="both"/>
        <w:rPr>
          <w:rFonts w:eastAsia="Calibri" w:cs="Times New Roman"/>
          <w:b/>
          <w:bCs/>
          <w:kern w:val="2"/>
        </w:rPr>
      </w:pPr>
      <w:r w:rsidRPr="00DD3301">
        <w:rPr>
          <w:rFonts w:eastAsia="Calibri" w:cs="Times New Roman"/>
          <w:b/>
          <w:bCs/>
          <w:kern w:val="2"/>
        </w:rPr>
        <w:t>Alternative Quality:</w:t>
      </w:r>
    </w:p>
    <w:p w14:paraId="68F2D9F3" w14:textId="3D3AFCEA" w:rsidR="00DD3301" w:rsidRPr="00DD3301" w:rsidRDefault="00DD3301" w:rsidP="00DD3301">
      <w:pPr>
        <w:autoSpaceDE w:val="0"/>
        <w:autoSpaceDN w:val="0"/>
        <w:adjustRightInd w:val="0"/>
        <w:spacing w:after="0" w:line="240" w:lineRule="auto"/>
        <w:ind w:left="720"/>
        <w:jc w:val="both"/>
        <w:rPr>
          <w:rFonts w:eastAsia="Calibri" w:cs="Times New Roman"/>
        </w:rPr>
      </w:pPr>
      <w:r w:rsidRPr="00DD3301">
        <w:rPr>
          <w:rFonts w:eastAsia="Calibri" w:cs="Times New Roman"/>
          <w:i/>
          <w:iCs/>
        </w:rPr>
        <w:t xml:space="preserve">Quincy </w:t>
      </w:r>
      <w:r w:rsidRPr="003E06AC">
        <w:rPr>
          <w:rFonts w:eastAsia="Calibri" w:cs="Times New Roman"/>
          <w:i/>
          <w:iCs/>
        </w:rPr>
        <w:t>Satellite</w:t>
      </w:r>
      <w:r w:rsidR="003E06AC">
        <w:rPr>
          <w:rFonts w:eastAsia="Calibri" w:cs="Times New Roman"/>
        </w:rPr>
        <w:t>:</w:t>
      </w:r>
      <w:r w:rsidRPr="00DD3301">
        <w:rPr>
          <w:rFonts w:eastAsia="Calibri" w:cs="Times New Roman"/>
        </w:rPr>
        <w:t xml:space="preserve"> </w:t>
      </w:r>
      <w:r w:rsidR="003E06AC">
        <w:rPr>
          <w:rFonts w:eastAsia="Calibri" w:cs="Times New Roman"/>
        </w:rPr>
        <w:t>T</w:t>
      </w:r>
      <w:r w:rsidRPr="00DD3301">
        <w:rPr>
          <w:rFonts w:eastAsia="Calibri" w:cs="Times New Roman"/>
        </w:rPr>
        <w:t xml:space="preserve">wo North Quincy sites </w:t>
      </w:r>
      <w:r w:rsidR="003E06AC">
        <w:rPr>
          <w:rFonts w:eastAsia="Calibri" w:cs="Times New Roman"/>
        </w:rPr>
        <w:t xml:space="preserve">were considered </w:t>
      </w:r>
      <w:r w:rsidRPr="00DD3301">
        <w:rPr>
          <w:rFonts w:eastAsia="Calibri" w:cs="Times New Roman"/>
        </w:rPr>
        <w:t>- 200 Newport Avenue and 1 Enterprise Drive</w:t>
      </w:r>
      <w:r w:rsidR="003E06AC">
        <w:rPr>
          <w:rFonts w:eastAsia="Calibri" w:cs="Times New Roman"/>
        </w:rPr>
        <w:t xml:space="preserve">, however these sites </w:t>
      </w:r>
      <w:r w:rsidRPr="00DD3301">
        <w:rPr>
          <w:rFonts w:eastAsia="Calibri" w:cs="Times New Roman"/>
        </w:rPr>
        <w:t xml:space="preserve">did not provide enough parking for an outpatient healthcare facility at 3.2 spaces/1000 </w:t>
      </w:r>
      <w:r w:rsidR="00671394">
        <w:rPr>
          <w:rFonts w:eastAsia="Calibri" w:cs="Times New Roman"/>
        </w:rPr>
        <w:t>square feet (“SF”)</w:t>
      </w:r>
      <w:r w:rsidRPr="00DD3301">
        <w:rPr>
          <w:rFonts w:eastAsia="Calibri" w:cs="Times New Roman"/>
        </w:rPr>
        <w:t xml:space="preserve"> and 2.9 spaces/1000 SF, respectively. Outpatient healthcare facilities require 4-5 spaces/1000 SF. Additionally, the Applicant considered 1 Heritage Drive, but that site was too small at just 36,000 SF to accommodate the Applicant</w:t>
      </w:r>
      <w:r w:rsidR="00FC1749">
        <w:rPr>
          <w:rFonts w:eastAsia="Calibri" w:cs="Times New Roman"/>
        </w:rPr>
        <w:t>’</w:t>
      </w:r>
      <w:r w:rsidRPr="00DD3301">
        <w:rPr>
          <w:rFonts w:eastAsia="Calibri" w:cs="Times New Roman"/>
        </w:rPr>
        <w:t>s clinical program. The Applicant also considered 1200 Crown Colony in South Quincy, but access to public transportation was a priority and this site is less accessible to public transportation with a 15-minute walk to the MBTA Red Line and the MBTA bus lines. The Proposed Project site is an 8-minute walk to the MBTA Red Line and a 5-minute walk to the MBTA bus lines.</w:t>
      </w:r>
      <w:r>
        <w:rPr>
          <w:rFonts w:eastAsia="Calibri" w:cs="Times New Roman"/>
        </w:rPr>
        <w:t xml:space="preserve"> </w:t>
      </w:r>
      <w:r w:rsidRPr="00DD3301">
        <w:rPr>
          <w:rFonts w:eastAsia="Calibri" w:cs="Times New Roman"/>
        </w:rPr>
        <w:t>Further, South Quincy demonstrates greater patient need for specialty services relative to North Quincy.</w:t>
      </w:r>
      <w:r>
        <w:rPr>
          <w:rFonts w:eastAsia="Calibri" w:cs="Times New Roman"/>
        </w:rPr>
        <w:t xml:space="preserve"> </w:t>
      </w:r>
      <w:r w:rsidRPr="00DD3301">
        <w:rPr>
          <w:rFonts w:eastAsia="Calibri" w:cs="Times New Roman"/>
        </w:rPr>
        <w:t xml:space="preserve">With a North Quincy alternative, fewer patients would benefit from expanded access to local services and poor patient access and dissatisfaction would remain high in South Quincy. </w:t>
      </w:r>
    </w:p>
    <w:p w14:paraId="47A03870" w14:textId="77777777" w:rsidR="00DD3301" w:rsidRPr="00DD3301" w:rsidRDefault="00DD3301" w:rsidP="00DD3301">
      <w:pPr>
        <w:spacing w:after="0" w:line="240" w:lineRule="auto"/>
        <w:rPr>
          <w:rFonts w:eastAsia="Calibri" w:cs="Times New Roman"/>
        </w:rPr>
      </w:pPr>
    </w:p>
    <w:p w14:paraId="511E394C" w14:textId="0633E428" w:rsidR="00DD3301" w:rsidRDefault="00DD3301" w:rsidP="00DD3301">
      <w:pPr>
        <w:tabs>
          <w:tab w:val="left" w:pos="720"/>
        </w:tabs>
        <w:spacing w:after="0" w:line="240" w:lineRule="auto"/>
        <w:ind w:left="720" w:hanging="720"/>
        <w:jc w:val="both"/>
        <w:rPr>
          <w:rFonts w:eastAsia="Calibri" w:cs="Times New Roman"/>
        </w:rPr>
      </w:pPr>
      <w:r>
        <w:rPr>
          <w:rFonts w:eastAsia="Calibri" w:cs="Times New Roman"/>
        </w:rPr>
        <w:tab/>
      </w:r>
      <w:r w:rsidRPr="2A8A7BAD">
        <w:rPr>
          <w:rFonts w:eastAsia="Calibri" w:cs="Times New Roman"/>
          <w:i/>
          <w:iCs/>
        </w:rPr>
        <w:t xml:space="preserve">Cordage Park </w:t>
      </w:r>
      <w:r w:rsidR="003E06AC" w:rsidRPr="2A8A7BAD">
        <w:rPr>
          <w:rFonts w:eastAsia="Calibri" w:cs="Times New Roman"/>
          <w:i/>
          <w:iCs/>
        </w:rPr>
        <w:t>Satellite</w:t>
      </w:r>
      <w:r w:rsidR="003E06AC">
        <w:rPr>
          <w:rFonts w:eastAsia="Calibri" w:cs="Times New Roman"/>
        </w:rPr>
        <w:t>: U</w:t>
      </w:r>
      <w:r w:rsidRPr="00DD3301">
        <w:rPr>
          <w:rFonts w:eastAsia="Calibri" w:cs="Times New Roman"/>
        </w:rPr>
        <w:t xml:space="preserve">nder this alternative, expansion of services on the main </w:t>
      </w:r>
      <w:r w:rsidR="00424F30">
        <w:rPr>
          <w:rFonts w:eastAsia="Calibri" w:cs="Times New Roman"/>
        </w:rPr>
        <w:t>BID Plymouth</w:t>
      </w:r>
      <w:r w:rsidRPr="00DD3301">
        <w:rPr>
          <w:rFonts w:eastAsia="Calibri" w:cs="Times New Roman"/>
        </w:rPr>
        <w:t xml:space="preserve"> campus would come at the expense of </w:t>
      </w:r>
      <w:r w:rsidR="00424F30">
        <w:rPr>
          <w:rFonts w:eastAsia="Calibri" w:cs="Times New Roman"/>
        </w:rPr>
        <w:t>BID Plymouth</w:t>
      </w:r>
      <w:r w:rsidRPr="00DD3301">
        <w:rPr>
          <w:rFonts w:eastAsia="Calibri" w:cs="Times New Roman"/>
        </w:rPr>
        <w:t xml:space="preserve"> being able to re-locate the</w:t>
      </w:r>
      <w:r w:rsidR="009E2214" w:rsidRPr="00DD3301">
        <w:rPr>
          <w:rFonts w:eastAsia="Calibri" w:cs="Times New Roman"/>
        </w:rPr>
        <w:t xml:space="preserve"> hematology-oncology and infusion clinics</w:t>
      </w:r>
      <w:r w:rsidRPr="00DD3301">
        <w:rPr>
          <w:rFonts w:eastAsia="Calibri" w:cs="Times New Roman"/>
        </w:rPr>
        <w:t xml:space="preserve"> to open on-campus space to allow for the much-needed expansion of the Emergency Department</w:t>
      </w:r>
      <w:r w:rsidR="00FE4BF6" w:rsidRPr="00DD3301">
        <w:rPr>
          <w:rFonts w:eastAsia="Calibri" w:cs="Times New Roman"/>
        </w:rPr>
        <w:t xml:space="preserve">. </w:t>
      </w:r>
      <w:r w:rsidRPr="00DD3301">
        <w:rPr>
          <w:rFonts w:eastAsia="Calibri" w:cs="Times New Roman"/>
        </w:rPr>
        <w:t xml:space="preserve">Utilization of the </w:t>
      </w:r>
      <w:r w:rsidR="00424F30">
        <w:rPr>
          <w:rFonts w:eastAsia="Calibri" w:cs="Times New Roman"/>
        </w:rPr>
        <w:t>BID Plymouth</w:t>
      </w:r>
      <w:r w:rsidRPr="00DD3301">
        <w:rPr>
          <w:rFonts w:eastAsia="Calibri" w:cs="Times New Roman"/>
        </w:rPr>
        <w:t xml:space="preserve"> campus grew 35% between FY15 and FY21. As such, under this alternative, access to and patient satisfaction with emergency care at </w:t>
      </w:r>
      <w:r w:rsidR="00424F30">
        <w:rPr>
          <w:rFonts w:eastAsia="Calibri" w:cs="Times New Roman"/>
        </w:rPr>
        <w:t>BID Plymouth</w:t>
      </w:r>
      <w:r w:rsidRPr="00DD3301">
        <w:rPr>
          <w:rFonts w:eastAsia="Calibri" w:cs="Times New Roman"/>
        </w:rPr>
        <w:t xml:space="preserve"> would continue to be a challenge. Additionally, in the alternative, the </w:t>
      </w:r>
      <w:r w:rsidR="009E2214" w:rsidRPr="00DD3301">
        <w:rPr>
          <w:rFonts w:eastAsia="Calibri" w:cs="Times New Roman"/>
        </w:rPr>
        <w:t xml:space="preserve">hematology-oncology and infusion clinics </w:t>
      </w:r>
      <w:r w:rsidRPr="00DD3301">
        <w:rPr>
          <w:rFonts w:eastAsia="Calibri" w:cs="Times New Roman"/>
        </w:rPr>
        <w:t xml:space="preserve">would not be licensed under and staffed by BIDMC and would, therefore, not have access to an expanded </w:t>
      </w:r>
      <w:r w:rsidR="009E2214">
        <w:rPr>
          <w:rFonts w:eastAsia="Calibri" w:cs="Times New Roman"/>
        </w:rPr>
        <w:t xml:space="preserve">offering of </w:t>
      </w:r>
      <w:r w:rsidRPr="00DD3301">
        <w:rPr>
          <w:rFonts w:eastAsia="Calibri" w:cs="Times New Roman"/>
        </w:rPr>
        <w:t>clinical trials. This would greatly reduce the program</w:t>
      </w:r>
      <w:r w:rsidR="00FC1749">
        <w:rPr>
          <w:rFonts w:eastAsia="Calibri" w:cs="Times New Roman"/>
        </w:rPr>
        <w:t>’</w:t>
      </w:r>
      <w:r w:rsidRPr="00DD3301">
        <w:rPr>
          <w:rFonts w:eastAsia="Calibri" w:cs="Times New Roman"/>
        </w:rPr>
        <w:t xml:space="preserve">s quality and ability to provide leading-edge cancer care for the local community in a cost-effective setting. </w:t>
      </w:r>
    </w:p>
    <w:p w14:paraId="13375E0C" w14:textId="77777777" w:rsidR="00DD3301" w:rsidRDefault="00DD3301" w:rsidP="00DD3301">
      <w:pPr>
        <w:tabs>
          <w:tab w:val="left" w:pos="720"/>
        </w:tabs>
        <w:spacing w:after="0" w:line="240" w:lineRule="auto"/>
        <w:ind w:left="720" w:hanging="720"/>
        <w:jc w:val="both"/>
        <w:rPr>
          <w:rFonts w:eastAsia="Calibri" w:cs="Times New Roman"/>
        </w:rPr>
      </w:pPr>
    </w:p>
    <w:p w14:paraId="0E2A353C" w14:textId="773207A6" w:rsidR="003E06AC" w:rsidRDefault="003E06AC" w:rsidP="00DD3301">
      <w:pPr>
        <w:tabs>
          <w:tab w:val="left" w:pos="720"/>
        </w:tabs>
        <w:spacing w:after="0" w:line="240" w:lineRule="auto"/>
        <w:ind w:left="720" w:hanging="720"/>
        <w:jc w:val="both"/>
        <w:rPr>
          <w:rFonts w:eastAsia="Calibri" w:cs="Times New Roman"/>
          <w:b/>
          <w:bCs/>
          <w:kern w:val="2"/>
        </w:rPr>
      </w:pPr>
      <w:r>
        <w:rPr>
          <w:rFonts w:eastAsia="Calibri" w:cs="Times New Roman"/>
          <w:b/>
          <w:bCs/>
          <w:kern w:val="2"/>
        </w:rPr>
        <w:tab/>
      </w:r>
      <w:r w:rsidR="00DD3301" w:rsidRPr="00DD3301">
        <w:rPr>
          <w:rFonts w:eastAsia="Calibri" w:cs="Times New Roman"/>
          <w:b/>
          <w:bCs/>
          <w:kern w:val="2"/>
        </w:rPr>
        <w:t xml:space="preserve">Alternative Efficiency: </w:t>
      </w:r>
    </w:p>
    <w:p w14:paraId="7EF897E9" w14:textId="21E8B344" w:rsidR="003E06AC" w:rsidRDefault="003E06AC" w:rsidP="00DD3301">
      <w:pPr>
        <w:tabs>
          <w:tab w:val="left" w:pos="720"/>
        </w:tabs>
        <w:spacing w:after="0" w:line="240" w:lineRule="auto"/>
        <w:ind w:left="720" w:hanging="720"/>
        <w:jc w:val="both"/>
        <w:rPr>
          <w:rFonts w:eastAsia="Calibri" w:cs="Times New Roman"/>
          <w:b/>
          <w:bCs/>
          <w:kern w:val="2"/>
        </w:rPr>
      </w:pPr>
      <w:r>
        <w:rPr>
          <w:rFonts w:eastAsia="Calibri" w:cs="Times New Roman"/>
          <w:b/>
          <w:bCs/>
          <w:kern w:val="2"/>
        </w:rPr>
        <w:tab/>
      </w:r>
      <w:r>
        <w:rPr>
          <w:rFonts w:eastAsia="Calibri" w:cs="Times New Roman"/>
          <w:b/>
          <w:bCs/>
          <w:kern w:val="2"/>
        </w:rPr>
        <w:tab/>
      </w:r>
    </w:p>
    <w:p w14:paraId="66839BC4" w14:textId="4A250C3A" w:rsidR="00DD3301" w:rsidRDefault="003E06AC" w:rsidP="00DD3301">
      <w:pPr>
        <w:tabs>
          <w:tab w:val="left" w:pos="720"/>
        </w:tabs>
        <w:spacing w:after="0" w:line="240" w:lineRule="auto"/>
        <w:ind w:left="720" w:hanging="720"/>
        <w:jc w:val="both"/>
        <w:rPr>
          <w:rFonts w:eastAsia="Calibri" w:cs="Times New Roman"/>
        </w:rPr>
      </w:pPr>
      <w:r>
        <w:rPr>
          <w:rFonts w:eastAsia="Calibri" w:cs="Times New Roman"/>
        </w:rPr>
        <w:tab/>
      </w:r>
      <w:r w:rsidRPr="00DD3301">
        <w:rPr>
          <w:rFonts w:eastAsia="Calibri" w:cs="Times New Roman"/>
          <w:i/>
          <w:iCs/>
        </w:rPr>
        <w:t xml:space="preserve">Quincy </w:t>
      </w:r>
      <w:r w:rsidRPr="003E06AC">
        <w:rPr>
          <w:rFonts w:eastAsia="Calibri" w:cs="Times New Roman"/>
          <w:i/>
          <w:iCs/>
        </w:rPr>
        <w:t>Satellite</w:t>
      </w:r>
      <w:r>
        <w:rPr>
          <w:rFonts w:eastAsia="Calibri" w:cs="Times New Roman"/>
        </w:rPr>
        <w:t>:</w:t>
      </w:r>
      <w:r w:rsidRPr="00DD3301">
        <w:rPr>
          <w:rFonts w:eastAsia="Calibri" w:cs="Times New Roman"/>
        </w:rPr>
        <w:t xml:space="preserve"> </w:t>
      </w:r>
      <w:r>
        <w:rPr>
          <w:rFonts w:eastAsia="Calibri" w:cs="Times New Roman"/>
        </w:rPr>
        <w:t>A</w:t>
      </w:r>
      <w:r w:rsidR="00DD3301" w:rsidRPr="00DD3301">
        <w:rPr>
          <w:rFonts w:eastAsia="Calibri" w:cs="Times New Roman"/>
        </w:rPr>
        <w:t xml:space="preserve">ssuming the same facility size and service mix, under this alternative, efficiency would be hampered as the same number of patients would not be served because North Quincy does not have the same need for services as does South Quincy. Additionally, the alternative does not provide the opportunity for </w:t>
      </w:r>
      <w:r>
        <w:rPr>
          <w:rFonts w:eastAsia="Calibri" w:cs="Times New Roman"/>
        </w:rPr>
        <w:t>the Applicant</w:t>
      </w:r>
      <w:r w:rsidR="00DD3301" w:rsidRPr="00DD3301">
        <w:rPr>
          <w:rFonts w:eastAsia="Calibri" w:cs="Times New Roman"/>
        </w:rPr>
        <w:t xml:space="preserve"> to consolidate its Quincy Square services into the new </w:t>
      </w:r>
      <w:r>
        <w:rPr>
          <w:rFonts w:eastAsia="Calibri" w:cs="Times New Roman"/>
        </w:rPr>
        <w:t>facility</w:t>
      </w:r>
      <w:r w:rsidR="00DD3301" w:rsidRPr="00DD3301">
        <w:rPr>
          <w:rFonts w:eastAsia="Calibri" w:cs="Times New Roman"/>
        </w:rPr>
        <w:t>, resulting in duplicative overhead expenses from operating two separate sites</w:t>
      </w:r>
      <w:r w:rsidR="00DF4501">
        <w:rPr>
          <w:rFonts w:eastAsia="Calibri" w:cs="Times New Roman"/>
        </w:rPr>
        <w:t xml:space="preserve"> in Quincy.</w:t>
      </w:r>
    </w:p>
    <w:p w14:paraId="09CCDD9A" w14:textId="77777777" w:rsidR="00DD3301" w:rsidRDefault="00DD3301" w:rsidP="00DD3301">
      <w:pPr>
        <w:tabs>
          <w:tab w:val="left" w:pos="720"/>
        </w:tabs>
        <w:spacing w:after="0" w:line="240" w:lineRule="auto"/>
        <w:ind w:left="720" w:hanging="720"/>
        <w:jc w:val="both"/>
        <w:rPr>
          <w:rFonts w:eastAsia="Calibri" w:cs="Times New Roman"/>
        </w:rPr>
      </w:pPr>
    </w:p>
    <w:p w14:paraId="4E421DF1" w14:textId="5D814AAB" w:rsidR="00DD3301" w:rsidRPr="00DD3301" w:rsidRDefault="00DD3301" w:rsidP="00DD3301">
      <w:pPr>
        <w:tabs>
          <w:tab w:val="left" w:pos="720"/>
        </w:tabs>
        <w:spacing w:after="0" w:line="240" w:lineRule="auto"/>
        <w:ind w:left="720" w:hanging="720"/>
        <w:jc w:val="both"/>
        <w:rPr>
          <w:rFonts w:eastAsia="Calibri" w:cs="Times New Roman"/>
        </w:rPr>
      </w:pPr>
      <w:r>
        <w:rPr>
          <w:rFonts w:eastAsia="Calibri" w:cs="Times New Roman"/>
        </w:rPr>
        <w:tab/>
      </w:r>
      <w:r w:rsidR="003E06AC" w:rsidRPr="2A8A7BAD">
        <w:rPr>
          <w:rFonts w:eastAsia="Calibri" w:cs="Times New Roman"/>
          <w:i/>
          <w:iCs/>
        </w:rPr>
        <w:t>Cordage Park Satellite</w:t>
      </w:r>
      <w:r w:rsidR="003E06AC">
        <w:rPr>
          <w:rFonts w:eastAsia="Calibri" w:cs="Times New Roman"/>
        </w:rPr>
        <w:t>:</w:t>
      </w:r>
      <w:r w:rsidRPr="00DD3301">
        <w:rPr>
          <w:rFonts w:eastAsia="Calibri" w:cs="Times New Roman"/>
        </w:rPr>
        <w:t xml:space="preserve"> </w:t>
      </w:r>
      <w:r w:rsidR="003E06AC">
        <w:rPr>
          <w:rFonts w:eastAsia="Calibri" w:cs="Times New Roman"/>
        </w:rPr>
        <w:t>I</w:t>
      </w:r>
      <w:r w:rsidRPr="00DD3301">
        <w:rPr>
          <w:rFonts w:eastAsia="Calibri" w:cs="Times New Roman"/>
        </w:rPr>
        <w:t xml:space="preserve">n the alternative, </w:t>
      </w:r>
      <w:r w:rsidR="003E06AC">
        <w:rPr>
          <w:rFonts w:eastAsia="Times New Roman" w:cs="Times New Roman"/>
          <w:color w:val="000000" w:themeColor="text1"/>
        </w:rPr>
        <w:t>the Applicant considered</w:t>
      </w:r>
      <w:r w:rsidRPr="00DD3301">
        <w:rPr>
          <w:rFonts w:eastAsia="Times New Roman" w:cs="Times New Roman"/>
          <w:color w:val="000000" w:themeColor="text1"/>
        </w:rPr>
        <w:t xml:space="preserve"> mov</w:t>
      </w:r>
      <w:r w:rsidR="003E06AC">
        <w:rPr>
          <w:rFonts w:eastAsia="Times New Roman" w:cs="Times New Roman"/>
          <w:color w:val="000000" w:themeColor="text1"/>
        </w:rPr>
        <w:t>ing</w:t>
      </w:r>
      <w:r w:rsidRPr="00DD3301">
        <w:rPr>
          <w:rFonts w:eastAsia="Times New Roman" w:cs="Times New Roman"/>
          <w:color w:val="000000" w:themeColor="text1"/>
        </w:rPr>
        <w:t xml:space="preserve"> the same services into the same size footprint within a larger on-campus </w:t>
      </w:r>
      <w:r w:rsidR="00B47591">
        <w:rPr>
          <w:rFonts w:eastAsia="Times New Roman" w:cs="Times New Roman"/>
          <w:color w:val="000000" w:themeColor="text1"/>
        </w:rPr>
        <w:t>MOB</w:t>
      </w:r>
      <w:r w:rsidRPr="00DD3301">
        <w:rPr>
          <w:rFonts w:eastAsia="Times New Roman" w:cs="Times New Roman"/>
          <w:color w:val="000000" w:themeColor="text1"/>
        </w:rPr>
        <w:t xml:space="preserve">. </w:t>
      </w:r>
      <w:r w:rsidR="64EBF09E" w:rsidRPr="00DD3301">
        <w:rPr>
          <w:rFonts w:eastAsia="Times New Roman" w:cs="Times New Roman"/>
          <w:color w:val="000000" w:themeColor="text1"/>
        </w:rPr>
        <w:t>However, the</w:t>
      </w:r>
      <w:r w:rsidRPr="00DD3301">
        <w:rPr>
          <w:rFonts w:eastAsia="Times New Roman" w:cs="Times New Roman"/>
          <w:color w:val="000000" w:themeColor="text1"/>
        </w:rPr>
        <w:t xml:space="preserve"> planning for the alternative </w:t>
      </w:r>
      <w:r w:rsidR="003E06AC">
        <w:rPr>
          <w:rFonts w:eastAsia="Times New Roman" w:cs="Times New Roman"/>
          <w:color w:val="000000" w:themeColor="text1"/>
        </w:rPr>
        <w:t xml:space="preserve">option </w:t>
      </w:r>
      <w:r w:rsidRPr="00DD3301">
        <w:rPr>
          <w:rFonts w:eastAsia="Times New Roman" w:cs="Times New Roman"/>
          <w:color w:val="000000" w:themeColor="text1"/>
        </w:rPr>
        <w:t>would have had a much longer runway</w:t>
      </w:r>
      <w:r w:rsidR="00C51972">
        <w:rPr>
          <w:rFonts w:eastAsia="Times New Roman" w:cs="Times New Roman"/>
          <w:color w:val="000000" w:themeColor="text1"/>
        </w:rPr>
        <w:t>, extending at least an additional twelve months,</w:t>
      </w:r>
      <w:r w:rsidR="003E06AC">
        <w:rPr>
          <w:rFonts w:eastAsia="Times New Roman" w:cs="Times New Roman"/>
          <w:color w:val="000000" w:themeColor="text1"/>
        </w:rPr>
        <w:t xml:space="preserve"> and</w:t>
      </w:r>
      <w:r w:rsidRPr="00DD3301">
        <w:rPr>
          <w:rFonts w:eastAsia="Times New Roman" w:cs="Times New Roman"/>
          <w:color w:val="000000" w:themeColor="text1"/>
        </w:rPr>
        <w:t xml:space="preserve"> </w:t>
      </w:r>
      <w:r w:rsidR="003E06AC">
        <w:rPr>
          <w:rFonts w:eastAsia="Times New Roman" w:cs="Times New Roman"/>
          <w:color w:val="000000" w:themeColor="text1"/>
        </w:rPr>
        <w:t>would have</w:t>
      </w:r>
      <w:r w:rsidRPr="00DD3301">
        <w:rPr>
          <w:rFonts w:eastAsia="Times New Roman" w:cs="Times New Roman"/>
          <w:color w:val="000000" w:themeColor="text1"/>
        </w:rPr>
        <w:t xml:space="preserve"> push</w:t>
      </w:r>
      <w:r w:rsidR="003E06AC">
        <w:rPr>
          <w:rFonts w:eastAsia="Times New Roman" w:cs="Times New Roman"/>
          <w:color w:val="000000" w:themeColor="text1"/>
        </w:rPr>
        <w:t>ed</w:t>
      </w:r>
      <w:r w:rsidRPr="00DD3301">
        <w:rPr>
          <w:rFonts w:eastAsia="Times New Roman" w:cs="Times New Roman"/>
          <w:color w:val="000000" w:themeColor="text1"/>
        </w:rPr>
        <w:t xml:space="preserve"> out the timeline of the </w:t>
      </w:r>
      <w:r w:rsidR="5E3E413B">
        <w:rPr>
          <w:rFonts w:eastAsia="Times New Roman" w:cs="Times New Roman"/>
          <w:color w:val="000000" w:themeColor="text1"/>
        </w:rPr>
        <w:t>E</w:t>
      </w:r>
      <w:r w:rsidR="003E06AC">
        <w:rPr>
          <w:rFonts w:eastAsia="Times New Roman" w:cs="Times New Roman"/>
          <w:color w:val="000000" w:themeColor="text1"/>
        </w:rPr>
        <w:t xml:space="preserve">mergency </w:t>
      </w:r>
      <w:r w:rsidR="131FB8E2">
        <w:rPr>
          <w:rFonts w:eastAsia="Times New Roman" w:cs="Times New Roman"/>
          <w:color w:val="000000" w:themeColor="text1"/>
        </w:rPr>
        <w:t>D</w:t>
      </w:r>
      <w:r w:rsidR="003E06AC">
        <w:rPr>
          <w:rFonts w:eastAsia="Times New Roman" w:cs="Times New Roman"/>
          <w:color w:val="000000" w:themeColor="text1"/>
        </w:rPr>
        <w:t>epartment</w:t>
      </w:r>
      <w:r w:rsidRPr="00DD3301">
        <w:rPr>
          <w:rFonts w:eastAsia="Times New Roman" w:cs="Times New Roman"/>
          <w:color w:val="000000" w:themeColor="text1"/>
        </w:rPr>
        <w:t xml:space="preserve"> expansion, as well as the </w:t>
      </w:r>
      <w:r w:rsidR="009E2214" w:rsidRPr="00DD3301">
        <w:rPr>
          <w:rFonts w:eastAsia="Times New Roman" w:cs="Times New Roman"/>
          <w:color w:val="000000" w:themeColor="text1"/>
        </w:rPr>
        <w:t xml:space="preserve">hematology-oncology and infusion clinics </w:t>
      </w:r>
      <w:r w:rsidRPr="00DD3301">
        <w:rPr>
          <w:rFonts w:eastAsia="Times New Roman" w:cs="Times New Roman"/>
          <w:color w:val="000000" w:themeColor="text1"/>
        </w:rPr>
        <w:t xml:space="preserve">expansions resulting in many more years of delivery of inefficient and insufficient </w:t>
      </w:r>
      <w:r w:rsidR="003E06AC" w:rsidRPr="00DD3301">
        <w:rPr>
          <w:rFonts w:eastAsia="Times New Roman" w:cs="Times New Roman"/>
          <w:color w:val="000000" w:themeColor="text1"/>
        </w:rPr>
        <w:t>emergency</w:t>
      </w:r>
      <w:r w:rsidRPr="00DD3301">
        <w:rPr>
          <w:rFonts w:eastAsia="Times New Roman" w:cs="Times New Roman"/>
          <w:color w:val="000000" w:themeColor="text1"/>
        </w:rPr>
        <w:t xml:space="preserve"> services, and hematology-oncology and infusion services for cancer patients.</w:t>
      </w:r>
      <w:r w:rsidR="00DF4501">
        <w:rPr>
          <w:rFonts w:eastAsia="Times New Roman" w:cs="Times New Roman"/>
          <w:color w:val="000000" w:themeColor="text1"/>
        </w:rPr>
        <w:t xml:space="preserve"> Lastly, constructing an on</w:t>
      </w:r>
      <w:r w:rsidR="00B47591">
        <w:rPr>
          <w:rFonts w:eastAsia="Times New Roman" w:cs="Times New Roman"/>
          <w:color w:val="000000" w:themeColor="text1"/>
        </w:rPr>
        <w:t>-</w:t>
      </w:r>
      <w:r w:rsidR="00DF4501">
        <w:rPr>
          <w:rFonts w:eastAsia="Times New Roman" w:cs="Times New Roman"/>
          <w:color w:val="000000" w:themeColor="text1"/>
        </w:rPr>
        <w:t>campus MOB</w:t>
      </w:r>
      <w:r w:rsidR="00B47591">
        <w:rPr>
          <w:rFonts w:eastAsia="Times New Roman" w:cs="Times New Roman"/>
          <w:color w:val="000000" w:themeColor="text1"/>
        </w:rPr>
        <w:t xml:space="preserve"> would be more costly than renovating an existing facility, because under the Proposed Project, this cost has been expended to finance the core and shell. </w:t>
      </w:r>
    </w:p>
    <w:p w14:paraId="26627CAC" w14:textId="77777777" w:rsidR="00DD3301" w:rsidRPr="00DD3301" w:rsidRDefault="00DD3301" w:rsidP="00DD3301">
      <w:pPr>
        <w:tabs>
          <w:tab w:val="left" w:pos="1440"/>
        </w:tabs>
        <w:autoSpaceDE w:val="0"/>
        <w:autoSpaceDN w:val="0"/>
        <w:adjustRightInd w:val="0"/>
        <w:spacing w:after="0" w:line="240" w:lineRule="auto"/>
        <w:jc w:val="both"/>
        <w:rPr>
          <w:rFonts w:eastAsia="Calibri" w:cs="Times New Roman"/>
          <w:b/>
          <w:kern w:val="2"/>
        </w:rPr>
      </w:pPr>
    </w:p>
    <w:p w14:paraId="05D7F9DD" w14:textId="77777777" w:rsidR="003E06AC" w:rsidRDefault="00DD3301" w:rsidP="003E06AC">
      <w:pPr>
        <w:tabs>
          <w:tab w:val="left" w:pos="720"/>
        </w:tabs>
        <w:autoSpaceDE w:val="0"/>
        <w:autoSpaceDN w:val="0"/>
        <w:adjustRightInd w:val="0"/>
        <w:spacing w:after="0" w:line="240" w:lineRule="auto"/>
        <w:ind w:left="720" w:hanging="720"/>
        <w:jc w:val="both"/>
        <w:rPr>
          <w:rFonts w:eastAsia="Calibri" w:cs="Times New Roman"/>
          <w:kern w:val="2"/>
        </w:rPr>
      </w:pPr>
      <w:r w:rsidRPr="00DD3301">
        <w:rPr>
          <w:rFonts w:eastAsia="Calibri" w:cs="Times New Roman"/>
          <w:b/>
          <w:kern w:val="2"/>
        </w:rPr>
        <w:tab/>
      </w:r>
      <w:r w:rsidRPr="00DD3301">
        <w:rPr>
          <w:rFonts w:eastAsia="Calibri" w:cs="Times New Roman"/>
          <w:b/>
          <w:bCs/>
          <w:kern w:val="2"/>
        </w:rPr>
        <w:t>Alternative Capital Expenses:</w:t>
      </w:r>
      <w:r w:rsidRPr="00DD3301">
        <w:rPr>
          <w:rFonts w:eastAsia="Calibri" w:cs="Times New Roman"/>
          <w:kern w:val="2"/>
        </w:rPr>
        <w:t xml:space="preserve">  </w:t>
      </w:r>
    </w:p>
    <w:p w14:paraId="18A3F3DC" w14:textId="77777777" w:rsidR="003E06AC" w:rsidRDefault="003E06AC" w:rsidP="003E06AC">
      <w:pPr>
        <w:tabs>
          <w:tab w:val="left" w:pos="720"/>
        </w:tabs>
        <w:autoSpaceDE w:val="0"/>
        <w:autoSpaceDN w:val="0"/>
        <w:adjustRightInd w:val="0"/>
        <w:spacing w:after="0" w:line="240" w:lineRule="auto"/>
        <w:ind w:left="720" w:hanging="720"/>
        <w:jc w:val="both"/>
        <w:rPr>
          <w:rFonts w:eastAsia="Calibri" w:cs="Times New Roman"/>
          <w:kern w:val="2"/>
        </w:rPr>
      </w:pPr>
    </w:p>
    <w:p w14:paraId="2F4561CC" w14:textId="22A8BE17" w:rsidR="003E06AC" w:rsidRDefault="003E06AC" w:rsidP="003E06AC">
      <w:pPr>
        <w:tabs>
          <w:tab w:val="left" w:pos="720"/>
        </w:tabs>
        <w:autoSpaceDE w:val="0"/>
        <w:autoSpaceDN w:val="0"/>
        <w:adjustRightInd w:val="0"/>
        <w:spacing w:after="0" w:line="240" w:lineRule="auto"/>
        <w:ind w:left="720" w:hanging="720"/>
        <w:jc w:val="both"/>
        <w:rPr>
          <w:rFonts w:eastAsia="Calibri" w:cs="Times New Roman"/>
          <w:kern w:val="2"/>
        </w:rPr>
      </w:pPr>
      <w:r>
        <w:rPr>
          <w:rFonts w:eastAsia="Calibri" w:cs="Times New Roman"/>
          <w:kern w:val="2"/>
        </w:rPr>
        <w:tab/>
      </w:r>
      <w:r w:rsidRPr="00DD3301">
        <w:rPr>
          <w:rFonts w:eastAsia="Calibri" w:cs="Times New Roman"/>
          <w:i/>
          <w:iCs/>
        </w:rPr>
        <w:t xml:space="preserve">Quincy </w:t>
      </w:r>
      <w:r w:rsidRPr="003E06AC">
        <w:rPr>
          <w:rFonts w:eastAsia="Calibri" w:cs="Times New Roman"/>
          <w:i/>
          <w:iCs/>
        </w:rPr>
        <w:t>Satellite</w:t>
      </w:r>
      <w:r>
        <w:rPr>
          <w:rFonts w:eastAsia="Calibri" w:cs="Times New Roman"/>
        </w:rPr>
        <w:t xml:space="preserve">: </w:t>
      </w:r>
      <w:r w:rsidR="00DD3301" w:rsidRPr="00DD3301">
        <w:rPr>
          <w:rFonts w:eastAsia="Calibri" w:cs="Times New Roman"/>
        </w:rPr>
        <w:t xml:space="preserve">Under this alternative, for the Quincy </w:t>
      </w:r>
      <w:r>
        <w:rPr>
          <w:rFonts w:eastAsia="Calibri" w:cs="Times New Roman"/>
        </w:rPr>
        <w:t>Satellite</w:t>
      </w:r>
      <w:r w:rsidR="00DD3301" w:rsidRPr="00DD3301">
        <w:rPr>
          <w:rFonts w:eastAsia="Calibri" w:cs="Times New Roman"/>
        </w:rPr>
        <w:t xml:space="preserve">, assuming the same size facility and service mix, the capital expense would be significantly higher as the Proposed Project is </w:t>
      </w:r>
      <w:r w:rsidR="00DD3301" w:rsidRPr="00DD3301">
        <w:rPr>
          <w:rFonts w:eastAsia="Calibri" w:cs="Times New Roman"/>
        </w:rPr>
        <w:lastRenderedPageBreak/>
        <w:t>benefiting from the City of Quincy financing the built out of the adjacent parking garage to the Applicant</w:t>
      </w:r>
      <w:r w:rsidR="00FC1749">
        <w:rPr>
          <w:rFonts w:eastAsia="Calibri" w:cs="Times New Roman"/>
        </w:rPr>
        <w:t>’</w:t>
      </w:r>
      <w:r w:rsidR="00DD3301" w:rsidRPr="00DD3301">
        <w:rPr>
          <w:rFonts w:eastAsia="Calibri" w:cs="Times New Roman"/>
        </w:rPr>
        <w:t>s specifications, whereas the alternative requires expansion of existing parking facilities to meet the Applicant</w:t>
      </w:r>
      <w:r w:rsidR="00FC1749">
        <w:rPr>
          <w:rFonts w:eastAsia="Calibri" w:cs="Times New Roman"/>
        </w:rPr>
        <w:t>’</w:t>
      </w:r>
      <w:r w:rsidR="00DD3301" w:rsidRPr="00DD3301">
        <w:rPr>
          <w:rFonts w:eastAsia="Calibri" w:cs="Times New Roman"/>
        </w:rPr>
        <w:t xml:space="preserve">s specifications. </w:t>
      </w:r>
    </w:p>
    <w:p w14:paraId="20A7672F" w14:textId="77777777" w:rsidR="003E06AC" w:rsidRDefault="003E06AC" w:rsidP="003E06AC">
      <w:pPr>
        <w:tabs>
          <w:tab w:val="left" w:pos="720"/>
        </w:tabs>
        <w:autoSpaceDE w:val="0"/>
        <w:autoSpaceDN w:val="0"/>
        <w:adjustRightInd w:val="0"/>
        <w:spacing w:after="0" w:line="240" w:lineRule="auto"/>
        <w:ind w:left="720" w:hanging="720"/>
        <w:jc w:val="both"/>
        <w:rPr>
          <w:rFonts w:eastAsia="Calibri" w:cs="Times New Roman"/>
        </w:rPr>
      </w:pPr>
    </w:p>
    <w:p w14:paraId="340917C9" w14:textId="5CF55AAF" w:rsidR="00DD3301" w:rsidRPr="00DD3301" w:rsidRDefault="003E06AC" w:rsidP="003E06AC">
      <w:pPr>
        <w:tabs>
          <w:tab w:val="left" w:pos="720"/>
        </w:tabs>
        <w:autoSpaceDE w:val="0"/>
        <w:autoSpaceDN w:val="0"/>
        <w:adjustRightInd w:val="0"/>
        <w:spacing w:after="0" w:line="240" w:lineRule="auto"/>
        <w:ind w:left="720" w:hanging="720"/>
        <w:jc w:val="both"/>
        <w:rPr>
          <w:rFonts w:eastAsia="Calibri" w:cs="Times New Roman"/>
          <w:kern w:val="2"/>
        </w:rPr>
      </w:pPr>
      <w:r>
        <w:rPr>
          <w:rFonts w:eastAsia="Calibri" w:cs="Times New Roman"/>
        </w:rPr>
        <w:tab/>
      </w:r>
      <w:r w:rsidRPr="2A8A7BAD">
        <w:rPr>
          <w:rFonts w:eastAsia="Calibri" w:cs="Times New Roman"/>
          <w:i/>
          <w:iCs/>
        </w:rPr>
        <w:t>Cordage Park Satellite</w:t>
      </w:r>
      <w:r>
        <w:rPr>
          <w:rFonts w:eastAsia="Calibri" w:cs="Times New Roman"/>
        </w:rPr>
        <w:t xml:space="preserve">: </w:t>
      </w:r>
      <w:r w:rsidR="00DD3301" w:rsidRPr="00DD3301">
        <w:rPr>
          <w:rFonts w:eastAsia="Calibri" w:cs="Times New Roman"/>
        </w:rPr>
        <w:t xml:space="preserve">Under this alternative, for the Cordage Park </w:t>
      </w:r>
      <w:r>
        <w:rPr>
          <w:rFonts w:eastAsia="Calibri" w:cs="Times New Roman"/>
        </w:rPr>
        <w:t>Satellite</w:t>
      </w:r>
      <w:r w:rsidR="00DD3301" w:rsidRPr="00DD3301">
        <w:rPr>
          <w:rFonts w:eastAsia="Calibri" w:cs="Times New Roman"/>
        </w:rPr>
        <w:t xml:space="preserve">, the capital expense would be </w:t>
      </w:r>
      <w:r w:rsidR="00C51972">
        <w:rPr>
          <w:rFonts w:eastAsia="Calibri" w:cs="Times New Roman"/>
        </w:rPr>
        <w:t xml:space="preserve">approximately 30% to 40%  </w:t>
      </w:r>
      <w:r w:rsidR="00DD3301" w:rsidRPr="00DD3301">
        <w:rPr>
          <w:rFonts w:eastAsia="Calibri" w:cs="Times New Roman"/>
        </w:rPr>
        <w:t xml:space="preserve">higher due to having to construct an entirely new facility with core, shell and </w:t>
      </w:r>
      <w:r w:rsidRPr="00DD3301">
        <w:rPr>
          <w:rFonts w:eastAsia="Calibri" w:cs="Times New Roman"/>
        </w:rPr>
        <w:t>fit out</w:t>
      </w:r>
      <w:r w:rsidR="00DD3301" w:rsidRPr="00DD3301">
        <w:rPr>
          <w:rFonts w:eastAsia="Calibri" w:cs="Times New Roman"/>
        </w:rPr>
        <w:t xml:space="preserve">, as opposed to the Proposed Project which will only require capital for </w:t>
      </w:r>
      <w:r w:rsidRPr="00DD3301">
        <w:rPr>
          <w:rFonts w:eastAsia="Calibri" w:cs="Times New Roman"/>
        </w:rPr>
        <w:t>fit out</w:t>
      </w:r>
      <w:r w:rsidR="00DD3301" w:rsidRPr="00DD3301">
        <w:rPr>
          <w:rFonts w:eastAsia="Calibri" w:cs="Times New Roman"/>
        </w:rPr>
        <w:t xml:space="preserve">. </w:t>
      </w:r>
    </w:p>
    <w:p w14:paraId="5BE2470B" w14:textId="77777777" w:rsidR="00DD3301" w:rsidRPr="00DD3301" w:rsidRDefault="00DD3301" w:rsidP="00DD3301">
      <w:pPr>
        <w:tabs>
          <w:tab w:val="left" w:pos="1440"/>
        </w:tabs>
        <w:autoSpaceDE w:val="0"/>
        <w:autoSpaceDN w:val="0"/>
        <w:adjustRightInd w:val="0"/>
        <w:spacing w:after="0" w:line="240" w:lineRule="auto"/>
        <w:jc w:val="both"/>
        <w:rPr>
          <w:rFonts w:eastAsia="Calibri" w:cs="Times New Roman"/>
          <w:b/>
          <w:kern w:val="2"/>
        </w:rPr>
      </w:pPr>
    </w:p>
    <w:p w14:paraId="12CC66B6" w14:textId="14F91670" w:rsidR="00DD3301" w:rsidRPr="00DD3301" w:rsidRDefault="00DD3301" w:rsidP="00DD3301">
      <w:pPr>
        <w:autoSpaceDE w:val="0"/>
        <w:autoSpaceDN w:val="0"/>
        <w:adjustRightInd w:val="0"/>
        <w:spacing w:after="0" w:line="240" w:lineRule="auto"/>
        <w:ind w:left="720" w:hanging="720"/>
        <w:jc w:val="both"/>
        <w:rPr>
          <w:rFonts w:eastAsia="Calibri" w:cs="Times New Roman"/>
          <w:kern w:val="2"/>
        </w:rPr>
      </w:pPr>
      <w:r w:rsidRPr="00DD3301">
        <w:rPr>
          <w:rFonts w:eastAsia="Calibri" w:cs="Times New Roman"/>
          <w:b/>
          <w:bCs/>
          <w:kern w:val="2"/>
        </w:rPr>
        <w:t>Alternative Operating Costs:</w:t>
      </w:r>
    </w:p>
    <w:p w14:paraId="23A5E7B7" w14:textId="77777777" w:rsidR="003E06AC" w:rsidRDefault="003E06AC" w:rsidP="003E06AC">
      <w:pPr>
        <w:autoSpaceDE w:val="0"/>
        <w:autoSpaceDN w:val="0"/>
        <w:adjustRightInd w:val="0"/>
        <w:spacing w:after="0" w:line="240" w:lineRule="auto"/>
        <w:jc w:val="both"/>
        <w:rPr>
          <w:rFonts w:eastAsia="Calibri" w:cs="Times New Roman"/>
          <w:i/>
          <w:iCs/>
        </w:rPr>
      </w:pPr>
    </w:p>
    <w:p w14:paraId="468D154E" w14:textId="2DC63388" w:rsidR="00DD3301" w:rsidRPr="00DD3301" w:rsidRDefault="003E06AC" w:rsidP="003E06AC">
      <w:pPr>
        <w:autoSpaceDE w:val="0"/>
        <w:autoSpaceDN w:val="0"/>
        <w:adjustRightInd w:val="0"/>
        <w:spacing w:after="0" w:line="240" w:lineRule="auto"/>
        <w:jc w:val="both"/>
        <w:rPr>
          <w:rFonts w:eastAsia="Calibri" w:cs="Times New Roman"/>
          <w:kern w:val="2"/>
        </w:rPr>
      </w:pPr>
      <w:r w:rsidRPr="2A8A7BAD">
        <w:rPr>
          <w:rFonts w:eastAsia="Calibri" w:cs="Times New Roman"/>
          <w:i/>
          <w:iCs/>
        </w:rPr>
        <w:t>Quincy Satellite</w:t>
      </w:r>
      <w:r w:rsidRPr="2A8A7BAD">
        <w:rPr>
          <w:rFonts w:eastAsia="Calibri" w:cs="Times New Roman"/>
        </w:rPr>
        <w:t xml:space="preserve">: </w:t>
      </w:r>
      <w:r w:rsidR="00DD3301" w:rsidRPr="2A8A7BAD">
        <w:rPr>
          <w:rFonts w:eastAsia="Calibri" w:cs="Times New Roman"/>
        </w:rPr>
        <w:t xml:space="preserve">Under this alternative, for the Quincy </w:t>
      </w:r>
      <w:r w:rsidRPr="2A8A7BAD">
        <w:rPr>
          <w:rFonts w:eastAsia="Calibri" w:cs="Times New Roman"/>
        </w:rPr>
        <w:t>Satellite</w:t>
      </w:r>
      <w:r w:rsidR="00DD3301" w:rsidRPr="2A8A7BAD">
        <w:rPr>
          <w:rFonts w:eastAsia="Calibri" w:cs="Times New Roman"/>
        </w:rPr>
        <w:t xml:space="preserve">, assuming the same size facility and service mix, the operating expense would be higher as </w:t>
      </w:r>
      <w:r w:rsidRPr="2A8A7BAD">
        <w:rPr>
          <w:rFonts w:eastAsia="Calibri" w:cs="Times New Roman"/>
        </w:rPr>
        <w:t>the Applicant</w:t>
      </w:r>
      <w:r w:rsidR="00DD3301" w:rsidRPr="2A8A7BAD">
        <w:rPr>
          <w:rFonts w:eastAsia="Calibri" w:cs="Times New Roman"/>
        </w:rPr>
        <w:t xml:space="preserve"> would continue to operate its Quincy Square site in addition to the new facility. </w:t>
      </w:r>
    </w:p>
    <w:p w14:paraId="2D772C3A" w14:textId="77777777" w:rsidR="00DD3301" w:rsidRPr="00DD3301" w:rsidRDefault="00DD3301" w:rsidP="00DD3301">
      <w:pPr>
        <w:spacing w:after="0" w:line="240" w:lineRule="auto"/>
        <w:ind w:left="720" w:hanging="720"/>
        <w:jc w:val="both"/>
        <w:rPr>
          <w:rFonts w:eastAsia="Calibri" w:cs="Times New Roman"/>
        </w:rPr>
      </w:pPr>
    </w:p>
    <w:p w14:paraId="4FE86D35" w14:textId="0266E01E" w:rsidR="00315EFF" w:rsidRDefault="003E06AC" w:rsidP="00DD3301">
      <w:pPr>
        <w:spacing w:after="0" w:line="240" w:lineRule="auto"/>
        <w:rPr>
          <w:rFonts w:eastAsia="Times New Roman" w:cs="Times New Roman"/>
          <w:sz w:val="24"/>
          <w:szCs w:val="24"/>
          <w:lang w:eastAsia="zh-CN"/>
        </w:rPr>
      </w:pPr>
      <w:r w:rsidRPr="2A8A7BAD">
        <w:rPr>
          <w:rFonts w:eastAsia="Calibri" w:cs="Times New Roman"/>
          <w:i/>
          <w:iCs/>
        </w:rPr>
        <w:t>Cordage Park Satellite</w:t>
      </w:r>
      <w:r w:rsidRPr="2A8A7BAD">
        <w:rPr>
          <w:rFonts w:eastAsia="Calibri" w:cs="Times New Roman"/>
        </w:rPr>
        <w:t>: Under</w:t>
      </w:r>
      <w:r w:rsidR="00DD3301" w:rsidRPr="2A8A7BAD">
        <w:rPr>
          <w:rFonts w:eastAsia="Calibri" w:cs="Times New Roman"/>
        </w:rPr>
        <w:t xml:space="preserve"> this alternative, for the Cordage Park </w:t>
      </w:r>
      <w:r w:rsidRPr="2A8A7BAD">
        <w:rPr>
          <w:rFonts w:eastAsia="Calibri" w:cs="Times New Roman"/>
        </w:rPr>
        <w:t>Satellite</w:t>
      </w:r>
      <w:r w:rsidR="00DD3301" w:rsidRPr="2A8A7BAD">
        <w:rPr>
          <w:rFonts w:eastAsia="Calibri" w:cs="Times New Roman"/>
        </w:rPr>
        <w:t xml:space="preserve">, assuming the same size facility and service mix, the operating expense would be higher as the facility would remain under the </w:t>
      </w:r>
      <w:r w:rsidR="00424F30">
        <w:rPr>
          <w:rFonts w:eastAsia="Calibri" w:cs="Times New Roman"/>
        </w:rPr>
        <w:t>BID Plymouth</w:t>
      </w:r>
      <w:r w:rsidR="00DD3301" w:rsidRPr="2A8A7BAD">
        <w:rPr>
          <w:rFonts w:eastAsia="Calibri" w:cs="Times New Roman"/>
        </w:rPr>
        <w:t xml:space="preserve"> Hospital license and would not benefit from reduced pharmaceutical pricing.</w:t>
      </w:r>
      <w:r w:rsidR="00DD3301" w:rsidRPr="2A8A7BAD">
        <w:rPr>
          <w:rFonts w:eastAsia="Times New Roman" w:cs="Times New Roman"/>
          <w:sz w:val="24"/>
          <w:szCs w:val="24"/>
          <w:lang w:eastAsia="zh-CN"/>
        </w:rPr>
        <w:t xml:space="preserve"> </w:t>
      </w:r>
    </w:p>
    <w:p w14:paraId="2E7D20DA" w14:textId="77777777" w:rsidR="00315EFF" w:rsidRDefault="00315EFF">
      <w:pPr>
        <w:spacing w:line="259" w:lineRule="auto"/>
        <w:rPr>
          <w:rFonts w:eastAsia="Times New Roman" w:cs="Times New Roman"/>
          <w:sz w:val="24"/>
          <w:szCs w:val="24"/>
          <w:lang w:eastAsia="zh-CN"/>
        </w:rPr>
      </w:pPr>
      <w:r>
        <w:rPr>
          <w:rFonts w:eastAsia="Times New Roman" w:cs="Times New Roman"/>
          <w:sz w:val="24"/>
          <w:szCs w:val="24"/>
          <w:lang w:eastAsia="zh-CN"/>
        </w:rPr>
        <w:br w:type="page"/>
      </w:r>
    </w:p>
    <w:p w14:paraId="261956E2" w14:textId="207694F0" w:rsidR="00DD3301" w:rsidRPr="00165B30" w:rsidRDefault="00DD3301" w:rsidP="00DD3301">
      <w:pPr>
        <w:spacing w:after="0" w:line="240" w:lineRule="auto"/>
        <w:rPr>
          <w:rFonts w:eastAsia="Times New Roman" w:cs="Times New Roman"/>
          <w:b/>
          <w:bCs/>
          <w:sz w:val="24"/>
          <w:szCs w:val="24"/>
          <w:lang w:eastAsia="zh-CN"/>
        </w:rPr>
      </w:pPr>
    </w:p>
    <w:p w14:paraId="5323CDFF" w14:textId="0CD6EC2B" w:rsidR="005041E7" w:rsidRPr="00BB670B" w:rsidRDefault="005041E7" w:rsidP="00BB670B">
      <w:pPr>
        <w:autoSpaceDE w:val="0"/>
        <w:autoSpaceDN w:val="0"/>
        <w:adjustRightInd w:val="0"/>
        <w:spacing w:after="0" w:line="240" w:lineRule="auto"/>
        <w:ind w:left="720" w:hanging="720"/>
        <w:rPr>
          <w:rFonts w:cs="Times New Roman"/>
          <w:kern w:val="2"/>
        </w:rPr>
      </w:pPr>
      <w:r w:rsidRPr="005041E7">
        <w:rPr>
          <w:rFonts w:cs="Times New Roman"/>
          <w:b/>
          <w:bCs/>
          <w:kern w:val="2"/>
          <w:u w:val="single"/>
        </w:rPr>
        <w:t>Factor 6</w:t>
      </w:r>
      <w:r w:rsidR="00BB670B">
        <w:rPr>
          <w:rFonts w:cs="Times New Roman"/>
          <w:b/>
          <w:bCs/>
          <w:kern w:val="2"/>
          <w:u w:val="single"/>
        </w:rPr>
        <w:t>.1</w:t>
      </w:r>
      <w:r w:rsidR="00BB670B" w:rsidRPr="00BB670B">
        <w:rPr>
          <w:rFonts w:cs="Times New Roman"/>
          <w:b/>
          <w:bCs/>
          <w:kern w:val="2"/>
        </w:rPr>
        <w:tab/>
      </w:r>
      <w:r w:rsidR="00BB670B" w:rsidRPr="00BB670B">
        <w:rPr>
          <w:rFonts w:cs="Times New Roman"/>
          <w:kern w:val="2"/>
        </w:rPr>
        <w:t xml:space="preserve"> </w:t>
      </w:r>
      <w:r w:rsidRPr="00BB670B">
        <w:rPr>
          <w:rFonts w:cs="Times New Roman"/>
        </w:rPr>
        <w:t xml:space="preserve">Community-based Health Initiative </w:t>
      </w:r>
      <w:r w:rsidR="00300410" w:rsidRPr="00BB670B">
        <w:rPr>
          <w:rFonts w:cs="Times New Roman"/>
        </w:rPr>
        <w:t>Narrative</w:t>
      </w:r>
    </w:p>
    <w:p w14:paraId="1FA29338" w14:textId="77777777" w:rsidR="005041E7" w:rsidRPr="005041E7" w:rsidRDefault="005041E7" w:rsidP="005041E7">
      <w:pPr>
        <w:spacing w:after="0"/>
        <w:rPr>
          <w:rFonts w:cs="Times New Roman"/>
        </w:rPr>
      </w:pPr>
    </w:p>
    <w:p w14:paraId="3AF68E2E" w14:textId="77777777" w:rsidR="005041E7" w:rsidRPr="005041E7" w:rsidRDefault="005041E7" w:rsidP="005041E7">
      <w:pPr>
        <w:spacing w:after="0"/>
        <w:rPr>
          <w:rFonts w:cs="Times New Roman"/>
        </w:rPr>
      </w:pPr>
      <w:r w:rsidRPr="005041E7">
        <w:rPr>
          <w:rFonts w:cs="Times New Roman"/>
        </w:rPr>
        <w:t>The breakdown of Community-based Health Initiative (“CHI”) dollars for the Proposed Project is as follows:</w:t>
      </w:r>
    </w:p>
    <w:p w14:paraId="1FB95574" w14:textId="77777777" w:rsidR="005041E7" w:rsidRPr="005041E7" w:rsidRDefault="005041E7" w:rsidP="005041E7">
      <w:pPr>
        <w:spacing w:after="0"/>
        <w:rPr>
          <w:rFonts w:cs="Times New Roman"/>
        </w:rPr>
      </w:pPr>
    </w:p>
    <w:tbl>
      <w:tblPr>
        <w:tblStyle w:val="TableGrid"/>
        <w:tblW w:w="0" w:type="auto"/>
        <w:tblLook w:val="04A0" w:firstRow="1" w:lastRow="0" w:firstColumn="1" w:lastColumn="0" w:noHBand="0" w:noVBand="1"/>
      </w:tblPr>
      <w:tblGrid>
        <w:gridCol w:w="4675"/>
        <w:gridCol w:w="4675"/>
      </w:tblGrid>
      <w:tr w:rsidR="005041E7" w:rsidRPr="005041E7" w14:paraId="32A4CCCA" w14:textId="77777777" w:rsidTr="002E4D14">
        <w:trPr>
          <w:cantSplit/>
        </w:trPr>
        <w:tc>
          <w:tcPr>
            <w:tcW w:w="4675" w:type="dxa"/>
          </w:tcPr>
          <w:p w14:paraId="240FF558" w14:textId="5AC50BFE" w:rsidR="005041E7" w:rsidRPr="005041E7" w:rsidRDefault="005041E7" w:rsidP="00AD0837">
            <w:pPr>
              <w:rPr>
                <w:rFonts w:cs="Times New Roman"/>
              </w:rPr>
            </w:pPr>
            <w:r w:rsidRPr="005041E7">
              <w:rPr>
                <w:rFonts w:cs="Times New Roman"/>
              </w:rPr>
              <w:t>Maximum Capital Expenditure (</w:t>
            </w:r>
            <w:r w:rsidR="00BB670B">
              <w:rPr>
                <w:rFonts w:cs="Times New Roman"/>
              </w:rPr>
              <w:t>“</w:t>
            </w:r>
            <w:r w:rsidRPr="005041E7">
              <w:rPr>
                <w:rFonts w:cs="Times New Roman"/>
              </w:rPr>
              <w:t>MCE</w:t>
            </w:r>
            <w:r w:rsidR="00BB670B">
              <w:rPr>
                <w:rFonts w:cs="Times New Roman"/>
              </w:rPr>
              <w:t>”</w:t>
            </w:r>
            <w:r w:rsidRPr="005041E7">
              <w:rPr>
                <w:rFonts w:cs="Times New Roman"/>
              </w:rPr>
              <w:t>):</w:t>
            </w:r>
          </w:p>
        </w:tc>
        <w:tc>
          <w:tcPr>
            <w:tcW w:w="4675" w:type="dxa"/>
          </w:tcPr>
          <w:p w14:paraId="1343FF46" w14:textId="77777777" w:rsidR="005041E7" w:rsidRPr="005041E7" w:rsidRDefault="005041E7" w:rsidP="00AD0837">
            <w:pPr>
              <w:rPr>
                <w:rFonts w:cs="Times New Roman"/>
              </w:rPr>
            </w:pPr>
            <w:r w:rsidRPr="005041E7">
              <w:rPr>
                <w:rFonts w:cs="Times New Roman"/>
              </w:rPr>
              <w:t>$117,006,070.00</w:t>
            </w:r>
          </w:p>
        </w:tc>
      </w:tr>
      <w:tr w:rsidR="005041E7" w:rsidRPr="005041E7" w14:paraId="67D8DC04" w14:textId="77777777" w:rsidTr="002E4D14">
        <w:trPr>
          <w:cantSplit/>
        </w:trPr>
        <w:tc>
          <w:tcPr>
            <w:tcW w:w="4675" w:type="dxa"/>
          </w:tcPr>
          <w:p w14:paraId="7751293C" w14:textId="77777777" w:rsidR="005041E7" w:rsidRPr="005041E7" w:rsidRDefault="005041E7" w:rsidP="00AD0837">
            <w:pPr>
              <w:rPr>
                <w:rFonts w:cs="Times New Roman"/>
              </w:rPr>
            </w:pPr>
            <w:r w:rsidRPr="005041E7">
              <w:rPr>
                <w:rFonts w:cs="Times New Roman"/>
              </w:rPr>
              <w:t>CHI (5% of MCE):</w:t>
            </w:r>
          </w:p>
        </w:tc>
        <w:tc>
          <w:tcPr>
            <w:tcW w:w="4675" w:type="dxa"/>
          </w:tcPr>
          <w:p w14:paraId="7FA7EA6A" w14:textId="77777777" w:rsidR="005041E7" w:rsidRPr="005041E7" w:rsidRDefault="005041E7" w:rsidP="00AD0837">
            <w:pPr>
              <w:rPr>
                <w:rFonts w:cs="Times New Roman"/>
              </w:rPr>
            </w:pPr>
            <w:r w:rsidRPr="005041E7">
              <w:rPr>
                <w:rFonts w:cs="Times New Roman"/>
              </w:rPr>
              <w:t>$5,850,303.50</w:t>
            </w:r>
          </w:p>
        </w:tc>
      </w:tr>
      <w:tr w:rsidR="005041E7" w:rsidRPr="005041E7" w14:paraId="49CBF586" w14:textId="77777777" w:rsidTr="002E4D14">
        <w:trPr>
          <w:cantSplit/>
        </w:trPr>
        <w:tc>
          <w:tcPr>
            <w:tcW w:w="4675" w:type="dxa"/>
          </w:tcPr>
          <w:p w14:paraId="057D7ADF" w14:textId="77777777" w:rsidR="005041E7" w:rsidRPr="005041E7" w:rsidRDefault="005041E7" w:rsidP="00AD0837">
            <w:pPr>
              <w:rPr>
                <w:rFonts w:cs="Times New Roman"/>
              </w:rPr>
            </w:pPr>
            <w:r w:rsidRPr="005041E7">
              <w:rPr>
                <w:rFonts w:cs="Times New Roman"/>
              </w:rPr>
              <w:t>CHI (80% BIDM and 20% BIDP):</w:t>
            </w:r>
          </w:p>
        </w:tc>
        <w:tc>
          <w:tcPr>
            <w:tcW w:w="4675" w:type="dxa"/>
          </w:tcPr>
          <w:p w14:paraId="39DF6254" w14:textId="77777777" w:rsidR="005041E7" w:rsidRPr="005041E7" w:rsidRDefault="005041E7" w:rsidP="00AD0837">
            <w:pPr>
              <w:rPr>
                <w:rFonts w:cs="Times New Roman"/>
              </w:rPr>
            </w:pPr>
            <w:r w:rsidRPr="005041E7">
              <w:rPr>
                <w:rFonts w:cs="Times New Roman"/>
              </w:rPr>
              <w:t>$4,680,242.80 (BIDM) and $1,170,060.70 (BIDP)</w:t>
            </w:r>
          </w:p>
        </w:tc>
      </w:tr>
      <w:tr w:rsidR="005041E7" w:rsidRPr="005041E7" w14:paraId="67626F02" w14:textId="77777777" w:rsidTr="002E4D14">
        <w:trPr>
          <w:cantSplit/>
        </w:trPr>
        <w:tc>
          <w:tcPr>
            <w:tcW w:w="4675" w:type="dxa"/>
          </w:tcPr>
          <w:p w14:paraId="3096FAAF" w14:textId="77777777" w:rsidR="005041E7" w:rsidRPr="005041E7" w:rsidRDefault="005041E7" w:rsidP="00AD0837">
            <w:pPr>
              <w:rPr>
                <w:rFonts w:cs="Times New Roman"/>
              </w:rPr>
            </w:pPr>
            <w:r w:rsidRPr="005041E7">
              <w:rPr>
                <w:rFonts w:cs="Times New Roman"/>
              </w:rPr>
              <w:t>CHI Administrative Fee (3%):</w:t>
            </w:r>
          </w:p>
        </w:tc>
        <w:tc>
          <w:tcPr>
            <w:tcW w:w="4675" w:type="dxa"/>
          </w:tcPr>
          <w:p w14:paraId="2B1BDFB8" w14:textId="77777777" w:rsidR="005041E7" w:rsidRPr="005041E7" w:rsidRDefault="005041E7" w:rsidP="00AD0837">
            <w:pPr>
              <w:rPr>
                <w:rFonts w:cs="Times New Roman"/>
              </w:rPr>
            </w:pPr>
            <w:r w:rsidRPr="005041E7">
              <w:rPr>
                <w:rFonts w:cs="Times New Roman"/>
              </w:rPr>
              <w:t>$175,509.10</w:t>
            </w:r>
          </w:p>
        </w:tc>
      </w:tr>
      <w:tr w:rsidR="005041E7" w:rsidRPr="005041E7" w14:paraId="65E85031" w14:textId="77777777" w:rsidTr="002E4D14">
        <w:trPr>
          <w:cantSplit/>
        </w:trPr>
        <w:tc>
          <w:tcPr>
            <w:tcW w:w="4675" w:type="dxa"/>
          </w:tcPr>
          <w:p w14:paraId="46497F69" w14:textId="77777777" w:rsidR="005041E7" w:rsidRPr="005041E7" w:rsidRDefault="005041E7" w:rsidP="00AD0837">
            <w:pPr>
              <w:rPr>
                <w:rFonts w:cs="Times New Roman"/>
              </w:rPr>
            </w:pPr>
            <w:r w:rsidRPr="005041E7">
              <w:rPr>
                <w:rFonts w:cs="Times New Roman"/>
              </w:rPr>
              <w:t>Evaluation (10% of CHI):</w:t>
            </w:r>
          </w:p>
        </w:tc>
        <w:tc>
          <w:tcPr>
            <w:tcW w:w="4675" w:type="dxa"/>
          </w:tcPr>
          <w:p w14:paraId="0CA9B743" w14:textId="77777777" w:rsidR="005041E7" w:rsidRPr="005041E7" w:rsidRDefault="005041E7" w:rsidP="00AD0837">
            <w:pPr>
              <w:rPr>
                <w:rFonts w:cs="Times New Roman"/>
              </w:rPr>
            </w:pPr>
            <w:r w:rsidRPr="005041E7">
              <w:rPr>
                <w:rFonts w:cs="Times New Roman"/>
              </w:rPr>
              <w:t>$585,030.35</w:t>
            </w:r>
          </w:p>
        </w:tc>
      </w:tr>
      <w:tr w:rsidR="005041E7" w:rsidRPr="005041E7" w14:paraId="655E5EF1" w14:textId="77777777" w:rsidTr="002E4D14">
        <w:trPr>
          <w:cantSplit/>
        </w:trPr>
        <w:tc>
          <w:tcPr>
            <w:tcW w:w="4675" w:type="dxa"/>
          </w:tcPr>
          <w:p w14:paraId="1C595340" w14:textId="77777777" w:rsidR="005041E7" w:rsidRPr="005041E7" w:rsidRDefault="005041E7" w:rsidP="00AD0837">
            <w:pPr>
              <w:rPr>
                <w:rFonts w:cs="Times New Roman"/>
              </w:rPr>
            </w:pPr>
            <w:r w:rsidRPr="005041E7">
              <w:rPr>
                <w:rFonts w:cs="Times New Roman"/>
                <w:b/>
                <w:bCs/>
              </w:rPr>
              <w:t>Subtotal (13% of CHI):</w:t>
            </w:r>
          </w:p>
        </w:tc>
        <w:tc>
          <w:tcPr>
            <w:tcW w:w="4675" w:type="dxa"/>
          </w:tcPr>
          <w:p w14:paraId="29DB83DC" w14:textId="77777777" w:rsidR="005041E7" w:rsidRPr="005041E7" w:rsidRDefault="005041E7" w:rsidP="00AD0837">
            <w:pPr>
              <w:rPr>
                <w:rFonts w:cs="Times New Roman"/>
              </w:rPr>
            </w:pPr>
            <w:r w:rsidRPr="005041E7">
              <w:rPr>
                <w:rFonts w:cs="Times New Roman"/>
              </w:rPr>
              <w:t>$760,539.46</w:t>
            </w:r>
          </w:p>
        </w:tc>
      </w:tr>
    </w:tbl>
    <w:p w14:paraId="706D4373" w14:textId="77777777" w:rsidR="005041E7" w:rsidRPr="005041E7" w:rsidRDefault="005041E7" w:rsidP="005041E7">
      <w:pPr>
        <w:spacing w:after="0"/>
        <w:rPr>
          <w:rFonts w:cs="Times New Roman"/>
        </w:rPr>
      </w:pPr>
    </w:p>
    <w:p w14:paraId="2AC1954E" w14:textId="77777777" w:rsidR="005041E7" w:rsidRPr="005041E7" w:rsidRDefault="005041E7" w:rsidP="005041E7">
      <w:pPr>
        <w:spacing w:after="0"/>
        <w:rPr>
          <w:rFonts w:cs="Times New Roman"/>
          <w:b/>
          <w:bCs/>
        </w:rPr>
      </w:pPr>
      <w:r w:rsidRPr="005041E7">
        <w:rPr>
          <w:rFonts w:cs="Times New Roman"/>
          <w:b/>
          <w:bCs/>
        </w:rPr>
        <w:t>Overview of Community Health Needs Assessment and CHI Process</w:t>
      </w:r>
    </w:p>
    <w:p w14:paraId="5F8994FF" w14:textId="77777777" w:rsidR="005041E7" w:rsidRPr="005041E7" w:rsidRDefault="005041E7" w:rsidP="005041E7">
      <w:pPr>
        <w:spacing w:after="0"/>
        <w:rPr>
          <w:rFonts w:cs="Times New Roman"/>
        </w:rPr>
      </w:pPr>
    </w:p>
    <w:p w14:paraId="3C25D54D" w14:textId="77777777" w:rsidR="005041E7" w:rsidRPr="005041E7" w:rsidRDefault="005041E7" w:rsidP="005041E7">
      <w:pPr>
        <w:spacing w:after="0"/>
        <w:rPr>
          <w:rFonts w:cs="Times New Roman"/>
        </w:rPr>
      </w:pPr>
      <w:r w:rsidRPr="005041E7">
        <w:rPr>
          <w:rFonts w:cs="Times New Roman"/>
        </w:rPr>
        <w:t xml:space="preserve">The CHI for the project will be led by Beth Israel Deaconess Medical Center (“BIDMC”). In April 2024, BIDMC met with the Massachusetts Department of Public Health (the “Department”) to discuss the timing of the Fiscal Year 2025 (“FY 25”) Community Health Needs Assessment (“CHNA”) and the CHI. The Department agreed that BIDMC, would delegate the CHI to the municipalities impacted by the capital expenditure. These municipalities are within the Community Benefits Service Areas of Beth Israel Deaconess Milton (“BIDM”) and Beth Israel Deaconess Plymouth (“BIDP”). As such, BIDM and BIDP will use the FY 25 CHNA as a means to CHI engagement, priority selection, and CHI investment. </w:t>
      </w:r>
    </w:p>
    <w:p w14:paraId="1274BC93" w14:textId="77777777" w:rsidR="005041E7" w:rsidRPr="005041E7" w:rsidRDefault="005041E7" w:rsidP="005041E7">
      <w:pPr>
        <w:spacing w:after="0"/>
        <w:rPr>
          <w:rFonts w:cs="Times New Roman"/>
        </w:rPr>
      </w:pPr>
    </w:p>
    <w:p w14:paraId="2372FF76" w14:textId="77777777" w:rsidR="005041E7" w:rsidRPr="005041E7" w:rsidRDefault="005041E7" w:rsidP="005041E7">
      <w:pPr>
        <w:spacing w:after="0"/>
        <w:rPr>
          <w:rFonts w:cs="Times New Roman"/>
        </w:rPr>
      </w:pPr>
      <w:r w:rsidRPr="005041E7">
        <w:rPr>
          <w:rFonts w:cs="Times New Roman"/>
        </w:rPr>
        <w:t xml:space="preserve">BIDM and BIDP will work with their respective Community Benefits Advisory Committees (“CBACs”) to ensure robust and meaningful engagement that builds on learning from the FY 22 CHNA and fills gaps to lift historically underrepresented voices in similar processes, with the aim of community capacity building throughout the project. </w:t>
      </w:r>
    </w:p>
    <w:p w14:paraId="0DBF2437" w14:textId="77777777" w:rsidR="005041E7" w:rsidRPr="005041E7" w:rsidRDefault="005041E7" w:rsidP="005041E7">
      <w:pPr>
        <w:spacing w:after="0"/>
        <w:rPr>
          <w:rFonts w:cs="Times New Roman"/>
        </w:rPr>
      </w:pPr>
    </w:p>
    <w:p w14:paraId="78DD1D5B" w14:textId="77777777" w:rsidR="005041E7" w:rsidRPr="005041E7" w:rsidRDefault="005041E7" w:rsidP="005041E7">
      <w:pPr>
        <w:spacing w:after="0"/>
        <w:rPr>
          <w:rFonts w:cs="Times New Roman"/>
        </w:rPr>
      </w:pPr>
      <w:r w:rsidRPr="005041E7">
        <w:rPr>
          <w:rFonts w:cs="Times New Roman"/>
        </w:rPr>
        <w:t xml:space="preserve">The total CHI will be split between BIDM (80%) and BIDP (20%). </w:t>
      </w:r>
    </w:p>
    <w:p w14:paraId="55BC21EB" w14:textId="77777777" w:rsidR="005041E7" w:rsidRPr="005041E7" w:rsidRDefault="005041E7" w:rsidP="005041E7">
      <w:pPr>
        <w:spacing w:after="0"/>
        <w:rPr>
          <w:rFonts w:cs="Times New Roman"/>
        </w:rPr>
      </w:pPr>
    </w:p>
    <w:p w14:paraId="2D6E29EF" w14:textId="77777777" w:rsidR="005041E7" w:rsidRPr="005041E7" w:rsidRDefault="005041E7" w:rsidP="005041E7">
      <w:pPr>
        <w:spacing w:after="0"/>
        <w:rPr>
          <w:rFonts w:cs="Times New Roman"/>
        </w:rPr>
      </w:pPr>
      <w:r w:rsidRPr="005041E7">
        <w:rPr>
          <w:rFonts w:cs="Times New Roman"/>
        </w:rPr>
        <w:t xml:space="preserve">While BIDM and BIDP anticipate that health needs from the FY 25 assessment may be similar to findings from the FY 22 assessment, there are opportunities to have deeper engagement with specific cohorts and geographies throughout each hospital’s Community Benefits Service Area (“CBSA”), which are described in the Community Engagement Plan Narrative. </w:t>
      </w:r>
    </w:p>
    <w:p w14:paraId="764B8F6F" w14:textId="77777777" w:rsidR="005041E7" w:rsidRPr="005041E7" w:rsidRDefault="005041E7" w:rsidP="005041E7">
      <w:pPr>
        <w:spacing w:after="0"/>
        <w:rPr>
          <w:rFonts w:cs="Times New Roman"/>
        </w:rPr>
      </w:pPr>
    </w:p>
    <w:p w14:paraId="4BCA9ED1" w14:textId="77777777" w:rsidR="005041E7" w:rsidRPr="005041E7" w:rsidRDefault="005041E7" w:rsidP="005041E7">
      <w:pPr>
        <w:spacing w:after="0"/>
        <w:rPr>
          <w:rFonts w:cs="Times New Roman"/>
        </w:rPr>
      </w:pPr>
      <w:r w:rsidRPr="005041E7">
        <w:rPr>
          <w:rFonts w:cs="Times New Roman"/>
        </w:rPr>
        <w:t xml:space="preserve">BIDM and BIDP will collaborate with other Beth Israel Lahey Health (“BILH”) hospitals, coalitions, and organizations within their service areas, as described in the Community Engagement Plan Narrative. </w:t>
      </w:r>
    </w:p>
    <w:p w14:paraId="373B9DC1" w14:textId="77777777" w:rsidR="005041E7" w:rsidRPr="005041E7" w:rsidRDefault="005041E7" w:rsidP="005041E7">
      <w:pPr>
        <w:spacing w:after="0"/>
        <w:rPr>
          <w:rFonts w:cs="Times New Roman"/>
        </w:rPr>
      </w:pPr>
    </w:p>
    <w:p w14:paraId="051FC930" w14:textId="77777777" w:rsidR="005041E7" w:rsidRPr="005041E7" w:rsidRDefault="005041E7" w:rsidP="005041E7">
      <w:pPr>
        <w:spacing w:after="0"/>
        <w:rPr>
          <w:rFonts w:cs="Times New Roman"/>
          <w:b/>
          <w:bCs/>
        </w:rPr>
      </w:pPr>
      <w:r w:rsidRPr="005041E7">
        <w:rPr>
          <w:rFonts w:cs="Times New Roman"/>
          <w:b/>
          <w:bCs/>
        </w:rPr>
        <w:t>Oversight of the CHI Process</w:t>
      </w:r>
    </w:p>
    <w:p w14:paraId="2F75E246" w14:textId="77777777" w:rsidR="005041E7" w:rsidRPr="005041E7" w:rsidRDefault="005041E7" w:rsidP="005041E7">
      <w:pPr>
        <w:spacing w:after="0"/>
        <w:rPr>
          <w:rFonts w:cs="Times New Roman"/>
        </w:rPr>
      </w:pPr>
    </w:p>
    <w:p w14:paraId="587654DF" w14:textId="77777777" w:rsidR="005041E7" w:rsidRPr="005041E7" w:rsidRDefault="005041E7" w:rsidP="005041E7">
      <w:pPr>
        <w:spacing w:after="0"/>
        <w:rPr>
          <w:rFonts w:cs="Times New Roman"/>
        </w:rPr>
      </w:pPr>
      <w:r w:rsidRPr="005041E7">
        <w:rPr>
          <w:rFonts w:cs="Times New Roman"/>
        </w:rPr>
        <w:t xml:space="preserve">BIDM and BIDP will collaborate with their CBACs to ensure robust and meaningful community engagement through the CHNA and CHI process. CBAC membership includes community residents, leaders of key staff from community-based organizations, hospital leadership, </w:t>
      </w:r>
    </w:p>
    <w:p w14:paraId="4EA2C6C1" w14:textId="77777777" w:rsidR="005041E7" w:rsidRPr="005041E7" w:rsidRDefault="005041E7" w:rsidP="005041E7">
      <w:pPr>
        <w:spacing w:after="0"/>
        <w:rPr>
          <w:rFonts w:cs="Times New Roman"/>
        </w:rPr>
      </w:pPr>
      <w:r w:rsidRPr="005041E7">
        <w:rPr>
          <w:rFonts w:cs="Times New Roman"/>
        </w:rPr>
        <w:t xml:space="preserve">Community Benefits, and other hospital staff, and sectoral representatives as recommended in CHI guidelines. CBACs will drive the CHI process and CHNA process. </w:t>
      </w:r>
    </w:p>
    <w:p w14:paraId="55AFA87D" w14:textId="77777777" w:rsidR="005041E7" w:rsidRPr="005041E7" w:rsidRDefault="005041E7" w:rsidP="005041E7">
      <w:pPr>
        <w:spacing w:after="0"/>
        <w:rPr>
          <w:rFonts w:cs="Times New Roman"/>
        </w:rPr>
      </w:pPr>
    </w:p>
    <w:p w14:paraId="4EDF9D19" w14:textId="77777777" w:rsidR="005041E7" w:rsidRPr="005041E7" w:rsidRDefault="005041E7" w:rsidP="005041E7">
      <w:pPr>
        <w:spacing w:after="0"/>
        <w:rPr>
          <w:rFonts w:cs="Times New Roman"/>
          <w:b/>
          <w:bCs/>
        </w:rPr>
      </w:pPr>
      <w:r w:rsidRPr="005041E7">
        <w:rPr>
          <w:rFonts w:cs="Times New Roman"/>
          <w:b/>
          <w:bCs/>
        </w:rPr>
        <w:t>CBAC Responsibilities</w:t>
      </w:r>
    </w:p>
    <w:p w14:paraId="739AB22D" w14:textId="77777777" w:rsidR="005041E7" w:rsidRPr="005041E7" w:rsidRDefault="005041E7" w:rsidP="005041E7">
      <w:pPr>
        <w:spacing w:after="0"/>
        <w:rPr>
          <w:rFonts w:cs="Times New Roman"/>
          <w:b/>
          <w:bCs/>
        </w:rPr>
      </w:pPr>
    </w:p>
    <w:p w14:paraId="10B27059" w14:textId="77777777" w:rsidR="005041E7" w:rsidRPr="005041E7" w:rsidRDefault="005041E7" w:rsidP="005041E7">
      <w:pPr>
        <w:spacing w:after="0"/>
        <w:rPr>
          <w:rFonts w:cs="Times New Roman"/>
        </w:rPr>
      </w:pPr>
      <w:r w:rsidRPr="005041E7">
        <w:rPr>
          <w:rFonts w:cs="Times New Roman"/>
        </w:rPr>
        <w:t>The CBAC’s responsibilities include:</w:t>
      </w:r>
    </w:p>
    <w:p w14:paraId="288CAD85" w14:textId="77777777" w:rsidR="005041E7" w:rsidRPr="005041E7" w:rsidRDefault="005041E7" w:rsidP="005041E7">
      <w:pPr>
        <w:pStyle w:val="ListParagraph"/>
        <w:numPr>
          <w:ilvl w:val="0"/>
          <w:numId w:val="23"/>
        </w:numPr>
        <w:spacing w:after="0"/>
        <w:rPr>
          <w:rFonts w:cs="Times New Roman"/>
        </w:rPr>
      </w:pPr>
      <w:r w:rsidRPr="005041E7">
        <w:rPr>
          <w:rFonts w:cs="Times New Roman"/>
        </w:rPr>
        <w:t>Providing input on the CHNA, IS and Mission Statement</w:t>
      </w:r>
    </w:p>
    <w:p w14:paraId="37E9A115" w14:textId="77777777" w:rsidR="005041E7" w:rsidRPr="005041E7" w:rsidRDefault="005041E7" w:rsidP="005041E7">
      <w:pPr>
        <w:pStyle w:val="ListParagraph"/>
        <w:numPr>
          <w:ilvl w:val="0"/>
          <w:numId w:val="23"/>
        </w:numPr>
        <w:spacing w:after="0"/>
        <w:rPr>
          <w:rFonts w:cs="Times New Roman"/>
        </w:rPr>
      </w:pPr>
      <w:r w:rsidRPr="005041E7">
        <w:rPr>
          <w:rFonts w:cs="Times New Roman"/>
        </w:rPr>
        <w:t>Coordinating CHNA efforts with local and regional community health efforts</w:t>
      </w:r>
    </w:p>
    <w:p w14:paraId="18D56D56" w14:textId="77777777" w:rsidR="005041E7" w:rsidRPr="005041E7" w:rsidRDefault="005041E7" w:rsidP="005041E7">
      <w:pPr>
        <w:pStyle w:val="ListParagraph"/>
        <w:numPr>
          <w:ilvl w:val="0"/>
          <w:numId w:val="23"/>
        </w:numPr>
        <w:spacing w:after="0"/>
        <w:rPr>
          <w:rFonts w:cs="Times New Roman"/>
        </w:rPr>
      </w:pPr>
      <w:r w:rsidRPr="005041E7">
        <w:rPr>
          <w:rFonts w:cs="Times New Roman"/>
        </w:rPr>
        <w:t xml:space="preserve">Assisting in fulfilling Massachusetts Department of Public Health Determination of Need requirements (“DoN”) and guiding CHI activities, community investments, including providing input on evaluation and grantee progress, and their impacts on upstream root causes. </w:t>
      </w:r>
    </w:p>
    <w:p w14:paraId="4ED03364" w14:textId="77777777" w:rsidR="005041E7" w:rsidRPr="005041E7" w:rsidRDefault="005041E7" w:rsidP="005041E7">
      <w:pPr>
        <w:pStyle w:val="ListParagraph"/>
        <w:numPr>
          <w:ilvl w:val="0"/>
          <w:numId w:val="23"/>
        </w:numPr>
        <w:spacing w:after="0"/>
        <w:rPr>
          <w:rFonts w:cs="Times New Roman"/>
        </w:rPr>
      </w:pPr>
      <w:r w:rsidRPr="005041E7">
        <w:rPr>
          <w:rFonts w:cs="Times New Roman"/>
        </w:rPr>
        <w:t>Promoting and enhancing community engagement throughout the CBSAs, including but not limited to the Annual Community Benefits Public Meeting, CHI activities, and all other current and future DoN initiates.</w:t>
      </w:r>
    </w:p>
    <w:p w14:paraId="2450512E" w14:textId="77777777" w:rsidR="005041E7" w:rsidRPr="005041E7" w:rsidRDefault="005041E7" w:rsidP="005041E7">
      <w:pPr>
        <w:pStyle w:val="ListParagraph"/>
        <w:numPr>
          <w:ilvl w:val="0"/>
          <w:numId w:val="23"/>
        </w:numPr>
        <w:spacing w:after="0"/>
        <w:rPr>
          <w:rFonts w:cs="Times New Roman"/>
        </w:rPr>
      </w:pPr>
      <w:r w:rsidRPr="005041E7">
        <w:rPr>
          <w:rFonts w:cs="Times New Roman"/>
        </w:rPr>
        <w:t>Advising on Community Benefits programming and review Community Benefits regulatory reports.</w:t>
      </w:r>
    </w:p>
    <w:p w14:paraId="384720FC" w14:textId="77777777" w:rsidR="005041E7" w:rsidRPr="005041E7" w:rsidRDefault="005041E7" w:rsidP="005041E7">
      <w:pPr>
        <w:spacing w:after="0"/>
        <w:rPr>
          <w:rFonts w:cs="Times New Roman"/>
        </w:rPr>
      </w:pPr>
    </w:p>
    <w:p w14:paraId="1BC94422" w14:textId="77777777" w:rsidR="005041E7" w:rsidRPr="005041E7" w:rsidRDefault="005041E7" w:rsidP="005041E7">
      <w:pPr>
        <w:spacing w:after="0"/>
        <w:rPr>
          <w:rFonts w:cs="Times New Roman"/>
          <w:b/>
          <w:bCs/>
        </w:rPr>
      </w:pPr>
      <w:r w:rsidRPr="005041E7">
        <w:rPr>
          <w:rFonts w:cs="Times New Roman"/>
          <w:b/>
          <w:bCs/>
        </w:rPr>
        <w:t>Timeline for CHI Activities</w:t>
      </w:r>
    </w:p>
    <w:p w14:paraId="13478500" w14:textId="77777777" w:rsidR="005041E7" w:rsidRPr="005041E7" w:rsidRDefault="005041E7" w:rsidP="005041E7">
      <w:pPr>
        <w:spacing w:after="0"/>
        <w:rPr>
          <w:rFonts w:cs="Times New Roman"/>
        </w:rPr>
      </w:pPr>
    </w:p>
    <w:p w14:paraId="39C610C4" w14:textId="77777777" w:rsidR="005041E7" w:rsidRPr="005041E7" w:rsidRDefault="005041E7" w:rsidP="005041E7">
      <w:pPr>
        <w:spacing w:after="0"/>
        <w:rPr>
          <w:rFonts w:cs="Times New Roman"/>
        </w:rPr>
      </w:pPr>
      <w:r w:rsidRPr="005041E7">
        <w:rPr>
          <w:rFonts w:cs="Times New Roman"/>
        </w:rPr>
        <w:t xml:space="preserve">The CBAC will continue meeting and begin the CHI process in alignment with the FY 25 CHNA. Please see the timeline below detailed list of activities with dates. </w:t>
      </w:r>
    </w:p>
    <w:p w14:paraId="7E7DF8C7" w14:textId="77777777" w:rsidR="005041E7" w:rsidRPr="005041E7" w:rsidRDefault="005041E7" w:rsidP="005041E7">
      <w:pPr>
        <w:spacing w:after="0"/>
        <w:rPr>
          <w:rFonts w:cs="Times New Roman"/>
        </w:rPr>
      </w:pPr>
    </w:p>
    <w:tbl>
      <w:tblPr>
        <w:tblStyle w:val="TableGrid1"/>
        <w:tblpPr w:leftFromText="180" w:rightFromText="180" w:vertAnchor="text" w:horzAnchor="margin" w:tblpXSpec="center" w:tblpY="-656"/>
        <w:tblW w:w="10710" w:type="dxa"/>
        <w:tblLook w:val="04A0" w:firstRow="1" w:lastRow="0" w:firstColumn="1" w:lastColumn="0" w:noHBand="0" w:noVBand="1"/>
      </w:tblPr>
      <w:tblGrid>
        <w:gridCol w:w="2520"/>
        <w:gridCol w:w="3960"/>
        <w:gridCol w:w="4230"/>
      </w:tblGrid>
      <w:tr w:rsidR="005041E7" w:rsidRPr="005041E7" w14:paraId="19ACF880" w14:textId="77777777" w:rsidTr="002E4D14">
        <w:trPr>
          <w:cantSplit/>
          <w:tblHeader/>
        </w:trPr>
        <w:tc>
          <w:tcPr>
            <w:tcW w:w="2520" w:type="dxa"/>
            <w:shd w:val="clear" w:color="auto" w:fill="C6D9F1"/>
          </w:tcPr>
          <w:p w14:paraId="41BDF8BB" w14:textId="77777777" w:rsidR="005041E7" w:rsidRPr="005041E7" w:rsidRDefault="005041E7" w:rsidP="00AD0837">
            <w:pPr>
              <w:spacing w:before="238"/>
              <w:jc w:val="center"/>
              <w:rPr>
                <w:rFonts w:eastAsia="Arial" w:cs="Times New Roman"/>
                <w:b/>
                <w:bCs/>
              </w:rPr>
            </w:pPr>
            <w:r w:rsidRPr="005041E7">
              <w:rPr>
                <w:rFonts w:eastAsia="Arial" w:cs="Times New Roman"/>
                <w:b/>
                <w:bCs/>
              </w:rPr>
              <w:lastRenderedPageBreak/>
              <w:t>Timeline (month/year)</w:t>
            </w:r>
          </w:p>
        </w:tc>
        <w:tc>
          <w:tcPr>
            <w:tcW w:w="3960" w:type="dxa"/>
            <w:shd w:val="clear" w:color="auto" w:fill="C6D9F1"/>
          </w:tcPr>
          <w:p w14:paraId="2FFC0350" w14:textId="77777777" w:rsidR="005041E7" w:rsidRPr="005041E7" w:rsidRDefault="005041E7" w:rsidP="00AD0837">
            <w:pPr>
              <w:spacing w:before="238"/>
              <w:jc w:val="center"/>
              <w:rPr>
                <w:rFonts w:eastAsia="Arial" w:cs="Times New Roman"/>
                <w:b/>
                <w:bCs/>
              </w:rPr>
            </w:pPr>
            <w:r w:rsidRPr="005041E7">
              <w:rPr>
                <w:rFonts w:eastAsia="Arial" w:cs="Times New Roman"/>
                <w:b/>
                <w:bCs/>
              </w:rPr>
              <w:t>CHNA/IS Action Items</w:t>
            </w:r>
          </w:p>
        </w:tc>
        <w:tc>
          <w:tcPr>
            <w:tcW w:w="4230" w:type="dxa"/>
            <w:shd w:val="clear" w:color="auto" w:fill="C6D9F1"/>
          </w:tcPr>
          <w:p w14:paraId="7217E4AF" w14:textId="77777777" w:rsidR="005041E7" w:rsidRPr="005041E7" w:rsidRDefault="005041E7" w:rsidP="00AD0837">
            <w:pPr>
              <w:spacing w:before="238"/>
              <w:jc w:val="center"/>
              <w:rPr>
                <w:rFonts w:eastAsia="Arial" w:cs="Times New Roman"/>
                <w:b/>
                <w:bCs/>
              </w:rPr>
            </w:pPr>
            <w:r w:rsidRPr="005041E7">
              <w:rPr>
                <w:rFonts w:eastAsia="Arial" w:cs="Times New Roman"/>
                <w:b/>
                <w:bCs/>
              </w:rPr>
              <w:t>Community-based Health Initiative Action Items</w:t>
            </w:r>
          </w:p>
        </w:tc>
      </w:tr>
      <w:tr w:rsidR="005041E7" w:rsidRPr="005041E7" w14:paraId="5493A1B9" w14:textId="77777777" w:rsidTr="002E4D14">
        <w:trPr>
          <w:cantSplit/>
        </w:trPr>
        <w:tc>
          <w:tcPr>
            <w:tcW w:w="2520" w:type="dxa"/>
            <w:shd w:val="clear" w:color="auto" w:fill="F2F2F2"/>
          </w:tcPr>
          <w:p w14:paraId="1BC601C5" w14:textId="77777777" w:rsidR="005041E7" w:rsidRPr="005041E7" w:rsidRDefault="005041E7" w:rsidP="00AD0837">
            <w:pPr>
              <w:rPr>
                <w:rFonts w:eastAsia="Arial" w:cs="Times New Roman"/>
              </w:rPr>
            </w:pPr>
            <w:r w:rsidRPr="005041E7">
              <w:rPr>
                <w:rFonts w:eastAsia="Arial" w:cs="Times New Roman"/>
              </w:rPr>
              <w:t xml:space="preserve">June- </w:t>
            </w:r>
          </w:p>
          <w:p w14:paraId="163EB00C" w14:textId="77777777" w:rsidR="005041E7" w:rsidRPr="005041E7" w:rsidRDefault="005041E7" w:rsidP="00AD0837">
            <w:pPr>
              <w:rPr>
                <w:rFonts w:eastAsia="Arial" w:cs="Times New Roman"/>
              </w:rPr>
            </w:pPr>
            <w:r w:rsidRPr="005041E7">
              <w:rPr>
                <w:rFonts w:eastAsia="Arial" w:cs="Times New Roman"/>
              </w:rPr>
              <w:t>August 2024</w:t>
            </w:r>
          </w:p>
        </w:tc>
        <w:tc>
          <w:tcPr>
            <w:tcW w:w="3960" w:type="dxa"/>
            <w:shd w:val="clear" w:color="auto" w:fill="F2F2F2"/>
          </w:tcPr>
          <w:p w14:paraId="7DF468CA" w14:textId="77777777" w:rsidR="005041E7" w:rsidRPr="005041E7" w:rsidRDefault="005041E7" w:rsidP="00AD0837">
            <w:pPr>
              <w:rPr>
                <w:rFonts w:eastAsia="Arial" w:cs="Times New Roman"/>
              </w:rPr>
            </w:pPr>
            <w:r w:rsidRPr="005041E7">
              <w:rPr>
                <w:rFonts w:eastAsia="Arial" w:cs="Times New Roman"/>
              </w:rPr>
              <w:t xml:space="preserve">FY 25 CHNA and CHI Kickoff (June CBAC meeting). Launch Community Health Survey. </w:t>
            </w:r>
          </w:p>
          <w:p w14:paraId="24650293" w14:textId="77777777" w:rsidR="005041E7" w:rsidRPr="005041E7" w:rsidRDefault="005041E7" w:rsidP="00AD0837">
            <w:pPr>
              <w:rPr>
                <w:rFonts w:eastAsia="Arial" w:cs="Times New Roman"/>
              </w:rPr>
            </w:pPr>
          </w:p>
          <w:p w14:paraId="5220782D" w14:textId="77777777" w:rsidR="005041E7" w:rsidRPr="005041E7" w:rsidRDefault="005041E7" w:rsidP="00AD0837">
            <w:pPr>
              <w:rPr>
                <w:rFonts w:eastAsia="Arial" w:cs="Times New Roman"/>
              </w:rPr>
            </w:pPr>
          </w:p>
        </w:tc>
        <w:tc>
          <w:tcPr>
            <w:tcW w:w="4230" w:type="dxa"/>
            <w:shd w:val="clear" w:color="auto" w:fill="F2F2F2"/>
          </w:tcPr>
          <w:p w14:paraId="42AF27B8" w14:textId="77777777" w:rsidR="005041E7" w:rsidRPr="005041E7" w:rsidRDefault="005041E7" w:rsidP="00AD0837">
            <w:pPr>
              <w:rPr>
                <w:rFonts w:eastAsia="Arial" w:cs="Times New Roman"/>
              </w:rPr>
            </w:pPr>
          </w:p>
        </w:tc>
      </w:tr>
      <w:tr w:rsidR="005041E7" w:rsidRPr="005041E7" w14:paraId="3C6B4904" w14:textId="77777777" w:rsidTr="002E4D14">
        <w:trPr>
          <w:cantSplit/>
        </w:trPr>
        <w:tc>
          <w:tcPr>
            <w:tcW w:w="2520" w:type="dxa"/>
            <w:shd w:val="clear" w:color="auto" w:fill="F2F2F2"/>
          </w:tcPr>
          <w:p w14:paraId="3EB014EB" w14:textId="77777777" w:rsidR="005041E7" w:rsidRPr="005041E7" w:rsidRDefault="005041E7" w:rsidP="00AD0837">
            <w:pPr>
              <w:rPr>
                <w:rFonts w:eastAsia="Arial" w:cs="Times New Roman"/>
              </w:rPr>
            </w:pPr>
            <w:r w:rsidRPr="005041E7">
              <w:rPr>
                <w:rFonts w:eastAsia="Arial" w:cs="Times New Roman"/>
              </w:rPr>
              <w:t>September – November 2024</w:t>
            </w:r>
          </w:p>
        </w:tc>
        <w:tc>
          <w:tcPr>
            <w:tcW w:w="3960" w:type="dxa"/>
            <w:shd w:val="clear" w:color="auto" w:fill="F2F2F2"/>
          </w:tcPr>
          <w:p w14:paraId="041F45A1" w14:textId="77777777" w:rsidR="005041E7" w:rsidRPr="005041E7" w:rsidRDefault="005041E7" w:rsidP="00AD0837">
            <w:pPr>
              <w:rPr>
                <w:rFonts w:eastAsia="Arial" w:cs="Times New Roman"/>
              </w:rPr>
            </w:pPr>
            <w:r w:rsidRPr="005041E7">
              <w:rPr>
                <w:rFonts w:eastAsia="Arial" w:cs="Times New Roman"/>
              </w:rPr>
              <w:t xml:space="preserve">September CBAC meeting: monitor progress on surveys, focus groups, and interviews. CBACs will modify strategies to ensure hospitals are reaching cohorts according to community engagement plans. </w:t>
            </w:r>
          </w:p>
        </w:tc>
        <w:tc>
          <w:tcPr>
            <w:tcW w:w="4230" w:type="dxa"/>
            <w:shd w:val="clear" w:color="auto" w:fill="F2F2F2"/>
          </w:tcPr>
          <w:p w14:paraId="3EBEE530" w14:textId="77777777" w:rsidR="005041E7" w:rsidRPr="005041E7" w:rsidRDefault="005041E7" w:rsidP="00AD0837">
            <w:pPr>
              <w:rPr>
                <w:rFonts w:eastAsia="Arial" w:cs="Times New Roman"/>
              </w:rPr>
            </w:pPr>
            <w:r w:rsidRPr="005041E7">
              <w:rPr>
                <w:rFonts w:eastAsia="Arial" w:cs="Times New Roman"/>
              </w:rPr>
              <w:t xml:space="preserve">BIDMC files the DoN and delegates the CHI to BIDM and BIDP (October). BIDMC makes the payment to the statewide (November). </w:t>
            </w:r>
          </w:p>
        </w:tc>
      </w:tr>
      <w:tr w:rsidR="005041E7" w:rsidRPr="005041E7" w14:paraId="57424561" w14:textId="77777777" w:rsidTr="002E4D14">
        <w:trPr>
          <w:cantSplit/>
        </w:trPr>
        <w:tc>
          <w:tcPr>
            <w:tcW w:w="2520" w:type="dxa"/>
            <w:shd w:val="clear" w:color="auto" w:fill="F2F2F2"/>
          </w:tcPr>
          <w:p w14:paraId="7ADCEB7A" w14:textId="77777777" w:rsidR="005041E7" w:rsidRPr="005041E7" w:rsidRDefault="005041E7" w:rsidP="00AD0837">
            <w:pPr>
              <w:rPr>
                <w:rFonts w:eastAsia="Arial" w:cs="Times New Roman"/>
              </w:rPr>
            </w:pPr>
            <w:r w:rsidRPr="005041E7">
              <w:rPr>
                <w:rFonts w:eastAsia="Arial" w:cs="Times New Roman"/>
              </w:rPr>
              <w:t>December 2024 – February 2025</w:t>
            </w:r>
          </w:p>
        </w:tc>
        <w:tc>
          <w:tcPr>
            <w:tcW w:w="3960" w:type="dxa"/>
            <w:shd w:val="clear" w:color="auto" w:fill="F2F2F2"/>
          </w:tcPr>
          <w:p w14:paraId="08429D09" w14:textId="77777777" w:rsidR="005041E7" w:rsidRPr="005041E7" w:rsidRDefault="005041E7" w:rsidP="00AD0837">
            <w:pPr>
              <w:rPr>
                <w:rFonts w:eastAsia="Arial" w:cs="Times New Roman"/>
              </w:rPr>
            </w:pPr>
            <w:r w:rsidRPr="005041E7">
              <w:rPr>
                <w:rFonts w:eastAsia="Arial" w:cs="Times New Roman"/>
              </w:rPr>
              <w:t xml:space="preserve">CBACs receive an update on preliminary findings, vote on priority cohorts, and focus engagement efforts on outreach for listening sessions. </w:t>
            </w:r>
          </w:p>
          <w:p w14:paraId="7E8F2387" w14:textId="77777777" w:rsidR="005041E7" w:rsidRPr="005041E7" w:rsidRDefault="005041E7" w:rsidP="00AD0837">
            <w:pPr>
              <w:rPr>
                <w:rFonts w:eastAsia="Arial" w:cs="Times New Roman"/>
              </w:rPr>
            </w:pPr>
          </w:p>
          <w:p w14:paraId="5452FA43" w14:textId="77777777" w:rsidR="005041E7" w:rsidRPr="005041E7" w:rsidRDefault="005041E7" w:rsidP="00AD0837">
            <w:pPr>
              <w:rPr>
                <w:rFonts w:eastAsia="Arial" w:cs="Times New Roman"/>
              </w:rPr>
            </w:pPr>
            <w:r w:rsidRPr="005041E7">
              <w:rPr>
                <w:rFonts w:eastAsia="Arial" w:cs="Times New Roman"/>
              </w:rPr>
              <w:t>Two listening sessions are held in February where attendees review CHNA findings and update health priorities and strategies.</w:t>
            </w:r>
          </w:p>
        </w:tc>
        <w:tc>
          <w:tcPr>
            <w:tcW w:w="4230" w:type="dxa"/>
            <w:shd w:val="clear" w:color="auto" w:fill="F2F2F2"/>
          </w:tcPr>
          <w:p w14:paraId="0E57BEE0" w14:textId="77777777" w:rsidR="005041E7" w:rsidRPr="005041E7" w:rsidRDefault="005041E7" w:rsidP="00AD0837">
            <w:pPr>
              <w:rPr>
                <w:rFonts w:eastAsia="Arial" w:cs="Times New Roman"/>
              </w:rPr>
            </w:pPr>
          </w:p>
        </w:tc>
      </w:tr>
      <w:tr w:rsidR="005041E7" w:rsidRPr="005041E7" w14:paraId="69B92486" w14:textId="77777777" w:rsidTr="002E4D14">
        <w:trPr>
          <w:cantSplit/>
        </w:trPr>
        <w:tc>
          <w:tcPr>
            <w:tcW w:w="2520" w:type="dxa"/>
            <w:shd w:val="clear" w:color="auto" w:fill="F2F2F2"/>
          </w:tcPr>
          <w:p w14:paraId="246C884F" w14:textId="77777777" w:rsidR="005041E7" w:rsidRPr="005041E7" w:rsidRDefault="005041E7" w:rsidP="00AD0837">
            <w:pPr>
              <w:rPr>
                <w:rFonts w:eastAsia="Arial" w:cs="Times New Roman"/>
              </w:rPr>
            </w:pPr>
            <w:r w:rsidRPr="005041E7">
              <w:rPr>
                <w:rFonts w:eastAsia="Arial" w:cs="Times New Roman"/>
              </w:rPr>
              <w:t xml:space="preserve">March – </w:t>
            </w:r>
          </w:p>
          <w:p w14:paraId="72B61204" w14:textId="77777777" w:rsidR="005041E7" w:rsidRPr="005041E7" w:rsidRDefault="005041E7" w:rsidP="00AD0837">
            <w:pPr>
              <w:rPr>
                <w:rFonts w:eastAsia="Arial" w:cs="Times New Roman"/>
              </w:rPr>
            </w:pPr>
            <w:r w:rsidRPr="005041E7">
              <w:rPr>
                <w:rFonts w:eastAsia="Arial" w:cs="Times New Roman"/>
              </w:rPr>
              <w:t>May 2025</w:t>
            </w:r>
          </w:p>
        </w:tc>
        <w:tc>
          <w:tcPr>
            <w:tcW w:w="3960" w:type="dxa"/>
            <w:shd w:val="clear" w:color="auto" w:fill="F2F2F2"/>
          </w:tcPr>
          <w:p w14:paraId="4DDE230E" w14:textId="77777777" w:rsidR="005041E7" w:rsidRPr="005041E7" w:rsidRDefault="005041E7" w:rsidP="00AD0837">
            <w:pPr>
              <w:rPr>
                <w:rFonts w:eastAsia="Arial" w:cs="Times New Roman"/>
              </w:rPr>
            </w:pPr>
            <w:r w:rsidRPr="005041E7">
              <w:rPr>
                <w:rFonts w:eastAsia="Arial" w:cs="Times New Roman"/>
              </w:rPr>
              <w:t xml:space="preserve">Present priorities and strategies from the listening sessions to the CBAC and begin drafting the CHNA report and implementation strategies. </w:t>
            </w:r>
          </w:p>
        </w:tc>
        <w:tc>
          <w:tcPr>
            <w:tcW w:w="4230" w:type="dxa"/>
            <w:shd w:val="clear" w:color="auto" w:fill="F2F2F2"/>
          </w:tcPr>
          <w:p w14:paraId="5DF3B6D0" w14:textId="77777777" w:rsidR="005041E7" w:rsidRPr="005041E7" w:rsidRDefault="005041E7" w:rsidP="00AD0837">
            <w:pPr>
              <w:rPr>
                <w:rFonts w:eastAsia="Arial" w:cs="Times New Roman"/>
              </w:rPr>
            </w:pPr>
          </w:p>
        </w:tc>
      </w:tr>
      <w:tr w:rsidR="005041E7" w:rsidRPr="005041E7" w14:paraId="4077FFB4" w14:textId="77777777" w:rsidTr="002E4D14">
        <w:trPr>
          <w:cantSplit/>
        </w:trPr>
        <w:tc>
          <w:tcPr>
            <w:tcW w:w="2520" w:type="dxa"/>
            <w:shd w:val="clear" w:color="auto" w:fill="F2F2F2"/>
          </w:tcPr>
          <w:p w14:paraId="7EBB1625" w14:textId="77777777" w:rsidR="005041E7" w:rsidRPr="005041E7" w:rsidRDefault="005041E7" w:rsidP="00AD0837">
            <w:pPr>
              <w:rPr>
                <w:rFonts w:eastAsia="Arial" w:cs="Times New Roman"/>
              </w:rPr>
            </w:pPr>
            <w:r w:rsidRPr="005041E7">
              <w:rPr>
                <w:rFonts w:eastAsia="Arial" w:cs="Times New Roman"/>
              </w:rPr>
              <w:t xml:space="preserve">June – </w:t>
            </w:r>
          </w:p>
          <w:p w14:paraId="6A4D981A" w14:textId="77777777" w:rsidR="005041E7" w:rsidRPr="005041E7" w:rsidRDefault="005041E7" w:rsidP="00AD0837">
            <w:pPr>
              <w:rPr>
                <w:rFonts w:eastAsia="Arial" w:cs="Times New Roman"/>
              </w:rPr>
            </w:pPr>
            <w:r w:rsidRPr="005041E7">
              <w:rPr>
                <w:rFonts w:eastAsia="Arial" w:cs="Times New Roman"/>
              </w:rPr>
              <w:t>July 2025</w:t>
            </w:r>
          </w:p>
        </w:tc>
        <w:tc>
          <w:tcPr>
            <w:tcW w:w="3960" w:type="dxa"/>
            <w:shd w:val="clear" w:color="auto" w:fill="F2F2F2"/>
          </w:tcPr>
          <w:p w14:paraId="3DD117A7" w14:textId="77777777" w:rsidR="005041E7" w:rsidRPr="005041E7" w:rsidRDefault="005041E7" w:rsidP="00AD0837">
            <w:pPr>
              <w:rPr>
                <w:rFonts w:eastAsia="Arial" w:cs="Times New Roman"/>
              </w:rPr>
            </w:pPr>
            <w:r w:rsidRPr="005041E7">
              <w:rPr>
                <w:rFonts w:eastAsia="Arial" w:cs="Times New Roman"/>
              </w:rPr>
              <w:t>Present Final CHNA and IS to CBAC.</w:t>
            </w:r>
          </w:p>
          <w:p w14:paraId="19854553" w14:textId="77777777" w:rsidR="005041E7" w:rsidRPr="005041E7" w:rsidRDefault="005041E7" w:rsidP="00AD0837">
            <w:pPr>
              <w:rPr>
                <w:rFonts w:eastAsia="Arial" w:cs="Times New Roman"/>
              </w:rPr>
            </w:pPr>
          </w:p>
          <w:p w14:paraId="28C14AF5" w14:textId="77777777" w:rsidR="005041E7" w:rsidRPr="005041E7" w:rsidRDefault="005041E7" w:rsidP="00AD0837">
            <w:pPr>
              <w:rPr>
                <w:rFonts w:eastAsia="Arial" w:cs="Times New Roman"/>
              </w:rPr>
            </w:pPr>
            <w:r w:rsidRPr="005041E7">
              <w:rPr>
                <w:rFonts w:eastAsia="Arial" w:cs="Times New Roman"/>
              </w:rPr>
              <w:t>CBAC votes recommend that the Board of Trustees approve the CHNA and adopt the IS.</w:t>
            </w:r>
          </w:p>
        </w:tc>
        <w:tc>
          <w:tcPr>
            <w:tcW w:w="4230" w:type="dxa"/>
            <w:shd w:val="clear" w:color="auto" w:fill="F2F2F2"/>
          </w:tcPr>
          <w:p w14:paraId="1A656FA0" w14:textId="77777777" w:rsidR="005041E7" w:rsidRPr="005041E7" w:rsidRDefault="005041E7" w:rsidP="00AD0837">
            <w:pPr>
              <w:rPr>
                <w:rFonts w:eastAsia="Arial" w:cs="Times New Roman"/>
              </w:rPr>
            </w:pPr>
            <w:r w:rsidRPr="005041E7">
              <w:rPr>
                <w:rFonts w:eastAsia="Arial" w:cs="Times New Roman"/>
              </w:rPr>
              <w:t>CBAC discusses CHI priorities, allocation percentages, and approach to invest directly, and/or through a Request for Proposals process, based on engagement conducted and data collected during the FY 25 CHNA.</w:t>
            </w:r>
          </w:p>
        </w:tc>
      </w:tr>
      <w:tr w:rsidR="005041E7" w:rsidRPr="005041E7" w14:paraId="4AC678B3" w14:textId="77777777" w:rsidTr="002E4D14">
        <w:trPr>
          <w:cantSplit/>
        </w:trPr>
        <w:tc>
          <w:tcPr>
            <w:tcW w:w="2520" w:type="dxa"/>
            <w:shd w:val="clear" w:color="auto" w:fill="F2F2F2"/>
          </w:tcPr>
          <w:p w14:paraId="5699672B" w14:textId="77777777" w:rsidR="005041E7" w:rsidRPr="005041E7" w:rsidRDefault="005041E7" w:rsidP="00AD0837">
            <w:pPr>
              <w:rPr>
                <w:rFonts w:eastAsia="Arial" w:cs="Times New Roman"/>
              </w:rPr>
            </w:pPr>
            <w:r w:rsidRPr="005041E7">
              <w:rPr>
                <w:rFonts w:eastAsia="Arial" w:cs="Times New Roman"/>
              </w:rPr>
              <w:t xml:space="preserve">July – </w:t>
            </w:r>
          </w:p>
          <w:p w14:paraId="5617C119" w14:textId="77777777" w:rsidR="005041E7" w:rsidRPr="005041E7" w:rsidRDefault="005041E7" w:rsidP="00AD0837">
            <w:pPr>
              <w:rPr>
                <w:rFonts w:eastAsia="Arial" w:cs="Times New Roman"/>
              </w:rPr>
            </w:pPr>
            <w:r w:rsidRPr="005041E7">
              <w:rPr>
                <w:rFonts w:eastAsia="Arial" w:cs="Times New Roman"/>
              </w:rPr>
              <w:t>September 2025</w:t>
            </w:r>
          </w:p>
        </w:tc>
        <w:tc>
          <w:tcPr>
            <w:tcW w:w="3960" w:type="dxa"/>
            <w:shd w:val="clear" w:color="auto" w:fill="F2F2F2"/>
          </w:tcPr>
          <w:p w14:paraId="6857CC2C" w14:textId="77777777" w:rsidR="005041E7" w:rsidRPr="005041E7" w:rsidRDefault="005041E7" w:rsidP="00AD0837">
            <w:pPr>
              <w:rPr>
                <w:rFonts w:eastAsia="Arial" w:cs="Times New Roman"/>
              </w:rPr>
            </w:pPr>
            <w:r w:rsidRPr="005041E7">
              <w:rPr>
                <w:rFonts w:eastAsia="Arial" w:cs="Times New Roman"/>
              </w:rPr>
              <w:t xml:space="preserve">Board of Trustees votes on CHNA approval and IS adoption. </w:t>
            </w:r>
            <w:r w:rsidRPr="005041E7">
              <w:rPr>
                <w:rFonts w:eastAsia="Arial" w:cs="Times New Roman"/>
              </w:rPr>
              <w:tab/>
            </w:r>
          </w:p>
        </w:tc>
        <w:tc>
          <w:tcPr>
            <w:tcW w:w="4230" w:type="dxa"/>
            <w:shd w:val="clear" w:color="auto" w:fill="F2F2F2"/>
          </w:tcPr>
          <w:p w14:paraId="0B40AA00" w14:textId="77777777" w:rsidR="005041E7" w:rsidRPr="005041E7" w:rsidRDefault="005041E7" w:rsidP="00AD0837">
            <w:pPr>
              <w:rPr>
                <w:rFonts w:eastAsia="Arial" w:cs="Times New Roman"/>
              </w:rPr>
            </w:pPr>
            <w:r w:rsidRPr="005041E7">
              <w:rPr>
                <w:rFonts w:eastAsia="Arial" w:cs="Times New Roman"/>
              </w:rPr>
              <w:t>CBAC votes on investment mix, including allocation percentages, decides on first direct investment/s to community-based organizations, or government agency, with proven records of addressing their selected priorities.</w:t>
            </w:r>
          </w:p>
        </w:tc>
      </w:tr>
      <w:tr w:rsidR="005041E7" w:rsidRPr="005041E7" w14:paraId="7EE27A2A" w14:textId="77777777" w:rsidTr="002E4D14">
        <w:trPr>
          <w:cantSplit/>
        </w:trPr>
        <w:tc>
          <w:tcPr>
            <w:tcW w:w="2520" w:type="dxa"/>
            <w:shd w:val="clear" w:color="auto" w:fill="F2F2F2"/>
          </w:tcPr>
          <w:p w14:paraId="3B11356F" w14:textId="77777777" w:rsidR="005041E7" w:rsidRPr="005041E7" w:rsidRDefault="005041E7" w:rsidP="00AD0837">
            <w:pPr>
              <w:rPr>
                <w:rFonts w:eastAsia="Arial" w:cs="Times New Roman"/>
              </w:rPr>
            </w:pPr>
            <w:r w:rsidRPr="005041E7">
              <w:rPr>
                <w:rFonts w:eastAsia="Arial" w:cs="Times New Roman"/>
              </w:rPr>
              <w:t>October 2025</w:t>
            </w:r>
          </w:p>
        </w:tc>
        <w:tc>
          <w:tcPr>
            <w:tcW w:w="3960" w:type="dxa"/>
            <w:shd w:val="clear" w:color="auto" w:fill="F2F2F2"/>
          </w:tcPr>
          <w:p w14:paraId="1E3BA4F7" w14:textId="77777777" w:rsidR="005041E7" w:rsidRPr="005041E7" w:rsidRDefault="005041E7" w:rsidP="00AD0837">
            <w:pPr>
              <w:rPr>
                <w:rFonts w:eastAsia="Arial" w:cs="Times New Roman"/>
              </w:rPr>
            </w:pPr>
            <w:r w:rsidRPr="005041E7">
              <w:rPr>
                <w:rFonts w:eastAsia="Arial" w:cs="Times New Roman"/>
              </w:rPr>
              <w:t>Begin FY 26-28 IS in alignment with health priorities selected during the FY 25 CHNA process.</w:t>
            </w:r>
          </w:p>
        </w:tc>
        <w:tc>
          <w:tcPr>
            <w:tcW w:w="4230" w:type="dxa"/>
            <w:shd w:val="clear" w:color="auto" w:fill="F2F2F2"/>
          </w:tcPr>
          <w:p w14:paraId="71344FB3" w14:textId="77777777" w:rsidR="005041E7" w:rsidRPr="005041E7" w:rsidRDefault="005041E7" w:rsidP="00AD0837">
            <w:pPr>
              <w:rPr>
                <w:rFonts w:eastAsia="Arial" w:cs="Times New Roman"/>
              </w:rPr>
            </w:pPr>
            <w:r w:rsidRPr="005041E7">
              <w:rPr>
                <w:rFonts w:eastAsia="Arial" w:cs="Times New Roman"/>
              </w:rPr>
              <w:t>Direct investment/s is/are made.</w:t>
            </w:r>
          </w:p>
        </w:tc>
      </w:tr>
      <w:tr w:rsidR="005041E7" w:rsidRPr="005041E7" w14:paraId="11DD39C2" w14:textId="77777777" w:rsidTr="002E4D14">
        <w:trPr>
          <w:cantSplit/>
        </w:trPr>
        <w:tc>
          <w:tcPr>
            <w:tcW w:w="2520" w:type="dxa"/>
            <w:shd w:val="clear" w:color="auto" w:fill="F2F2F2"/>
          </w:tcPr>
          <w:p w14:paraId="51758C13" w14:textId="77777777" w:rsidR="005041E7" w:rsidRPr="005041E7" w:rsidRDefault="005041E7" w:rsidP="00AD0837">
            <w:pPr>
              <w:rPr>
                <w:rFonts w:eastAsia="Arial" w:cs="Times New Roman"/>
              </w:rPr>
            </w:pPr>
            <w:r w:rsidRPr="005041E7">
              <w:rPr>
                <w:rFonts w:eastAsia="Arial" w:cs="Times New Roman"/>
              </w:rPr>
              <w:t>December 2025</w:t>
            </w:r>
          </w:p>
        </w:tc>
        <w:tc>
          <w:tcPr>
            <w:tcW w:w="3960" w:type="dxa"/>
            <w:shd w:val="clear" w:color="auto" w:fill="F2F2F2"/>
          </w:tcPr>
          <w:p w14:paraId="258BA79F" w14:textId="77777777" w:rsidR="005041E7" w:rsidRPr="005041E7" w:rsidRDefault="005041E7" w:rsidP="00AD0837">
            <w:pPr>
              <w:rPr>
                <w:rFonts w:eastAsia="Arial" w:cs="Times New Roman"/>
              </w:rPr>
            </w:pPr>
          </w:p>
        </w:tc>
        <w:tc>
          <w:tcPr>
            <w:tcW w:w="4230" w:type="dxa"/>
            <w:shd w:val="clear" w:color="auto" w:fill="F2F2F2"/>
          </w:tcPr>
          <w:p w14:paraId="79AA35C2" w14:textId="77777777" w:rsidR="005041E7" w:rsidRPr="005041E7" w:rsidRDefault="005041E7" w:rsidP="00AD0837">
            <w:pPr>
              <w:rPr>
                <w:rFonts w:eastAsia="Arial" w:cs="Times New Roman"/>
              </w:rPr>
            </w:pPr>
            <w:r w:rsidRPr="005041E7">
              <w:rPr>
                <w:rFonts w:eastAsia="Arial" w:cs="Times New Roman"/>
              </w:rPr>
              <w:t xml:space="preserve">Multi-year grants are </w:t>
            </w:r>
            <w:proofErr w:type="gramStart"/>
            <w:r w:rsidRPr="005041E7">
              <w:rPr>
                <w:rFonts w:eastAsia="Arial" w:cs="Times New Roman"/>
              </w:rPr>
              <w:t>issued</w:t>
            </w:r>
            <w:proofErr w:type="gramEnd"/>
            <w:r w:rsidRPr="005041E7">
              <w:rPr>
                <w:rFonts w:eastAsia="Arial" w:cs="Times New Roman"/>
              </w:rPr>
              <w:t xml:space="preserve"> and progress is monitored (RFP dates TBD based on </w:t>
            </w:r>
            <w:proofErr w:type="spellStart"/>
            <w:r w:rsidRPr="005041E7">
              <w:rPr>
                <w:rFonts w:eastAsia="Arial" w:cs="Times New Roman"/>
              </w:rPr>
              <w:t>BoT</w:t>
            </w:r>
            <w:proofErr w:type="spellEnd"/>
            <w:r w:rsidRPr="005041E7">
              <w:rPr>
                <w:rFonts w:eastAsia="Arial" w:cs="Times New Roman"/>
              </w:rPr>
              <w:t xml:space="preserve"> approval and CBAC guidance). </w:t>
            </w:r>
          </w:p>
        </w:tc>
      </w:tr>
      <w:tr w:rsidR="005041E7" w:rsidRPr="005041E7" w14:paraId="6D59DC48" w14:textId="77777777" w:rsidTr="002E4D14">
        <w:trPr>
          <w:cantSplit/>
        </w:trPr>
        <w:tc>
          <w:tcPr>
            <w:tcW w:w="2520" w:type="dxa"/>
            <w:shd w:val="clear" w:color="auto" w:fill="F2F2F2"/>
          </w:tcPr>
          <w:p w14:paraId="6EFD78B4" w14:textId="77777777" w:rsidR="005041E7" w:rsidRPr="005041E7" w:rsidRDefault="005041E7" w:rsidP="00AD0837">
            <w:pPr>
              <w:rPr>
                <w:rFonts w:eastAsia="Arial" w:cs="Times New Roman"/>
              </w:rPr>
            </w:pPr>
            <w:r w:rsidRPr="005041E7">
              <w:rPr>
                <w:rFonts w:eastAsia="Arial" w:cs="Times New Roman"/>
              </w:rPr>
              <w:t>November 2028</w:t>
            </w:r>
          </w:p>
        </w:tc>
        <w:tc>
          <w:tcPr>
            <w:tcW w:w="3960" w:type="dxa"/>
            <w:shd w:val="clear" w:color="auto" w:fill="F2F2F2"/>
          </w:tcPr>
          <w:p w14:paraId="0D0C7832" w14:textId="77777777" w:rsidR="005041E7" w:rsidRPr="005041E7" w:rsidRDefault="005041E7" w:rsidP="00AD0837">
            <w:pPr>
              <w:rPr>
                <w:rFonts w:eastAsia="Arial" w:cs="Times New Roman"/>
              </w:rPr>
            </w:pPr>
          </w:p>
        </w:tc>
        <w:tc>
          <w:tcPr>
            <w:tcW w:w="4230" w:type="dxa"/>
            <w:shd w:val="clear" w:color="auto" w:fill="F2F2F2"/>
          </w:tcPr>
          <w:p w14:paraId="326BD1BC" w14:textId="77777777" w:rsidR="005041E7" w:rsidRPr="005041E7" w:rsidRDefault="005041E7" w:rsidP="00AD0837">
            <w:pPr>
              <w:rPr>
                <w:rFonts w:eastAsia="Arial" w:cs="Times New Roman"/>
              </w:rPr>
            </w:pPr>
            <w:r w:rsidRPr="005041E7">
              <w:rPr>
                <w:rFonts w:eastAsia="Arial" w:cs="Times New Roman"/>
              </w:rPr>
              <w:t xml:space="preserve">Hospitals evaluate success and provide recommendations for future Community Benefits programming. </w:t>
            </w:r>
          </w:p>
        </w:tc>
      </w:tr>
    </w:tbl>
    <w:p w14:paraId="2B649ED5" w14:textId="77777777" w:rsidR="005041E7" w:rsidRPr="005041E7" w:rsidRDefault="005041E7" w:rsidP="005041E7">
      <w:pPr>
        <w:spacing w:after="0"/>
        <w:rPr>
          <w:rFonts w:cs="Times New Roman"/>
        </w:rPr>
      </w:pPr>
    </w:p>
    <w:p w14:paraId="4E2E21C7" w14:textId="77777777" w:rsidR="005041E7" w:rsidRPr="005041E7" w:rsidRDefault="005041E7" w:rsidP="005041E7">
      <w:pPr>
        <w:spacing w:after="0"/>
        <w:rPr>
          <w:rFonts w:cs="Times New Roman"/>
        </w:rPr>
      </w:pPr>
    </w:p>
    <w:p w14:paraId="02753D8E" w14:textId="77777777" w:rsidR="005041E7" w:rsidRDefault="005041E7" w:rsidP="005041E7">
      <w:pPr>
        <w:spacing w:after="0"/>
        <w:rPr>
          <w:rFonts w:cs="Times New Roman"/>
          <w:b/>
          <w:bCs/>
        </w:rPr>
      </w:pPr>
    </w:p>
    <w:p w14:paraId="5AD2A54F" w14:textId="05E02196" w:rsidR="005041E7" w:rsidRPr="005041E7" w:rsidRDefault="005041E7" w:rsidP="005041E7">
      <w:pPr>
        <w:spacing w:after="0"/>
        <w:rPr>
          <w:rFonts w:cs="Times New Roman"/>
          <w:b/>
          <w:bCs/>
        </w:rPr>
      </w:pPr>
      <w:r w:rsidRPr="005041E7">
        <w:rPr>
          <w:rFonts w:cs="Times New Roman"/>
          <w:b/>
          <w:bCs/>
        </w:rPr>
        <w:lastRenderedPageBreak/>
        <w:t>Request for Multi-Year Funding</w:t>
      </w:r>
    </w:p>
    <w:p w14:paraId="5E1CB59E" w14:textId="77777777" w:rsidR="005041E7" w:rsidRPr="005041E7" w:rsidRDefault="005041E7" w:rsidP="005041E7">
      <w:pPr>
        <w:spacing w:after="0"/>
        <w:rPr>
          <w:rFonts w:cs="Times New Roman"/>
        </w:rPr>
      </w:pPr>
    </w:p>
    <w:p w14:paraId="0E705A26" w14:textId="77777777" w:rsidR="005041E7" w:rsidRPr="005041E7" w:rsidRDefault="005041E7" w:rsidP="005041E7">
      <w:pPr>
        <w:spacing w:after="0"/>
        <w:rPr>
          <w:rFonts w:cs="Times New Roman"/>
          <w:b/>
          <w:bCs/>
        </w:rPr>
      </w:pPr>
      <w:r w:rsidRPr="005041E7">
        <w:rPr>
          <w:rFonts w:cs="Times New Roman"/>
        </w:rPr>
        <w:t xml:space="preserve">The hospitals plan to provide multi-year grants with CHI funding that lead to lasting community change and health improvement. BIDM and BIDP will explore a mixture of opportunities for distributing funds, such as directly investing in community-based organizations employing evidence-based/informed strategies, competitive grants through a request for proposals (RFP) process, seed/capacity-building grants, anchor investments, and others. BIDM and BIDP plan to disburse CHI funds in grants up to three-year periods to achieve impact and sustainable change. As such, BIDMC is requesting five years from the time of DoN approval, or FY 25 CHNA completion, whichever is later, to disburse funds, allow for grantee planning activities with technical assistance from BILH’s evaluator, up to three years for grantee program implementation (inclusive of planning activities), and up to one-year post-program evaluation.  </w:t>
      </w:r>
    </w:p>
    <w:p w14:paraId="073F1EED" w14:textId="77777777" w:rsidR="005041E7" w:rsidRPr="005041E7" w:rsidRDefault="005041E7" w:rsidP="005041E7">
      <w:pPr>
        <w:spacing w:after="0"/>
        <w:rPr>
          <w:rFonts w:cs="Times New Roman"/>
          <w:b/>
          <w:bCs/>
        </w:rPr>
      </w:pPr>
    </w:p>
    <w:p w14:paraId="1B9229A4" w14:textId="77777777" w:rsidR="005041E7" w:rsidRPr="005041E7" w:rsidRDefault="005041E7" w:rsidP="005041E7">
      <w:pPr>
        <w:spacing w:after="0"/>
        <w:rPr>
          <w:rFonts w:cs="Times New Roman"/>
          <w:b/>
          <w:bCs/>
        </w:rPr>
      </w:pPr>
      <w:r w:rsidRPr="005041E7">
        <w:rPr>
          <w:rFonts w:cs="Times New Roman"/>
          <w:b/>
          <w:bCs/>
        </w:rPr>
        <w:t>Evaluation Overview</w:t>
      </w:r>
    </w:p>
    <w:p w14:paraId="51542D41" w14:textId="77777777" w:rsidR="005041E7" w:rsidRPr="005041E7" w:rsidRDefault="005041E7" w:rsidP="005041E7">
      <w:pPr>
        <w:spacing w:after="0"/>
        <w:rPr>
          <w:rFonts w:cs="Times New Roman"/>
        </w:rPr>
      </w:pPr>
    </w:p>
    <w:p w14:paraId="2558E4B1" w14:textId="77777777" w:rsidR="005041E7" w:rsidRPr="005041E7" w:rsidRDefault="005041E7" w:rsidP="005041E7">
      <w:pPr>
        <w:spacing w:after="0"/>
        <w:rPr>
          <w:rFonts w:cs="Times New Roman"/>
          <w:b/>
          <w:bCs/>
        </w:rPr>
      </w:pPr>
      <w:r w:rsidRPr="005041E7">
        <w:rPr>
          <w:rFonts w:cs="Times New Roman"/>
        </w:rPr>
        <w:t xml:space="preserve">BIDMC is seeking to use up to 10% of all CHI funding ($585,030.35) for evaluation. These funds will allow for the evaluation of the planning process, as well as the overarching impact of all CHI funds. </w:t>
      </w:r>
    </w:p>
    <w:p w14:paraId="5E4A181D" w14:textId="77777777" w:rsidR="005041E7" w:rsidRPr="005041E7" w:rsidRDefault="005041E7" w:rsidP="005041E7">
      <w:pPr>
        <w:spacing w:after="0"/>
        <w:rPr>
          <w:rFonts w:cs="Times New Roman"/>
          <w:b/>
          <w:bCs/>
        </w:rPr>
      </w:pPr>
    </w:p>
    <w:p w14:paraId="5B8C0B1E" w14:textId="77777777" w:rsidR="005041E7" w:rsidRPr="005041E7" w:rsidRDefault="005041E7" w:rsidP="005041E7">
      <w:pPr>
        <w:spacing w:after="0"/>
        <w:rPr>
          <w:rFonts w:cs="Times New Roman"/>
          <w:b/>
          <w:bCs/>
        </w:rPr>
      </w:pPr>
      <w:r w:rsidRPr="005041E7">
        <w:rPr>
          <w:rFonts w:cs="Times New Roman"/>
          <w:b/>
          <w:bCs/>
        </w:rPr>
        <w:t>Administrative Funds</w:t>
      </w:r>
    </w:p>
    <w:p w14:paraId="26935E09" w14:textId="77777777" w:rsidR="005041E7" w:rsidRPr="005041E7" w:rsidRDefault="005041E7" w:rsidP="005041E7">
      <w:pPr>
        <w:spacing w:after="0"/>
        <w:rPr>
          <w:rFonts w:cs="Times New Roman"/>
        </w:rPr>
      </w:pPr>
    </w:p>
    <w:p w14:paraId="7E8B3477" w14:textId="77777777" w:rsidR="005041E7" w:rsidRDefault="005041E7" w:rsidP="005041E7">
      <w:pPr>
        <w:spacing w:after="0"/>
        <w:rPr>
          <w:rFonts w:ascii="Arial" w:hAnsi="Arial" w:cs="Arial"/>
          <w:sz w:val="24"/>
          <w:szCs w:val="24"/>
        </w:rPr>
      </w:pPr>
      <w:r w:rsidRPr="005041E7">
        <w:rPr>
          <w:rFonts w:cs="Times New Roman"/>
        </w:rPr>
        <w:t>BIDMC is seeking to obtain 3% of the CHI amount for administrative costs, which will be proportionally split between BIDM and BIDP for administrative expense to execute the CHI. Administrative funds will be used to offset the grantmaking process, incurred consultant and/or staff costs to ensure robust and effective community engagement, develop the RFP, advertise grant opportunities, translation and interpretation, childcare, supplies, and other needs.</w:t>
      </w:r>
      <w:r>
        <w:rPr>
          <w:rFonts w:ascii="Arial" w:hAnsi="Arial" w:cs="Arial"/>
          <w:sz w:val="24"/>
          <w:szCs w:val="24"/>
        </w:rPr>
        <w:t xml:space="preserve"> </w:t>
      </w:r>
    </w:p>
    <w:p w14:paraId="13807EA5" w14:textId="57694AF1" w:rsidR="00202FE9" w:rsidRPr="000153E7" w:rsidRDefault="00202FE9" w:rsidP="008E4BCB">
      <w:pPr>
        <w:spacing w:line="259" w:lineRule="auto"/>
        <w:rPr>
          <w:rFonts w:cs="Times New Roman"/>
        </w:rPr>
      </w:pPr>
    </w:p>
    <w:sectPr w:rsidR="00202FE9" w:rsidRPr="000153E7">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B0768" w14:textId="77777777" w:rsidR="00192301" w:rsidRDefault="00192301" w:rsidP="00024D21">
      <w:pPr>
        <w:spacing w:after="0" w:line="240" w:lineRule="auto"/>
      </w:pPr>
      <w:r>
        <w:separator/>
      </w:r>
    </w:p>
  </w:endnote>
  <w:endnote w:type="continuationSeparator" w:id="0">
    <w:p w14:paraId="1A96944B" w14:textId="77777777" w:rsidR="00192301" w:rsidRDefault="00192301" w:rsidP="0002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4807580"/>
      <w:docPartObj>
        <w:docPartGallery w:val="Page Numbers (Bottom of Page)"/>
        <w:docPartUnique/>
      </w:docPartObj>
    </w:sdtPr>
    <w:sdtEndPr>
      <w:rPr>
        <w:rFonts w:cs="Times New Roman"/>
        <w:noProof/>
      </w:rPr>
    </w:sdtEndPr>
    <w:sdtContent>
      <w:p w14:paraId="5DA0AFF1" w14:textId="693C7545" w:rsidR="00320C53" w:rsidRDefault="00000000">
        <w:pPr>
          <w:pStyle w:val="Footer"/>
          <w:jc w:val="center"/>
        </w:pPr>
      </w:p>
    </w:sdtContent>
  </w:sdt>
  <w:p w14:paraId="27F99E30" w14:textId="77777777" w:rsidR="00320C53" w:rsidRDefault="00320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2747826"/>
      <w:docPartObj>
        <w:docPartGallery w:val="Page Numbers (Bottom of Page)"/>
        <w:docPartUnique/>
      </w:docPartObj>
    </w:sdtPr>
    <w:sdtEndPr>
      <w:rPr>
        <w:noProof/>
      </w:rPr>
    </w:sdtEndPr>
    <w:sdtContent>
      <w:p w14:paraId="68B58831" w14:textId="09F964B6" w:rsidR="00320C53" w:rsidRDefault="00320C53" w:rsidP="00320C53">
        <w:pPr>
          <w:pStyle w:val="Footer"/>
          <w:ind w:left="4680" w:hanging="4680"/>
          <w:jc w:val="center"/>
        </w:pPr>
        <w:r>
          <w:fldChar w:fldCharType="begin"/>
        </w:r>
        <w:r>
          <w:instrText xml:space="preserve"> PAGE   \* MERGEFORMAT </w:instrText>
        </w:r>
        <w:r>
          <w:fldChar w:fldCharType="separate"/>
        </w:r>
        <w:r>
          <w:rPr>
            <w:noProof/>
          </w:rPr>
          <w:t>2</w:t>
        </w:r>
        <w:r>
          <w:rPr>
            <w:noProof/>
          </w:rPr>
          <w:fldChar w:fldCharType="end"/>
        </w:r>
      </w:p>
    </w:sdtContent>
  </w:sdt>
  <w:p w14:paraId="1C3945B8" w14:textId="77777777" w:rsidR="00320C53" w:rsidRDefault="00320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81E2A" w14:textId="77777777" w:rsidR="00192301" w:rsidRDefault="00192301" w:rsidP="00024D21">
      <w:pPr>
        <w:spacing w:after="0" w:line="240" w:lineRule="auto"/>
      </w:pPr>
      <w:r>
        <w:separator/>
      </w:r>
    </w:p>
  </w:footnote>
  <w:footnote w:type="continuationSeparator" w:id="0">
    <w:p w14:paraId="1D752F41" w14:textId="77777777" w:rsidR="00192301" w:rsidRDefault="00192301" w:rsidP="00024D21">
      <w:pPr>
        <w:spacing w:after="0" w:line="240" w:lineRule="auto"/>
      </w:pPr>
      <w:r>
        <w:continuationSeparator/>
      </w:r>
    </w:p>
  </w:footnote>
  <w:footnote w:id="1">
    <w:p w14:paraId="5CD2EB9F" w14:textId="3C04F080" w:rsidR="009153C6" w:rsidRPr="008D2D91" w:rsidRDefault="009153C6" w:rsidP="009153C6">
      <w:pPr>
        <w:pStyle w:val="FootnoteText"/>
        <w:rPr>
          <w:rFonts w:cs="Times New Roman"/>
          <w:sz w:val="16"/>
          <w:szCs w:val="16"/>
        </w:rPr>
      </w:pPr>
      <w:r w:rsidRPr="008D2D91">
        <w:rPr>
          <w:rStyle w:val="FootnoteReference"/>
          <w:rFonts w:cs="Times New Roman"/>
          <w:sz w:val="16"/>
          <w:szCs w:val="16"/>
        </w:rPr>
        <w:footnoteRef/>
      </w:r>
      <w:r w:rsidRPr="008D2D91">
        <w:rPr>
          <w:rFonts w:cs="Times New Roman"/>
          <w:sz w:val="16"/>
          <w:szCs w:val="16"/>
        </w:rPr>
        <w:t xml:space="preserve"> </w:t>
      </w:r>
      <w:r w:rsidRPr="008D2D91">
        <w:rPr>
          <w:rFonts w:eastAsia="Calibri" w:cs="Times New Roman"/>
          <w:color w:val="000000" w:themeColor="text1"/>
          <w:sz w:val="16"/>
          <w:szCs w:val="16"/>
        </w:rPr>
        <w:t>Two existing services will re-locate to the Quincy Facility, the Beth Israel Lahey Health Primary Care practice currently located at 100 Walter J. Hannon Parkway and the Beth Israel Lahey Health Urgent Care Center, also currently located at 100 Walter J. Hannon Parkway. Patient panel data for BILHPC Quincy represents unique patients. Patient panel data for BILH Urgent Care Quincy represents total visits. Patient panel data for BID Milton Hospital represents total encounters</w:t>
      </w:r>
      <w:r w:rsidR="00FE4BF6" w:rsidRPr="008D2D91">
        <w:rPr>
          <w:rFonts w:eastAsia="Calibri" w:cs="Times New Roman"/>
          <w:color w:val="000000" w:themeColor="text1"/>
          <w:sz w:val="16"/>
          <w:szCs w:val="16"/>
        </w:rPr>
        <w:t xml:space="preserve">. </w:t>
      </w:r>
      <w:r w:rsidRPr="008D2D91">
        <w:rPr>
          <w:rFonts w:cs="Times New Roman"/>
          <w:sz w:val="16"/>
          <w:szCs w:val="16"/>
        </w:rPr>
        <w:t xml:space="preserve"> </w:t>
      </w:r>
    </w:p>
  </w:footnote>
  <w:footnote w:id="2">
    <w:p w14:paraId="2E5CAF84" w14:textId="4B62D020" w:rsidR="008D2D91" w:rsidRPr="008D2D91" w:rsidRDefault="008D2D91">
      <w:pPr>
        <w:pStyle w:val="FootnoteText"/>
        <w:rPr>
          <w:sz w:val="16"/>
          <w:szCs w:val="16"/>
        </w:rPr>
      </w:pPr>
      <w:r w:rsidRPr="008D2D91">
        <w:rPr>
          <w:rStyle w:val="FootnoteReference"/>
          <w:sz w:val="16"/>
          <w:szCs w:val="16"/>
        </w:rPr>
        <w:footnoteRef/>
      </w:r>
      <w:r w:rsidRPr="008D2D91">
        <w:rPr>
          <w:sz w:val="16"/>
          <w:szCs w:val="16"/>
        </w:rPr>
        <w:t xml:space="preserve"> Data </w:t>
      </w:r>
      <w:r>
        <w:rPr>
          <w:sz w:val="16"/>
          <w:szCs w:val="16"/>
        </w:rPr>
        <w:t xml:space="preserve">labelled “masked” </w:t>
      </w:r>
      <w:r w:rsidRPr="008D2D91">
        <w:rPr>
          <w:sz w:val="16"/>
          <w:szCs w:val="16"/>
        </w:rPr>
        <w:t xml:space="preserve">have been masked herein to comply with the Health Insurance Portability and Accountability Act because </w:t>
      </w:r>
      <w:r w:rsidR="008A05D6">
        <w:rPr>
          <w:sz w:val="16"/>
          <w:szCs w:val="16"/>
        </w:rPr>
        <w:t xml:space="preserve">these </w:t>
      </w:r>
      <w:r w:rsidRPr="008D2D91">
        <w:rPr>
          <w:sz w:val="16"/>
          <w:szCs w:val="16"/>
        </w:rPr>
        <w:t>data</w:t>
      </w:r>
      <w:r w:rsidR="008A05D6">
        <w:rPr>
          <w:sz w:val="16"/>
          <w:szCs w:val="16"/>
        </w:rPr>
        <w:t xml:space="preserve"> points</w:t>
      </w:r>
      <w:r w:rsidRPr="008D2D91">
        <w:rPr>
          <w:sz w:val="16"/>
          <w:szCs w:val="16"/>
        </w:rPr>
        <w:t xml:space="preserve"> </w:t>
      </w:r>
      <w:r w:rsidR="008A05D6">
        <w:rPr>
          <w:sz w:val="16"/>
          <w:szCs w:val="16"/>
        </w:rPr>
        <w:t>are</w:t>
      </w:r>
      <w:r w:rsidRPr="008D2D91">
        <w:rPr>
          <w:sz w:val="16"/>
          <w:szCs w:val="16"/>
        </w:rPr>
        <w:t xml:space="preserve"> less than 11. </w:t>
      </w:r>
    </w:p>
  </w:footnote>
  <w:footnote w:id="3">
    <w:p w14:paraId="68D238FD" w14:textId="436512D4" w:rsidR="007602E1" w:rsidRPr="008D2D91" w:rsidRDefault="007602E1">
      <w:pPr>
        <w:pStyle w:val="FootnoteText"/>
        <w:rPr>
          <w:rFonts w:cs="Times New Roman"/>
          <w:sz w:val="16"/>
          <w:szCs w:val="16"/>
        </w:rPr>
      </w:pPr>
      <w:r w:rsidRPr="008D2D91">
        <w:rPr>
          <w:rStyle w:val="FootnoteReference"/>
          <w:rFonts w:cs="Times New Roman"/>
          <w:sz w:val="16"/>
          <w:szCs w:val="16"/>
        </w:rPr>
        <w:footnoteRef/>
      </w:r>
      <w:r w:rsidRPr="008D2D91">
        <w:rPr>
          <w:rFonts w:cs="Times New Roman"/>
          <w:sz w:val="16"/>
          <w:szCs w:val="16"/>
        </w:rPr>
        <w:t xml:space="preserve"> To calculate </w:t>
      </w:r>
      <w:r w:rsidRPr="008D2D91">
        <w:rPr>
          <w:rFonts w:eastAsia="Times New Roman" w:cs="Times New Roman"/>
          <w:color w:val="000000"/>
          <w:sz w:val="16"/>
          <w:szCs w:val="16"/>
        </w:rPr>
        <w:t xml:space="preserve">patient panel size, this chart includes those patients that had included </w:t>
      </w:r>
      <w:r w:rsidR="00FE4BF6" w:rsidRPr="008D2D91">
        <w:rPr>
          <w:rFonts w:eastAsia="Times New Roman" w:cs="Times New Roman"/>
          <w:color w:val="000000"/>
          <w:sz w:val="16"/>
          <w:szCs w:val="16"/>
        </w:rPr>
        <w:t>one</w:t>
      </w:r>
      <w:r w:rsidRPr="008D2D91">
        <w:rPr>
          <w:rFonts w:eastAsia="Times New Roman" w:cs="Times New Roman"/>
          <w:color w:val="000000"/>
          <w:sz w:val="16"/>
          <w:szCs w:val="16"/>
        </w:rPr>
        <w:t xml:space="preserve"> visit within 12 months. Patients are assigned to clinicians based on the primary provider listed in the electronic medical record. This table includes data for </w:t>
      </w:r>
      <w:r w:rsidR="00AC0FEB" w:rsidRPr="008D2D91">
        <w:rPr>
          <w:rFonts w:eastAsia="Times New Roman" w:cs="Times New Roman"/>
          <w:color w:val="000000"/>
          <w:sz w:val="16"/>
          <w:szCs w:val="16"/>
        </w:rPr>
        <w:t>BILHPC Quincy</w:t>
      </w:r>
      <w:r w:rsidRPr="008D2D91">
        <w:rPr>
          <w:rFonts w:eastAsia="Times New Roman" w:cs="Times New Roman"/>
          <w:color w:val="000000"/>
          <w:sz w:val="16"/>
          <w:szCs w:val="16"/>
        </w:rPr>
        <w:t xml:space="preserve"> only and excludes deceased patients and inactive Athena patients.</w:t>
      </w:r>
    </w:p>
  </w:footnote>
  <w:footnote w:id="4">
    <w:p w14:paraId="70026AAE" w14:textId="3A6C5CF7" w:rsidR="00EA499A" w:rsidRPr="008D2D91" w:rsidRDefault="00EA499A">
      <w:pPr>
        <w:pStyle w:val="FootnoteText"/>
        <w:rPr>
          <w:sz w:val="16"/>
          <w:szCs w:val="16"/>
        </w:rPr>
      </w:pPr>
      <w:r w:rsidRPr="008D2D91">
        <w:rPr>
          <w:rStyle w:val="FootnoteReference"/>
          <w:sz w:val="16"/>
          <w:szCs w:val="16"/>
        </w:rPr>
        <w:footnoteRef/>
      </w:r>
      <w:r w:rsidRPr="008D2D91">
        <w:rPr>
          <w:sz w:val="16"/>
          <w:szCs w:val="16"/>
        </w:rPr>
        <w:t xml:space="preserve"> The Applicant is not able to provide more detailed information regarding gender, race, or ethnicity of the patient panel receiving urgent care in Quincy based on the source data. </w:t>
      </w:r>
    </w:p>
  </w:footnote>
  <w:footnote w:id="5">
    <w:p w14:paraId="57B2ECCB" w14:textId="76288DAC" w:rsidR="00EA499A" w:rsidRPr="008D2D91" w:rsidRDefault="00EA499A">
      <w:pPr>
        <w:pStyle w:val="FootnoteText"/>
        <w:rPr>
          <w:sz w:val="16"/>
          <w:szCs w:val="16"/>
        </w:rPr>
      </w:pPr>
    </w:p>
  </w:footnote>
  <w:footnote w:id="6">
    <w:p w14:paraId="40706388" w14:textId="1ECDC4FD" w:rsidR="00A00849" w:rsidRPr="008D2D91" w:rsidRDefault="00A00849" w:rsidP="00A00849">
      <w:pPr>
        <w:pStyle w:val="FootnoteText"/>
        <w:rPr>
          <w:rFonts w:cs="Times New Roman"/>
          <w:sz w:val="16"/>
          <w:szCs w:val="16"/>
        </w:rPr>
      </w:pPr>
      <w:r w:rsidRPr="008D2D91">
        <w:rPr>
          <w:rStyle w:val="FootnoteReference"/>
          <w:rFonts w:cs="Times New Roman"/>
          <w:sz w:val="16"/>
          <w:szCs w:val="16"/>
        </w:rPr>
        <w:footnoteRef/>
      </w:r>
      <w:r w:rsidRPr="008D2D91">
        <w:rPr>
          <w:rFonts w:cs="Times New Roman"/>
          <w:sz w:val="16"/>
          <w:szCs w:val="16"/>
        </w:rPr>
        <w:t xml:space="preserve"> </w:t>
      </w:r>
      <w:r w:rsidR="0018094E" w:rsidRPr="008D2D91">
        <w:rPr>
          <w:rFonts w:eastAsia="Calibri" w:cs="Times New Roman"/>
          <w:color w:val="000000" w:themeColor="text1"/>
          <w:sz w:val="16"/>
          <w:szCs w:val="16"/>
        </w:rPr>
        <w:t>MA Centers for Healthcare Information &amp; Analysis (2015-2021). This includes med/surg inpatient discharges from BID-Plymouth</w:t>
      </w:r>
      <w:r w:rsidR="00FC1749" w:rsidRPr="008D2D91">
        <w:rPr>
          <w:rFonts w:eastAsia="Calibri" w:cs="Times New Roman"/>
          <w:color w:val="000000" w:themeColor="text1"/>
          <w:sz w:val="16"/>
          <w:szCs w:val="16"/>
        </w:rPr>
        <w:t>’</w:t>
      </w:r>
      <w:r w:rsidR="0018094E" w:rsidRPr="008D2D91">
        <w:rPr>
          <w:rFonts w:eastAsia="Calibri" w:cs="Times New Roman"/>
          <w:color w:val="000000" w:themeColor="text1"/>
          <w:sz w:val="16"/>
          <w:szCs w:val="16"/>
        </w:rPr>
        <w:t xml:space="preserve">s </w:t>
      </w:r>
      <w:r w:rsidR="000A05A4" w:rsidRPr="008D2D91">
        <w:rPr>
          <w:rFonts w:eastAsia="Calibri" w:cs="Times New Roman"/>
          <w:color w:val="000000" w:themeColor="text1"/>
          <w:sz w:val="16"/>
          <w:szCs w:val="16"/>
        </w:rPr>
        <w:t>total service area</w:t>
      </w:r>
      <w:r w:rsidR="00762879" w:rsidRPr="008D2D91">
        <w:rPr>
          <w:rFonts w:eastAsia="Calibri" w:cs="Times New Roman"/>
          <w:color w:val="000000" w:themeColor="text1"/>
          <w:sz w:val="16"/>
          <w:szCs w:val="16"/>
        </w:rPr>
        <w:t>. This data only includes individuals 18 and older, and excludes</w:t>
      </w:r>
      <w:r w:rsidR="0018094E" w:rsidRPr="008D2D91">
        <w:rPr>
          <w:rFonts w:eastAsia="Calibri" w:cs="Times New Roman"/>
          <w:color w:val="000000" w:themeColor="text1"/>
          <w:sz w:val="16"/>
          <w:szCs w:val="16"/>
        </w:rPr>
        <w:t xml:space="preserve"> </w:t>
      </w:r>
      <w:r w:rsidR="00762879" w:rsidRPr="008D2D91">
        <w:rPr>
          <w:rFonts w:eastAsia="Calibri" w:cs="Times New Roman"/>
          <w:color w:val="000000" w:themeColor="text1"/>
          <w:sz w:val="16"/>
          <w:szCs w:val="16"/>
        </w:rPr>
        <w:t>p</w:t>
      </w:r>
      <w:r w:rsidR="0018094E" w:rsidRPr="008D2D91">
        <w:rPr>
          <w:rFonts w:eastAsia="Calibri" w:cs="Times New Roman"/>
          <w:color w:val="000000" w:themeColor="text1"/>
          <w:sz w:val="16"/>
          <w:szCs w:val="16"/>
        </w:rPr>
        <w:t>sych</w:t>
      </w:r>
      <w:r w:rsidR="00D74EC1" w:rsidRPr="008D2D91">
        <w:rPr>
          <w:rFonts w:eastAsia="Calibri" w:cs="Times New Roman"/>
          <w:color w:val="000000" w:themeColor="text1"/>
          <w:sz w:val="16"/>
          <w:szCs w:val="16"/>
        </w:rPr>
        <w:t xml:space="preserve"> </w:t>
      </w:r>
      <w:r w:rsidR="00762879" w:rsidRPr="008D2D91">
        <w:rPr>
          <w:rFonts w:eastAsia="Calibri" w:cs="Times New Roman"/>
          <w:color w:val="000000" w:themeColor="text1"/>
          <w:sz w:val="16"/>
          <w:szCs w:val="16"/>
        </w:rPr>
        <w:t xml:space="preserve">and obstetrics. </w:t>
      </w:r>
    </w:p>
  </w:footnote>
  <w:footnote w:id="7">
    <w:p w14:paraId="206EF426" w14:textId="07D2C5F4" w:rsidR="0002490A" w:rsidRPr="008D2D91" w:rsidRDefault="0002490A">
      <w:pPr>
        <w:pStyle w:val="FootnoteText"/>
        <w:rPr>
          <w:sz w:val="16"/>
          <w:szCs w:val="16"/>
        </w:rPr>
      </w:pPr>
      <w:r w:rsidRPr="008D2D91">
        <w:rPr>
          <w:rStyle w:val="FootnoteReference"/>
          <w:sz w:val="16"/>
          <w:szCs w:val="16"/>
        </w:rPr>
        <w:footnoteRef/>
      </w:r>
      <w:r w:rsidRPr="008D2D91">
        <w:rPr>
          <w:sz w:val="16"/>
          <w:szCs w:val="16"/>
        </w:rPr>
        <w:t xml:space="preserve"> Morgan Rousseau, </w:t>
      </w:r>
      <w:hyperlink r:id="rId1" w:history="1">
        <w:r w:rsidRPr="007C2E79">
          <w:rPr>
            <w:rStyle w:val="Hyperlink"/>
            <w:i/>
            <w:iCs/>
            <w:color w:val="auto"/>
            <w:sz w:val="16"/>
            <w:szCs w:val="16"/>
            <w:u w:val="none"/>
          </w:rPr>
          <w:t>Steward temporarily closes cancer unit at Brockton’s Good Samaritan hospital</w:t>
        </w:r>
      </w:hyperlink>
      <w:r w:rsidRPr="007C2E79">
        <w:rPr>
          <w:sz w:val="16"/>
          <w:szCs w:val="16"/>
        </w:rPr>
        <w:t xml:space="preserve">, </w:t>
      </w:r>
      <w:r w:rsidRPr="007C2E79">
        <w:rPr>
          <w:smallCaps/>
          <w:sz w:val="16"/>
          <w:szCs w:val="16"/>
        </w:rPr>
        <w:t>Boston</w:t>
      </w:r>
      <w:r w:rsidRPr="007C2E79">
        <w:rPr>
          <w:sz w:val="16"/>
          <w:szCs w:val="16"/>
        </w:rPr>
        <w:t xml:space="preserve"> </w:t>
      </w:r>
      <w:r w:rsidRPr="008D2D91">
        <w:rPr>
          <w:sz w:val="16"/>
          <w:szCs w:val="16"/>
        </w:rPr>
        <w:t>(April 20, 2024)</w:t>
      </w:r>
      <w:r w:rsidR="006F5EBD" w:rsidRPr="008D2D91">
        <w:rPr>
          <w:sz w:val="16"/>
          <w:szCs w:val="16"/>
        </w:rPr>
        <w:t xml:space="preserve">, </w:t>
      </w:r>
      <w:hyperlink r:id="rId2" w:history="1">
        <w:r w:rsidR="006F5EBD" w:rsidRPr="008D2D91">
          <w:rPr>
            <w:rStyle w:val="Hyperlink"/>
            <w:sz w:val="16"/>
            <w:szCs w:val="16"/>
          </w:rPr>
          <w:t>https://www.boston.com/news/local-news/2024/04/20/steward-temporarily-closes-cancer-unit-at-brocktons-good-samaritan-hospital/</w:t>
        </w:r>
      </w:hyperlink>
      <w:r w:rsidR="006F5EBD" w:rsidRPr="008D2D91">
        <w:rPr>
          <w:sz w:val="16"/>
          <w:szCs w:val="16"/>
        </w:rPr>
        <w:t xml:space="preserve">. </w:t>
      </w:r>
    </w:p>
  </w:footnote>
  <w:footnote w:id="8">
    <w:p w14:paraId="70591A91" w14:textId="33901C68" w:rsidR="007A4A18" w:rsidRPr="008D2D91" w:rsidRDefault="007A4A18">
      <w:pPr>
        <w:pStyle w:val="FootnoteText"/>
        <w:rPr>
          <w:rFonts w:cs="Times New Roman"/>
          <w:sz w:val="16"/>
          <w:szCs w:val="16"/>
        </w:rPr>
      </w:pPr>
      <w:r w:rsidRPr="008D2D91">
        <w:rPr>
          <w:rStyle w:val="FootnoteReference"/>
          <w:rFonts w:cs="Times New Roman"/>
          <w:sz w:val="16"/>
          <w:szCs w:val="16"/>
        </w:rPr>
        <w:footnoteRef/>
      </w:r>
      <w:r w:rsidRPr="008D2D91">
        <w:rPr>
          <w:rFonts w:cs="Times New Roman"/>
          <w:sz w:val="16"/>
          <w:szCs w:val="16"/>
        </w:rPr>
        <w:t xml:space="preserve"> Average wait time for new patient appointments to the hematology-oncology clinic is manually collected and denotes the time, in days,  between the appointment being scheduled and when the appointment actually takes place.</w:t>
      </w:r>
    </w:p>
  </w:footnote>
  <w:footnote w:id="9">
    <w:p w14:paraId="2AACAC65" w14:textId="7FA01C9A" w:rsidR="00A00849" w:rsidRPr="008D2D91" w:rsidRDefault="00A00849" w:rsidP="00A00849">
      <w:pPr>
        <w:pStyle w:val="FootnoteText"/>
        <w:rPr>
          <w:rFonts w:cs="Times New Roman"/>
          <w:sz w:val="16"/>
          <w:szCs w:val="16"/>
        </w:rPr>
      </w:pPr>
      <w:r w:rsidRPr="008D2D91">
        <w:rPr>
          <w:rStyle w:val="FootnoteReference"/>
          <w:rFonts w:cs="Times New Roman"/>
          <w:sz w:val="16"/>
          <w:szCs w:val="16"/>
        </w:rPr>
        <w:footnoteRef/>
      </w:r>
      <w:r w:rsidRPr="008D2D91">
        <w:rPr>
          <w:rFonts w:cs="Times New Roman"/>
          <w:sz w:val="16"/>
          <w:szCs w:val="16"/>
        </w:rPr>
        <w:t xml:space="preserve"> </w:t>
      </w:r>
      <w:r w:rsidR="008332C8" w:rsidRPr="008D2D91">
        <w:rPr>
          <w:rFonts w:cs="Times New Roman"/>
          <w:sz w:val="16"/>
          <w:szCs w:val="16"/>
        </w:rPr>
        <w:t>Growth projections were derived based on incremental provider and exam room capacity, at current-state provider and exam room productivity. The Satellite will add three  new physicians and one new advanced practice provider, and expand from 12 to 1</w:t>
      </w:r>
      <w:r w:rsidR="00D74EC1" w:rsidRPr="008D2D91">
        <w:rPr>
          <w:rFonts w:cs="Times New Roman"/>
          <w:sz w:val="16"/>
          <w:szCs w:val="16"/>
        </w:rPr>
        <w:t>7</w:t>
      </w:r>
      <w:r w:rsidR="008332C8" w:rsidRPr="008D2D91">
        <w:rPr>
          <w:rFonts w:cs="Times New Roman"/>
          <w:sz w:val="16"/>
          <w:szCs w:val="16"/>
        </w:rPr>
        <w:t xml:space="preserve"> exam rooms. Growth in infusion volume for medical oncology patients was based on the incremental growth in the hematology-oncology clinic and the addition of six infusion chairs, at current-state visits per chair per day at 3.58. Additionally, growth in infusion therapy was based on incremental specialist capacity and referrals and the addition of four  infusion chairs. </w:t>
      </w:r>
    </w:p>
  </w:footnote>
  <w:footnote w:id="10">
    <w:p w14:paraId="3D5E5803" w14:textId="77777777" w:rsidR="00A00849" w:rsidRPr="008D2D91" w:rsidRDefault="00A00849" w:rsidP="00A00849">
      <w:pPr>
        <w:pStyle w:val="FootnoteText"/>
        <w:rPr>
          <w:rFonts w:cs="Times New Roman"/>
          <w:sz w:val="16"/>
          <w:szCs w:val="16"/>
        </w:rPr>
      </w:pPr>
      <w:r w:rsidRPr="008D2D91">
        <w:rPr>
          <w:rStyle w:val="FootnoteReference"/>
          <w:rFonts w:cs="Times New Roman"/>
          <w:sz w:val="16"/>
          <w:szCs w:val="16"/>
        </w:rPr>
        <w:footnoteRef/>
      </w:r>
      <w:r w:rsidRPr="008D2D91">
        <w:rPr>
          <w:rFonts w:cs="Times New Roman"/>
          <w:sz w:val="16"/>
          <w:szCs w:val="16"/>
        </w:rPr>
        <w:t xml:space="preserve"> This projection was derived by using current state scheduling data and projecting out based on incremental addition of physicians and advanced practice practitioners. </w:t>
      </w:r>
    </w:p>
  </w:footnote>
  <w:footnote w:id="11">
    <w:p w14:paraId="67634334" w14:textId="6AB9A2D4" w:rsidR="00A00849" w:rsidRPr="008D2D91" w:rsidRDefault="00A00849" w:rsidP="00A00849">
      <w:pPr>
        <w:pStyle w:val="FootnoteText"/>
        <w:rPr>
          <w:rFonts w:cs="Times New Roman"/>
          <w:sz w:val="16"/>
          <w:szCs w:val="16"/>
        </w:rPr>
      </w:pPr>
      <w:r w:rsidRPr="008D2D91">
        <w:rPr>
          <w:rStyle w:val="FootnoteReference"/>
          <w:rFonts w:cs="Times New Roman"/>
          <w:sz w:val="16"/>
          <w:szCs w:val="16"/>
        </w:rPr>
        <w:footnoteRef/>
      </w:r>
      <w:r w:rsidRPr="008D2D91">
        <w:rPr>
          <w:rFonts w:cs="Times New Roman"/>
          <w:sz w:val="16"/>
          <w:szCs w:val="16"/>
        </w:rPr>
        <w:t xml:space="preserve"> This projection was derived based on the benchmark of </w:t>
      </w:r>
      <w:r w:rsidR="00FE4BF6" w:rsidRPr="008D2D91">
        <w:rPr>
          <w:rFonts w:cs="Times New Roman"/>
          <w:sz w:val="16"/>
          <w:szCs w:val="16"/>
        </w:rPr>
        <w:t>two</w:t>
      </w:r>
      <w:r w:rsidRPr="008D2D91">
        <w:rPr>
          <w:rFonts w:cs="Times New Roman"/>
          <w:sz w:val="16"/>
          <w:szCs w:val="16"/>
        </w:rPr>
        <w:t xml:space="preserve"> infusions per chair per day in the first year that the clinic is in service, and ramping up to </w:t>
      </w:r>
      <w:r w:rsidR="00D74EC1" w:rsidRPr="008D2D91">
        <w:rPr>
          <w:rFonts w:cs="Times New Roman"/>
          <w:sz w:val="16"/>
          <w:szCs w:val="16"/>
        </w:rPr>
        <w:t>three</w:t>
      </w:r>
      <w:r w:rsidRPr="008D2D91">
        <w:rPr>
          <w:rFonts w:cs="Times New Roman"/>
          <w:sz w:val="16"/>
          <w:szCs w:val="16"/>
        </w:rPr>
        <w:t xml:space="preserve"> infusions per chair per day in the clinics fifth year in service. </w:t>
      </w:r>
    </w:p>
  </w:footnote>
  <w:footnote w:id="12">
    <w:p w14:paraId="6616131B" w14:textId="74C4AC40" w:rsidR="00A00849" w:rsidRPr="008D2D91" w:rsidRDefault="00A00849" w:rsidP="00A00849">
      <w:pPr>
        <w:pStyle w:val="FootnoteText"/>
        <w:rPr>
          <w:rFonts w:cs="Times New Roman"/>
          <w:sz w:val="16"/>
          <w:szCs w:val="16"/>
        </w:rPr>
      </w:pPr>
      <w:r w:rsidRPr="008D2D91">
        <w:rPr>
          <w:rStyle w:val="FootnoteReference"/>
          <w:rFonts w:cs="Times New Roman"/>
          <w:sz w:val="16"/>
          <w:szCs w:val="16"/>
        </w:rPr>
        <w:footnoteRef/>
      </w:r>
      <w:r w:rsidRPr="008D2D91">
        <w:rPr>
          <w:rFonts w:cs="Times New Roman"/>
          <w:sz w:val="16"/>
          <w:szCs w:val="16"/>
        </w:rPr>
        <w:t xml:space="preserve"> </w:t>
      </w:r>
      <w:hyperlink r:id="rId3" w:history="1">
        <w:r w:rsidRPr="00680799">
          <w:rPr>
            <w:rStyle w:val="Hyperlink"/>
            <w:rFonts w:cs="Times New Roman"/>
            <w:color w:val="auto"/>
            <w:sz w:val="16"/>
            <w:szCs w:val="16"/>
            <w:u w:val="none"/>
          </w:rPr>
          <w:t>Cancer Incidence Estimator</w:t>
        </w:r>
      </w:hyperlink>
      <w:r w:rsidRPr="00680799">
        <w:rPr>
          <w:rFonts w:cs="Times New Roman"/>
          <w:sz w:val="16"/>
          <w:szCs w:val="16"/>
        </w:rPr>
        <w:t xml:space="preserve">, </w:t>
      </w:r>
      <w:r w:rsidRPr="008D2D91">
        <w:rPr>
          <w:rFonts w:cs="Times New Roman"/>
          <w:sz w:val="16"/>
          <w:szCs w:val="16"/>
        </w:rPr>
        <w:t>A</w:t>
      </w:r>
      <w:r w:rsidRPr="008D2D91">
        <w:rPr>
          <w:rFonts w:cs="Times New Roman"/>
          <w:smallCaps/>
          <w:sz w:val="16"/>
          <w:szCs w:val="16"/>
        </w:rPr>
        <w:t>DVISORY BOARD</w:t>
      </w:r>
      <w:r w:rsidRPr="008D2D91">
        <w:rPr>
          <w:rFonts w:cs="Times New Roman"/>
          <w:sz w:val="16"/>
          <w:szCs w:val="16"/>
        </w:rPr>
        <w:t xml:space="preserve">, </w:t>
      </w:r>
      <w:hyperlink r:id="rId4" w:history="1">
        <w:r w:rsidR="00680799" w:rsidRPr="0073152B">
          <w:rPr>
            <w:rStyle w:val="Hyperlink"/>
            <w:rFonts w:cs="Times New Roman"/>
            <w:sz w:val="16"/>
            <w:szCs w:val="16"/>
          </w:rPr>
          <w:t>https://www.advisory.com/topics/oncology/2020/06/cancer-incidence-estimator</w:t>
        </w:r>
      </w:hyperlink>
      <w:r w:rsidR="00680799">
        <w:rPr>
          <w:rFonts w:cs="Times New Roman"/>
          <w:sz w:val="16"/>
          <w:szCs w:val="16"/>
        </w:rPr>
        <w:t xml:space="preserve"> </w:t>
      </w:r>
    </w:p>
    <w:p w14:paraId="77E7DE41" w14:textId="77777777" w:rsidR="00A00849" w:rsidRPr="008D2D91" w:rsidRDefault="00A00849" w:rsidP="00A00849">
      <w:pPr>
        <w:pStyle w:val="FootnoteText"/>
        <w:rPr>
          <w:rFonts w:cs="Times New Roman"/>
          <w:sz w:val="16"/>
          <w:szCs w:val="16"/>
        </w:rPr>
      </w:pPr>
      <w:r w:rsidRPr="008D2D91">
        <w:rPr>
          <w:rFonts w:cs="Times New Roman"/>
          <w:sz w:val="16"/>
          <w:szCs w:val="16"/>
        </w:rPr>
        <w:t>(</w:t>
      </w:r>
      <w:proofErr w:type="gramStart"/>
      <w:r w:rsidRPr="008D2D91">
        <w:rPr>
          <w:rFonts w:cs="Times New Roman"/>
          <w:sz w:val="16"/>
          <w:szCs w:val="16"/>
        </w:rPr>
        <w:t>last</w:t>
      </w:r>
      <w:proofErr w:type="gramEnd"/>
      <w:r w:rsidRPr="008D2D91">
        <w:rPr>
          <w:rFonts w:cs="Times New Roman"/>
          <w:sz w:val="16"/>
          <w:szCs w:val="16"/>
        </w:rPr>
        <w:t xml:space="preserve"> visited June. 6, 2024).</w:t>
      </w:r>
    </w:p>
  </w:footnote>
  <w:footnote w:id="13">
    <w:p w14:paraId="15464F96" w14:textId="4F8BFD8F" w:rsidR="00A00849" w:rsidRPr="008D2D91" w:rsidRDefault="00A00849" w:rsidP="00A00849">
      <w:pPr>
        <w:pStyle w:val="FootnoteText"/>
        <w:rPr>
          <w:rFonts w:cs="Times New Roman"/>
          <w:sz w:val="16"/>
          <w:szCs w:val="16"/>
        </w:rPr>
      </w:pPr>
      <w:r w:rsidRPr="008D2D91">
        <w:rPr>
          <w:rStyle w:val="FootnoteReference"/>
          <w:rFonts w:cs="Times New Roman"/>
          <w:sz w:val="16"/>
          <w:szCs w:val="16"/>
        </w:rPr>
        <w:footnoteRef/>
      </w:r>
      <w:r w:rsidR="00631BF4" w:rsidRPr="008D2D91">
        <w:rPr>
          <w:rFonts w:cs="Times New Roman"/>
          <w:sz w:val="16"/>
          <w:szCs w:val="16"/>
        </w:rPr>
        <w:t>The Quincy region includes Avon, Braintree, Canton, Cohasset, Hanover, Hingham, Holbrook, Marshfield, Milton, Norwell, Quincy, Randolph, Rockland, Scituate, and Weymouth</w:t>
      </w:r>
      <w:r w:rsidR="00C0052C" w:rsidRPr="008D2D91">
        <w:rPr>
          <w:rFonts w:cs="Times New Roman"/>
          <w:sz w:val="16"/>
          <w:szCs w:val="16"/>
        </w:rPr>
        <w:t xml:space="preserve"> </w:t>
      </w:r>
      <w:r w:rsidR="00631BF4" w:rsidRPr="008D2D91">
        <w:rPr>
          <w:rFonts w:cs="Times New Roman"/>
          <w:sz w:val="16"/>
          <w:szCs w:val="16"/>
        </w:rPr>
        <w:t>Population statistics from 2024 Sg2 Claritas Pop Facts. Population growth forecasted for 5-Years (2021 – 2026).</w:t>
      </w:r>
    </w:p>
  </w:footnote>
  <w:footnote w:id="14">
    <w:p w14:paraId="726DE4FC" w14:textId="7D5B8BD4" w:rsidR="00631BF4" w:rsidRPr="008D2D91" w:rsidRDefault="00631BF4" w:rsidP="00631BF4">
      <w:pPr>
        <w:pStyle w:val="FootnoteText"/>
        <w:rPr>
          <w:rFonts w:cs="Times New Roman"/>
          <w:sz w:val="16"/>
          <w:szCs w:val="16"/>
        </w:rPr>
      </w:pPr>
      <w:r w:rsidRPr="008D2D91">
        <w:rPr>
          <w:rStyle w:val="FootnoteReference"/>
          <w:rFonts w:cs="Times New Roman"/>
          <w:sz w:val="16"/>
          <w:szCs w:val="16"/>
        </w:rPr>
        <w:footnoteRef/>
      </w:r>
      <w:r w:rsidRPr="008D2D91">
        <w:rPr>
          <w:rFonts w:cs="Times New Roman"/>
          <w:sz w:val="16"/>
          <w:szCs w:val="16"/>
        </w:rPr>
        <w:t>Real Estate Strategies Ambulatory Planning Tool, STRATUS (2022).</w:t>
      </w:r>
    </w:p>
  </w:footnote>
  <w:footnote w:id="15">
    <w:p w14:paraId="214CD8A8" w14:textId="58CAD4BC" w:rsidR="004633CC" w:rsidRPr="008D2D91" w:rsidRDefault="004633CC">
      <w:pPr>
        <w:pStyle w:val="FootnoteText"/>
        <w:rPr>
          <w:sz w:val="16"/>
          <w:szCs w:val="16"/>
        </w:rPr>
      </w:pPr>
      <w:r w:rsidRPr="008D2D91">
        <w:rPr>
          <w:rStyle w:val="FootnoteReference"/>
          <w:sz w:val="16"/>
          <w:szCs w:val="16"/>
        </w:rPr>
        <w:footnoteRef/>
      </w:r>
      <w:r w:rsidRPr="008D2D91">
        <w:rPr>
          <w:sz w:val="16"/>
          <w:szCs w:val="16"/>
        </w:rPr>
        <w:t xml:space="preserve"> </w:t>
      </w:r>
      <w:r w:rsidR="00D57388" w:rsidRPr="008D2D91">
        <w:rPr>
          <w:sz w:val="16"/>
          <w:szCs w:val="16"/>
        </w:rPr>
        <w:t xml:space="preserve">Massimo </w:t>
      </w:r>
      <w:proofErr w:type="spellStart"/>
      <w:r w:rsidR="00D57388" w:rsidRPr="008D2D91">
        <w:rPr>
          <w:sz w:val="16"/>
          <w:szCs w:val="16"/>
        </w:rPr>
        <w:t>Ambroggi</w:t>
      </w:r>
      <w:proofErr w:type="spellEnd"/>
      <w:r w:rsidR="00D57388" w:rsidRPr="008D2D91">
        <w:rPr>
          <w:sz w:val="16"/>
          <w:szCs w:val="16"/>
        </w:rPr>
        <w:t>, et al.,</w:t>
      </w:r>
      <w:r w:rsidR="00D57388" w:rsidRPr="008D2D91">
        <w:rPr>
          <w:i/>
          <w:iCs/>
          <w:sz w:val="16"/>
          <w:szCs w:val="16"/>
        </w:rPr>
        <w:t xml:space="preserve"> Distance as a Barrier to Cancer Diagnosis and Treatment: Review of the Literature</w:t>
      </w:r>
      <w:r w:rsidR="00D57388" w:rsidRPr="008D2D91">
        <w:rPr>
          <w:sz w:val="16"/>
          <w:szCs w:val="16"/>
        </w:rPr>
        <w:t xml:space="preserve">, </w:t>
      </w:r>
      <w:r w:rsidR="00D57388" w:rsidRPr="008D2D91">
        <w:rPr>
          <w:smallCaps/>
          <w:sz w:val="16"/>
          <w:szCs w:val="16"/>
        </w:rPr>
        <w:t>oncologist</w:t>
      </w:r>
      <w:r w:rsidR="00D57388" w:rsidRPr="008D2D91">
        <w:rPr>
          <w:sz w:val="16"/>
          <w:szCs w:val="16"/>
        </w:rPr>
        <w:t xml:space="preserve"> (Dec. 20, 2015). </w:t>
      </w:r>
    </w:p>
  </w:footnote>
  <w:footnote w:id="16">
    <w:p w14:paraId="5041EEA6" w14:textId="23210C33" w:rsidR="00D57388" w:rsidRPr="008D2D91" w:rsidRDefault="00D57388">
      <w:pPr>
        <w:pStyle w:val="FootnoteText"/>
        <w:rPr>
          <w:i/>
          <w:iCs/>
          <w:sz w:val="16"/>
          <w:szCs w:val="16"/>
        </w:rPr>
      </w:pPr>
      <w:r w:rsidRPr="008D2D91">
        <w:rPr>
          <w:rStyle w:val="FootnoteReference"/>
          <w:sz w:val="16"/>
          <w:szCs w:val="16"/>
        </w:rPr>
        <w:footnoteRef/>
      </w:r>
      <w:r w:rsidRPr="008D2D91">
        <w:rPr>
          <w:sz w:val="16"/>
          <w:szCs w:val="16"/>
        </w:rPr>
        <w:t xml:space="preserve"> </w:t>
      </w:r>
      <w:r w:rsidR="00EF27A9" w:rsidRPr="008D2D91">
        <w:rPr>
          <w:i/>
          <w:iCs/>
          <w:sz w:val="16"/>
          <w:szCs w:val="16"/>
        </w:rPr>
        <w:t xml:space="preserve">Id. </w:t>
      </w:r>
    </w:p>
  </w:footnote>
  <w:footnote w:id="17">
    <w:p w14:paraId="7841419F" w14:textId="77777777" w:rsidR="003A4290" w:rsidRPr="008D2D91" w:rsidRDefault="003A4290" w:rsidP="003A4290">
      <w:pPr>
        <w:pStyle w:val="FootnoteText"/>
        <w:rPr>
          <w:smallCaps/>
          <w:sz w:val="16"/>
          <w:szCs w:val="16"/>
        </w:rPr>
      </w:pPr>
      <w:r w:rsidRPr="008D2D91">
        <w:rPr>
          <w:rStyle w:val="FootnoteReference"/>
          <w:sz w:val="16"/>
          <w:szCs w:val="16"/>
        </w:rPr>
        <w:footnoteRef/>
      </w:r>
      <w:r w:rsidRPr="008D2D91">
        <w:rPr>
          <w:sz w:val="16"/>
          <w:szCs w:val="16"/>
        </w:rPr>
        <w:t xml:space="preserve"> Jennifer Tsui, PhD, MPH, et al., </w:t>
      </w:r>
      <w:r w:rsidRPr="008D2D91">
        <w:rPr>
          <w:i/>
          <w:iCs/>
          <w:sz w:val="16"/>
          <w:szCs w:val="16"/>
        </w:rPr>
        <w:t>Patterns in Geographic Access to Health Care Facilities Across Neighborhoods in the United States Based on Data From the National Establishment Time-Series Between 2000 and 2014</w:t>
      </w:r>
      <w:r w:rsidRPr="008D2D91">
        <w:rPr>
          <w:sz w:val="16"/>
          <w:szCs w:val="16"/>
        </w:rPr>
        <w:t xml:space="preserve">, </w:t>
      </w:r>
      <w:r w:rsidRPr="008D2D91">
        <w:rPr>
          <w:smallCaps/>
          <w:sz w:val="16"/>
          <w:szCs w:val="16"/>
        </w:rPr>
        <w:t xml:space="preserve">JAMA </w:t>
      </w:r>
      <w:proofErr w:type="spellStart"/>
      <w:r w:rsidRPr="008D2D91">
        <w:rPr>
          <w:smallCaps/>
          <w:sz w:val="16"/>
          <w:szCs w:val="16"/>
        </w:rPr>
        <w:t>Netw</w:t>
      </w:r>
      <w:proofErr w:type="spellEnd"/>
      <w:r w:rsidRPr="008D2D91">
        <w:rPr>
          <w:smallCaps/>
          <w:sz w:val="16"/>
          <w:szCs w:val="16"/>
        </w:rPr>
        <w:t xml:space="preserve"> Open</w:t>
      </w:r>
      <w:r w:rsidRPr="008D2D91">
        <w:rPr>
          <w:sz w:val="16"/>
          <w:szCs w:val="16"/>
        </w:rPr>
        <w:t xml:space="preserve">. 2020. </w:t>
      </w:r>
    </w:p>
  </w:footnote>
  <w:footnote w:id="18">
    <w:p w14:paraId="207AAE75" w14:textId="77777777" w:rsidR="003A4290" w:rsidRPr="008D2D91" w:rsidRDefault="003A4290" w:rsidP="003A4290">
      <w:pPr>
        <w:pStyle w:val="FootnoteText"/>
        <w:rPr>
          <w:sz w:val="16"/>
          <w:szCs w:val="16"/>
        </w:rPr>
      </w:pPr>
      <w:r w:rsidRPr="008D2D91">
        <w:rPr>
          <w:rStyle w:val="FootnoteReference"/>
          <w:sz w:val="16"/>
          <w:szCs w:val="16"/>
        </w:rPr>
        <w:footnoteRef/>
      </w:r>
      <w:r w:rsidRPr="008D2D91">
        <w:rPr>
          <w:sz w:val="16"/>
          <w:szCs w:val="16"/>
        </w:rPr>
        <w:t xml:space="preserve"> </w:t>
      </w:r>
      <w:r w:rsidRPr="008D2D91">
        <w:rPr>
          <w:i/>
          <w:iCs/>
          <w:sz w:val="16"/>
          <w:szCs w:val="16"/>
        </w:rPr>
        <w:t>See</w:t>
      </w:r>
      <w:r w:rsidRPr="008D2D91">
        <w:rPr>
          <w:sz w:val="16"/>
          <w:szCs w:val="16"/>
        </w:rPr>
        <w:t xml:space="preserve"> </w:t>
      </w:r>
      <w:proofErr w:type="spellStart"/>
      <w:r w:rsidRPr="008D2D91">
        <w:rPr>
          <w:sz w:val="16"/>
          <w:szCs w:val="16"/>
        </w:rPr>
        <w:t>Aljurf</w:t>
      </w:r>
      <w:proofErr w:type="spellEnd"/>
      <w:r w:rsidRPr="008D2D91">
        <w:rPr>
          <w:sz w:val="16"/>
          <w:szCs w:val="16"/>
        </w:rPr>
        <w:t xml:space="preserve"> M, Majhail NS, et al.,</w:t>
      </w:r>
      <w:r w:rsidRPr="008D2D91">
        <w:rPr>
          <w:i/>
          <w:iCs/>
          <w:sz w:val="16"/>
          <w:szCs w:val="16"/>
        </w:rPr>
        <w:t xml:space="preserve"> </w:t>
      </w:r>
      <w:r w:rsidRPr="008D2D91">
        <w:rPr>
          <w:sz w:val="16"/>
          <w:szCs w:val="16"/>
        </w:rPr>
        <w:t>The Comprehensive Cancer Center: Development, Integration, and Implementation, Cham (CH): Springer; 2022.</w:t>
      </w:r>
    </w:p>
  </w:footnote>
  <w:footnote w:id="19">
    <w:p w14:paraId="57F91493" w14:textId="77777777" w:rsidR="0002490A" w:rsidRPr="008D2D91" w:rsidRDefault="0002490A" w:rsidP="0002490A">
      <w:pPr>
        <w:pStyle w:val="FootnoteText"/>
        <w:rPr>
          <w:sz w:val="16"/>
          <w:szCs w:val="16"/>
        </w:rPr>
      </w:pPr>
      <w:r w:rsidRPr="008D2D91">
        <w:rPr>
          <w:rStyle w:val="FootnoteReference"/>
          <w:sz w:val="16"/>
          <w:szCs w:val="16"/>
        </w:rPr>
        <w:footnoteRef/>
      </w:r>
      <w:r w:rsidRPr="008D2D91">
        <w:rPr>
          <w:sz w:val="16"/>
          <w:szCs w:val="16"/>
        </w:rPr>
        <w:t xml:space="preserve"> </w:t>
      </w:r>
      <w:r w:rsidRPr="008D2D91">
        <w:rPr>
          <w:i/>
          <w:iCs/>
          <w:sz w:val="16"/>
          <w:szCs w:val="16"/>
        </w:rPr>
        <w:t>See</w:t>
      </w:r>
      <w:r w:rsidRPr="008D2D91">
        <w:rPr>
          <w:sz w:val="16"/>
          <w:szCs w:val="16"/>
        </w:rPr>
        <w:t xml:space="preserve"> </w:t>
      </w:r>
      <w:proofErr w:type="spellStart"/>
      <w:r w:rsidRPr="008D2D91">
        <w:rPr>
          <w:sz w:val="16"/>
          <w:szCs w:val="16"/>
        </w:rPr>
        <w:t>Herolind</w:t>
      </w:r>
      <w:proofErr w:type="spellEnd"/>
      <w:r w:rsidRPr="008D2D91">
        <w:rPr>
          <w:sz w:val="16"/>
          <w:szCs w:val="16"/>
        </w:rPr>
        <w:t xml:space="preserve"> Jusufi &amp; Nicholas Boivin,</w:t>
      </w:r>
      <w:r w:rsidRPr="008D2D91">
        <w:rPr>
          <w:sz w:val="16"/>
          <w:szCs w:val="16"/>
          <w:vertAlign w:val="superscript"/>
        </w:rPr>
        <w:t xml:space="preserve"> </w:t>
      </w:r>
      <w:r w:rsidRPr="008D2D91">
        <w:rPr>
          <w:sz w:val="16"/>
          <w:szCs w:val="16"/>
        </w:rPr>
        <w:t xml:space="preserve">Navigating Access and Optimizing Medication Infusions in an Academic Medical Center: A Quality Improvement Study, Pharmacy (Basel) (Jun. 30, 2023). </w:t>
      </w:r>
    </w:p>
  </w:footnote>
  <w:footnote w:id="20">
    <w:p w14:paraId="07558A5E" w14:textId="7D97BA12" w:rsidR="00C166E9" w:rsidRPr="008D2D91" w:rsidRDefault="00C166E9" w:rsidP="00C166E9">
      <w:pPr>
        <w:pStyle w:val="FootnoteText"/>
        <w:rPr>
          <w:rFonts w:cs="Times New Roman"/>
          <w:sz w:val="16"/>
          <w:szCs w:val="16"/>
        </w:rPr>
      </w:pPr>
      <w:r w:rsidRPr="008D2D91">
        <w:rPr>
          <w:rStyle w:val="FootnoteReference"/>
          <w:rFonts w:cs="Times New Roman"/>
          <w:sz w:val="16"/>
          <w:szCs w:val="16"/>
        </w:rPr>
        <w:footnoteRef/>
      </w:r>
      <w:r w:rsidRPr="008D2D91">
        <w:rPr>
          <w:rFonts w:cs="Times New Roman"/>
          <w:sz w:val="16"/>
          <w:szCs w:val="16"/>
        </w:rPr>
        <w:t xml:space="preserve"> </w:t>
      </w:r>
      <w:r w:rsidRPr="008D2D91">
        <w:rPr>
          <w:rFonts w:eastAsia="Calibri" w:cs="Times New Roman"/>
          <w:color w:val="000000" w:themeColor="text1"/>
          <w:sz w:val="16"/>
          <w:szCs w:val="16"/>
        </w:rPr>
        <w:t xml:space="preserve"> Real Estate Strategies Ambulatory Planning Tool, STRATUS (2022)</w:t>
      </w:r>
      <w:r w:rsidR="00492263" w:rsidRPr="008D2D91">
        <w:rPr>
          <w:rFonts w:eastAsia="Calibri" w:cs="Times New Roman"/>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5EFF1" w14:textId="6D06D3E9" w:rsidR="007602E1" w:rsidRPr="00586F53" w:rsidRDefault="007602E1">
    <w:pPr>
      <w:pStyle w:val="Header"/>
      <w:rPr>
        <w:rFonts w:cs="Times New Roman"/>
      </w:rPr>
    </w:pPr>
    <w:r w:rsidRPr="00586F53">
      <w:rPr>
        <w:rFonts w:cs="Times New Roman"/>
      </w:rPr>
      <w:t>Beth Israel Lahey Health</w:t>
    </w:r>
    <w:r w:rsidR="009347F2">
      <w:rPr>
        <w:rFonts w:cs="Times New Roman"/>
      </w:rPr>
      <w:t>, Inc.</w:t>
    </w:r>
    <w:r>
      <w:rPr>
        <w:rFonts w:cs="Times New Roman"/>
      </w:rPr>
      <w:tab/>
    </w:r>
    <w:r>
      <w:rPr>
        <w:rFonts w:cs="Times New Roman"/>
      </w:rPr>
      <w:tab/>
    </w:r>
    <w:r w:rsidR="00AE7945" w:rsidRPr="00AE7945">
      <w:rPr>
        <w:rFonts w:cs="Times New Roman"/>
      </w:rPr>
      <w:t>BILH-24080714-HE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AFA"/>
    <w:multiLevelType w:val="hybridMultilevel"/>
    <w:tmpl w:val="78DC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006A0"/>
    <w:multiLevelType w:val="hybridMultilevel"/>
    <w:tmpl w:val="83AA7EE0"/>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FFFFFFFF">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3" w15:restartNumberingAfterBreak="0">
    <w:nsid w:val="18C74C87"/>
    <w:multiLevelType w:val="hybridMultilevel"/>
    <w:tmpl w:val="3C22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C5CCC"/>
    <w:multiLevelType w:val="hybridMultilevel"/>
    <w:tmpl w:val="877C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87B5D"/>
    <w:multiLevelType w:val="hybridMultilevel"/>
    <w:tmpl w:val="2C2ACA58"/>
    <w:lvl w:ilvl="0" w:tplc="3F4E1DA6">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6B77F7"/>
    <w:multiLevelType w:val="hybridMultilevel"/>
    <w:tmpl w:val="5E74DCE8"/>
    <w:lvl w:ilvl="0" w:tplc="3DD6C684">
      <w:start w:val="1"/>
      <w:numFmt w:val="decimal"/>
      <w:lvlText w:val="%1."/>
      <w:lvlJc w:val="left"/>
      <w:pPr>
        <w:ind w:left="380" w:hanging="360"/>
      </w:pPr>
      <w:rPr>
        <w:rFonts w:cstheme="minorBidi"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8" w15:restartNumberingAfterBreak="0">
    <w:nsid w:val="370C161A"/>
    <w:multiLevelType w:val="hybridMultilevel"/>
    <w:tmpl w:val="484AA48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7532C"/>
    <w:multiLevelType w:val="hybridMultilevel"/>
    <w:tmpl w:val="296CA324"/>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1E64B4"/>
    <w:multiLevelType w:val="hybridMultilevel"/>
    <w:tmpl w:val="FF7AB6CC"/>
    <w:lvl w:ilvl="0" w:tplc="4C76DD2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C0383"/>
    <w:multiLevelType w:val="hybridMultilevel"/>
    <w:tmpl w:val="94CA9D60"/>
    <w:lvl w:ilvl="0" w:tplc="D542DD48">
      <w:start w:val="1"/>
      <w:numFmt w:val="decimal"/>
      <w:lvlText w:val="%1."/>
      <w:lvlJc w:val="left"/>
      <w:pPr>
        <w:ind w:left="380" w:hanging="360"/>
      </w:pPr>
      <w:rPr>
        <w:rFonts w:hint="default"/>
      </w:rPr>
    </w:lvl>
    <w:lvl w:ilvl="1" w:tplc="FAC638A2">
      <w:start w:val="1"/>
      <w:numFmt w:val="lowerLetter"/>
      <w:lvlText w:val="%2."/>
      <w:lvlJc w:val="left"/>
      <w:pPr>
        <w:ind w:left="1100" w:hanging="360"/>
      </w:pPr>
      <w:rPr>
        <w:b/>
        <w:bCs/>
      </w:r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15:restartNumberingAfterBreak="0">
    <w:nsid w:val="476E18FD"/>
    <w:multiLevelType w:val="hybridMultilevel"/>
    <w:tmpl w:val="D4E4E4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D150B"/>
    <w:multiLevelType w:val="hybridMultilevel"/>
    <w:tmpl w:val="0BC002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BB2934"/>
    <w:multiLevelType w:val="hybridMultilevel"/>
    <w:tmpl w:val="1C5A16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53170F9"/>
    <w:multiLevelType w:val="hybridMultilevel"/>
    <w:tmpl w:val="8F2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C3FCB"/>
    <w:multiLevelType w:val="hybridMultilevel"/>
    <w:tmpl w:val="8A6236D2"/>
    <w:lvl w:ilvl="0" w:tplc="EF2862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FA75B8"/>
    <w:multiLevelType w:val="hybridMultilevel"/>
    <w:tmpl w:val="E75C445E"/>
    <w:lvl w:ilvl="0" w:tplc="04090015">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8" w15:restartNumberingAfterBreak="0">
    <w:nsid w:val="60AE3318"/>
    <w:multiLevelType w:val="hybridMultilevel"/>
    <w:tmpl w:val="6D14FB6C"/>
    <w:lvl w:ilvl="0" w:tplc="EFF2C718">
      <w:start w:val="20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376F6"/>
    <w:multiLevelType w:val="multilevel"/>
    <w:tmpl w:val="C578284A"/>
    <w:name w:val="RBU"/>
    <w:lvl w:ilvl="0">
      <w:start w:val="1"/>
      <w:numFmt w:val="bullet"/>
      <w:lvlRestart w:val="0"/>
      <w:pStyle w:val="RBUBullets"/>
      <w:lvlText w:val=""/>
      <w:lvlJc w:val="left"/>
      <w:pPr>
        <w:ind w:left="36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20" w15:restartNumberingAfterBreak="0">
    <w:nsid w:val="6BAE505E"/>
    <w:multiLevelType w:val="hybridMultilevel"/>
    <w:tmpl w:val="25D49C44"/>
    <w:lvl w:ilvl="0" w:tplc="1F3EE6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12566E"/>
    <w:multiLevelType w:val="hybridMultilevel"/>
    <w:tmpl w:val="B57E1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60072E"/>
    <w:multiLevelType w:val="hybridMultilevel"/>
    <w:tmpl w:val="3568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8511131">
    <w:abstractNumId w:val="4"/>
  </w:num>
  <w:num w:numId="2" w16cid:durableId="749733987">
    <w:abstractNumId w:val="1"/>
  </w:num>
  <w:num w:numId="3" w16cid:durableId="609820934">
    <w:abstractNumId w:val="13"/>
  </w:num>
  <w:num w:numId="4" w16cid:durableId="796870824">
    <w:abstractNumId w:val="20"/>
  </w:num>
  <w:num w:numId="5" w16cid:durableId="240990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7013892">
    <w:abstractNumId w:val="15"/>
  </w:num>
  <w:num w:numId="7" w16cid:durableId="187574032">
    <w:abstractNumId w:val="17"/>
  </w:num>
  <w:num w:numId="8" w16cid:durableId="1954093526">
    <w:abstractNumId w:val="6"/>
  </w:num>
  <w:num w:numId="9" w16cid:durableId="20015746">
    <w:abstractNumId w:val="19"/>
  </w:num>
  <w:num w:numId="10" w16cid:durableId="1161189681">
    <w:abstractNumId w:val="8"/>
  </w:num>
  <w:num w:numId="11" w16cid:durableId="803735136">
    <w:abstractNumId w:val="0"/>
  </w:num>
  <w:num w:numId="12" w16cid:durableId="1246839548">
    <w:abstractNumId w:val="11"/>
  </w:num>
  <w:num w:numId="13" w16cid:durableId="1514340382">
    <w:abstractNumId w:val="12"/>
  </w:num>
  <w:num w:numId="14" w16cid:durableId="1850484531">
    <w:abstractNumId w:val="16"/>
  </w:num>
  <w:num w:numId="15" w16cid:durableId="24913951">
    <w:abstractNumId w:val="22"/>
  </w:num>
  <w:num w:numId="16" w16cid:durableId="638613175">
    <w:abstractNumId w:val="5"/>
  </w:num>
  <w:num w:numId="17" w16cid:durableId="1354265994">
    <w:abstractNumId w:val="18"/>
  </w:num>
  <w:num w:numId="18" w16cid:durableId="190800530">
    <w:abstractNumId w:val="10"/>
  </w:num>
  <w:num w:numId="19" w16cid:durableId="279384115">
    <w:abstractNumId w:val="21"/>
  </w:num>
  <w:num w:numId="20" w16cid:durableId="1451436181">
    <w:abstractNumId w:val="2"/>
  </w:num>
  <w:num w:numId="21" w16cid:durableId="1493331275">
    <w:abstractNumId w:val="9"/>
  </w:num>
  <w:num w:numId="22" w16cid:durableId="1921134542">
    <w:abstractNumId w:val="7"/>
  </w:num>
  <w:num w:numId="23" w16cid:durableId="38171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gacyDocID" w:val="False"/>
  </w:docVars>
  <w:rsids>
    <w:rsidRoot w:val="00024D21"/>
    <w:rsid w:val="00003238"/>
    <w:rsid w:val="00007184"/>
    <w:rsid w:val="00011F48"/>
    <w:rsid w:val="000153E7"/>
    <w:rsid w:val="00015BFD"/>
    <w:rsid w:val="000177B9"/>
    <w:rsid w:val="0002490A"/>
    <w:rsid w:val="00024D21"/>
    <w:rsid w:val="00033DDD"/>
    <w:rsid w:val="00035F95"/>
    <w:rsid w:val="00041DA8"/>
    <w:rsid w:val="00061F9C"/>
    <w:rsid w:val="00065509"/>
    <w:rsid w:val="00065EEC"/>
    <w:rsid w:val="00066BB9"/>
    <w:rsid w:val="00074143"/>
    <w:rsid w:val="0007569A"/>
    <w:rsid w:val="0007573C"/>
    <w:rsid w:val="00095AF1"/>
    <w:rsid w:val="000A05A4"/>
    <w:rsid w:val="000A0846"/>
    <w:rsid w:val="000B021C"/>
    <w:rsid w:val="000C1B86"/>
    <w:rsid w:val="000C5B69"/>
    <w:rsid w:val="000E31BB"/>
    <w:rsid w:val="000E5BB1"/>
    <w:rsid w:val="000E6548"/>
    <w:rsid w:val="000F31E3"/>
    <w:rsid w:val="00101F0F"/>
    <w:rsid w:val="00107A79"/>
    <w:rsid w:val="00122893"/>
    <w:rsid w:val="00126578"/>
    <w:rsid w:val="001274B2"/>
    <w:rsid w:val="00131C40"/>
    <w:rsid w:val="001344A7"/>
    <w:rsid w:val="00140CD0"/>
    <w:rsid w:val="001418CB"/>
    <w:rsid w:val="00150EFF"/>
    <w:rsid w:val="0015193A"/>
    <w:rsid w:val="00152FA6"/>
    <w:rsid w:val="00154EEA"/>
    <w:rsid w:val="00165B30"/>
    <w:rsid w:val="00167842"/>
    <w:rsid w:val="00169334"/>
    <w:rsid w:val="0017657A"/>
    <w:rsid w:val="0018094E"/>
    <w:rsid w:val="00181FFB"/>
    <w:rsid w:val="001877B8"/>
    <w:rsid w:val="001920D8"/>
    <w:rsid w:val="00192301"/>
    <w:rsid w:val="00192F00"/>
    <w:rsid w:val="00193572"/>
    <w:rsid w:val="00195C9C"/>
    <w:rsid w:val="001A74E7"/>
    <w:rsid w:val="001B39FD"/>
    <w:rsid w:val="001B730C"/>
    <w:rsid w:val="001C0F62"/>
    <w:rsid w:val="001D424D"/>
    <w:rsid w:val="001D5B67"/>
    <w:rsid w:val="001D6894"/>
    <w:rsid w:val="001D6CDB"/>
    <w:rsid w:val="001E05EF"/>
    <w:rsid w:val="001F07BC"/>
    <w:rsid w:val="001F2B35"/>
    <w:rsid w:val="00202FE9"/>
    <w:rsid w:val="002033A2"/>
    <w:rsid w:val="002119CB"/>
    <w:rsid w:val="002155DF"/>
    <w:rsid w:val="002369C7"/>
    <w:rsid w:val="00244D8D"/>
    <w:rsid w:val="002460FB"/>
    <w:rsid w:val="00246A67"/>
    <w:rsid w:val="00251717"/>
    <w:rsid w:val="00251CF9"/>
    <w:rsid w:val="00254070"/>
    <w:rsid w:val="00261741"/>
    <w:rsid w:val="00261E18"/>
    <w:rsid w:val="00261E20"/>
    <w:rsid w:val="00264E7C"/>
    <w:rsid w:val="0027324F"/>
    <w:rsid w:val="00274157"/>
    <w:rsid w:val="002774F0"/>
    <w:rsid w:val="0028043A"/>
    <w:rsid w:val="002846C4"/>
    <w:rsid w:val="00285C62"/>
    <w:rsid w:val="002919D7"/>
    <w:rsid w:val="002A0EE8"/>
    <w:rsid w:val="002A2CFC"/>
    <w:rsid w:val="002B07EA"/>
    <w:rsid w:val="002B135A"/>
    <w:rsid w:val="002B16CF"/>
    <w:rsid w:val="002B3620"/>
    <w:rsid w:val="002C135B"/>
    <w:rsid w:val="002C4085"/>
    <w:rsid w:val="002C76EF"/>
    <w:rsid w:val="002D09ED"/>
    <w:rsid w:val="002E20F2"/>
    <w:rsid w:val="002E4D14"/>
    <w:rsid w:val="002E7FD9"/>
    <w:rsid w:val="002F3133"/>
    <w:rsid w:val="002F6FE9"/>
    <w:rsid w:val="00300410"/>
    <w:rsid w:val="00315EFF"/>
    <w:rsid w:val="00316947"/>
    <w:rsid w:val="0031733F"/>
    <w:rsid w:val="003208FD"/>
    <w:rsid w:val="00320C53"/>
    <w:rsid w:val="003221F7"/>
    <w:rsid w:val="00325141"/>
    <w:rsid w:val="00325FB0"/>
    <w:rsid w:val="00331DBB"/>
    <w:rsid w:val="003328A3"/>
    <w:rsid w:val="0033549B"/>
    <w:rsid w:val="00337C37"/>
    <w:rsid w:val="003404BC"/>
    <w:rsid w:val="0035664A"/>
    <w:rsid w:val="00356FA8"/>
    <w:rsid w:val="00366432"/>
    <w:rsid w:val="00382CD7"/>
    <w:rsid w:val="003842DB"/>
    <w:rsid w:val="00394AD2"/>
    <w:rsid w:val="003A1F1E"/>
    <w:rsid w:val="003A4290"/>
    <w:rsid w:val="003B29E0"/>
    <w:rsid w:val="003B2DA7"/>
    <w:rsid w:val="003C1D5E"/>
    <w:rsid w:val="003C257D"/>
    <w:rsid w:val="003D77A9"/>
    <w:rsid w:val="003E06AC"/>
    <w:rsid w:val="003F1C03"/>
    <w:rsid w:val="003F4760"/>
    <w:rsid w:val="003F6728"/>
    <w:rsid w:val="00402438"/>
    <w:rsid w:val="00405A22"/>
    <w:rsid w:val="004106C4"/>
    <w:rsid w:val="004119DA"/>
    <w:rsid w:val="00411DB8"/>
    <w:rsid w:val="004220CC"/>
    <w:rsid w:val="00424F30"/>
    <w:rsid w:val="00444E76"/>
    <w:rsid w:val="004478B6"/>
    <w:rsid w:val="00450F78"/>
    <w:rsid w:val="00455309"/>
    <w:rsid w:val="00461032"/>
    <w:rsid w:val="004626AD"/>
    <w:rsid w:val="004633CC"/>
    <w:rsid w:val="004637BC"/>
    <w:rsid w:val="00465E02"/>
    <w:rsid w:val="00471387"/>
    <w:rsid w:val="00485950"/>
    <w:rsid w:val="00492263"/>
    <w:rsid w:val="004A2A71"/>
    <w:rsid w:val="004B15D0"/>
    <w:rsid w:val="004B61F7"/>
    <w:rsid w:val="004C183F"/>
    <w:rsid w:val="004D14FE"/>
    <w:rsid w:val="004D46A7"/>
    <w:rsid w:val="004E67C4"/>
    <w:rsid w:val="004F2D37"/>
    <w:rsid w:val="004F679B"/>
    <w:rsid w:val="004F7A2A"/>
    <w:rsid w:val="005041E7"/>
    <w:rsid w:val="00504C28"/>
    <w:rsid w:val="00510A1B"/>
    <w:rsid w:val="00510A5A"/>
    <w:rsid w:val="00514348"/>
    <w:rsid w:val="00535C49"/>
    <w:rsid w:val="005426B7"/>
    <w:rsid w:val="005506F8"/>
    <w:rsid w:val="00561DAA"/>
    <w:rsid w:val="00562EA4"/>
    <w:rsid w:val="00563EDB"/>
    <w:rsid w:val="00564229"/>
    <w:rsid w:val="00582D4C"/>
    <w:rsid w:val="00586F53"/>
    <w:rsid w:val="0059070E"/>
    <w:rsid w:val="00597E19"/>
    <w:rsid w:val="005A344A"/>
    <w:rsid w:val="005A5826"/>
    <w:rsid w:val="005C2036"/>
    <w:rsid w:val="005C3A36"/>
    <w:rsid w:val="005D1760"/>
    <w:rsid w:val="005D4840"/>
    <w:rsid w:val="005E44B8"/>
    <w:rsid w:val="005E5088"/>
    <w:rsid w:val="005E648D"/>
    <w:rsid w:val="005E676C"/>
    <w:rsid w:val="005E75D6"/>
    <w:rsid w:val="005F5CE1"/>
    <w:rsid w:val="005F66E6"/>
    <w:rsid w:val="005F6D1D"/>
    <w:rsid w:val="006042C4"/>
    <w:rsid w:val="00605021"/>
    <w:rsid w:val="006053BC"/>
    <w:rsid w:val="0060622C"/>
    <w:rsid w:val="00616805"/>
    <w:rsid w:val="00620AFA"/>
    <w:rsid w:val="00622C7D"/>
    <w:rsid w:val="006270F3"/>
    <w:rsid w:val="00631BF4"/>
    <w:rsid w:val="006329A2"/>
    <w:rsid w:val="006341FD"/>
    <w:rsid w:val="00634CAA"/>
    <w:rsid w:val="006361C8"/>
    <w:rsid w:val="00637241"/>
    <w:rsid w:val="006506E3"/>
    <w:rsid w:val="006522C1"/>
    <w:rsid w:val="00655AFE"/>
    <w:rsid w:val="00662E20"/>
    <w:rsid w:val="00663729"/>
    <w:rsid w:val="00665996"/>
    <w:rsid w:val="00671394"/>
    <w:rsid w:val="00673F8D"/>
    <w:rsid w:val="00676F8F"/>
    <w:rsid w:val="00680799"/>
    <w:rsid w:val="00684A81"/>
    <w:rsid w:val="00684DE2"/>
    <w:rsid w:val="006912BA"/>
    <w:rsid w:val="00692449"/>
    <w:rsid w:val="006A00C8"/>
    <w:rsid w:val="006A217B"/>
    <w:rsid w:val="006B3C99"/>
    <w:rsid w:val="006B4188"/>
    <w:rsid w:val="006B71DA"/>
    <w:rsid w:val="006C2169"/>
    <w:rsid w:val="006C3B11"/>
    <w:rsid w:val="006C75C8"/>
    <w:rsid w:val="006D0174"/>
    <w:rsid w:val="006D0C3B"/>
    <w:rsid w:val="006E7383"/>
    <w:rsid w:val="006F1C68"/>
    <w:rsid w:val="006F1F1A"/>
    <w:rsid w:val="006F3A88"/>
    <w:rsid w:val="006F5EBD"/>
    <w:rsid w:val="006F7AAA"/>
    <w:rsid w:val="00707DD9"/>
    <w:rsid w:val="007256F3"/>
    <w:rsid w:val="00727C6F"/>
    <w:rsid w:val="00727C9C"/>
    <w:rsid w:val="007318DB"/>
    <w:rsid w:val="00734943"/>
    <w:rsid w:val="00751261"/>
    <w:rsid w:val="00752D9D"/>
    <w:rsid w:val="007602E1"/>
    <w:rsid w:val="00760C24"/>
    <w:rsid w:val="00762879"/>
    <w:rsid w:val="007639C0"/>
    <w:rsid w:val="00772CA3"/>
    <w:rsid w:val="007747CB"/>
    <w:rsid w:val="007750D7"/>
    <w:rsid w:val="00785F1D"/>
    <w:rsid w:val="00786809"/>
    <w:rsid w:val="00790FD0"/>
    <w:rsid w:val="007A19AB"/>
    <w:rsid w:val="007A42FB"/>
    <w:rsid w:val="007A4A18"/>
    <w:rsid w:val="007C2382"/>
    <w:rsid w:val="007C2E79"/>
    <w:rsid w:val="007D0BDB"/>
    <w:rsid w:val="007D461F"/>
    <w:rsid w:val="007E2AE4"/>
    <w:rsid w:val="007E3D22"/>
    <w:rsid w:val="007E7256"/>
    <w:rsid w:val="007F1C56"/>
    <w:rsid w:val="007F5FFC"/>
    <w:rsid w:val="007F7330"/>
    <w:rsid w:val="00814E07"/>
    <w:rsid w:val="00817A25"/>
    <w:rsid w:val="00821318"/>
    <w:rsid w:val="0082131F"/>
    <w:rsid w:val="00821CF1"/>
    <w:rsid w:val="008244AA"/>
    <w:rsid w:val="00825001"/>
    <w:rsid w:val="00826454"/>
    <w:rsid w:val="00831312"/>
    <w:rsid w:val="008332C8"/>
    <w:rsid w:val="0084196A"/>
    <w:rsid w:val="00846858"/>
    <w:rsid w:val="00846FC3"/>
    <w:rsid w:val="008500C5"/>
    <w:rsid w:val="00854379"/>
    <w:rsid w:val="00857D20"/>
    <w:rsid w:val="00872E49"/>
    <w:rsid w:val="008754FE"/>
    <w:rsid w:val="008758D9"/>
    <w:rsid w:val="00880542"/>
    <w:rsid w:val="00880C50"/>
    <w:rsid w:val="00884999"/>
    <w:rsid w:val="008924B0"/>
    <w:rsid w:val="008A05D6"/>
    <w:rsid w:val="008A1620"/>
    <w:rsid w:val="008A2ACA"/>
    <w:rsid w:val="008A48FF"/>
    <w:rsid w:val="008A4B14"/>
    <w:rsid w:val="008B4EBF"/>
    <w:rsid w:val="008B7A2B"/>
    <w:rsid w:val="008D2D91"/>
    <w:rsid w:val="008D3B46"/>
    <w:rsid w:val="008E419A"/>
    <w:rsid w:val="008E44F2"/>
    <w:rsid w:val="008E4BCB"/>
    <w:rsid w:val="008E6180"/>
    <w:rsid w:val="008F024B"/>
    <w:rsid w:val="008F3CFF"/>
    <w:rsid w:val="008F6130"/>
    <w:rsid w:val="008F6C03"/>
    <w:rsid w:val="008F7E28"/>
    <w:rsid w:val="00902499"/>
    <w:rsid w:val="00903288"/>
    <w:rsid w:val="009153C6"/>
    <w:rsid w:val="00915EB7"/>
    <w:rsid w:val="0092259A"/>
    <w:rsid w:val="00924A38"/>
    <w:rsid w:val="009274F3"/>
    <w:rsid w:val="009347F2"/>
    <w:rsid w:val="009364FE"/>
    <w:rsid w:val="009372C0"/>
    <w:rsid w:val="00946E47"/>
    <w:rsid w:val="00953087"/>
    <w:rsid w:val="00962033"/>
    <w:rsid w:val="009654C7"/>
    <w:rsid w:val="009731DB"/>
    <w:rsid w:val="0098004A"/>
    <w:rsid w:val="00981CBF"/>
    <w:rsid w:val="00990870"/>
    <w:rsid w:val="009918EE"/>
    <w:rsid w:val="009919A1"/>
    <w:rsid w:val="009A4133"/>
    <w:rsid w:val="009B7925"/>
    <w:rsid w:val="009C507C"/>
    <w:rsid w:val="009C7403"/>
    <w:rsid w:val="009D7F96"/>
    <w:rsid w:val="009E2214"/>
    <w:rsid w:val="009E5C84"/>
    <w:rsid w:val="009F0BE3"/>
    <w:rsid w:val="009F529D"/>
    <w:rsid w:val="009F55BD"/>
    <w:rsid w:val="009F6D8E"/>
    <w:rsid w:val="00A00849"/>
    <w:rsid w:val="00A03702"/>
    <w:rsid w:val="00A22943"/>
    <w:rsid w:val="00A23982"/>
    <w:rsid w:val="00A24B60"/>
    <w:rsid w:val="00A2687E"/>
    <w:rsid w:val="00A37F2A"/>
    <w:rsid w:val="00A43AA4"/>
    <w:rsid w:val="00A44028"/>
    <w:rsid w:val="00A45039"/>
    <w:rsid w:val="00A454A7"/>
    <w:rsid w:val="00A4767B"/>
    <w:rsid w:val="00A50FD6"/>
    <w:rsid w:val="00A512BD"/>
    <w:rsid w:val="00A52BB8"/>
    <w:rsid w:val="00A5562D"/>
    <w:rsid w:val="00A5686E"/>
    <w:rsid w:val="00A56E64"/>
    <w:rsid w:val="00A76521"/>
    <w:rsid w:val="00A76D67"/>
    <w:rsid w:val="00A83C4B"/>
    <w:rsid w:val="00A8743E"/>
    <w:rsid w:val="00AA05DF"/>
    <w:rsid w:val="00AA457B"/>
    <w:rsid w:val="00AB21D1"/>
    <w:rsid w:val="00AB326B"/>
    <w:rsid w:val="00AC082E"/>
    <w:rsid w:val="00AC0FEB"/>
    <w:rsid w:val="00AC4D87"/>
    <w:rsid w:val="00AC79BE"/>
    <w:rsid w:val="00AD2C93"/>
    <w:rsid w:val="00AD3ABA"/>
    <w:rsid w:val="00AE163F"/>
    <w:rsid w:val="00AE2976"/>
    <w:rsid w:val="00AE7945"/>
    <w:rsid w:val="00AF68BA"/>
    <w:rsid w:val="00B02AC0"/>
    <w:rsid w:val="00B06166"/>
    <w:rsid w:val="00B06D4F"/>
    <w:rsid w:val="00B12787"/>
    <w:rsid w:val="00B22821"/>
    <w:rsid w:val="00B231B5"/>
    <w:rsid w:val="00B2382D"/>
    <w:rsid w:val="00B25118"/>
    <w:rsid w:val="00B278BE"/>
    <w:rsid w:val="00B354E8"/>
    <w:rsid w:val="00B35A48"/>
    <w:rsid w:val="00B44042"/>
    <w:rsid w:val="00B44CD8"/>
    <w:rsid w:val="00B47591"/>
    <w:rsid w:val="00B52487"/>
    <w:rsid w:val="00B60583"/>
    <w:rsid w:val="00B6344A"/>
    <w:rsid w:val="00B647BC"/>
    <w:rsid w:val="00B669C7"/>
    <w:rsid w:val="00B7540B"/>
    <w:rsid w:val="00B773DB"/>
    <w:rsid w:val="00B85857"/>
    <w:rsid w:val="00B927BC"/>
    <w:rsid w:val="00B949F6"/>
    <w:rsid w:val="00B965B4"/>
    <w:rsid w:val="00BA138E"/>
    <w:rsid w:val="00BB670B"/>
    <w:rsid w:val="00BC0587"/>
    <w:rsid w:val="00BD191E"/>
    <w:rsid w:val="00BD3A4E"/>
    <w:rsid w:val="00BD506D"/>
    <w:rsid w:val="00BE079C"/>
    <w:rsid w:val="00BE1100"/>
    <w:rsid w:val="00C0052C"/>
    <w:rsid w:val="00C00F56"/>
    <w:rsid w:val="00C075EB"/>
    <w:rsid w:val="00C14D08"/>
    <w:rsid w:val="00C166E9"/>
    <w:rsid w:val="00C2138F"/>
    <w:rsid w:val="00C22B4B"/>
    <w:rsid w:val="00C26F5D"/>
    <w:rsid w:val="00C30F88"/>
    <w:rsid w:val="00C318F2"/>
    <w:rsid w:val="00C31B08"/>
    <w:rsid w:val="00C415D9"/>
    <w:rsid w:val="00C42233"/>
    <w:rsid w:val="00C45717"/>
    <w:rsid w:val="00C46725"/>
    <w:rsid w:val="00C51972"/>
    <w:rsid w:val="00C563ED"/>
    <w:rsid w:val="00C60BC8"/>
    <w:rsid w:val="00C6176D"/>
    <w:rsid w:val="00C657C5"/>
    <w:rsid w:val="00C7358B"/>
    <w:rsid w:val="00C73FAF"/>
    <w:rsid w:val="00C74B1D"/>
    <w:rsid w:val="00C76BC3"/>
    <w:rsid w:val="00C827F6"/>
    <w:rsid w:val="00C86641"/>
    <w:rsid w:val="00C95EB7"/>
    <w:rsid w:val="00CA14E9"/>
    <w:rsid w:val="00CA6E17"/>
    <w:rsid w:val="00CC62E1"/>
    <w:rsid w:val="00CC7A74"/>
    <w:rsid w:val="00CD2B2E"/>
    <w:rsid w:val="00CD6535"/>
    <w:rsid w:val="00CE1CC0"/>
    <w:rsid w:val="00CE61FE"/>
    <w:rsid w:val="00CF00C5"/>
    <w:rsid w:val="00CF18A8"/>
    <w:rsid w:val="00CF6072"/>
    <w:rsid w:val="00CF6A2C"/>
    <w:rsid w:val="00D0596B"/>
    <w:rsid w:val="00D07C60"/>
    <w:rsid w:val="00D1020F"/>
    <w:rsid w:val="00D13685"/>
    <w:rsid w:val="00D17E1A"/>
    <w:rsid w:val="00D2525C"/>
    <w:rsid w:val="00D32413"/>
    <w:rsid w:val="00D32838"/>
    <w:rsid w:val="00D33F8A"/>
    <w:rsid w:val="00D3471F"/>
    <w:rsid w:val="00D4523F"/>
    <w:rsid w:val="00D45B28"/>
    <w:rsid w:val="00D535E1"/>
    <w:rsid w:val="00D55ACC"/>
    <w:rsid w:val="00D57388"/>
    <w:rsid w:val="00D61A53"/>
    <w:rsid w:val="00D660AC"/>
    <w:rsid w:val="00D74EC1"/>
    <w:rsid w:val="00D801D5"/>
    <w:rsid w:val="00D80391"/>
    <w:rsid w:val="00D82909"/>
    <w:rsid w:val="00D835D9"/>
    <w:rsid w:val="00D83EDD"/>
    <w:rsid w:val="00D858C5"/>
    <w:rsid w:val="00D86B1C"/>
    <w:rsid w:val="00D92BDF"/>
    <w:rsid w:val="00D92D94"/>
    <w:rsid w:val="00D9345D"/>
    <w:rsid w:val="00DA030E"/>
    <w:rsid w:val="00DA280A"/>
    <w:rsid w:val="00DA3B1E"/>
    <w:rsid w:val="00DB0D69"/>
    <w:rsid w:val="00DB6E1B"/>
    <w:rsid w:val="00DD04F5"/>
    <w:rsid w:val="00DD2292"/>
    <w:rsid w:val="00DD3301"/>
    <w:rsid w:val="00DD664F"/>
    <w:rsid w:val="00DF0D6A"/>
    <w:rsid w:val="00DF4501"/>
    <w:rsid w:val="00E00051"/>
    <w:rsid w:val="00E065FD"/>
    <w:rsid w:val="00E0733A"/>
    <w:rsid w:val="00E27DB8"/>
    <w:rsid w:val="00E32033"/>
    <w:rsid w:val="00E359A7"/>
    <w:rsid w:val="00E44954"/>
    <w:rsid w:val="00E5142C"/>
    <w:rsid w:val="00E54DA2"/>
    <w:rsid w:val="00E5711A"/>
    <w:rsid w:val="00E60F39"/>
    <w:rsid w:val="00E62E61"/>
    <w:rsid w:val="00E73D69"/>
    <w:rsid w:val="00E81C56"/>
    <w:rsid w:val="00E84698"/>
    <w:rsid w:val="00E90D1D"/>
    <w:rsid w:val="00E939B6"/>
    <w:rsid w:val="00EA195D"/>
    <w:rsid w:val="00EA2DD0"/>
    <w:rsid w:val="00EA499A"/>
    <w:rsid w:val="00EB1034"/>
    <w:rsid w:val="00EB3BA9"/>
    <w:rsid w:val="00ED072B"/>
    <w:rsid w:val="00ED1B13"/>
    <w:rsid w:val="00EE084F"/>
    <w:rsid w:val="00EE0F5C"/>
    <w:rsid w:val="00EF1992"/>
    <w:rsid w:val="00EF218D"/>
    <w:rsid w:val="00EF27A9"/>
    <w:rsid w:val="00EF4BEB"/>
    <w:rsid w:val="00EF56CD"/>
    <w:rsid w:val="00F10325"/>
    <w:rsid w:val="00F10A17"/>
    <w:rsid w:val="00F12583"/>
    <w:rsid w:val="00F127C1"/>
    <w:rsid w:val="00F14973"/>
    <w:rsid w:val="00F33AF0"/>
    <w:rsid w:val="00F47D7C"/>
    <w:rsid w:val="00F5423C"/>
    <w:rsid w:val="00F55CEC"/>
    <w:rsid w:val="00F564DC"/>
    <w:rsid w:val="00F60B5E"/>
    <w:rsid w:val="00F7154C"/>
    <w:rsid w:val="00F77502"/>
    <w:rsid w:val="00F82AB0"/>
    <w:rsid w:val="00F853DF"/>
    <w:rsid w:val="00F85924"/>
    <w:rsid w:val="00F87A40"/>
    <w:rsid w:val="00F87B3D"/>
    <w:rsid w:val="00F94E02"/>
    <w:rsid w:val="00F96A46"/>
    <w:rsid w:val="00FA20A3"/>
    <w:rsid w:val="00FA594E"/>
    <w:rsid w:val="00FC1749"/>
    <w:rsid w:val="00FC30A2"/>
    <w:rsid w:val="00FD0365"/>
    <w:rsid w:val="00FD1DEB"/>
    <w:rsid w:val="00FD6EE3"/>
    <w:rsid w:val="00FE4BF6"/>
    <w:rsid w:val="00FE4DB9"/>
    <w:rsid w:val="00FE6742"/>
    <w:rsid w:val="00FE6EC2"/>
    <w:rsid w:val="00FF4AFE"/>
    <w:rsid w:val="024C8421"/>
    <w:rsid w:val="02E65723"/>
    <w:rsid w:val="0359931A"/>
    <w:rsid w:val="038D9E9D"/>
    <w:rsid w:val="048D8A98"/>
    <w:rsid w:val="04B9F390"/>
    <w:rsid w:val="04F66B26"/>
    <w:rsid w:val="0550256B"/>
    <w:rsid w:val="08E30451"/>
    <w:rsid w:val="0B2C1584"/>
    <w:rsid w:val="0BBE9F55"/>
    <w:rsid w:val="0DCFD35A"/>
    <w:rsid w:val="0E12374E"/>
    <w:rsid w:val="0F8084BF"/>
    <w:rsid w:val="0FB14972"/>
    <w:rsid w:val="10645354"/>
    <w:rsid w:val="107D9168"/>
    <w:rsid w:val="11400F34"/>
    <w:rsid w:val="11E888FA"/>
    <w:rsid w:val="131FB8E2"/>
    <w:rsid w:val="157C87AB"/>
    <w:rsid w:val="15AD8DAC"/>
    <w:rsid w:val="16AC8DF1"/>
    <w:rsid w:val="16BAF9AB"/>
    <w:rsid w:val="17B7995B"/>
    <w:rsid w:val="1874E0BF"/>
    <w:rsid w:val="1910D2DC"/>
    <w:rsid w:val="199FB896"/>
    <w:rsid w:val="1B725AA2"/>
    <w:rsid w:val="1BA9DE23"/>
    <w:rsid w:val="1CD5D001"/>
    <w:rsid w:val="1E20487A"/>
    <w:rsid w:val="1E7C6D12"/>
    <w:rsid w:val="1ECFE697"/>
    <w:rsid w:val="20192465"/>
    <w:rsid w:val="20F5B70D"/>
    <w:rsid w:val="2143AF8B"/>
    <w:rsid w:val="22356D19"/>
    <w:rsid w:val="23B0A44B"/>
    <w:rsid w:val="260334FE"/>
    <w:rsid w:val="26308323"/>
    <w:rsid w:val="2633CE6A"/>
    <w:rsid w:val="2653F60D"/>
    <w:rsid w:val="27873C27"/>
    <w:rsid w:val="27D22998"/>
    <w:rsid w:val="28ACFB28"/>
    <w:rsid w:val="28D070EB"/>
    <w:rsid w:val="28ECE1FE"/>
    <w:rsid w:val="291A285E"/>
    <w:rsid w:val="29D24394"/>
    <w:rsid w:val="2A5A43C8"/>
    <w:rsid w:val="2A854F45"/>
    <w:rsid w:val="2A8A7BAD"/>
    <w:rsid w:val="2A9F10A3"/>
    <w:rsid w:val="2B08FFB4"/>
    <w:rsid w:val="2B28ABE6"/>
    <w:rsid w:val="2BC27D5D"/>
    <w:rsid w:val="2DECD1EA"/>
    <w:rsid w:val="2E017E60"/>
    <w:rsid w:val="32C5BB74"/>
    <w:rsid w:val="33C49E89"/>
    <w:rsid w:val="35D06ABF"/>
    <w:rsid w:val="36B1FCFA"/>
    <w:rsid w:val="36B77C66"/>
    <w:rsid w:val="37E4B25F"/>
    <w:rsid w:val="3962989C"/>
    <w:rsid w:val="39E00226"/>
    <w:rsid w:val="3C78ABB2"/>
    <w:rsid w:val="3CD72C52"/>
    <w:rsid w:val="3CEAE6EF"/>
    <w:rsid w:val="3DF9EEB5"/>
    <w:rsid w:val="42B3C2FE"/>
    <w:rsid w:val="42EC1541"/>
    <w:rsid w:val="43070580"/>
    <w:rsid w:val="4363BFAB"/>
    <w:rsid w:val="4367E66A"/>
    <w:rsid w:val="43FF68E1"/>
    <w:rsid w:val="4548466C"/>
    <w:rsid w:val="46886DBF"/>
    <w:rsid w:val="4937DE8C"/>
    <w:rsid w:val="4A561F7C"/>
    <w:rsid w:val="4B103CA6"/>
    <w:rsid w:val="4C57DB63"/>
    <w:rsid w:val="4D33F4EF"/>
    <w:rsid w:val="4E5FABE1"/>
    <w:rsid w:val="4E801CB9"/>
    <w:rsid w:val="4EA32FC1"/>
    <w:rsid w:val="4ED2060F"/>
    <w:rsid w:val="4F75A84B"/>
    <w:rsid w:val="5266924F"/>
    <w:rsid w:val="5319D21F"/>
    <w:rsid w:val="54A24277"/>
    <w:rsid w:val="5648BABA"/>
    <w:rsid w:val="573F08B3"/>
    <w:rsid w:val="579BB0AF"/>
    <w:rsid w:val="57FE4B8C"/>
    <w:rsid w:val="58E2E404"/>
    <w:rsid w:val="59E45538"/>
    <w:rsid w:val="5A6ABFB1"/>
    <w:rsid w:val="5D5E2349"/>
    <w:rsid w:val="5E3E413B"/>
    <w:rsid w:val="5EE754DF"/>
    <w:rsid w:val="5F19B5DB"/>
    <w:rsid w:val="62611604"/>
    <w:rsid w:val="62CC1454"/>
    <w:rsid w:val="64684924"/>
    <w:rsid w:val="6471CD01"/>
    <w:rsid w:val="64A80167"/>
    <w:rsid w:val="64BA6CE2"/>
    <w:rsid w:val="64DF827B"/>
    <w:rsid w:val="64E6E6EA"/>
    <w:rsid w:val="64EBF09E"/>
    <w:rsid w:val="660A6BEC"/>
    <w:rsid w:val="66BA87D4"/>
    <w:rsid w:val="68941471"/>
    <w:rsid w:val="6A74BC02"/>
    <w:rsid w:val="6B1C6F0F"/>
    <w:rsid w:val="6B98A4ED"/>
    <w:rsid w:val="6D0DFC99"/>
    <w:rsid w:val="6DA21A51"/>
    <w:rsid w:val="6DBEA720"/>
    <w:rsid w:val="6DCD6EC3"/>
    <w:rsid w:val="6E8DC3DA"/>
    <w:rsid w:val="705C01C5"/>
    <w:rsid w:val="709E5CD7"/>
    <w:rsid w:val="70FF64E2"/>
    <w:rsid w:val="712B2492"/>
    <w:rsid w:val="71575284"/>
    <w:rsid w:val="72E44666"/>
    <w:rsid w:val="743BA4D9"/>
    <w:rsid w:val="747EDE99"/>
    <w:rsid w:val="7577B04B"/>
    <w:rsid w:val="765F701C"/>
    <w:rsid w:val="77391A78"/>
    <w:rsid w:val="78B207AF"/>
    <w:rsid w:val="79220B0C"/>
    <w:rsid w:val="79993FE8"/>
    <w:rsid w:val="79A1A03B"/>
    <w:rsid w:val="7EA59460"/>
    <w:rsid w:val="7EE88E63"/>
    <w:rsid w:val="7F553C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72352"/>
  <w15:docId w15:val="{355C28BE-FB6A-4D68-8165-A47EA9E9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729"/>
    <w:pPr>
      <w:spacing w:line="256" w:lineRule="auto"/>
    </w:pPr>
    <w:rPr>
      <w:rFonts w:ascii="Times New Roman" w:eastAsiaTheme="minorHAnsi" w:hAnsi="Times New Roman"/>
    </w:rPr>
  </w:style>
  <w:style w:type="paragraph" w:styleId="Heading1">
    <w:name w:val="heading 1"/>
    <w:basedOn w:val="Normal"/>
    <w:next w:val="Normal"/>
    <w:link w:val="Heading1Char"/>
    <w:uiPriority w:val="1"/>
    <w:qFormat/>
    <w:rsid w:val="00C31B08"/>
    <w:pPr>
      <w:spacing w:after="240"/>
      <w:outlineLvl w:val="0"/>
    </w:pPr>
    <w:rPr>
      <w:snapToGrid w:val="0"/>
    </w:rPr>
  </w:style>
  <w:style w:type="paragraph" w:styleId="Heading2">
    <w:name w:val="heading 2"/>
    <w:basedOn w:val="Normal"/>
    <w:next w:val="Normal"/>
    <w:link w:val="Heading2Char"/>
    <w:uiPriority w:val="1"/>
    <w:qFormat/>
    <w:rsid w:val="00C31B08"/>
    <w:pPr>
      <w:spacing w:after="240"/>
      <w:outlineLvl w:val="1"/>
    </w:pPr>
    <w:rPr>
      <w:snapToGrid w:val="0"/>
    </w:rPr>
  </w:style>
  <w:style w:type="paragraph" w:styleId="Heading3">
    <w:name w:val="heading 3"/>
    <w:basedOn w:val="Normal"/>
    <w:next w:val="Normal"/>
    <w:link w:val="Heading3Char"/>
    <w:uiPriority w:val="1"/>
    <w:qFormat/>
    <w:rsid w:val="00C31B08"/>
    <w:pPr>
      <w:spacing w:after="240"/>
      <w:outlineLvl w:val="2"/>
    </w:pPr>
    <w:rPr>
      <w:snapToGrid w:val="0"/>
    </w:rPr>
  </w:style>
  <w:style w:type="paragraph" w:styleId="Heading4">
    <w:name w:val="heading 4"/>
    <w:basedOn w:val="Normal"/>
    <w:next w:val="Normal"/>
    <w:link w:val="Heading4Char"/>
    <w:uiPriority w:val="1"/>
    <w:qFormat/>
    <w:rsid w:val="00C31B08"/>
    <w:pPr>
      <w:spacing w:after="240"/>
      <w:outlineLvl w:val="3"/>
    </w:pPr>
    <w:rPr>
      <w:snapToGrid w:val="0"/>
    </w:rPr>
  </w:style>
  <w:style w:type="paragraph" w:styleId="Heading5">
    <w:name w:val="heading 5"/>
    <w:basedOn w:val="Normal"/>
    <w:next w:val="Normal"/>
    <w:link w:val="Heading5Char"/>
    <w:uiPriority w:val="1"/>
    <w:qFormat/>
    <w:rsid w:val="00C31B08"/>
    <w:pPr>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FootnoteText">
    <w:name w:val="footnote text"/>
    <w:basedOn w:val="Normal"/>
    <w:link w:val="FootnoteTextChar"/>
    <w:uiPriority w:val="99"/>
    <w:unhideWhenUsed/>
    <w:rsid w:val="00024D21"/>
    <w:pPr>
      <w:spacing w:after="0" w:line="240" w:lineRule="auto"/>
    </w:pPr>
    <w:rPr>
      <w:sz w:val="20"/>
      <w:szCs w:val="20"/>
    </w:rPr>
  </w:style>
  <w:style w:type="character" w:customStyle="1" w:styleId="FootnoteTextChar">
    <w:name w:val="Footnote Text Char"/>
    <w:basedOn w:val="DefaultParagraphFont"/>
    <w:link w:val="FootnoteText"/>
    <w:uiPriority w:val="99"/>
    <w:rsid w:val="00024D21"/>
    <w:rPr>
      <w:rFonts w:eastAsiaTheme="minorHAnsi"/>
      <w:sz w:val="20"/>
      <w:szCs w:val="20"/>
    </w:rPr>
  </w:style>
  <w:style w:type="character" w:styleId="FootnoteReference">
    <w:name w:val="footnote reference"/>
    <w:basedOn w:val="DefaultParagraphFont"/>
    <w:uiPriority w:val="99"/>
    <w:unhideWhenUsed/>
    <w:rsid w:val="00024D21"/>
    <w:rPr>
      <w:vertAlign w:val="superscript"/>
    </w:rPr>
  </w:style>
  <w:style w:type="character" w:styleId="CommentReference">
    <w:name w:val="annotation reference"/>
    <w:basedOn w:val="DefaultParagraphFont"/>
    <w:uiPriority w:val="99"/>
    <w:semiHidden/>
    <w:unhideWhenUsed/>
    <w:rsid w:val="00024D21"/>
    <w:rPr>
      <w:sz w:val="16"/>
      <w:szCs w:val="16"/>
    </w:rPr>
  </w:style>
  <w:style w:type="paragraph" w:styleId="CommentText">
    <w:name w:val="annotation text"/>
    <w:basedOn w:val="Normal"/>
    <w:link w:val="CommentTextChar"/>
    <w:uiPriority w:val="99"/>
    <w:unhideWhenUsed/>
    <w:rsid w:val="00024D21"/>
    <w:pPr>
      <w:spacing w:line="240" w:lineRule="auto"/>
    </w:pPr>
    <w:rPr>
      <w:sz w:val="20"/>
      <w:szCs w:val="20"/>
    </w:rPr>
  </w:style>
  <w:style w:type="character" w:customStyle="1" w:styleId="CommentTextChar">
    <w:name w:val="Comment Text Char"/>
    <w:basedOn w:val="DefaultParagraphFont"/>
    <w:link w:val="CommentText"/>
    <w:uiPriority w:val="99"/>
    <w:rsid w:val="00024D2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024D21"/>
    <w:rPr>
      <w:b/>
      <w:bCs/>
    </w:rPr>
  </w:style>
  <w:style w:type="character" w:customStyle="1" w:styleId="CommentSubjectChar">
    <w:name w:val="Comment Subject Char"/>
    <w:basedOn w:val="CommentTextChar"/>
    <w:link w:val="CommentSubject"/>
    <w:uiPriority w:val="99"/>
    <w:semiHidden/>
    <w:rsid w:val="00024D21"/>
    <w:rPr>
      <w:rFonts w:eastAsiaTheme="minorHAnsi"/>
      <w:b/>
      <w:bCs/>
      <w:sz w:val="20"/>
      <w:szCs w:val="20"/>
    </w:rPr>
  </w:style>
  <w:style w:type="character" w:customStyle="1" w:styleId="FootnoteTextChar1">
    <w:name w:val="Footnote Text Char1"/>
    <w:basedOn w:val="DefaultParagraphFont"/>
    <w:uiPriority w:val="99"/>
    <w:rsid w:val="00831312"/>
    <w:rPr>
      <w:rFonts w:eastAsiaTheme="minorHAnsi"/>
      <w:sz w:val="20"/>
      <w:szCs w:val="20"/>
    </w:rPr>
  </w:style>
  <w:style w:type="character" w:styleId="Hyperlink">
    <w:name w:val="Hyperlink"/>
    <w:basedOn w:val="DefaultParagraphFont"/>
    <w:uiPriority w:val="99"/>
    <w:unhideWhenUsed/>
    <w:rsid w:val="00831312"/>
    <w:rPr>
      <w:color w:val="0563C1" w:themeColor="hyperlink"/>
      <w:u w:val="single"/>
    </w:rPr>
  </w:style>
  <w:style w:type="paragraph" w:styleId="BodyText">
    <w:name w:val="Body Text"/>
    <w:basedOn w:val="Normal"/>
    <w:link w:val="BodyTextChar"/>
    <w:uiPriority w:val="1"/>
    <w:qFormat/>
    <w:rsid w:val="00F5423C"/>
    <w:pPr>
      <w:widowControl w:val="0"/>
      <w:spacing w:before="10" w:after="0" w:line="240" w:lineRule="auto"/>
      <w:ind w:left="20"/>
    </w:pPr>
    <w:rPr>
      <w:rFonts w:eastAsia="Times New Roman"/>
      <w:sz w:val="19"/>
      <w:szCs w:val="19"/>
    </w:rPr>
  </w:style>
  <w:style w:type="character" w:customStyle="1" w:styleId="BodyTextChar">
    <w:name w:val="Body Text Char"/>
    <w:basedOn w:val="DefaultParagraphFont"/>
    <w:link w:val="BodyText"/>
    <w:uiPriority w:val="1"/>
    <w:rsid w:val="00F5423C"/>
    <w:rPr>
      <w:rFonts w:ascii="Times New Roman" w:hAnsi="Times New Roman"/>
      <w:sz w:val="19"/>
      <w:szCs w:val="19"/>
    </w:rPr>
  </w:style>
  <w:style w:type="paragraph" w:customStyle="1" w:styleId="Default">
    <w:name w:val="Default"/>
    <w:rsid w:val="00F5423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5423C"/>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link w:val="ListParagraphChar"/>
    <w:uiPriority w:val="34"/>
    <w:qFormat/>
    <w:rsid w:val="00F5423C"/>
    <w:pPr>
      <w:spacing w:line="259" w:lineRule="auto"/>
      <w:ind w:left="720"/>
      <w:contextualSpacing/>
    </w:pPr>
  </w:style>
  <w:style w:type="character" w:customStyle="1" w:styleId="ListParagraphChar">
    <w:name w:val="List Paragraph Char"/>
    <w:basedOn w:val="DefaultParagraphFont"/>
    <w:link w:val="ListParagraph"/>
    <w:uiPriority w:val="34"/>
    <w:rsid w:val="00F5423C"/>
    <w:rPr>
      <w:rFonts w:eastAsiaTheme="minorHAnsi"/>
    </w:rPr>
  </w:style>
  <w:style w:type="character" w:styleId="FollowedHyperlink">
    <w:name w:val="FollowedHyperlink"/>
    <w:basedOn w:val="DefaultParagraphFont"/>
    <w:uiPriority w:val="99"/>
    <w:semiHidden/>
    <w:unhideWhenUsed/>
    <w:rsid w:val="00C60BC8"/>
    <w:rPr>
      <w:color w:val="954F72" w:themeColor="followedHyperlink"/>
      <w:u w:val="single"/>
    </w:rPr>
  </w:style>
  <w:style w:type="character" w:customStyle="1" w:styleId="UnresolvedMention1">
    <w:name w:val="Unresolved Mention1"/>
    <w:basedOn w:val="DefaultParagraphFont"/>
    <w:uiPriority w:val="99"/>
    <w:semiHidden/>
    <w:unhideWhenUsed/>
    <w:rsid w:val="00C60BC8"/>
    <w:rPr>
      <w:color w:val="605E5C"/>
      <w:shd w:val="clear" w:color="auto" w:fill="E1DFDD"/>
    </w:rPr>
  </w:style>
  <w:style w:type="table" w:styleId="TableGrid">
    <w:name w:val="Table Grid"/>
    <w:basedOn w:val="TableNormal"/>
    <w:uiPriority w:val="39"/>
    <w:rsid w:val="00A2398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16947"/>
    <w:pPr>
      <w:spacing w:after="0" w:line="240" w:lineRule="auto"/>
    </w:pPr>
    <w:rPr>
      <w:rFonts w:ascii="Calibri" w:hAnsi="Calibri" w:cs="Calibri"/>
    </w:rPr>
  </w:style>
  <w:style w:type="paragraph" w:styleId="Header">
    <w:name w:val="header"/>
    <w:basedOn w:val="Normal"/>
    <w:link w:val="HeaderChar"/>
    <w:uiPriority w:val="99"/>
    <w:unhideWhenUsed/>
    <w:rsid w:val="00015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3E7"/>
    <w:rPr>
      <w:rFonts w:eastAsiaTheme="minorHAnsi"/>
    </w:rPr>
  </w:style>
  <w:style w:type="paragraph" w:styleId="Footer">
    <w:name w:val="footer"/>
    <w:basedOn w:val="Normal"/>
    <w:link w:val="FooterChar"/>
    <w:uiPriority w:val="99"/>
    <w:unhideWhenUsed/>
    <w:rsid w:val="00015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3E7"/>
    <w:rPr>
      <w:rFonts w:eastAsiaTheme="minorHAnsi"/>
    </w:rPr>
  </w:style>
  <w:style w:type="paragraph" w:customStyle="1" w:styleId="RBNBasicNoSpace">
    <w:name w:val="RBN Basic No Space"/>
    <w:basedOn w:val="Normal"/>
    <w:rsid w:val="003842DB"/>
    <w:pPr>
      <w:spacing w:after="0" w:line="240" w:lineRule="auto"/>
    </w:pPr>
    <w:rPr>
      <w:rFonts w:eastAsia="Calibri" w:cs="Times New Roman"/>
      <w:sz w:val="24"/>
      <w:szCs w:val="20"/>
    </w:rPr>
  </w:style>
  <w:style w:type="paragraph" w:customStyle="1" w:styleId="RB2Bullets">
    <w:name w:val="RB2 Bullets"/>
    <w:basedOn w:val="Normal"/>
    <w:rsid w:val="00254070"/>
    <w:pPr>
      <w:numPr>
        <w:ilvl w:val="1"/>
        <w:numId w:val="9"/>
      </w:numPr>
      <w:spacing w:after="120" w:line="240" w:lineRule="auto"/>
    </w:pPr>
    <w:rPr>
      <w:rFonts w:eastAsia="Calibri" w:cs="Times New Roman"/>
      <w:sz w:val="24"/>
      <w:szCs w:val="20"/>
    </w:rPr>
  </w:style>
  <w:style w:type="paragraph" w:customStyle="1" w:styleId="RB3Bullets">
    <w:name w:val="RB3 Bullets"/>
    <w:basedOn w:val="Normal"/>
    <w:rsid w:val="00254070"/>
    <w:pPr>
      <w:numPr>
        <w:ilvl w:val="2"/>
        <w:numId w:val="9"/>
      </w:numPr>
      <w:spacing w:after="120" w:line="240" w:lineRule="auto"/>
    </w:pPr>
    <w:rPr>
      <w:rFonts w:eastAsia="Calibri" w:cs="Times New Roman"/>
      <w:sz w:val="24"/>
      <w:szCs w:val="20"/>
    </w:rPr>
  </w:style>
  <w:style w:type="paragraph" w:customStyle="1" w:styleId="RB4Bullets">
    <w:name w:val="RB4 Bullets"/>
    <w:basedOn w:val="Normal"/>
    <w:rsid w:val="00254070"/>
    <w:pPr>
      <w:numPr>
        <w:ilvl w:val="3"/>
        <w:numId w:val="9"/>
      </w:numPr>
      <w:spacing w:after="120" w:line="240" w:lineRule="auto"/>
    </w:pPr>
    <w:rPr>
      <w:rFonts w:eastAsia="Calibri" w:cs="Times New Roman"/>
      <w:sz w:val="24"/>
      <w:szCs w:val="20"/>
    </w:rPr>
  </w:style>
  <w:style w:type="paragraph" w:customStyle="1" w:styleId="RB5Bullets">
    <w:name w:val="RB5 Bullets"/>
    <w:basedOn w:val="Normal"/>
    <w:rsid w:val="00254070"/>
    <w:pPr>
      <w:numPr>
        <w:ilvl w:val="4"/>
        <w:numId w:val="9"/>
      </w:numPr>
      <w:spacing w:after="120" w:line="240" w:lineRule="auto"/>
    </w:pPr>
    <w:rPr>
      <w:rFonts w:eastAsia="Calibri" w:cs="Times New Roman"/>
      <w:sz w:val="24"/>
      <w:szCs w:val="20"/>
    </w:rPr>
  </w:style>
  <w:style w:type="paragraph" w:customStyle="1" w:styleId="RB6Bullets">
    <w:name w:val="RB6 Bullets"/>
    <w:basedOn w:val="Normal"/>
    <w:rsid w:val="00254070"/>
    <w:pPr>
      <w:numPr>
        <w:ilvl w:val="5"/>
        <w:numId w:val="9"/>
      </w:numPr>
      <w:spacing w:after="120" w:line="240" w:lineRule="auto"/>
    </w:pPr>
    <w:rPr>
      <w:rFonts w:eastAsia="Calibri" w:cs="Times New Roman"/>
      <w:sz w:val="24"/>
      <w:szCs w:val="20"/>
    </w:rPr>
  </w:style>
  <w:style w:type="paragraph" w:customStyle="1" w:styleId="RB7Bullets">
    <w:name w:val="RB7 Bullets"/>
    <w:basedOn w:val="Normal"/>
    <w:rsid w:val="00254070"/>
    <w:pPr>
      <w:numPr>
        <w:ilvl w:val="6"/>
        <w:numId w:val="9"/>
      </w:numPr>
      <w:spacing w:after="120" w:line="240" w:lineRule="auto"/>
    </w:pPr>
    <w:rPr>
      <w:rFonts w:eastAsia="Calibri" w:cs="Times New Roman"/>
      <w:sz w:val="24"/>
      <w:szCs w:val="20"/>
    </w:rPr>
  </w:style>
  <w:style w:type="paragraph" w:customStyle="1" w:styleId="RB8Bullets">
    <w:name w:val="RB8 Bullets"/>
    <w:basedOn w:val="Normal"/>
    <w:rsid w:val="00254070"/>
    <w:pPr>
      <w:numPr>
        <w:ilvl w:val="7"/>
        <w:numId w:val="9"/>
      </w:numPr>
      <w:spacing w:after="120" w:line="240" w:lineRule="auto"/>
    </w:pPr>
    <w:rPr>
      <w:rFonts w:eastAsia="Calibri" w:cs="Times New Roman"/>
      <w:sz w:val="24"/>
      <w:szCs w:val="20"/>
    </w:rPr>
  </w:style>
  <w:style w:type="paragraph" w:customStyle="1" w:styleId="RB9Bullets">
    <w:name w:val="RB9 Bullets"/>
    <w:basedOn w:val="Normal"/>
    <w:rsid w:val="00254070"/>
    <w:pPr>
      <w:numPr>
        <w:ilvl w:val="8"/>
        <w:numId w:val="9"/>
      </w:numPr>
      <w:spacing w:after="120" w:line="240" w:lineRule="auto"/>
    </w:pPr>
    <w:rPr>
      <w:rFonts w:eastAsia="Calibri" w:cs="Times New Roman"/>
      <w:sz w:val="24"/>
      <w:szCs w:val="20"/>
    </w:rPr>
  </w:style>
  <w:style w:type="paragraph" w:customStyle="1" w:styleId="RBUBullets">
    <w:name w:val="RBU Bullets"/>
    <w:basedOn w:val="Normal"/>
    <w:link w:val="RBUBulletsChar"/>
    <w:rsid w:val="00254070"/>
    <w:pPr>
      <w:numPr>
        <w:numId w:val="9"/>
      </w:numPr>
      <w:spacing w:after="120" w:line="240" w:lineRule="auto"/>
      <w:ind w:left="720"/>
      <w:jc w:val="both"/>
    </w:pPr>
    <w:rPr>
      <w:rFonts w:eastAsia="Calibri" w:cs="Times New Roman"/>
      <w:sz w:val="24"/>
      <w:szCs w:val="20"/>
    </w:rPr>
  </w:style>
  <w:style w:type="character" w:customStyle="1" w:styleId="RBUBulletsChar">
    <w:name w:val="RBU Bullets Char"/>
    <w:basedOn w:val="DefaultParagraphFont"/>
    <w:link w:val="RBUBullets"/>
    <w:rsid w:val="00254070"/>
    <w:rPr>
      <w:rFonts w:ascii="Times New Roman" w:eastAsia="Calibri" w:hAnsi="Times New Roman" w:cs="Times New Roman"/>
      <w:sz w:val="24"/>
      <w:szCs w:val="20"/>
    </w:rPr>
  </w:style>
  <w:style w:type="paragraph" w:customStyle="1" w:styleId="RSBCSubtitleTOC">
    <w:name w:val="RSBC Subtitle TOC"/>
    <w:basedOn w:val="Normal"/>
    <w:rsid w:val="00A24B60"/>
    <w:pPr>
      <w:keepNext/>
      <w:keepLines/>
      <w:snapToGrid w:val="0"/>
      <w:spacing w:after="240" w:line="240" w:lineRule="auto"/>
      <w:jc w:val="center"/>
      <w:outlineLvl w:val="0"/>
    </w:pPr>
    <w:rPr>
      <w:rFonts w:eastAsia="Calibri" w:cs="Times New Roman"/>
      <w:b/>
      <w:sz w:val="24"/>
      <w:szCs w:val="20"/>
    </w:rPr>
  </w:style>
  <w:style w:type="character" w:customStyle="1" w:styleId="cf01">
    <w:name w:val="cf01"/>
    <w:basedOn w:val="DefaultParagraphFont"/>
    <w:rsid w:val="00065EEC"/>
    <w:rPr>
      <w:rFonts w:ascii="Segoe UI" w:hAnsi="Segoe UI" w:cs="Segoe UI" w:hint="default"/>
      <w:sz w:val="18"/>
      <w:szCs w:val="18"/>
    </w:rPr>
  </w:style>
  <w:style w:type="paragraph" w:styleId="BalloonText">
    <w:name w:val="Balloon Text"/>
    <w:basedOn w:val="Normal"/>
    <w:link w:val="BalloonTextChar"/>
    <w:uiPriority w:val="99"/>
    <w:semiHidden/>
    <w:unhideWhenUsed/>
    <w:rsid w:val="00760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2E1"/>
    <w:rPr>
      <w:rFonts w:ascii="Segoe UI" w:eastAsiaTheme="minorHAnsi" w:hAnsi="Segoe UI" w:cs="Segoe UI"/>
      <w:sz w:val="18"/>
      <w:szCs w:val="18"/>
    </w:rPr>
  </w:style>
  <w:style w:type="paragraph" w:styleId="Revision">
    <w:name w:val="Revision"/>
    <w:hidden/>
    <w:uiPriority w:val="99"/>
    <w:semiHidden/>
    <w:rsid w:val="00320C53"/>
    <w:pPr>
      <w:spacing w:after="0" w:line="240" w:lineRule="auto"/>
    </w:pPr>
    <w:rPr>
      <w:rFonts w:eastAsiaTheme="minorHAnsi"/>
    </w:rPr>
  </w:style>
  <w:style w:type="table" w:styleId="GridTable1Light-Accent3">
    <w:name w:val="Grid Table 1 Light Accent 3"/>
    <w:basedOn w:val="TableNormal"/>
    <w:uiPriority w:val="46"/>
    <w:rsid w:val="0007569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2-Accent3">
    <w:name w:val="List Table 2 Accent 3"/>
    <w:basedOn w:val="TableNormal"/>
    <w:uiPriority w:val="47"/>
    <w:rsid w:val="0007569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tion">
    <w:name w:val="Mention"/>
    <w:basedOn w:val="DefaultParagraphFont"/>
    <w:uiPriority w:val="99"/>
    <w:unhideWhenUsed/>
    <w:rsid w:val="008754FE"/>
    <w:rPr>
      <w:color w:val="2B579A"/>
      <w:shd w:val="clear" w:color="auto" w:fill="E1DFDD"/>
    </w:rPr>
  </w:style>
  <w:style w:type="character" w:customStyle="1" w:styleId="normaltextrun">
    <w:name w:val="normaltextrun"/>
    <w:basedOn w:val="DefaultParagraphFont"/>
    <w:rsid w:val="00692449"/>
  </w:style>
  <w:style w:type="character" w:customStyle="1" w:styleId="eop">
    <w:name w:val="eop"/>
    <w:basedOn w:val="DefaultParagraphFont"/>
    <w:rsid w:val="00692449"/>
  </w:style>
  <w:style w:type="character" w:styleId="UnresolvedMention">
    <w:name w:val="Unresolved Mention"/>
    <w:basedOn w:val="DefaultParagraphFont"/>
    <w:uiPriority w:val="99"/>
    <w:semiHidden/>
    <w:unhideWhenUsed/>
    <w:rsid w:val="00AA457B"/>
    <w:rPr>
      <w:color w:val="605E5C"/>
      <w:shd w:val="clear" w:color="auto" w:fill="E1DFDD"/>
    </w:rPr>
  </w:style>
  <w:style w:type="table" w:customStyle="1" w:styleId="TableGrid1">
    <w:name w:val="Table Grid1"/>
    <w:basedOn w:val="TableNormal"/>
    <w:next w:val="TableGrid"/>
    <w:uiPriority w:val="39"/>
    <w:rsid w:val="005041E7"/>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6987">
      <w:bodyDiv w:val="1"/>
      <w:marLeft w:val="0"/>
      <w:marRight w:val="0"/>
      <w:marTop w:val="0"/>
      <w:marBottom w:val="0"/>
      <w:divBdr>
        <w:top w:val="none" w:sz="0" w:space="0" w:color="auto"/>
        <w:left w:val="none" w:sz="0" w:space="0" w:color="auto"/>
        <w:bottom w:val="none" w:sz="0" w:space="0" w:color="auto"/>
        <w:right w:val="none" w:sz="0" w:space="0" w:color="auto"/>
      </w:divBdr>
      <w:divsChild>
        <w:div w:id="91438104">
          <w:marLeft w:val="0"/>
          <w:marRight w:val="0"/>
          <w:marTop w:val="0"/>
          <w:marBottom w:val="0"/>
          <w:divBdr>
            <w:top w:val="none" w:sz="0" w:space="0" w:color="auto"/>
            <w:left w:val="none" w:sz="0" w:space="0" w:color="auto"/>
            <w:bottom w:val="none" w:sz="0" w:space="0" w:color="auto"/>
            <w:right w:val="none" w:sz="0" w:space="0" w:color="auto"/>
          </w:divBdr>
        </w:div>
      </w:divsChild>
    </w:div>
    <w:div w:id="3676492">
      <w:bodyDiv w:val="1"/>
      <w:marLeft w:val="0"/>
      <w:marRight w:val="0"/>
      <w:marTop w:val="0"/>
      <w:marBottom w:val="0"/>
      <w:divBdr>
        <w:top w:val="none" w:sz="0" w:space="0" w:color="auto"/>
        <w:left w:val="none" w:sz="0" w:space="0" w:color="auto"/>
        <w:bottom w:val="none" w:sz="0" w:space="0" w:color="auto"/>
        <w:right w:val="none" w:sz="0" w:space="0" w:color="auto"/>
      </w:divBdr>
    </w:div>
    <w:div w:id="83579862">
      <w:bodyDiv w:val="1"/>
      <w:marLeft w:val="0"/>
      <w:marRight w:val="0"/>
      <w:marTop w:val="0"/>
      <w:marBottom w:val="0"/>
      <w:divBdr>
        <w:top w:val="none" w:sz="0" w:space="0" w:color="auto"/>
        <w:left w:val="none" w:sz="0" w:space="0" w:color="auto"/>
        <w:bottom w:val="none" w:sz="0" w:space="0" w:color="auto"/>
        <w:right w:val="none" w:sz="0" w:space="0" w:color="auto"/>
      </w:divBdr>
      <w:divsChild>
        <w:div w:id="761606831">
          <w:marLeft w:val="0"/>
          <w:marRight w:val="0"/>
          <w:marTop w:val="0"/>
          <w:marBottom w:val="0"/>
          <w:divBdr>
            <w:top w:val="none" w:sz="0" w:space="0" w:color="auto"/>
            <w:left w:val="none" w:sz="0" w:space="0" w:color="auto"/>
            <w:bottom w:val="none" w:sz="0" w:space="0" w:color="auto"/>
            <w:right w:val="none" w:sz="0" w:space="0" w:color="auto"/>
          </w:divBdr>
        </w:div>
      </w:divsChild>
    </w:div>
    <w:div w:id="84621428">
      <w:bodyDiv w:val="1"/>
      <w:marLeft w:val="0"/>
      <w:marRight w:val="0"/>
      <w:marTop w:val="0"/>
      <w:marBottom w:val="0"/>
      <w:divBdr>
        <w:top w:val="none" w:sz="0" w:space="0" w:color="auto"/>
        <w:left w:val="none" w:sz="0" w:space="0" w:color="auto"/>
        <w:bottom w:val="none" w:sz="0" w:space="0" w:color="auto"/>
        <w:right w:val="none" w:sz="0" w:space="0" w:color="auto"/>
      </w:divBdr>
    </w:div>
    <w:div w:id="102071536">
      <w:bodyDiv w:val="1"/>
      <w:marLeft w:val="0"/>
      <w:marRight w:val="0"/>
      <w:marTop w:val="0"/>
      <w:marBottom w:val="0"/>
      <w:divBdr>
        <w:top w:val="none" w:sz="0" w:space="0" w:color="auto"/>
        <w:left w:val="none" w:sz="0" w:space="0" w:color="auto"/>
        <w:bottom w:val="none" w:sz="0" w:space="0" w:color="auto"/>
        <w:right w:val="none" w:sz="0" w:space="0" w:color="auto"/>
      </w:divBdr>
    </w:div>
    <w:div w:id="208300487">
      <w:bodyDiv w:val="1"/>
      <w:marLeft w:val="0"/>
      <w:marRight w:val="0"/>
      <w:marTop w:val="0"/>
      <w:marBottom w:val="0"/>
      <w:divBdr>
        <w:top w:val="none" w:sz="0" w:space="0" w:color="auto"/>
        <w:left w:val="none" w:sz="0" w:space="0" w:color="auto"/>
        <w:bottom w:val="none" w:sz="0" w:space="0" w:color="auto"/>
        <w:right w:val="none" w:sz="0" w:space="0" w:color="auto"/>
      </w:divBdr>
      <w:divsChild>
        <w:div w:id="417022961">
          <w:marLeft w:val="547"/>
          <w:marRight w:val="0"/>
          <w:marTop w:val="0"/>
          <w:marBottom w:val="240"/>
          <w:divBdr>
            <w:top w:val="none" w:sz="0" w:space="0" w:color="auto"/>
            <w:left w:val="none" w:sz="0" w:space="0" w:color="auto"/>
            <w:bottom w:val="none" w:sz="0" w:space="0" w:color="auto"/>
            <w:right w:val="none" w:sz="0" w:space="0" w:color="auto"/>
          </w:divBdr>
        </w:div>
      </w:divsChild>
    </w:div>
    <w:div w:id="241256140">
      <w:bodyDiv w:val="1"/>
      <w:marLeft w:val="0"/>
      <w:marRight w:val="0"/>
      <w:marTop w:val="0"/>
      <w:marBottom w:val="0"/>
      <w:divBdr>
        <w:top w:val="none" w:sz="0" w:space="0" w:color="auto"/>
        <w:left w:val="none" w:sz="0" w:space="0" w:color="auto"/>
        <w:bottom w:val="none" w:sz="0" w:space="0" w:color="auto"/>
        <w:right w:val="none" w:sz="0" w:space="0" w:color="auto"/>
      </w:divBdr>
    </w:div>
    <w:div w:id="300117766">
      <w:bodyDiv w:val="1"/>
      <w:marLeft w:val="0"/>
      <w:marRight w:val="0"/>
      <w:marTop w:val="0"/>
      <w:marBottom w:val="0"/>
      <w:divBdr>
        <w:top w:val="none" w:sz="0" w:space="0" w:color="auto"/>
        <w:left w:val="none" w:sz="0" w:space="0" w:color="auto"/>
        <w:bottom w:val="none" w:sz="0" w:space="0" w:color="auto"/>
        <w:right w:val="none" w:sz="0" w:space="0" w:color="auto"/>
      </w:divBdr>
      <w:divsChild>
        <w:div w:id="621038431">
          <w:marLeft w:val="547"/>
          <w:marRight w:val="0"/>
          <w:marTop w:val="0"/>
          <w:marBottom w:val="240"/>
          <w:divBdr>
            <w:top w:val="none" w:sz="0" w:space="0" w:color="auto"/>
            <w:left w:val="none" w:sz="0" w:space="0" w:color="auto"/>
            <w:bottom w:val="none" w:sz="0" w:space="0" w:color="auto"/>
            <w:right w:val="none" w:sz="0" w:space="0" w:color="auto"/>
          </w:divBdr>
        </w:div>
      </w:divsChild>
    </w:div>
    <w:div w:id="335811842">
      <w:bodyDiv w:val="1"/>
      <w:marLeft w:val="0"/>
      <w:marRight w:val="0"/>
      <w:marTop w:val="0"/>
      <w:marBottom w:val="0"/>
      <w:divBdr>
        <w:top w:val="none" w:sz="0" w:space="0" w:color="auto"/>
        <w:left w:val="none" w:sz="0" w:space="0" w:color="auto"/>
        <w:bottom w:val="none" w:sz="0" w:space="0" w:color="auto"/>
        <w:right w:val="none" w:sz="0" w:space="0" w:color="auto"/>
      </w:divBdr>
      <w:divsChild>
        <w:div w:id="1468235001">
          <w:marLeft w:val="720"/>
          <w:marRight w:val="0"/>
          <w:marTop w:val="0"/>
          <w:marBottom w:val="120"/>
          <w:divBdr>
            <w:top w:val="none" w:sz="0" w:space="0" w:color="auto"/>
            <w:left w:val="none" w:sz="0" w:space="0" w:color="auto"/>
            <w:bottom w:val="none" w:sz="0" w:space="0" w:color="auto"/>
            <w:right w:val="none" w:sz="0" w:space="0" w:color="auto"/>
          </w:divBdr>
        </w:div>
      </w:divsChild>
    </w:div>
    <w:div w:id="378668011">
      <w:bodyDiv w:val="1"/>
      <w:marLeft w:val="0"/>
      <w:marRight w:val="0"/>
      <w:marTop w:val="0"/>
      <w:marBottom w:val="0"/>
      <w:divBdr>
        <w:top w:val="none" w:sz="0" w:space="0" w:color="auto"/>
        <w:left w:val="none" w:sz="0" w:space="0" w:color="auto"/>
        <w:bottom w:val="none" w:sz="0" w:space="0" w:color="auto"/>
        <w:right w:val="none" w:sz="0" w:space="0" w:color="auto"/>
      </w:divBdr>
    </w:div>
    <w:div w:id="383407650">
      <w:bodyDiv w:val="1"/>
      <w:marLeft w:val="0"/>
      <w:marRight w:val="0"/>
      <w:marTop w:val="0"/>
      <w:marBottom w:val="0"/>
      <w:divBdr>
        <w:top w:val="none" w:sz="0" w:space="0" w:color="auto"/>
        <w:left w:val="none" w:sz="0" w:space="0" w:color="auto"/>
        <w:bottom w:val="none" w:sz="0" w:space="0" w:color="auto"/>
        <w:right w:val="none" w:sz="0" w:space="0" w:color="auto"/>
      </w:divBdr>
      <w:divsChild>
        <w:div w:id="1902053387">
          <w:marLeft w:val="0"/>
          <w:marRight w:val="0"/>
          <w:marTop w:val="0"/>
          <w:marBottom w:val="0"/>
          <w:divBdr>
            <w:top w:val="none" w:sz="0" w:space="0" w:color="auto"/>
            <w:left w:val="none" w:sz="0" w:space="0" w:color="auto"/>
            <w:bottom w:val="none" w:sz="0" w:space="0" w:color="auto"/>
            <w:right w:val="none" w:sz="0" w:space="0" w:color="auto"/>
          </w:divBdr>
        </w:div>
      </w:divsChild>
    </w:div>
    <w:div w:id="404381578">
      <w:bodyDiv w:val="1"/>
      <w:marLeft w:val="0"/>
      <w:marRight w:val="0"/>
      <w:marTop w:val="0"/>
      <w:marBottom w:val="0"/>
      <w:divBdr>
        <w:top w:val="none" w:sz="0" w:space="0" w:color="auto"/>
        <w:left w:val="none" w:sz="0" w:space="0" w:color="auto"/>
        <w:bottom w:val="none" w:sz="0" w:space="0" w:color="auto"/>
        <w:right w:val="none" w:sz="0" w:space="0" w:color="auto"/>
      </w:divBdr>
    </w:div>
    <w:div w:id="441732099">
      <w:bodyDiv w:val="1"/>
      <w:marLeft w:val="0"/>
      <w:marRight w:val="0"/>
      <w:marTop w:val="0"/>
      <w:marBottom w:val="0"/>
      <w:divBdr>
        <w:top w:val="none" w:sz="0" w:space="0" w:color="auto"/>
        <w:left w:val="none" w:sz="0" w:space="0" w:color="auto"/>
        <w:bottom w:val="none" w:sz="0" w:space="0" w:color="auto"/>
        <w:right w:val="none" w:sz="0" w:space="0" w:color="auto"/>
      </w:divBdr>
    </w:div>
    <w:div w:id="624889769">
      <w:bodyDiv w:val="1"/>
      <w:marLeft w:val="0"/>
      <w:marRight w:val="0"/>
      <w:marTop w:val="0"/>
      <w:marBottom w:val="0"/>
      <w:divBdr>
        <w:top w:val="none" w:sz="0" w:space="0" w:color="auto"/>
        <w:left w:val="none" w:sz="0" w:space="0" w:color="auto"/>
        <w:bottom w:val="none" w:sz="0" w:space="0" w:color="auto"/>
        <w:right w:val="none" w:sz="0" w:space="0" w:color="auto"/>
      </w:divBdr>
      <w:divsChild>
        <w:div w:id="442312100">
          <w:marLeft w:val="547"/>
          <w:marRight w:val="0"/>
          <w:marTop w:val="0"/>
          <w:marBottom w:val="240"/>
          <w:divBdr>
            <w:top w:val="none" w:sz="0" w:space="0" w:color="auto"/>
            <w:left w:val="none" w:sz="0" w:space="0" w:color="auto"/>
            <w:bottom w:val="none" w:sz="0" w:space="0" w:color="auto"/>
            <w:right w:val="none" w:sz="0" w:space="0" w:color="auto"/>
          </w:divBdr>
        </w:div>
      </w:divsChild>
    </w:div>
    <w:div w:id="625813495">
      <w:bodyDiv w:val="1"/>
      <w:marLeft w:val="0"/>
      <w:marRight w:val="0"/>
      <w:marTop w:val="0"/>
      <w:marBottom w:val="0"/>
      <w:divBdr>
        <w:top w:val="none" w:sz="0" w:space="0" w:color="auto"/>
        <w:left w:val="none" w:sz="0" w:space="0" w:color="auto"/>
        <w:bottom w:val="none" w:sz="0" w:space="0" w:color="auto"/>
        <w:right w:val="none" w:sz="0" w:space="0" w:color="auto"/>
      </w:divBdr>
      <w:divsChild>
        <w:div w:id="11538631">
          <w:marLeft w:val="0"/>
          <w:marRight w:val="0"/>
          <w:marTop w:val="0"/>
          <w:marBottom w:val="0"/>
          <w:divBdr>
            <w:top w:val="none" w:sz="0" w:space="0" w:color="auto"/>
            <w:left w:val="none" w:sz="0" w:space="0" w:color="auto"/>
            <w:bottom w:val="none" w:sz="0" w:space="0" w:color="auto"/>
            <w:right w:val="none" w:sz="0" w:space="0" w:color="auto"/>
          </w:divBdr>
          <w:divsChild>
            <w:div w:id="723410714">
              <w:marLeft w:val="0"/>
              <w:marRight w:val="0"/>
              <w:marTop w:val="0"/>
              <w:marBottom w:val="0"/>
              <w:divBdr>
                <w:top w:val="none" w:sz="0" w:space="0" w:color="auto"/>
                <w:left w:val="none" w:sz="0" w:space="0" w:color="auto"/>
                <w:bottom w:val="none" w:sz="0" w:space="0" w:color="auto"/>
                <w:right w:val="none" w:sz="0" w:space="0" w:color="auto"/>
              </w:divBdr>
              <w:divsChild>
                <w:div w:id="1810778925">
                  <w:marLeft w:val="0"/>
                  <w:marRight w:val="0"/>
                  <w:marTop w:val="0"/>
                  <w:marBottom w:val="0"/>
                  <w:divBdr>
                    <w:top w:val="none" w:sz="0" w:space="0" w:color="auto"/>
                    <w:left w:val="none" w:sz="0" w:space="0" w:color="auto"/>
                    <w:bottom w:val="none" w:sz="0" w:space="0" w:color="auto"/>
                    <w:right w:val="none" w:sz="0" w:space="0" w:color="auto"/>
                  </w:divBdr>
                  <w:divsChild>
                    <w:div w:id="405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707955">
      <w:bodyDiv w:val="1"/>
      <w:marLeft w:val="0"/>
      <w:marRight w:val="0"/>
      <w:marTop w:val="0"/>
      <w:marBottom w:val="0"/>
      <w:divBdr>
        <w:top w:val="none" w:sz="0" w:space="0" w:color="auto"/>
        <w:left w:val="none" w:sz="0" w:space="0" w:color="auto"/>
        <w:bottom w:val="none" w:sz="0" w:space="0" w:color="auto"/>
        <w:right w:val="none" w:sz="0" w:space="0" w:color="auto"/>
      </w:divBdr>
    </w:div>
    <w:div w:id="679968306">
      <w:bodyDiv w:val="1"/>
      <w:marLeft w:val="0"/>
      <w:marRight w:val="0"/>
      <w:marTop w:val="0"/>
      <w:marBottom w:val="0"/>
      <w:divBdr>
        <w:top w:val="none" w:sz="0" w:space="0" w:color="auto"/>
        <w:left w:val="none" w:sz="0" w:space="0" w:color="auto"/>
        <w:bottom w:val="none" w:sz="0" w:space="0" w:color="auto"/>
        <w:right w:val="none" w:sz="0" w:space="0" w:color="auto"/>
      </w:divBdr>
    </w:div>
    <w:div w:id="808090310">
      <w:bodyDiv w:val="1"/>
      <w:marLeft w:val="0"/>
      <w:marRight w:val="0"/>
      <w:marTop w:val="0"/>
      <w:marBottom w:val="0"/>
      <w:divBdr>
        <w:top w:val="none" w:sz="0" w:space="0" w:color="auto"/>
        <w:left w:val="none" w:sz="0" w:space="0" w:color="auto"/>
        <w:bottom w:val="none" w:sz="0" w:space="0" w:color="auto"/>
        <w:right w:val="none" w:sz="0" w:space="0" w:color="auto"/>
      </w:divBdr>
    </w:div>
    <w:div w:id="852303543">
      <w:bodyDiv w:val="1"/>
      <w:marLeft w:val="0"/>
      <w:marRight w:val="0"/>
      <w:marTop w:val="0"/>
      <w:marBottom w:val="0"/>
      <w:divBdr>
        <w:top w:val="none" w:sz="0" w:space="0" w:color="auto"/>
        <w:left w:val="none" w:sz="0" w:space="0" w:color="auto"/>
        <w:bottom w:val="none" w:sz="0" w:space="0" w:color="auto"/>
        <w:right w:val="none" w:sz="0" w:space="0" w:color="auto"/>
      </w:divBdr>
    </w:div>
    <w:div w:id="863637440">
      <w:bodyDiv w:val="1"/>
      <w:marLeft w:val="0"/>
      <w:marRight w:val="0"/>
      <w:marTop w:val="0"/>
      <w:marBottom w:val="0"/>
      <w:divBdr>
        <w:top w:val="none" w:sz="0" w:space="0" w:color="auto"/>
        <w:left w:val="none" w:sz="0" w:space="0" w:color="auto"/>
        <w:bottom w:val="none" w:sz="0" w:space="0" w:color="auto"/>
        <w:right w:val="none" w:sz="0" w:space="0" w:color="auto"/>
      </w:divBdr>
    </w:div>
    <w:div w:id="917591914">
      <w:bodyDiv w:val="1"/>
      <w:marLeft w:val="0"/>
      <w:marRight w:val="0"/>
      <w:marTop w:val="0"/>
      <w:marBottom w:val="0"/>
      <w:divBdr>
        <w:top w:val="none" w:sz="0" w:space="0" w:color="auto"/>
        <w:left w:val="none" w:sz="0" w:space="0" w:color="auto"/>
        <w:bottom w:val="none" w:sz="0" w:space="0" w:color="auto"/>
        <w:right w:val="none" w:sz="0" w:space="0" w:color="auto"/>
      </w:divBdr>
    </w:div>
    <w:div w:id="930549904">
      <w:bodyDiv w:val="1"/>
      <w:marLeft w:val="0"/>
      <w:marRight w:val="0"/>
      <w:marTop w:val="0"/>
      <w:marBottom w:val="0"/>
      <w:divBdr>
        <w:top w:val="none" w:sz="0" w:space="0" w:color="auto"/>
        <w:left w:val="none" w:sz="0" w:space="0" w:color="auto"/>
        <w:bottom w:val="none" w:sz="0" w:space="0" w:color="auto"/>
        <w:right w:val="none" w:sz="0" w:space="0" w:color="auto"/>
      </w:divBdr>
    </w:div>
    <w:div w:id="1018435617">
      <w:bodyDiv w:val="1"/>
      <w:marLeft w:val="0"/>
      <w:marRight w:val="0"/>
      <w:marTop w:val="0"/>
      <w:marBottom w:val="0"/>
      <w:divBdr>
        <w:top w:val="none" w:sz="0" w:space="0" w:color="auto"/>
        <w:left w:val="none" w:sz="0" w:space="0" w:color="auto"/>
        <w:bottom w:val="none" w:sz="0" w:space="0" w:color="auto"/>
        <w:right w:val="none" w:sz="0" w:space="0" w:color="auto"/>
      </w:divBdr>
      <w:divsChild>
        <w:div w:id="80176970">
          <w:marLeft w:val="0"/>
          <w:marRight w:val="0"/>
          <w:marTop w:val="0"/>
          <w:marBottom w:val="0"/>
          <w:divBdr>
            <w:top w:val="none" w:sz="0" w:space="0" w:color="auto"/>
            <w:left w:val="none" w:sz="0" w:space="0" w:color="auto"/>
            <w:bottom w:val="none" w:sz="0" w:space="0" w:color="auto"/>
            <w:right w:val="none" w:sz="0" w:space="0" w:color="auto"/>
          </w:divBdr>
        </w:div>
        <w:div w:id="885870052">
          <w:marLeft w:val="0"/>
          <w:marRight w:val="0"/>
          <w:marTop w:val="0"/>
          <w:marBottom w:val="0"/>
          <w:divBdr>
            <w:top w:val="none" w:sz="0" w:space="0" w:color="auto"/>
            <w:left w:val="none" w:sz="0" w:space="0" w:color="auto"/>
            <w:bottom w:val="none" w:sz="0" w:space="0" w:color="auto"/>
            <w:right w:val="none" w:sz="0" w:space="0" w:color="auto"/>
          </w:divBdr>
        </w:div>
        <w:div w:id="974410037">
          <w:marLeft w:val="0"/>
          <w:marRight w:val="0"/>
          <w:marTop w:val="0"/>
          <w:marBottom w:val="0"/>
          <w:divBdr>
            <w:top w:val="none" w:sz="0" w:space="0" w:color="auto"/>
            <w:left w:val="none" w:sz="0" w:space="0" w:color="auto"/>
            <w:bottom w:val="none" w:sz="0" w:space="0" w:color="auto"/>
            <w:right w:val="none" w:sz="0" w:space="0" w:color="auto"/>
          </w:divBdr>
        </w:div>
        <w:div w:id="1006639517">
          <w:marLeft w:val="0"/>
          <w:marRight w:val="0"/>
          <w:marTop w:val="0"/>
          <w:marBottom w:val="0"/>
          <w:divBdr>
            <w:top w:val="none" w:sz="0" w:space="0" w:color="auto"/>
            <w:left w:val="none" w:sz="0" w:space="0" w:color="auto"/>
            <w:bottom w:val="none" w:sz="0" w:space="0" w:color="auto"/>
            <w:right w:val="none" w:sz="0" w:space="0" w:color="auto"/>
          </w:divBdr>
        </w:div>
        <w:div w:id="1899436489">
          <w:marLeft w:val="0"/>
          <w:marRight w:val="0"/>
          <w:marTop w:val="0"/>
          <w:marBottom w:val="0"/>
          <w:divBdr>
            <w:top w:val="none" w:sz="0" w:space="0" w:color="auto"/>
            <w:left w:val="none" w:sz="0" w:space="0" w:color="auto"/>
            <w:bottom w:val="none" w:sz="0" w:space="0" w:color="auto"/>
            <w:right w:val="none" w:sz="0" w:space="0" w:color="auto"/>
          </w:divBdr>
        </w:div>
        <w:div w:id="2068605689">
          <w:marLeft w:val="0"/>
          <w:marRight w:val="0"/>
          <w:marTop w:val="0"/>
          <w:marBottom w:val="0"/>
          <w:divBdr>
            <w:top w:val="none" w:sz="0" w:space="0" w:color="auto"/>
            <w:left w:val="none" w:sz="0" w:space="0" w:color="auto"/>
            <w:bottom w:val="none" w:sz="0" w:space="0" w:color="auto"/>
            <w:right w:val="none" w:sz="0" w:space="0" w:color="auto"/>
          </w:divBdr>
        </w:div>
      </w:divsChild>
    </w:div>
    <w:div w:id="1156259873">
      <w:bodyDiv w:val="1"/>
      <w:marLeft w:val="0"/>
      <w:marRight w:val="0"/>
      <w:marTop w:val="0"/>
      <w:marBottom w:val="0"/>
      <w:divBdr>
        <w:top w:val="none" w:sz="0" w:space="0" w:color="auto"/>
        <w:left w:val="none" w:sz="0" w:space="0" w:color="auto"/>
        <w:bottom w:val="none" w:sz="0" w:space="0" w:color="auto"/>
        <w:right w:val="none" w:sz="0" w:space="0" w:color="auto"/>
      </w:divBdr>
    </w:div>
    <w:div w:id="1233349877">
      <w:bodyDiv w:val="1"/>
      <w:marLeft w:val="0"/>
      <w:marRight w:val="0"/>
      <w:marTop w:val="0"/>
      <w:marBottom w:val="0"/>
      <w:divBdr>
        <w:top w:val="none" w:sz="0" w:space="0" w:color="auto"/>
        <w:left w:val="none" w:sz="0" w:space="0" w:color="auto"/>
        <w:bottom w:val="none" w:sz="0" w:space="0" w:color="auto"/>
        <w:right w:val="none" w:sz="0" w:space="0" w:color="auto"/>
      </w:divBdr>
    </w:div>
    <w:div w:id="1267352049">
      <w:bodyDiv w:val="1"/>
      <w:marLeft w:val="0"/>
      <w:marRight w:val="0"/>
      <w:marTop w:val="0"/>
      <w:marBottom w:val="0"/>
      <w:divBdr>
        <w:top w:val="none" w:sz="0" w:space="0" w:color="auto"/>
        <w:left w:val="none" w:sz="0" w:space="0" w:color="auto"/>
        <w:bottom w:val="none" w:sz="0" w:space="0" w:color="auto"/>
        <w:right w:val="none" w:sz="0" w:space="0" w:color="auto"/>
      </w:divBdr>
      <w:divsChild>
        <w:div w:id="1248030039">
          <w:marLeft w:val="547"/>
          <w:marRight w:val="0"/>
          <w:marTop w:val="0"/>
          <w:marBottom w:val="240"/>
          <w:divBdr>
            <w:top w:val="none" w:sz="0" w:space="0" w:color="auto"/>
            <w:left w:val="none" w:sz="0" w:space="0" w:color="auto"/>
            <w:bottom w:val="none" w:sz="0" w:space="0" w:color="auto"/>
            <w:right w:val="none" w:sz="0" w:space="0" w:color="auto"/>
          </w:divBdr>
        </w:div>
      </w:divsChild>
    </w:div>
    <w:div w:id="1373339390">
      <w:bodyDiv w:val="1"/>
      <w:marLeft w:val="0"/>
      <w:marRight w:val="0"/>
      <w:marTop w:val="0"/>
      <w:marBottom w:val="0"/>
      <w:divBdr>
        <w:top w:val="none" w:sz="0" w:space="0" w:color="auto"/>
        <w:left w:val="none" w:sz="0" w:space="0" w:color="auto"/>
        <w:bottom w:val="none" w:sz="0" w:space="0" w:color="auto"/>
        <w:right w:val="none" w:sz="0" w:space="0" w:color="auto"/>
      </w:divBdr>
      <w:divsChild>
        <w:div w:id="2128963400">
          <w:marLeft w:val="547"/>
          <w:marRight w:val="0"/>
          <w:marTop w:val="0"/>
          <w:marBottom w:val="240"/>
          <w:divBdr>
            <w:top w:val="none" w:sz="0" w:space="0" w:color="auto"/>
            <w:left w:val="none" w:sz="0" w:space="0" w:color="auto"/>
            <w:bottom w:val="none" w:sz="0" w:space="0" w:color="auto"/>
            <w:right w:val="none" w:sz="0" w:space="0" w:color="auto"/>
          </w:divBdr>
        </w:div>
      </w:divsChild>
    </w:div>
    <w:div w:id="1403288932">
      <w:bodyDiv w:val="1"/>
      <w:marLeft w:val="0"/>
      <w:marRight w:val="0"/>
      <w:marTop w:val="0"/>
      <w:marBottom w:val="0"/>
      <w:divBdr>
        <w:top w:val="none" w:sz="0" w:space="0" w:color="auto"/>
        <w:left w:val="none" w:sz="0" w:space="0" w:color="auto"/>
        <w:bottom w:val="none" w:sz="0" w:space="0" w:color="auto"/>
        <w:right w:val="none" w:sz="0" w:space="0" w:color="auto"/>
      </w:divBdr>
    </w:div>
    <w:div w:id="1427460258">
      <w:bodyDiv w:val="1"/>
      <w:marLeft w:val="0"/>
      <w:marRight w:val="0"/>
      <w:marTop w:val="0"/>
      <w:marBottom w:val="0"/>
      <w:divBdr>
        <w:top w:val="none" w:sz="0" w:space="0" w:color="auto"/>
        <w:left w:val="none" w:sz="0" w:space="0" w:color="auto"/>
        <w:bottom w:val="none" w:sz="0" w:space="0" w:color="auto"/>
        <w:right w:val="none" w:sz="0" w:space="0" w:color="auto"/>
      </w:divBdr>
      <w:divsChild>
        <w:div w:id="541678117">
          <w:marLeft w:val="720"/>
          <w:marRight w:val="0"/>
          <w:marTop w:val="0"/>
          <w:marBottom w:val="120"/>
          <w:divBdr>
            <w:top w:val="none" w:sz="0" w:space="0" w:color="auto"/>
            <w:left w:val="none" w:sz="0" w:space="0" w:color="auto"/>
            <w:bottom w:val="none" w:sz="0" w:space="0" w:color="auto"/>
            <w:right w:val="none" w:sz="0" w:space="0" w:color="auto"/>
          </w:divBdr>
        </w:div>
      </w:divsChild>
    </w:div>
    <w:div w:id="1435400711">
      <w:bodyDiv w:val="1"/>
      <w:marLeft w:val="0"/>
      <w:marRight w:val="0"/>
      <w:marTop w:val="0"/>
      <w:marBottom w:val="0"/>
      <w:divBdr>
        <w:top w:val="none" w:sz="0" w:space="0" w:color="auto"/>
        <w:left w:val="none" w:sz="0" w:space="0" w:color="auto"/>
        <w:bottom w:val="none" w:sz="0" w:space="0" w:color="auto"/>
        <w:right w:val="none" w:sz="0" w:space="0" w:color="auto"/>
      </w:divBdr>
    </w:div>
    <w:div w:id="1506087808">
      <w:bodyDiv w:val="1"/>
      <w:marLeft w:val="0"/>
      <w:marRight w:val="0"/>
      <w:marTop w:val="0"/>
      <w:marBottom w:val="0"/>
      <w:divBdr>
        <w:top w:val="none" w:sz="0" w:space="0" w:color="auto"/>
        <w:left w:val="none" w:sz="0" w:space="0" w:color="auto"/>
        <w:bottom w:val="none" w:sz="0" w:space="0" w:color="auto"/>
        <w:right w:val="none" w:sz="0" w:space="0" w:color="auto"/>
      </w:divBdr>
      <w:divsChild>
        <w:div w:id="1504517551">
          <w:marLeft w:val="0"/>
          <w:marRight w:val="0"/>
          <w:marTop w:val="0"/>
          <w:marBottom w:val="0"/>
          <w:divBdr>
            <w:top w:val="none" w:sz="0" w:space="0" w:color="auto"/>
            <w:left w:val="none" w:sz="0" w:space="0" w:color="auto"/>
            <w:bottom w:val="none" w:sz="0" w:space="0" w:color="auto"/>
            <w:right w:val="none" w:sz="0" w:space="0" w:color="auto"/>
          </w:divBdr>
          <w:divsChild>
            <w:div w:id="2097703138">
              <w:marLeft w:val="0"/>
              <w:marRight w:val="0"/>
              <w:marTop w:val="0"/>
              <w:marBottom w:val="0"/>
              <w:divBdr>
                <w:top w:val="none" w:sz="0" w:space="0" w:color="auto"/>
                <w:left w:val="none" w:sz="0" w:space="0" w:color="auto"/>
                <w:bottom w:val="none" w:sz="0" w:space="0" w:color="auto"/>
                <w:right w:val="none" w:sz="0" w:space="0" w:color="auto"/>
              </w:divBdr>
              <w:divsChild>
                <w:div w:id="1482382612">
                  <w:marLeft w:val="0"/>
                  <w:marRight w:val="0"/>
                  <w:marTop w:val="0"/>
                  <w:marBottom w:val="0"/>
                  <w:divBdr>
                    <w:top w:val="none" w:sz="0" w:space="0" w:color="auto"/>
                    <w:left w:val="none" w:sz="0" w:space="0" w:color="auto"/>
                    <w:bottom w:val="none" w:sz="0" w:space="0" w:color="auto"/>
                    <w:right w:val="none" w:sz="0" w:space="0" w:color="auto"/>
                  </w:divBdr>
                  <w:divsChild>
                    <w:div w:id="18501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19803">
      <w:bodyDiv w:val="1"/>
      <w:marLeft w:val="0"/>
      <w:marRight w:val="0"/>
      <w:marTop w:val="0"/>
      <w:marBottom w:val="0"/>
      <w:divBdr>
        <w:top w:val="none" w:sz="0" w:space="0" w:color="auto"/>
        <w:left w:val="none" w:sz="0" w:space="0" w:color="auto"/>
        <w:bottom w:val="none" w:sz="0" w:space="0" w:color="auto"/>
        <w:right w:val="none" w:sz="0" w:space="0" w:color="auto"/>
      </w:divBdr>
    </w:div>
    <w:div w:id="1584492887">
      <w:bodyDiv w:val="1"/>
      <w:marLeft w:val="0"/>
      <w:marRight w:val="0"/>
      <w:marTop w:val="0"/>
      <w:marBottom w:val="0"/>
      <w:divBdr>
        <w:top w:val="none" w:sz="0" w:space="0" w:color="auto"/>
        <w:left w:val="none" w:sz="0" w:space="0" w:color="auto"/>
        <w:bottom w:val="none" w:sz="0" w:space="0" w:color="auto"/>
        <w:right w:val="none" w:sz="0" w:space="0" w:color="auto"/>
      </w:divBdr>
    </w:div>
    <w:div w:id="1619413733">
      <w:bodyDiv w:val="1"/>
      <w:marLeft w:val="0"/>
      <w:marRight w:val="0"/>
      <w:marTop w:val="0"/>
      <w:marBottom w:val="0"/>
      <w:divBdr>
        <w:top w:val="none" w:sz="0" w:space="0" w:color="auto"/>
        <w:left w:val="none" w:sz="0" w:space="0" w:color="auto"/>
        <w:bottom w:val="none" w:sz="0" w:space="0" w:color="auto"/>
        <w:right w:val="none" w:sz="0" w:space="0" w:color="auto"/>
      </w:divBdr>
      <w:divsChild>
        <w:div w:id="297607363">
          <w:marLeft w:val="720"/>
          <w:marRight w:val="0"/>
          <w:marTop w:val="0"/>
          <w:marBottom w:val="120"/>
          <w:divBdr>
            <w:top w:val="none" w:sz="0" w:space="0" w:color="auto"/>
            <w:left w:val="none" w:sz="0" w:space="0" w:color="auto"/>
            <w:bottom w:val="none" w:sz="0" w:space="0" w:color="auto"/>
            <w:right w:val="none" w:sz="0" w:space="0" w:color="auto"/>
          </w:divBdr>
        </w:div>
      </w:divsChild>
    </w:div>
    <w:div w:id="1658076592">
      <w:bodyDiv w:val="1"/>
      <w:marLeft w:val="0"/>
      <w:marRight w:val="0"/>
      <w:marTop w:val="0"/>
      <w:marBottom w:val="0"/>
      <w:divBdr>
        <w:top w:val="none" w:sz="0" w:space="0" w:color="auto"/>
        <w:left w:val="none" w:sz="0" w:space="0" w:color="auto"/>
        <w:bottom w:val="none" w:sz="0" w:space="0" w:color="auto"/>
        <w:right w:val="none" w:sz="0" w:space="0" w:color="auto"/>
      </w:divBdr>
    </w:div>
    <w:div w:id="1731658653">
      <w:bodyDiv w:val="1"/>
      <w:marLeft w:val="0"/>
      <w:marRight w:val="0"/>
      <w:marTop w:val="0"/>
      <w:marBottom w:val="0"/>
      <w:divBdr>
        <w:top w:val="none" w:sz="0" w:space="0" w:color="auto"/>
        <w:left w:val="none" w:sz="0" w:space="0" w:color="auto"/>
        <w:bottom w:val="none" w:sz="0" w:space="0" w:color="auto"/>
        <w:right w:val="none" w:sz="0" w:space="0" w:color="auto"/>
      </w:divBdr>
    </w:div>
    <w:div w:id="1856141715">
      <w:bodyDiv w:val="1"/>
      <w:marLeft w:val="0"/>
      <w:marRight w:val="0"/>
      <w:marTop w:val="0"/>
      <w:marBottom w:val="0"/>
      <w:divBdr>
        <w:top w:val="none" w:sz="0" w:space="0" w:color="auto"/>
        <w:left w:val="none" w:sz="0" w:space="0" w:color="auto"/>
        <w:bottom w:val="none" w:sz="0" w:space="0" w:color="auto"/>
        <w:right w:val="none" w:sz="0" w:space="0" w:color="auto"/>
      </w:divBdr>
      <w:divsChild>
        <w:div w:id="1745223983">
          <w:marLeft w:val="547"/>
          <w:marRight w:val="0"/>
          <w:marTop w:val="0"/>
          <w:marBottom w:val="240"/>
          <w:divBdr>
            <w:top w:val="none" w:sz="0" w:space="0" w:color="auto"/>
            <w:left w:val="none" w:sz="0" w:space="0" w:color="auto"/>
            <w:bottom w:val="none" w:sz="0" w:space="0" w:color="auto"/>
            <w:right w:val="none" w:sz="0" w:space="0" w:color="auto"/>
          </w:divBdr>
        </w:div>
      </w:divsChild>
    </w:div>
    <w:div w:id="1856578578">
      <w:bodyDiv w:val="1"/>
      <w:marLeft w:val="0"/>
      <w:marRight w:val="0"/>
      <w:marTop w:val="0"/>
      <w:marBottom w:val="0"/>
      <w:divBdr>
        <w:top w:val="none" w:sz="0" w:space="0" w:color="auto"/>
        <w:left w:val="none" w:sz="0" w:space="0" w:color="auto"/>
        <w:bottom w:val="none" w:sz="0" w:space="0" w:color="auto"/>
        <w:right w:val="none" w:sz="0" w:space="0" w:color="auto"/>
      </w:divBdr>
      <w:divsChild>
        <w:div w:id="1217736186">
          <w:marLeft w:val="547"/>
          <w:marRight w:val="0"/>
          <w:marTop w:val="0"/>
          <w:marBottom w:val="240"/>
          <w:divBdr>
            <w:top w:val="none" w:sz="0" w:space="0" w:color="auto"/>
            <w:left w:val="none" w:sz="0" w:space="0" w:color="auto"/>
            <w:bottom w:val="none" w:sz="0" w:space="0" w:color="auto"/>
            <w:right w:val="none" w:sz="0" w:space="0" w:color="auto"/>
          </w:divBdr>
        </w:div>
      </w:divsChild>
    </w:div>
    <w:div w:id="1866282876">
      <w:bodyDiv w:val="1"/>
      <w:marLeft w:val="0"/>
      <w:marRight w:val="0"/>
      <w:marTop w:val="0"/>
      <w:marBottom w:val="0"/>
      <w:divBdr>
        <w:top w:val="none" w:sz="0" w:space="0" w:color="auto"/>
        <w:left w:val="none" w:sz="0" w:space="0" w:color="auto"/>
        <w:bottom w:val="none" w:sz="0" w:space="0" w:color="auto"/>
        <w:right w:val="none" w:sz="0" w:space="0" w:color="auto"/>
      </w:divBdr>
    </w:div>
    <w:div w:id="1956402519">
      <w:bodyDiv w:val="1"/>
      <w:marLeft w:val="0"/>
      <w:marRight w:val="0"/>
      <w:marTop w:val="0"/>
      <w:marBottom w:val="0"/>
      <w:divBdr>
        <w:top w:val="none" w:sz="0" w:space="0" w:color="auto"/>
        <w:left w:val="none" w:sz="0" w:space="0" w:color="auto"/>
        <w:bottom w:val="none" w:sz="0" w:space="0" w:color="auto"/>
        <w:right w:val="none" w:sz="0" w:space="0" w:color="auto"/>
      </w:divBdr>
      <w:divsChild>
        <w:div w:id="694961133">
          <w:marLeft w:val="1166"/>
          <w:marRight w:val="0"/>
          <w:marTop w:val="0"/>
          <w:marBottom w:val="120"/>
          <w:divBdr>
            <w:top w:val="none" w:sz="0" w:space="0" w:color="auto"/>
            <w:left w:val="none" w:sz="0" w:space="0" w:color="auto"/>
            <w:bottom w:val="none" w:sz="0" w:space="0" w:color="auto"/>
            <w:right w:val="none" w:sz="0" w:space="0" w:color="auto"/>
          </w:divBdr>
        </w:div>
      </w:divsChild>
    </w:div>
    <w:div w:id="1960867825">
      <w:bodyDiv w:val="1"/>
      <w:marLeft w:val="0"/>
      <w:marRight w:val="0"/>
      <w:marTop w:val="0"/>
      <w:marBottom w:val="0"/>
      <w:divBdr>
        <w:top w:val="none" w:sz="0" w:space="0" w:color="auto"/>
        <w:left w:val="none" w:sz="0" w:space="0" w:color="auto"/>
        <w:bottom w:val="none" w:sz="0" w:space="0" w:color="auto"/>
        <w:right w:val="none" w:sz="0" w:space="0" w:color="auto"/>
      </w:divBdr>
      <w:divsChild>
        <w:div w:id="1786847778">
          <w:marLeft w:val="0"/>
          <w:marRight w:val="0"/>
          <w:marTop w:val="0"/>
          <w:marBottom w:val="0"/>
          <w:divBdr>
            <w:top w:val="none" w:sz="0" w:space="0" w:color="auto"/>
            <w:left w:val="none" w:sz="0" w:space="0" w:color="auto"/>
            <w:bottom w:val="none" w:sz="0" w:space="0" w:color="auto"/>
            <w:right w:val="none" w:sz="0" w:space="0" w:color="auto"/>
          </w:divBdr>
        </w:div>
      </w:divsChild>
    </w:div>
    <w:div w:id="1968971280">
      <w:bodyDiv w:val="1"/>
      <w:marLeft w:val="0"/>
      <w:marRight w:val="0"/>
      <w:marTop w:val="0"/>
      <w:marBottom w:val="0"/>
      <w:divBdr>
        <w:top w:val="none" w:sz="0" w:space="0" w:color="auto"/>
        <w:left w:val="none" w:sz="0" w:space="0" w:color="auto"/>
        <w:bottom w:val="none" w:sz="0" w:space="0" w:color="auto"/>
        <w:right w:val="none" w:sz="0" w:space="0" w:color="auto"/>
      </w:divBdr>
    </w:div>
    <w:div w:id="1979720978">
      <w:bodyDiv w:val="1"/>
      <w:marLeft w:val="0"/>
      <w:marRight w:val="0"/>
      <w:marTop w:val="0"/>
      <w:marBottom w:val="0"/>
      <w:divBdr>
        <w:top w:val="none" w:sz="0" w:space="0" w:color="auto"/>
        <w:left w:val="none" w:sz="0" w:space="0" w:color="auto"/>
        <w:bottom w:val="none" w:sz="0" w:space="0" w:color="auto"/>
        <w:right w:val="none" w:sz="0" w:space="0" w:color="auto"/>
      </w:divBdr>
    </w:div>
    <w:div w:id="2010868590">
      <w:bodyDiv w:val="1"/>
      <w:marLeft w:val="0"/>
      <w:marRight w:val="0"/>
      <w:marTop w:val="0"/>
      <w:marBottom w:val="0"/>
      <w:divBdr>
        <w:top w:val="none" w:sz="0" w:space="0" w:color="auto"/>
        <w:left w:val="none" w:sz="0" w:space="0" w:color="auto"/>
        <w:bottom w:val="none" w:sz="0" w:space="0" w:color="auto"/>
        <w:right w:val="none" w:sz="0" w:space="0" w:color="auto"/>
      </w:divBdr>
    </w:div>
    <w:div w:id="2027292205">
      <w:bodyDiv w:val="1"/>
      <w:marLeft w:val="0"/>
      <w:marRight w:val="0"/>
      <w:marTop w:val="0"/>
      <w:marBottom w:val="0"/>
      <w:divBdr>
        <w:top w:val="none" w:sz="0" w:space="0" w:color="auto"/>
        <w:left w:val="none" w:sz="0" w:space="0" w:color="auto"/>
        <w:bottom w:val="none" w:sz="0" w:space="0" w:color="auto"/>
        <w:right w:val="none" w:sz="0" w:space="0" w:color="auto"/>
      </w:divBdr>
    </w:div>
    <w:div w:id="2067873520">
      <w:bodyDiv w:val="1"/>
      <w:marLeft w:val="0"/>
      <w:marRight w:val="0"/>
      <w:marTop w:val="0"/>
      <w:marBottom w:val="0"/>
      <w:divBdr>
        <w:top w:val="none" w:sz="0" w:space="0" w:color="auto"/>
        <w:left w:val="none" w:sz="0" w:space="0" w:color="auto"/>
        <w:bottom w:val="none" w:sz="0" w:space="0" w:color="auto"/>
        <w:right w:val="none" w:sz="0" w:space="0" w:color="auto"/>
      </w:divBdr>
    </w:div>
    <w:div w:id="2146773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dvisory.com/topics/oncology/2020/06/cancer-incidence-estimator" TargetMode="External"/><Relationship Id="rId2" Type="http://schemas.openxmlformats.org/officeDocument/2006/relationships/hyperlink" Target="https://www.boston.com/news/local-news/2024/04/20/steward-temporarily-closes-cancer-unit-at-brocktons-good-samaritan-hospital/" TargetMode="External"/><Relationship Id="rId1" Type="http://schemas.openxmlformats.org/officeDocument/2006/relationships/hyperlink" Target="https://www.boston.com/news/local-news/2024/04/20/steward-temporarily-closes-cancer-unit-at-brocktons-good-samaritan-hospital/" TargetMode="External"/><Relationship Id="rId4" Type="http://schemas.openxmlformats.org/officeDocument/2006/relationships/hyperlink" Target="https://www.advisory.com/topics/oncology/2020/06/cancer-incidence-est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7A21A-4210-47A9-9B26-275EF36A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37</Pages>
  <Words>10676</Words>
  <Characters>60858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Postman</dc:creator>
  <cp:keywords/>
  <dc:description/>
  <cp:lastModifiedBy>Marks, Brett (DPH)</cp:lastModifiedBy>
  <cp:revision>22</cp:revision>
  <cp:lastPrinted>2024-06-27T14:14:00Z</cp:lastPrinted>
  <dcterms:created xsi:type="dcterms:W3CDTF">2024-10-01T17:47:00Z</dcterms:created>
  <dcterms:modified xsi:type="dcterms:W3CDTF">2024-10-17T12:37:00Z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4876-5917-1709</vt:lpwstr>
  </property>
  <property fmtid="{D5CDD505-2E9C-101B-9397-08002B2CF9AE}" pid="3" name="RGMatter">
    <vt:lpwstr>BIDM-245</vt:lpwstr>
  </property>
  <property fmtid="{D5CDD505-2E9C-101B-9397-08002B2CF9AE}" pid="4" name="DocXLocation">
    <vt:lpwstr>NoDocId</vt:lpwstr>
  </property>
</Properties>
</file>