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B69718" w14:textId="77777777" w:rsidR="008E0CF5" w:rsidRPr="008E0CF5" w:rsidRDefault="008E0CF5" w:rsidP="008E0CF5">
      <w:pPr>
        <w:spacing w:before="120" w:after="120" w:line="240" w:lineRule="auto"/>
        <w:jc w:val="center"/>
        <w:rPr>
          <w:rFonts w:ascii="Arial" w:eastAsia="Arial" w:hAnsi="Arial" w:cs="Arial"/>
          <w:b/>
          <w:bCs/>
          <w:kern w:val="2"/>
          <w:sz w:val="40"/>
          <w:szCs w:val="40"/>
        </w:rPr>
      </w:pPr>
      <w:r w:rsidRPr="008E0CF5">
        <w:rPr>
          <w:rFonts w:ascii="Arial" w:eastAsia="Arial" w:hAnsi="Arial" w:cs="Arial"/>
          <w:b/>
          <w:bCs/>
          <w:kern w:val="2"/>
          <w:sz w:val="40"/>
          <w:szCs w:val="40"/>
        </w:rPr>
        <w:t>APPENDIX 2</w:t>
      </w:r>
    </w:p>
    <w:p w14:paraId="64B4C947" w14:textId="5CCF42B1" w:rsidR="007B7CDD" w:rsidRPr="008E0CF5" w:rsidRDefault="008E0CF5" w:rsidP="008E0CF5">
      <w:pPr>
        <w:spacing w:before="120" w:after="120" w:line="240" w:lineRule="auto"/>
        <w:jc w:val="center"/>
        <w:rPr>
          <w:rFonts w:ascii="Arial" w:eastAsia="Arial" w:hAnsi="Arial" w:cs="Arial"/>
          <w:b/>
          <w:kern w:val="2"/>
          <w:sz w:val="40"/>
          <w:szCs w:val="40"/>
        </w:rPr>
        <w:sectPr w:rsidR="007B7CDD" w:rsidRPr="008E0CF5" w:rsidSect="00607FA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r w:rsidRPr="008E0CF5">
        <w:rPr>
          <w:rFonts w:ascii="Arial" w:eastAsia="Arial" w:hAnsi="Arial" w:cs="Arial"/>
          <w:b/>
          <w:bCs/>
          <w:kern w:val="2"/>
          <w:sz w:val="40"/>
          <w:szCs w:val="40"/>
        </w:rPr>
        <w:t>NARRATIVE</w:t>
      </w:r>
    </w:p>
    <w:p w14:paraId="42C7C134" w14:textId="77777777" w:rsidR="008A16D7" w:rsidRPr="00411DB8" w:rsidRDefault="008A16D7" w:rsidP="008A16D7">
      <w:pPr>
        <w:spacing w:before="120" w:after="120" w:line="240" w:lineRule="auto"/>
        <w:jc w:val="both"/>
        <w:rPr>
          <w:rFonts w:ascii="Arial" w:eastAsia="Arial" w:hAnsi="Arial" w:cs="Arial"/>
          <w:b/>
          <w:kern w:val="2"/>
          <w:sz w:val="20"/>
          <w:szCs w:val="20"/>
        </w:rPr>
      </w:pPr>
      <w:r w:rsidRPr="00411DB8">
        <w:rPr>
          <w:rFonts w:ascii="Arial" w:eastAsia="Arial" w:hAnsi="Arial" w:cs="Arial"/>
          <w:b/>
          <w:kern w:val="2"/>
          <w:sz w:val="20"/>
          <w:szCs w:val="20"/>
        </w:rPr>
        <w:lastRenderedPageBreak/>
        <w:t>2. Project Description</w:t>
      </w:r>
    </w:p>
    <w:p w14:paraId="044BB645" w14:textId="6DE0778C" w:rsidR="008A16D7" w:rsidRPr="00411DB8" w:rsidRDefault="008A16D7" w:rsidP="008A16D7">
      <w:pPr>
        <w:spacing w:before="120" w:after="120" w:line="240" w:lineRule="auto"/>
        <w:jc w:val="both"/>
        <w:rPr>
          <w:rFonts w:ascii="Arial" w:hAnsi="Arial" w:cs="Arial"/>
          <w:sz w:val="20"/>
          <w:szCs w:val="20"/>
        </w:rPr>
      </w:pPr>
      <w:bookmarkStart w:id="0" w:name="_Hlk869708"/>
      <w:r w:rsidRPr="00411DB8">
        <w:rPr>
          <w:rFonts w:ascii="Arial" w:hAnsi="Arial" w:cs="Arial"/>
          <w:sz w:val="20"/>
          <w:szCs w:val="20"/>
        </w:rPr>
        <w:t xml:space="preserve">Beth Israel Lahey Health, Inc. (the “Applicant” or “BILH”), with a principal place of business at 20 University Road, Suite 700, Cambridge, MA 02138, is filing a Notice of Determination of Need </w:t>
      </w:r>
      <w:r>
        <w:rPr>
          <w:rFonts w:ascii="Arial" w:hAnsi="Arial" w:cs="Arial"/>
          <w:sz w:val="20"/>
          <w:szCs w:val="20"/>
        </w:rPr>
        <w:t xml:space="preserve">(“DoN”) </w:t>
      </w:r>
      <w:r w:rsidRPr="00411DB8">
        <w:rPr>
          <w:rFonts w:ascii="Arial" w:hAnsi="Arial" w:cs="Arial"/>
          <w:sz w:val="20"/>
          <w:szCs w:val="20"/>
        </w:rPr>
        <w:t xml:space="preserve">(“Application”) with the Department of Public Health (“DPH”) for the </w:t>
      </w:r>
      <w:r>
        <w:rPr>
          <w:rFonts w:ascii="Arial" w:hAnsi="Arial" w:cs="Arial"/>
          <w:sz w:val="20"/>
          <w:szCs w:val="20"/>
        </w:rPr>
        <w:t>renovation and expansion of the Emergency Department (“ED”)</w:t>
      </w:r>
      <w:r w:rsidRPr="00411DB8">
        <w:rPr>
          <w:rFonts w:ascii="Arial" w:hAnsi="Arial" w:cs="Arial"/>
          <w:sz w:val="20"/>
          <w:szCs w:val="20"/>
        </w:rPr>
        <w:t xml:space="preserve"> at </w:t>
      </w:r>
      <w:r w:rsidRPr="00411DB8">
        <w:rPr>
          <w:rFonts w:ascii="Arial" w:eastAsia="Times New Roman" w:hAnsi="Arial" w:cs="Arial"/>
          <w:kern w:val="2"/>
          <w:sz w:val="20"/>
          <w:szCs w:val="20"/>
        </w:rPr>
        <w:t xml:space="preserve">Beth Israel Deaconess Hospital - </w:t>
      </w:r>
      <w:r w:rsidR="00231A56" w:rsidRPr="00231A56">
        <w:rPr>
          <w:rFonts w:ascii="Arial" w:eastAsia="Times New Roman" w:hAnsi="Arial" w:cs="Arial"/>
          <w:kern w:val="2"/>
          <w:sz w:val="20"/>
          <w:szCs w:val="20"/>
        </w:rPr>
        <w:t>Plymouth</w:t>
      </w:r>
      <w:r w:rsidRPr="00411DB8">
        <w:rPr>
          <w:rFonts w:ascii="Arial" w:eastAsia="Times New Roman" w:hAnsi="Arial" w:cs="Arial"/>
          <w:kern w:val="2"/>
          <w:sz w:val="20"/>
          <w:szCs w:val="20"/>
        </w:rPr>
        <w:t xml:space="preserve"> (</w:t>
      </w:r>
      <w:r>
        <w:rPr>
          <w:rFonts w:ascii="Arial" w:eastAsia="Times New Roman" w:hAnsi="Arial" w:cs="Arial"/>
          <w:kern w:val="2"/>
          <w:sz w:val="20"/>
          <w:szCs w:val="20"/>
        </w:rPr>
        <w:t>“</w:t>
      </w:r>
      <w:r w:rsidR="00F73E8D">
        <w:rPr>
          <w:rFonts w:ascii="Arial" w:eastAsia="Times New Roman" w:hAnsi="Arial" w:cs="Arial"/>
          <w:kern w:val="2"/>
          <w:sz w:val="20"/>
          <w:szCs w:val="20"/>
        </w:rPr>
        <w:t>BID-</w:t>
      </w:r>
      <w:r w:rsidR="00231A56" w:rsidRPr="00231A56">
        <w:rPr>
          <w:rFonts w:ascii="Arial" w:eastAsia="Times New Roman" w:hAnsi="Arial" w:cs="Arial"/>
          <w:kern w:val="2"/>
          <w:sz w:val="20"/>
          <w:szCs w:val="20"/>
        </w:rPr>
        <w:t>Plymouth</w:t>
      </w:r>
      <w:r w:rsidRPr="00411DB8">
        <w:rPr>
          <w:rFonts w:ascii="Arial" w:eastAsia="Times New Roman" w:hAnsi="Arial" w:cs="Arial"/>
          <w:kern w:val="2"/>
          <w:sz w:val="20"/>
          <w:szCs w:val="20"/>
        </w:rPr>
        <w:t xml:space="preserve">” or “Hospital”), located at 275 Sandwich St, </w:t>
      </w:r>
      <w:r w:rsidR="00231A56" w:rsidRPr="00231A56">
        <w:rPr>
          <w:rFonts w:ascii="Arial" w:eastAsia="Times New Roman" w:hAnsi="Arial" w:cs="Arial"/>
          <w:kern w:val="2"/>
          <w:sz w:val="20"/>
          <w:szCs w:val="20"/>
        </w:rPr>
        <w:t>Plymouth</w:t>
      </w:r>
      <w:r w:rsidRPr="00411DB8">
        <w:rPr>
          <w:rFonts w:ascii="Arial" w:eastAsia="Times New Roman" w:hAnsi="Arial" w:cs="Arial"/>
          <w:kern w:val="2"/>
          <w:sz w:val="20"/>
          <w:szCs w:val="20"/>
        </w:rPr>
        <w:t xml:space="preserve">, MA 02360 (the “Proposed Project”). </w:t>
      </w:r>
    </w:p>
    <w:p w14:paraId="679C2864" w14:textId="4DCB2234" w:rsidR="008A16D7" w:rsidRPr="00411DB8" w:rsidRDefault="008A16D7" w:rsidP="008A16D7">
      <w:pPr>
        <w:spacing w:before="120" w:after="120" w:line="240" w:lineRule="auto"/>
        <w:jc w:val="both"/>
        <w:rPr>
          <w:rFonts w:ascii="Arial" w:hAnsi="Arial" w:cs="Arial"/>
          <w:sz w:val="20"/>
          <w:szCs w:val="20"/>
        </w:rPr>
      </w:pPr>
      <w:r>
        <w:rPr>
          <w:rFonts w:ascii="Arial" w:hAnsi="Arial" w:cs="Arial"/>
          <w:sz w:val="20"/>
          <w:szCs w:val="20"/>
        </w:rPr>
        <w:t xml:space="preserve">BILH </w:t>
      </w:r>
      <w:r w:rsidRPr="00DE4135">
        <w:rPr>
          <w:rFonts w:ascii="Arial" w:hAnsi="Arial" w:cs="Arial"/>
          <w:sz w:val="20"/>
          <w:szCs w:val="20"/>
        </w:rPr>
        <w:t>is a Massachusetts, non-profit, tax-exempt corporation that oversees an integrated health care delivery system comprised of teaching and community hospitals, physician groups, behavioral health providers, post-acute care providers and other caregivers serving patients in Greater Boston and the surrounding communities in Eastern Massachusetts and South</w:t>
      </w:r>
      <w:r>
        <w:rPr>
          <w:rFonts w:ascii="Arial" w:hAnsi="Arial" w:cs="Arial"/>
          <w:sz w:val="20"/>
          <w:szCs w:val="20"/>
        </w:rPr>
        <w:t>e</w:t>
      </w:r>
      <w:r w:rsidRPr="00DE4135">
        <w:rPr>
          <w:rFonts w:ascii="Arial" w:hAnsi="Arial" w:cs="Arial"/>
          <w:sz w:val="20"/>
          <w:szCs w:val="20"/>
        </w:rPr>
        <w:t>astern New Hampshire.</w:t>
      </w:r>
      <w:r>
        <w:rPr>
          <w:rFonts w:ascii="Arial" w:hAnsi="Arial" w:cs="Arial"/>
          <w:sz w:val="20"/>
          <w:szCs w:val="20"/>
        </w:rPr>
        <w:t xml:space="preserve"> </w:t>
      </w:r>
      <w:r w:rsidRPr="00411DB8">
        <w:rPr>
          <w:rFonts w:ascii="Arial" w:hAnsi="Arial" w:cs="Arial"/>
          <w:sz w:val="20"/>
          <w:szCs w:val="20"/>
        </w:rPr>
        <w:t>Its member hospitals include Addison Gilbert Hospital; Anna Jaques Hospital; Beth Israel Deaconess Medical Center; Beth Israel Deaconess Hospital-Milton; Beth Israel Deaconess Hospital-Needham, BID</w:t>
      </w:r>
      <w:r w:rsidR="00173AEC">
        <w:rPr>
          <w:rFonts w:ascii="Arial" w:hAnsi="Arial" w:cs="Arial"/>
          <w:sz w:val="20"/>
          <w:szCs w:val="20"/>
        </w:rPr>
        <w:t>-</w:t>
      </w:r>
      <w:r w:rsidR="00231A56" w:rsidRPr="00231A56">
        <w:rPr>
          <w:rFonts w:ascii="Arial" w:hAnsi="Arial" w:cs="Arial"/>
          <w:sz w:val="20"/>
          <w:szCs w:val="20"/>
        </w:rPr>
        <w:t>Plymouth</w:t>
      </w:r>
      <w:r w:rsidRPr="00411DB8">
        <w:rPr>
          <w:rFonts w:ascii="Arial" w:hAnsi="Arial" w:cs="Arial"/>
          <w:sz w:val="20"/>
          <w:szCs w:val="20"/>
        </w:rPr>
        <w:t>; Beverly Hospital; Lahey Hospital &amp; Medical Center; Lahey Medical Center, Peabody; Mount Auburn Hospital; New England Baptist Hospital; and Winchester Hospital (collectively known as “BILH Hospitals”).</w:t>
      </w:r>
    </w:p>
    <w:p w14:paraId="6CC66E6D" w14:textId="474BFAF0" w:rsidR="008A16D7" w:rsidRDefault="008A16D7" w:rsidP="008A16D7">
      <w:pPr>
        <w:spacing w:before="120" w:after="120" w:line="240" w:lineRule="auto"/>
        <w:jc w:val="both"/>
        <w:rPr>
          <w:rFonts w:ascii="Arial" w:eastAsia="Times New Roman" w:hAnsi="Arial" w:cs="Arial"/>
          <w:kern w:val="2"/>
          <w:sz w:val="20"/>
          <w:szCs w:val="20"/>
        </w:rPr>
      </w:pPr>
      <w:r w:rsidRPr="00411DB8">
        <w:rPr>
          <w:rFonts w:ascii="Arial" w:eastAsia="Times New Roman" w:hAnsi="Arial" w:cs="Arial"/>
          <w:kern w:val="2"/>
          <w:sz w:val="20"/>
          <w:szCs w:val="20"/>
        </w:rPr>
        <w:t>BID</w:t>
      </w:r>
      <w:r w:rsidR="00CB37D4">
        <w:rPr>
          <w:rFonts w:ascii="Arial" w:eastAsia="Times New Roman" w:hAnsi="Arial" w:cs="Arial"/>
          <w:kern w:val="2"/>
          <w:sz w:val="20"/>
          <w:szCs w:val="20"/>
        </w:rPr>
        <w:t>-</w:t>
      </w:r>
      <w:r w:rsidR="00231A56" w:rsidRPr="00231A56">
        <w:rPr>
          <w:rFonts w:ascii="Arial" w:eastAsia="Times New Roman" w:hAnsi="Arial" w:cs="Arial"/>
          <w:kern w:val="2"/>
          <w:sz w:val="20"/>
          <w:szCs w:val="20"/>
        </w:rPr>
        <w:t>Plymouth</w:t>
      </w:r>
      <w:r w:rsidRPr="00411DB8">
        <w:rPr>
          <w:rFonts w:ascii="Arial" w:eastAsia="Times New Roman" w:hAnsi="Arial" w:cs="Arial"/>
          <w:kern w:val="2"/>
          <w:sz w:val="20"/>
          <w:szCs w:val="20"/>
        </w:rPr>
        <w:t xml:space="preserve"> is a 17</w:t>
      </w:r>
      <w:r w:rsidR="00607FAE">
        <w:rPr>
          <w:rFonts w:ascii="Arial" w:eastAsia="Times New Roman" w:hAnsi="Arial" w:cs="Arial"/>
          <w:kern w:val="2"/>
          <w:sz w:val="20"/>
          <w:szCs w:val="20"/>
        </w:rPr>
        <w:t>5</w:t>
      </w:r>
      <w:r w:rsidRPr="00411DB8">
        <w:rPr>
          <w:rFonts w:ascii="Arial" w:eastAsia="Times New Roman" w:hAnsi="Arial" w:cs="Arial"/>
          <w:kern w:val="2"/>
          <w:sz w:val="20"/>
          <w:szCs w:val="20"/>
        </w:rPr>
        <w:t xml:space="preserve">-bed acute care hospital serving the communities of </w:t>
      </w:r>
      <w:r w:rsidR="00231A56" w:rsidRPr="00231A56">
        <w:rPr>
          <w:rFonts w:ascii="Arial" w:hAnsi="Arial" w:cs="Arial"/>
          <w:sz w:val="20"/>
          <w:szCs w:val="20"/>
        </w:rPr>
        <w:t>Plymouth</w:t>
      </w:r>
      <w:r w:rsidRPr="00411DB8">
        <w:rPr>
          <w:rFonts w:ascii="Arial" w:hAnsi="Arial" w:cs="Arial"/>
          <w:sz w:val="20"/>
          <w:szCs w:val="20"/>
        </w:rPr>
        <w:t>, Carver, Kingston, Middleboro, Duxbury, Marshfield, Bourne, Pembroke, Sandwich, Halifax, and Plympton</w:t>
      </w:r>
      <w:r w:rsidRPr="00411DB8">
        <w:rPr>
          <w:rFonts w:ascii="Arial" w:eastAsia="Times New Roman" w:hAnsi="Arial" w:cs="Arial"/>
          <w:kern w:val="2"/>
          <w:sz w:val="20"/>
          <w:szCs w:val="20"/>
        </w:rPr>
        <w:t>. The Hospital provides a full range of comprehensive community hospital services including primary and preventative care, emergency services</w:t>
      </w:r>
      <w:r w:rsidR="00607FAE">
        <w:rPr>
          <w:rFonts w:ascii="Arial" w:eastAsia="Times New Roman" w:hAnsi="Arial" w:cs="Arial"/>
          <w:kern w:val="2"/>
          <w:sz w:val="20"/>
          <w:szCs w:val="20"/>
        </w:rPr>
        <w:t>,</w:t>
      </w:r>
      <w:r w:rsidR="00755637">
        <w:rPr>
          <w:rFonts w:ascii="Arial" w:eastAsia="Times New Roman" w:hAnsi="Arial" w:cs="Arial"/>
          <w:kern w:val="2"/>
          <w:sz w:val="20"/>
          <w:szCs w:val="20"/>
        </w:rPr>
        <w:t xml:space="preserve"> </w:t>
      </w:r>
      <w:r w:rsidR="00607FAE">
        <w:rPr>
          <w:rFonts w:ascii="Arial" w:eastAsia="Times New Roman" w:hAnsi="Arial" w:cs="Arial"/>
          <w:kern w:val="2"/>
          <w:sz w:val="20"/>
          <w:szCs w:val="20"/>
        </w:rPr>
        <w:t>surgical services</w:t>
      </w:r>
      <w:r w:rsidRPr="00411DB8">
        <w:rPr>
          <w:rFonts w:ascii="Arial" w:eastAsia="Times New Roman" w:hAnsi="Arial" w:cs="Arial"/>
          <w:kern w:val="2"/>
          <w:sz w:val="20"/>
          <w:szCs w:val="20"/>
        </w:rPr>
        <w:t xml:space="preserve"> inpatient acute care, inpatient psychiatric services, and specialty services. </w:t>
      </w:r>
    </w:p>
    <w:p w14:paraId="1B625BC6" w14:textId="47BDA5B5" w:rsidR="004F4026" w:rsidRDefault="002C3D1F" w:rsidP="008A16D7">
      <w:pPr>
        <w:jc w:val="both"/>
        <w:rPr>
          <w:rFonts w:ascii="Arial" w:hAnsi="Arial" w:cs="Arial"/>
          <w:sz w:val="20"/>
          <w:szCs w:val="20"/>
        </w:rPr>
      </w:pPr>
      <w:r>
        <w:rPr>
          <w:rFonts w:ascii="Arial" w:hAnsi="Arial" w:cs="Arial"/>
          <w:sz w:val="20"/>
          <w:szCs w:val="20"/>
        </w:rPr>
        <w:t xml:space="preserve">BID-Plymouth’s ED was built more than 30 years ago in 1993 to accommodate 25,000 patient visits annually. Last year, the Hospital provided emergency care to 43,609 patients, nearly 75% more patients than the space was designed </w:t>
      </w:r>
      <w:r w:rsidR="008B2036">
        <w:rPr>
          <w:rFonts w:ascii="Arial" w:hAnsi="Arial" w:cs="Arial"/>
          <w:sz w:val="20"/>
          <w:szCs w:val="20"/>
        </w:rPr>
        <w:t>to accommodate</w:t>
      </w:r>
      <w:r>
        <w:rPr>
          <w:rFonts w:ascii="Arial" w:hAnsi="Arial" w:cs="Arial"/>
          <w:sz w:val="20"/>
          <w:szCs w:val="20"/>
        </w:rPr>
        <w:t xml:space="preserve">.  </w:t>
      </w:r>
      <w:r w:rsidR="008B2036">
        <w:rPr>
          <w:rFonts w:ascii="Arial" w:hAnsi="Arial" w:cs="Arial"/>
          <w:sz w:val="20"/>
          <w:szCs w:val="20"/>
        </w:rPr>
        <w:t>Because the ED is undersized to meet current demand, the Hospital’s ED has experienced</w:t>
      </w:r>
      <w:r>
        <w:rPr>
          <w:rFonts w:ascii="Arial" w:hAnsi="Arial" w:cs="Arial"/>
          <w:sz w:val="20"/>
          <w:szCs w:val="20"/>
        </w:rPr>
        <w:t xml:space="preserve"> </w:t>
      </w:r>
      <w:r w:rsidR="004F4026">
        <w:rPr>
          <w:rFonts w:ascii="Arial" w:hAnsi="Arial" w:cs="Arial"/>
          <w:sz w:val="20"/>
          <w:szCs w:val="20"/>
        </w:rPr>
        <w:t>a 696% increase in wait times and a 209% increase in patients who leave without being seen</w:t>
      </w:r>
      <w:r w:rsidR="00F6094E">
        <w:rPr>
          <w:rFonts w:ascii="Arial" w:hAnsi="Arial" w:cs="Arial"/>
          <w:sz w:val="20"/>
          <w:szCs w:val="20"/>
        </w:rPr>
        <w:t xml:space="preserve"> since FY2020</w:t>
      </w:r>
      <w:r w:rsidR="004F4026">
        <w:rPr>
          <w:rFonts w:ascii="Arial" w:hAnsi="Arial" w:cs="Arial"/>
          <w:sz w:val="20"/>
          <w:szCs w:val="20"/>
        </w:rPr>
        <w:t xml:space="preserve">. These increases represent an unmet need in the community that must be addressed through increased capacity and greater throughput in the Hospital’s ED. </w:t>
      </w:r>
    </w:p>
    <w:p w14:paraId="22FFDE9E" w14:textId="48E699A9" w:rsidR="008B2036" w:rsidRPr="002A5C45" w:rsidRDefault="008B2036" w:rsidP="008B2036">
      <w:pPr>
        <w:jc w:val="both"/>
        <w:rPr>
          <w:rFonts w:ascii="Arial" w:hAnsi="Arial" w:cs="Arial"/>
          <w:sz w:val="20"/>
          <w:szCs w:val="20"/>
        </w:rPr>
      </w:pPr>
      <w:r>
        <w:rPr>
          <w:rFonts w:ascii="Arial" w:hAnsi="Arial" w:cs="Arial"/>
          <w:sz w:val="20"/>
          <w:szCs w:val="20"/>
        </w:rPr>
        <w:t xml:space="preserve">The Proposed Project will right-size the ED to meet current and projected demand for emergency services. </w:t>
      </w:r>
      <w:r w:rsidRPr="00E80916">
        <w:rPr>
          <w:rFonts w:ascii="Arial" w:hAnsi="Arial" w:cs="Arial"/>
          <w:sz w:val="20"/>
          <w:szCs w:val="20"/>
        </w:rPr>
        <w:t xml:space="preserve">The Hospital’s existing 14,434 square foot ED consists of five (5) private rooms, four (4) cubicles, and </w:t>
      </w:r>
      <w:r>
        <w:rPr>
          <w:rFonts w:ascii="Arial" w:hAnsi="Arial" w:cs="Arial"/>
          <w:sz w:val="20"/>
          <w:szCs w:val="20"/>
        </w:rPr>
        <w:t>16</w:t>
      </w:r>
      <w:r w:rsidRPr="00E80916">
        <w:rPr>
          <w:rFonts w:ascii="Arial" w:hAnsi="Arial" w:cs="Arial"/>
          <w:sz w:val="20"/>
          <w:szCs w:val="20"/>
        </w:rPr>
        <w:t xml:space="preserve"> bays. Additionally, there are seven (7) </w:t>
      </w:r>
      <w:r w:rsidR="008D2F75">
        <w:rPr>
          <w:rFonts w:ascii="Arial" w:hAnsi="Arial" w:cs="Arial"/>
          <w:sz w:val="20"/>
          <w:szCs w:val="20"/>
        </w:rPr>
        <w:t xml:space="preserve">beds in a dedicated </w:t>
      </w:r>
      <w:r w:rsidRPr="00E80916">
        <w:rPr>
          <w:rFonts w:ascii="Arial" w:hAnsi="Arial" w:cs="Arial"/>
          <w:sz w:val="20"/>
          <w:szCs w:val="20"/>
        </w:rPr>
        <w:t xml:space="preserve">behavioral health </w:t>
      </w:r>
      <w:r w:rsidR="008D2F75">
        <w:rPr>
          <w:rFonts w:ascii="Arial" w:hAnsi="Arial" w:cs="Arial"/>
          <w:sz w:val="20"/>
          <w:szCs w:val="20"/>
        </w:rPr>
        <w:t>unit</w:t>
      </w:r>
      <w:r w:rsidRPr="00E80916">
        <w:rPr>
          <w:rFonts w:ascii="Arial" w:hAnsi="Arial" w:cs="Arial"/>
          <w:sz w:val="20"/>
          <w:szCs w:val="20"/>
        </w:rPr>
        <w:t xml:space="preserve">, </w:t>
      </w:r>
      <w:r>
        <w:rPr>
          <w:rFonts w:ascii="Arial" w:hAnsi="Arial" w:cs="Arial"/>
          <w:sz w:val="20"/>
          <w:szCs w:val="20"/>
        </w:rPr>
        <w:t xml:space="preserve">15 hallway beds, </w:t>
      </w:r>
      <w:r w:rsidRPr="00E80916">
        <w:rPr>
          <w:rFonts w:ascii="Arial" w:hAnsi="Arial" w:cs="Arial"/>
          <w:sz w:val="20"/>
          <w:szCs w:val="20"/>
        </w:rPr>
        <w:t xml:space="preserve">a triage room, a two-position trauma room, and supporting clinical &amp; administrative areas. The Proposed Project </w:t>
      </w:r>
      <w:r>
        <w:rPr>
          <w:rFonts w:ascii="Arial" w:hAnsi="Arial" w:cs="Arial"/>
          <w:sz w:val="20"/>
          <w:szCs w:val="20"/>
        </w:rPr>
        <w:t xml:space="preserve">comprises the </w:t>
      </w:r>
      <w:r w:rsidRPr="00E80916">
        <w:rPr>
          <w:rFonts w:ascii="Arial" w:hAnsi="Arial" w:cs="Arial"/>
          <w:sz w:val="20"/>
          <w:szCs w:val="20"/>
        </w:rPr>
        <w:t>renovat</w:t>
      </w:r>
      <w:r>
        <w:rPr>
          <w:rFonts w:ascii="Arial" w:hAnsi="Arial" w:cs="Arial"/>
          <w:sz w:val="20"/>
          <w:szCs w:val="20"/>
        </w:rPr>
        <w:t>ion of</w:t>
      </w:r>
      <w:r w:rsidR="008D2F75">
        <w:rPr>
          <w:rFonts w:ascii="Arial" w:hAnsi="Arial" w:cs="Arial"/>
          <w:sz w:val="20"/>
          <w:szCs w:val="20"/>
        </w:rPr>
        <w:t xml:space="preserve"> </w:t>
      </w:r>
      <w:r w:rsidRPr="00E80916">
        <w:rPr>
          <w:rFonts w:ascii="Arial" w:hAnsi="Arial" w:cs="Arial"/>
          <w:sz w:val="20"/>
          <w:szCs w:val="20"/>
        </w:rPr>
        <w:t xml:space="preserve">the existing </w:t>
      </w:r>
      <w:r>
        <w:rPr>
          <w:rFonts w:ascii="Arial" w:hAnsi="Arial" w:cs="Arial"/>
          <w:sz w:val="20"/>
          <w:szCs w:val="20"/>
        </w:rPr>
        <w:t xml:space="preserve">ED </w:t>
      </w:r>
      <w:r w:rsidRPr="00E80916">
        <w:rPr>
          <w:rFonts w:ascii="Arial" w:hAnsi="Arial" w:cs="Arial"/>
          <w:sz w:val="20"/>
          <w:szCs w:val="20"/>
        </w:rPr>
        <w:t xml:space="preserve">and adjacent areas </w:t>
      </w:r>
      <w:r>
        <w:rPr>
          <w:rFonts w:ascii="Arial" w:hAnsi="Arial" w:cs="Arial"/>
          <w:sz w:val="20"/>
          <w:szCs w:val="20"/>
        </w:rPr>
        <w:t>and</w:t>
      </w:r>
      <w:r w:rsidR="008D2F75">
        <w:rPr>
          <w:rFonts w:ascii="Arial" w:hAnsi="Arial" w:cs="Arial"/>
          <w:sz w:val="20"/>
          <w:szCs w:val="20"/>
        </w:rPr>
        <w:t xml:space="preserve"> a</w:t>
      </w:r>
      <w:r w:rsidR="00CB37D4">
        <w:rPr>
          <w:rFonts w:ascii="Arial" w:hAnsi="Arial" w:cs="Arial"/>
          <w:sz w:val="20"/>
          <w:szCs w:val="20"/>
        </w:rPr>
        <w:t>n</w:t>
      </w:r>
      <w:r w:rsidR="008D2F75">
        <w:rPr>
          <w:rFonts w:ascii="Arial" w:hAnsi="Arial" w:cs="Arial"/>
          <w:sz w:val="20"/>
          <w:szCs w:val="20"/>
        </w:rPr>
        <w:t xml:space="preserve"> </w:t>
      </w:r>
      <w:r w:rsidRPr="00E80916">
        <w:rPr>
          <w:rFonts w:ascii="Arial" w:hAnsi="Arial" w:cs="Arial"/>
          <w:sz w:val="20"/>
          <w:szCs w:val="20"/>
        </w:rPr>
        <w:t>8,051-square-foot addition</w:t>
      </w:r>
      <w:r>
        <w:rPr>
          <w:rFonts w:ascii="Arial" w:hAnsi="Arial" w:cs="Arial"/>
          <w:sz w:val="20"/>
          <w:szCs w:val="20"/>
        </w:rPr>
        <w:t xml:space="preserve">, </w:t>
      </w:r>
      <w:r w:rsidRPr="00E80916">
        <w:rPr>
          <w:rFonts w:ascii="Arial" w:hAnsi="Arial" w:cs="Arial"/>
          <w:sz w:val="20"/>
          <w:szCs w:val="20"/>
        </w:rPr>
        <w:t xml:space="preserve">resulting in a 29,060-square-foot department comprised of 37 private treatment rooms, </w:t>
      </w:r>
      <w:r>
        <w:rPr>
          <w:rFonts w:ascii="Arial" w:hAnsi="Arial" w:cs="Arial"/>
          <w:sz w:val="20"/>
          <w:szCs w:val="20"/>
        </w:rPr>
        <w:t xml:space="preserve">a separate behavioral health unit comprised of </w:t>
      </w:r>
      <w:r w:rsidRPr="00E80916">
        <w:rPr>
          <w:rFonts w:ascii="Arial" w:hAnsi="Arial" w:cs="Arial"/>
          <w:sz w:val="20"/>
          <w:szCs w:val="20"/>
        </w:rPr>
        <w:t xml:space="preserve">16 </w:t>
      </w:r>
      <w:r w:rsidR="008D2F75">
        <w:rPr>
          <w:rFonts w:ascii="Arial" w:hAnsi="Arial" w:cs="Arial"/>
          <w:sz w:val="20"/>
          <w:szCs w:val="20"/>
        </w:rPr>
        <w:t>private</w:t>
      </w:r>
      <w:r w:rsidRPr="00E80916">
        <w:rPr>
          <w:rFonts w:ascii="Arial" w:hAnsi="Arial" w:cs="Arial"/>
          <w:sz w:val="20"/>
          <w:szCs w:val="20"/>
        </w:rPr>
        <w:t xml:space="preserve"> behavioral health rooms, </w:t>
      </w:r>
      <w:r>
        <w:rPr>
          <w:rFonts w:ascii="Arial" w:hAnsi="Arial" w:cs="Arial"/>
          <w:sz w:val="20"/>
          <w:szCs w:val="20"/>
        </w:rPr>
        <w:t xml:space="preserve">a 10-bed vertical treatment unit, </w:t>
      </w:r>
      <w:r w:rsidRPr="00E80916">
        <w:rPr>
          <w:rFonts w:ascii="Arial" w:hAnsi="Arial" w:cs="Arial"/>
          <w:sz w:val="20"/>
          <w:szCs w:val="20"/>
        </w:rPr>
        <w:t>two (2) triage rooms, a two-position trauma room, administrative areas, and significantly enhanced clinical support spaces.</w:t>
      </w:r>
      <w:r>
        <w:rPr>
          <w:rFonts w:ascii="Arial" w:hAnsi="Arial" w:cs="Arial"/>
          <w:sz w:val="20"/>
          <w:szCs w:val="20"/>
        </w:rPr>
        <w:t xml:space="preserve"> In total, the ED will include 67 treatment beds in private, walled spaces that include monitoring and treatment equipment.</w:t>
      </w:r>
      <w:r w:rsidRPr="00E80916">
        <w:rPr>
          <w:rFonts w:ascii="Arial" w:hAnsi="Arial" w:cs="Arial"/>
          <w:sz w:val="20"/>
          <w:szCs w:val="20"/>
        </w:rPr>
        <w:t xml:space="preserve"> Existing imaging </w:t>
      </w:r>
      <w:r>
        <w:rPr>
          <w:rFonts w:ascii="Arial" w:hAnsi="Arial" w:cs="Arial"/>
          <w:sz w:val="20"/>
          <w:szCs w:val="20"/>
        </w:rPr>
        <w:t>equipment</w:t>
      </w:r>
      <w:r w:rsidR="00173AEC">
        <w:rPr>
          <w:rFonts w:ascii="Arial" w:hAnsi="Arial" w:cs="Arial"/>
          <w:sz w:val="20"/>
          <w:szCs w:val="20"/>
        </w:rPr>
        <w:t>, including two (2) X-ray machines and two (2) computed tomography units, that is</w:t>
      </w:r>
      <w:r>
        <w:rPr>
          <w:rFonts w:ascii="Arial" w:hAnsi="Arial" w:cs="Arial"/>
          <w:sz w:val="20"/>
          <w:szCs w:val="20"/>
        </w:rPr>
        <w:t xml:space="preserve"> </w:t>
      </w:r>
      <w:r w:rsidRPr="00E80916">
        <w:rPr>
          <w:rFonts w:ascii="Arial" w:hAnsi="Arial" w:cs="Arial"/>
          <w:sz w:val="20"/>
          <w:szCs w:val="20"/>
        </w:rPr>
        <w:t xml:space="preserve">embedded within the emergency department will not </w:t>
      </w:r>
      <w:r>
        <w:rPr>
          <w:rFonts w:ascii="Arial" w:hAnsi="Arial" w:cs="Arial"/>
          <w:sz w:val="20"/>
          <w:szCs w:val="20"/>
        </w:rPr>
        <w:t xml:space="preserve">change. </w:t>
      </w:r>
    </w:p>
    <w:p w14:paraId="0343E356" w14:textId="3E1A46F7" w:rsidR="008A16D7" w:rsidRPr="00301165" w:rsidRDefault="004F4026" w:rsidP="008A16D7">
      <w:pPr>
        <w:jc w:val="both"/>
        <w:rPr>
          <w:rFonts w:ascii="Arial" w:hAnsi="Arial" w:cs="Arial"/>
          <w:sz w:val="20"/>
          <w:szCs w:val="20"/>
        </w:rPr>
      </w:pPr>
      <w:r>
        <w:rPr>
          <w:rFonts w:ascii="Arial" w:hAnsi="Arial" w:cs="Arial"/>
          <w:sz w:val="20"/>
          <w:szCs w:val="20"/>
        </w:rPr>
        <w:t>In sum</w:t>
      </w:r>
      <w:r w:rsidRPr="00022972">
        <w:rPr>
          <w:rFonts w:ascii="Arial" w:hAnsi="Arial" w:cs="Arial"/>
          <w:sz w:val="20"/>
          <w:szCs w:val="20"/>
        </w:rPr>
        <w:t>,</w:t>
      </w:r>
      <w:r w:rsidR="008D2F75">
        <w:rPr>
          <w:rFonts w:ascii="Arial" w:hAnsi="Arial" w:cs="Arial"/>
          <w:sz w:val="20"/>
          <w:szCs w:val="20"/>
        </w:rPr>
        <w:t xml:space="preserve"> the Proposed Project will significantly improve the ED’s capacity to provide timely </w:t>
      </w:r>
      <w:r w:rsidR="000D6EC2">
        <w:rPr>
          <w:rFonts w:ascii="Arial" w:hAnsi="Arial" w:cs="Arial"/>
          <w:sz w:val="20"/>
          <w:szCs w:val="20"/>
        </w:rPr>
        <w:t xml:space="preserve">and appropriate </w:t>
      </w:r>
      <w:r w:rsidR="008D2F75">
        <w:rPr>
          <w:rFonts w:ascii="Arial" w:hAnsi="Arial" w:cs="Arial"/>
          <w:sz w:val="20"/>
          <w:szCs w:val="20"/>
        </w:rPr>
        <w:t>emergency care to the Hospital’s Patient Panel and the communiti</w:t>
      </w:r>
      <w:r w:rsidR="001B1727">
        <w:rPr>
          <w:rFonts w:ascii="Arial" w:hAnsi="Arial" w:cs="Arial"/>
          <w:sz w:val="20"/>
          <w:szCs w:val="20"/>
        </w:rPr>
        <w:t xml:space="preserve">es it serves. Through the expansion of the ED, the Hospital will be able to accommodate growing demand for emergency care, </w:t>
      </w:r>
      <w:r w:rsidR="00BC101E">
        <w:rPr>
          <w:rFonts w:ascii="Arial" w:hAnsi="Arial" w:cs="Arial"/>
          <w:sz w:val="20"/>
          <w:szCs w:val="20"/>
        </w:rPr>
        <w:t>providing</w:t>
      </w:r>
      <w:r w:rsidR="001B1727">
        <w:rPr>
          <w:rFonts w:ascii="Arial" w:hAnsi="Arial" w:cs="Arial"/>
          <w:sz w:val="20"/>
          <w:szCs w:val="20"/>
        </w:rPr>
        <w:t xml:space="preserve"> dedicated services and resources </w:t>
      </w:r>
      <w:r w:rsidR="000D6EC2">
        <w:rPr>
          <w:rFonts w:ascii="Arial" w:hAnsi="Arial" w:cs="Arial"/>
          <w:sz w:val="20"/>
          <w:szCs w:val="20"/>
        </w:rPr>
        <w:t>across the spectrum of emergency care including lower acuity conditions and behavioral health emergencies</w:t>
      </w:r>
      <w:r w:rsidR="001B1727">
        <w:rPr>
          <w:rFonts w:ascii="Arial" w:hAnsi="Arial" w:cs="Arial"/>
          <w:sz w:val="20"/>
          <w:szCs w:val="20"/>
        </w:rPr>
        <w:t xml:space="preserve">. </w:t>
      </w:r>
      <w:r w:rsidR="000D6EC2">
        <w:rPr>
          <w:rFonts w:ascii="Arial" w:hAnsi="Arial" w:cs="Arial"/>
          <w:sz w:val="20"/>
          <w:szCs w:val="20"/>
        </w:rPr>
        <w:t xml:space="preserve">As a result of the Proposed Project’s improved capacity to provide care, health outcomes will improve as will quality of life, while simultaneously reducing health care spending.  </w:t>
      </w:r>
      <w:r w:rsidR="008A16D7" w:rsidRPr="002C3D1F">
        <w:rPr>
          <w:rFonts w:ascii="Arial" w:hAnsi="Arial" w:cs="Arial"/>
          <w:kern w:val="2"/>
          <w:sz w:val="20"/>
          <w:szCs w:val="20"/>
        </w:rPr>
        <w:t>Accordingly, the Proposed Project meets the factors of review for Determination of Need approval.</w:t>
      </w:r>
      <w:bookmarkEnd w:id="0"/>
    </w:p>
    <w:p w14:paraId="19E5EDAA" w14:textId="77777777" w:rsidR="00301165" w:rsidRDefault="00301165" w:rsidP="008A16D7"/>
    <w:p w14:paraId="380BB7C8" w14:textId="77777777" w:rsidR="004720B0" w:rsidRDefault="004720B0" w:rsidP="00BE2AAE">
      <w:pPr>
        <w:spacing w:after="0" w:line="240" w:lineRule="auto"/>
        <w:ind w:left="360" w:hanging="360"/>
        <w:outlineLvl w:val="0"/>
        <w:rPr>
          <w:rFonts w:ascii="Arial" w:hAnsi="Arial" w:cs="Arial"/>
          <w:b/>
          <w:bCs/>
          <w:sz w:val="20"/>
          <w:szCs w:val="20"/>
        </w:rPr>
      </w:pPr>
    </w:p>
    <w:p w14:paraId="04BA97BA" w14:textId="77777777" w:rsidR="004720B0" w:rsidRDefault="004720B0" w:rsidP="00BE2AAE">
      <w:pPr>
        <w:spacing w:after="0" w:line="240" w:lineRule="auto"/>
        <w:ind w:left="360" w:hanging="360"/>
        <w:outlineLvl w:val="0"/>
        <w:rPr>
          <w:rFonts w:ascii="Arial" w:hAnsi="Arial" w:cs="Arial"/>
          <w:b/>
          <w:bCs/>
          <w:sz w:val="20"/>
          <w:szCs w:val="20"/>
        </w:rPr>
      </w:pPr>
    </w:p>
    <w:p w14:paraId="20010F61" w14:textId="77777777" w:rsidR="004720B0" w:rsidRDefault="004720B0" w:rsidP="00BE2AAE">
      <w:pPr>
        <w:spacing w:after="0" w:line="240" w:lineRule="auto"/>
        <w:ind w:left="360" w:hanging="360"/>
        <w:outlineLvl w:val="0"/>
        <w:rPr>
          <w:rFonts w:ascii="Arial" w:hAnsi="Arial" w:cs="Arial"/>
          <w:b/>
          <w:bCs/>
          <w:sz w:val="20"/>
          <w:szCs w:val="20"/>
        </w:rPr>
      </w:pPr>
    </w:p>
    <w:p w14:paraId="198F0923" w14:textId="77777777" w:rsidR="004720B0" w:rsidRDefault="004720B0" w:rsidP="00BE2AAE">
      <w:pPr>
        <w:spacing w:after="0" w:line="240" w:lineRule="auto"/>
        <w:ind w:left="360" w:hanging="360"/>
        <w:outlineLvl w:val="0"/>
        <w:rPr>
          <w:rFonts w:ascii="Arial" w:hAnsi="Arial" w:cs="Arial"/>
          <w:b/>
          <w:bCs/>
          <w:sz w:val="20"/>
          <w:szCs w:val="20"/>
        </w:rPr>
      </w:pPr>
    </w:p>
    <w:p w14:paraId="7E5B0EBE" w14:textId="77777777" w:rsidR="004720B0" w:rsidRDefault="004720B0" w:rsidP="00BE2AAE">
      <w:pPr>
        <w:spacing w:after="0" w:line="240" w:lineRule="auto"/>
        <w:ind w:left="360" w:hanging="360"/>
        <w:outlineLvl w:val="0"/>
        <w:rPr>
          <w:rFonts w:ascii="Arial" w:hAnsi="Arial" w:cs="Arial"/>
          <w:b/>
          <w:bCs/>
          <w:sz w:val="20"/>
          <w:szCs w:val="20"/>
        </w:rPr>
      </w:pPr>
    </w:p>
    <w:p w14:paraId="59E38D93" w14:textId="1F5E43C8" w:rsidR="00BE2AAE" w:rsidRPr="006B4188" w:rsidRDefault="00BE2AAE" w:rsidP="00BE2AAE">
      <w:pPr>
        <w:spacing w:after="0" w:line="240" w:lineRule="auto"/>
        <w:ind w:left="360" w:hanging="360"/>
        <w:outlineLvl w:val="0"/>
        <w:rPr>
          <w:rFonts w:ascii="Arial" w:hAnsi="Arial" w:cs="Arial"/>
          <w:b/>
          <w:bCs/>
          <w:sz w:val="20"/>
          <w:szCs w:val="20"/>
        </w:rPr>
      </w:pPr>
      <w:r w:rsidRPr="00024D21">
        <w:rPr>
          <w:rFonts w:ascii="Arial" w:hAnsi="Arial" w:cs="Arial"/>
          <w:b/>
          <w:bCs/>
          <w:sz w:val="20"/>
          <w:szCs w:val="20"/>
        </w:rPr>
        <w:lastRenderedPageBreak/>
        <w:t>Factor 1: Applicant Patient Panel Need, Public Health Values and Operational Objectives</w:t>
      </w:r>
    </w:p>
    <w:p w14:paraId="09BB1573" w14:textId="77777777" w:rsidR="00BE2AAE" w:rsidRPr="00411DB8" w:rsidRDefault="00BE2AAE" w:rsidP="00BE2AAE">
      <w:pPr>
        <w:spacing w:before="120" w:after="0" w:line="240" w:lineRule="auto"/>
        <w:ind w:left="720" w:hanging="720"/>
        <w:jc w:val="both"/>
        <w:rPr>
          <w:rFonts w:ascii="Arial" w:eastAsia="Arial" w:hAnsi="Arial" w:cs="Arial"/>
          <w:kern w:val="2"/>
          <w:sz w:val="20"/>
          <w:szCs w:val="20"/>
          <w:u w:val="single"/>
        </w:rPr>
      </w:pPr>
      <w:r w:rsidRPr="00411DB8">
        <w:rPr>
          <w:rFonts w:ascii="Arial" w:eastAsia="Calibri" w:hAnsi="Arial" w:cs="Arial"/>
          <w:b/>
          <w:kern w:val="2"/>
          <w:sz w:val="20"/>
          <w:szCs w:val="20"/>
          <w:u w:val="single"/>
        </w:rPr>
        <w:t>Patient Panel</w:t>
      </w:r>
      <w:r w:rsidRPr="00411DB8">
        <w:rPr>
          <w:rFonts w:ascii="Arial" w:eastAsia="Calibri" w:hAnsi="Arial" w:cs="Arial"/>
          <w:b/>
          <w:kern w:val="2"/>
          <w:sz w:val="20"/>
          <w:szCs w:val="20"/>
        </w:rPr>
        <w:t>:</w:t>
      </w:r>
    </w:p>
    <w:p w14:paraId="69329678" w14:textId="77777777" w:rsidR="00BE2AAE" w:rsidRPr="00411DB8" w:rsidRDefault="00BE2AAE" w:rsidP="00BE2AAE">
      <w:pPr>
        <w:spacing w:after="120" w:line="240" w:lineRule="auto"/>
        <w:ind w:left="1440"/>
        <w:jc w:val="both"/>
        <w:rPr>
          <w:rFonts w:ascii="Arial" w:eastAsia="Times New Roman" w:hAnsi="Arial" w:cs="Arial"/>
          <w:b/>
          <w:kern w:val="2"/>
          <w:sz w:val="20"/>
          <w:szCs w:val="20"/>
        </w:rPr>
      </w:pPr>
      <w:r w:rsidRPr="00411DB8">
        <w:rPr>
          <w:rFonts w:ascii="Arial" w:eastAsia="Times New Roman" w:hAnsi="Arial" w:cs="Arial"/>
          <w:b/>
          <w:kern w:val="2"/>
          <w:sz w:val="20"/>
          <w:szCs w:val="20"/>
        </w:rPr>
        <w:t>Describe your existing Patient Panel, including incidence or prevalence of disease or behavioral risk factors, acuity mix, noted health disparities, geographic breakdown expressed in zip codes or other appropriate measure, demographics including age, gender and sexual identity, race, ethnicity, socioeconomic status and other priority populations relevant to the Applicant's existing patient panel and payer mix.</w:t>
      </w:r>
    </w:p>
    <w:p w14:paraId="54C3748D" w14:textId="77777777" w:rsidR="00BE2AAE" w:rsidRPr="008A16D7" w:rsidRDefault="00BE2AAE" w:rsidP="00BE2AAE">
      <w:pPr>
        <w:spacing w:after="120" w:line="240" w:lineRule="auto"/>
        <w:rPr>
          <w:rFonts w:ascii="Arial" w:hAnsi="Arial" w:cs="Arial"/>
          <w:sz w:val="20"/>
          <w:szCs w:val="20"/>
        </w:rPr>
      </w:pPr>
    </w:p>
    <w:p w14:paraId="695B21D5" w14:textId="77777777" w:rsidR="00BE2AAE" w:rsidRPr="00411DB8" w:rsidRDefault="00BE2AAE" w:rsidP="00BE2AAE">
      <w:pPr>
        <w:spacing w:after="120" w:line="240" w:lineRule="auto"/>
        <w:rPr>
          <w:rFonts w:ascii="Arial" w:hAnsi="Arial" w:cs="Arial"/>
          <w:i/>
          <w:iCs/>
          <w:sz w:val="20"/>
          <w:szCs w:val="20"/>
        </w:rPr>
      </w:pPr>
      <w:r w:rsidRPr="00411DB8">
        <w:rPr>
          <w:rFonts w:ascii="Arial" w:hAnsi="Arial" w:cs="Arial"/>
          <w:i/>
          <w:iCs/>
          <w:sz w:val="20"/>
          <w:szCs w:val="20"/>
        </w:rPr>
        <w:t>Overall Patient Panel</w:t>
      </w:r>
    </w:p>
    <w:p w14:paraId="682DD5B2" w14:textId="77777777" w:rsidR="00BE2AAE" w:rsidRPr="00107AA4" w:rsidRDefault="00BE2AAE" w:rsidP="00BE2AAE">
      <w:pPr>
        <w:pStyle w:val="ListParagraph"/>
        <w:numPr>
          <w:ilvl w:val="0"/>
          <w:numId w:val="3"/>
        </w:numPr>
        <w:spacing w:after="0" w:line="240" w:lineRule="auto"/>
        <w:ind w:left="360"/>
        <w:jc w:val="both"/>
        <w:rPr>
          <w:rFonts w:ascii="Arial" w:eastAsia="Times New Roman" w:hAnsi="Arial" w:cs="Arial"/>
          <w:color w:val="000000" w:themeColor="text1"/>
          <w:kern w:val="2"/>
          <w:sz w:val="20"/>
          <w:szCs w:val="20"/>
          <w:u w:val="single"/>
        </w:rPr>
      </w:pPr>
      <w:r w:rsidRPr="00107AA4">
        <w:rPr>
          <w:rFonts w:ascii="Arial" w:eastAsia="Times New Roman" w:hAnsi="Arial" w:cs="Arial"/>
          <w:color w:val="000000" w:themeColor="text1"/>
          <w:kern w:val="2"/>
          <w:sz w:val="20"/>
          <w:szCs w:val="20"/>
          <w:u w:val="single"/>
        </w:rPr>
        <w:t xml:space="preserve">Beth Israel Lahey Health </w:t>
      </w:r>
    </w:p>
    <w:p w14:paraId="416C0E64" w14:textId="77777777" w:rsidR="00BE2AAE" w:rsidRDefault="00BE2AAE" w:rsidP="00BE2AAE">
      <w:pPr>
        <w:spacing w:after="0" w:line="240" w:lineRule="auto"/>
        <w:jc w:val="both"/>
        <w:rPr>
          <w:rFonts w:ascii="Arial" w:eastAsia="Times New Roman" w:hAnsi="Arial" w:cs="Arial"/>
          <w:color w:val="000000" w:themeColor="text1"/>
          <w:kern w:val="2"/>
          <w:sz w:val="20"/>
          <w:szCs w:val="20"/>
          <w:u w:val="single"/>
        </w:rPr>
      </w:pPr>
    </w:p>
    <w:p w14:paraId="6970EE6A" w14:textId="77777777" w:rsidR="00BE2AAE" w:rsidRPr="00155286" w:rsidRDefault="00BE2AAE" w:rsidP="00BE2AAE">
      <w:pPr>
        <w:spacing w:after="0"/>
        <w:jc w:val="both"/>
        <w:rPr>
          <w:rFonts w:ascii="Arial" w:hAnsi="Arial" w:cs="Arial"/>
          <w:sz w:val="20"/>
          <w:szCs w:val="20"/>
        </w:rPr>
      </w:pPr>
      <w:r w:rsidRPr="00155286">
        <w:rPr>
          <w:rFonts w:ascii="Arial" w:hAnsi="Arial" w:cs="Arial"/>
          <w:sz w:val="20"/>
          <w:szCs w:val="20"/>
        </w:rPr>
        <w:t>BILH is an integrated health care delivery system of teaching and community hospitals, physician groups, behavioral health providers, post-acute care providers and other caregivers serving patients in Greater Boston</w:t>
      </w:r>
      <w:r w:rsidRPr="00E536F6">
        <w:rPr>
          <w:rStyle w:val="FootnoteReference"/>
          <w:rFonts w:ascii="Arial" w:hAnsi="Arial" w:cs="Arial"/>
          <w:sz w:val="20"/>
          <w:szCs w:val="20"/>
        </w:rPr>
        <w:footnoteReference w:id="1"/>
      </w:r>
      <w:r w:rsidRPr="00155286">
        <w:rPr>
          <w:rFonts w:ascii="Arial" w:hAnsi="Arial" w:cs="Arial"/>
          <w:sz w:val="20"/>
          <w:szCs w:val="20"/>
        </w:rPr>
        <w:t xml:space="preserve"> and the surrounding communities in Eastern Massachusetts and Southeastern New Hampshire. BILH</w:t>
      </w:r>
      <w:r>
        <w:rPr>
          <w:rFonts w:ascii="Arial" w:hAnsi="Arial" w:cs="Arial"/>
          <w:sz w:val="20"/>
          <w:szCs w:val="20"/>
        </w:rPr>
        <w:t xml:space="preserve"> aims</w:t>
      </w:r>
      <w:r w:rsidRPr="00155286">
        <w:rPr>
          <w:rFonts w:ascii="Arial" w:hAnsi="Arial" w:cs="Arial"/>
          <w:sz w:val="20"/>
          <w:szCs w:val="20"/>
        </w:rPr>
        <w:t xml:space="preserve"> to have a broader impact on the health care industry and patient populations in Massachusetts by sharing best practices, investing in foundational infrastructure to support population health management, and encouraging competition based on value.  </w:t>
      </w:r>
    </w:p>
    <w:p w14:paraId="2C773B6A" w14:textId="77777777" w:rsidR="00BE2AAE" w:rsidRDefault="00BE2AAE" w:rsidP="00BE2AAE">
      <w:pPr>
        <w:spacing w:after="0"/>
        <w:jc w:val="both"/>
        <w:rPr>
          <w:rFonts w:ascii="Arial" w:hAnsi="Arial" w:cs="Arial"/>
          <w:sz w:val="20"/>
          <w:szCs w:val="20"/>
        </w:rPr>
      </w:pPr>
    </w:p>
    <w:p w14:paraId="752F225A" w14:textId="77777777" w:rsidR="00BE2AAE" w:rsidRPr="00155286" w:rsidRDefault="00BE2AAE" w:rsidP="00BE2AAE">
      <w:pPr>
        <w:spacing w:after="0"/>
        <w:jc w:val="both"/>
        <w:rPr>
          <w:rFonts w:ascii="Arial" w:hAnsi="Arial" w:cs="Arial"/>
          <w:sz w:val="20"/>
          <w:szCs w:val="20"/>
        </w:rPr>
      </w:pPr>
      <w:r w:rsidRPr="00155286">
        <w:rPr>
          <w:rFonts w:ascii="Arial" w:hAnsi="Arial" w:cs="Arial"/>
          <w:sz w:val="20"/>
          <w:szCs w:val="20"/>
        </w:rPr>
        <w:t>BILH also operates Beth Israel Lahey Health Performance Network, LLC (“BILHPN”), a clinically integrated network of physicians, clinicians</w:t>
      </w:r>
      <w:r>
        <w:rPr>
          <w:rFonts w:ascii="Arial" w:hAnsi="Arial" w:cs="Arial"/>
          <w:sz w:val="20"/>
          <w:szCs w:val="20"/>
        </w:rPr>
        <w:t>,</w:t>
      </w:r>
      <w:r w:rsidRPr="00155286">
        <w:rPr>
          <w:rFonts w:ascii="Arial" w:hAnsi="Arial" w:cs="Arial"/>
          <w:sz w:val="20"/>
          <w:szCs w:val="20"/>
        </w:rPr>
        <w:t xml:space="preserve"> and hospitals. BILHPN is a Health Policy Commission (“HPC”) certified Accountable Care Organization (“ACO”) committed to providing high-quality, cost-effective care to the patients and communities they serve, while effectively managing medical expense. By leveraging best practices in population health management and data analytics, BILHPN seeks to improve care quality and patient health outcomes across the system through population health initiatives. </w:t>
      </w:r>
    </w:p>
    <w:p w14:paraId="2C45D686" w14:textId="77777777" w:rsidR="00BE2AAE" w:rsidRDefault="00BE2AAE" w:rsidP="00BE2AAE">
      <w:pPr>
        <w:spacing w:after="0"/>
        <w:ind w:firstLine="360"/>
        <w:jc w:val="both"/>
        <w:rPr>
          <w:rFonts w:ascii="Arial" w:hAnsi="Arial" w:cs="Arial"/>
          <w:sz w:val="20"/>
          <w:szCs w:val="20"/>
        </w:rPr>
      </w:pPr>
    </w:p>
    <w:p w14:paraId="0E43A807" w14:textId="77777777" w:rsidR="00BE2AAE" w:rsidRDefault="00BE2AAE" w:rsidP="00BE2AAE">
      <w:pPr>
        <w:spacing w:after="0"/>
        <w:ind w:firstLine="360"/>
        <w:jc w:val="both"/>
        <w:rPr>
          <w:rFonts w:ascii="Arial" w:eastAsia="Verdana" w:hAnsi="Arial" w:cs="Arial"/>
          <w:i/>
          <w:iCs/>
          <w:sz w:val="20"/>
        </w:rPr>
      </w:pPr>
      <w:r w:rsidRPr="00155286">
        <w:rPr>
          <w:rFonts w:ascii="Arial" w:hAnsi="Arial" w:cs="Arial"/>
          <w:i/>
          <w:iCs/>
          <w:sz w:val="20"/>
        </w:rPr>
        <w:t>Patient Panel</w:t>
      </w:r>
    </w:p>
    <w:p w14:paraId="5491C3BF" w14:textId="77777777" w:rsidR="00BE2AAE" w:rsidRPr="00C55325" w:rsidRDefault="00BE2AAE" w:rsidP="00BE2AAE">
      <w:pPr>
        <w:spacing w:after="0"/>
        <w:ind w:firstLine="360"/>
        <w:jc w:val="both"/>
        <w:rPr>
          <w:rFonts w:ascii="Arial" w:eastAsia="Verdana" w:hAnsi="Arial" w:cs="Arial"/>
          <w:i/>
          <w:iCs/>
          <w:sz w:val="20"/>
        </w:rPr>
      </w:pPr>
    </w:p>
    <w:p w14:paraId="447F3E34" w14:textId="77777777" w:rsidR="00124E82" w:rsidRDefault="00BE2AAE" w:rsidP="00124E82">
      <w:pPr>
        <w:rPr>
          <w:rFonts w:ascii="Arial" w:eastAsia="Times New Roman" w:hAnsi="Arial" w:cs="Arial"/>
          <w:color w:val="000000" w:themeColor="text1"/>
          <w:kern w:val="2"/>
          <w:sz w:val="20"/>
          <w:szCs w:val="20"/>
        </w:rPr>
      </w:pPr>
      <w:r>
        <w:rPr>
          <w:rFonts w:ascii="Arial" w:eastAsia="Verdana" w:hAnsi="Arial" w:cs="Arial"/>
          <w:sz w:val="20"/>
        </w:rPr>
        <w:t>It is</w:t>
      </w:r>
      <w:r w:rsidRPr="00155286">
        <w:rPr>
          <w:rFonts w:ascii="Arial" w:eastAsia="Verdana" w:hAnsi="Arial" w:cs="Arial"/>
          <w:sz w:val="20"/>
        </w:rPr>
        <w:t xml:space="preserve"> estimated</w:t>
      </w:r>
      <w:r>
        <w:rPr>
          <w:rFonts w:ascii="Arial" w:eastAsia="Verdana" w:hAnsi="Arial" w:cs="Arial"/>
          <w:sz w:val="20"/>
        </w:rPr>
        <w:t xml:space="preserve"> that</w:t>
      </w:r>
      <w:r w:rsidRPr="00155286">
        <w:rPr>
          <w:rFonts w:ascii="Arial" w:eastAsia="Verdana" w:hAnsi="Arial" w:cs="Arial"/>
          <w:sz w:val="20"/>
        </w:rPr>
        <w:t xml:space="preserve"> five million people reside in the BILH service area.</w:t>
      </w:r>
      <w:r w:rsidRPr="00E536F6">
        <w:rPr>
          <w:rStyle w:val="FootnoteReference"/>
          <w:rFonts w:ascii="Arial" w:eastAsia="Verdana" w:hAnsi="Arial" w:cs="Arial"/>
          <w:sz w:val="20"/>
        </w:rPr>
        <w:footnoteReference w:id="2"/>
      </w:r>
      <w:r w:rsidRPr="00155286">
        <w:rPr>
          <w:rFonts w:ascii="Arial" w:eastAsia="Verdana" w:hAnsi="Arial" w:cs="Arial"/>
          <w:sz w:val="20"/>
        </w:rPr>
        <w:t xml:space="preserve"> This area has experienced 6.4% population growth since 2010 and is projected to increase at a faster rate (4.5%) than the state (3.5%) from 2017 to 2022.</w:t>
      </w:r>
      <w:r w:rsidRPr="00E536F6">
        <w:rPr>
          <w:rStyle w:val="FootnoteReference"/>
          <w:rFonts w:ascii="Arial" w:eastAsia="Verdana" w:hAnsi="Arial" w:cs="Arial"/>
          <w:sz w:val="20"/>
        </w:rPr>
        <w:footnoteReference w:id="3"/>
      </w:r>
      <w:r>
        <w:rPr>
          <w:rFonts w:ascii="Arial" w:eastAsia="Verdana" w:hAnsi="Arial" w:cs="Arial"/>
          <w:sz w:val="20"/>
        </w:rPr>
        <w:t xml:space="preserve"> As demonstrated in Table 1, t</w:t>
      </w:r>
      <w:r w:rsidRPr="00D8685A">
        <w:rPr>
          <w:rFonts w:ascii="Arial" w:eastAsia="Verdana" w:hAnsi="Arial" w:cs="Arial"/>
          <w:sz w:val="20"/>
        </w:rPr>
        <w:t xml:space="preserve">he BILH Patient Panel </w:t>
      </w:r>
      <w:r w:rsidRPr="00250206">
        <w:rPr>
          <w:rFonts w:ascii="Arial" w:eastAsia="Verdana" w:hAnsi="Arial" w:cs="Arial"/>
          <w:sz w:val="20"/>
        </w:rPr>
        <w:t xml:space="preserve">consisted of </w:t>
      </w:r>
      <w:r w:rsidR="00AB3B59" w:rsidRPr="00250206">
        <w:rPr>
          <w:rFonts w:ascii="Arial" w:eastAsia="Verdana" w:hAnsi="Arial" w:cs="Arial"/>
          <w:sz w:val="20"/>
        </w:rPr>
        <w:t>1,389,921</w:t>
      </w:r>
      <w:r w:rsidRPr="00250206">
        <w:rPr>
          <w:rFonts w:ascii="Arial" w:eastAsia="Verdana" w:hAnsi="Arial" w:cs="Arial"/>
          <w:sz w:val="20"/>
        </w:rPr>
        <w:t xml:space="preserve"> patients in fiscal year</w:t>
      </w:r>
      <w:r w:rsidRPr="00250206">
        <w:rPr>
          <w:rStyle w:val="FootnoteReference"/>
          <w:rFonts w:ascii="Arial" w:eastAsia="Verdana" w:hAnsi="Arial" w:cs="Arial"/>
          <w:sz w:val="20"/>
        </w:rPr>
        <w:footnoteReference w:id="4"/>
      </w:r>
      <w:r w:rsidRPr="00250206">
        <w:rPr>
          <w:rFonts w:ascii="Arial" w:eastAsia="Verdana" w:hAnsi="Arial" w:cs="Arial"/>
          <w:sz w:val="20"/>
        </w:rPr>
        <w:t xml:space="preserve"> (“FY”) 202</w:t>
      </w:r>
      <w:r w:rsidR="00AB3B59" w:rsidRPr="00250206">
        <w:rPr>
          <w:rFonts w:ascii="Arial" w:eastAsia="Verdana" w:hAnsi="Arial" w:cs="Arial"/>
          <w:sz w:val="20"/>
        </w:rPr>
        <w:t>3</w:t>
      </w:r>
      <w:r w:rsidRPr="00250206">
        <w:rPr>
          <w:rFonts w:ascii="Arial" w:eastAsia="Verdana" w:hAnsi="Arial" w:cs="Arial"/>
          <w:sz w:val="20"/>
        </w:rPr>
        <w:t xml:space="preserve">. </w:t>
      </w:r>
    </w:p>
    <w:p w14:paraId="5F6242DB" w14:textId="215B2843" w:rsidR="00124E82" w:rsidRPr="00283B35" w:rsidRDefault="00124E82" w:rsidP="00124E82">
      <w:pPr>
        <w:rPr>
          <w:rFonts w:ascii="Arial" w:eastAsia="Times New Roman" w:hAnsi="Arial" w:cs="Arial"/>
          <w:color w:val="000000" w:themeColor="text1"/>
          <w:kern w:val="2"/>
          <w:sz w:val="20"/>
          <w:szCs w:val="20"/>
        </w:rPr>
      </w:pPr>
      <w:r>
        <w:rPr>
          <w:rFonts w:ascii="Arial" w:eastAsia="Verdana" w:hAnsi="Arial" w:cs="Arial"/>
          <w:sz w:val="20"/>
        </w:rPr>
        <w:t>Patient demographics for FY21-FY23 show that the majority of BILH’s Patient Panel is between 18 to 64, followed by 65+ and 0-17 age cohorts, respectively. BILH’s</w:t>
      </w:r>
      <w:r w:rsidRPr="00010F2F">
        <w:rPr>
          <w:rFonts w:ascii="Arial" w:eastAsia="Verdana" w:hAnsi="Arial" w:cs="Arial"/>
          <w:sz w:val="20"/>
        </w:rPr>
        <w:t xml:space="preserve"> Patient Panel is approximately</w:t>
      </w:r>
      <w:r>
        <w:rPr>
          <w:rFonts w:ascii="Arial" w:eastAsia="Verdana" w:hAnsi="Arial" w:cs="Arial"/>
          <w:sz w:val="20"/>
        </w:rPr>
        <w:t xml:space="preserve"> 59%</w:t>
      </w:r>
      <w:r w:rsidRPr="00010F2F">
        <w:rPr>
          <w:rFonts w:ascii="Arial" w:eastAsia="Verdana" w:hAnsi="Arial" w:cs="Arial"/>
          <w:sz w:val="20"/>
        </w:rPr>
        <w:t xml:space="preserve"> </w:t>
      </w:r>
      <w:r>
        <w:rPr>
          <w:rFonts w:ascii="Arial" w:eastAsia="Verdana" w:hAnsi="Arial" w:cs="Arial"/>
          <w:sz w:val="20"/>
        </w:rPr>
        <w:t>fe</w:t>
      </w:r>
      <w:r w:rsidRPr="00010F2F">
        <w:rPr>
          <w:rFonts w:ascii="Arial" w:eastAsia="Verdana" w:hAnsi="Arial" w:cs="Arial"/>
          <w:sz w:val="20"/>
        </w:rPr>
        <w:t>male</w:t>
      </w:r>
      <w:r>
        <w:rPr>
          <w:rFonts w:ascii="Arial" w:eastAsia="Verdana" w:hAnsi="Arial" w:cs="Arial"/>
          <w:sz w:val="20"/>
        </w:rPr>
        <w:t>,</w:t>
      </w:r>
      <w:r w:rsidRPr="00010F2F">
        <w:rPr>
          <w:rFonts w:ascii="Arial" w:eastAsia="Verdana" w:hAnsi="Arial" w:cs="Arial"/>
          <w:sz w:val="20"/>
        </w:rPr>
        <w:t xml:space="preserve"> </w:t>
      </w:r>
      <w:r>
        <w:rPr>
          <w:rFonts w:ascii="Arial" w:eastAsia="Verdana" w:hAnsi="Arial" w:cs="Arial"/>
          <w:sz w:val="20"/>
        </w:rPr>
        <w:t>41</w:t>
      </w:r>
      <w:r w:rsidRPr="00010F2F">
        <w:rPr>
          <w:rFonts w:ascii="Arial" w:eastAsia="Verdana" w:hAnsi="Arial" w:cs="Arial"/>
          <w:sz w:val="20"/>
        </w:rPr>
        <w:t xml:space="preserve">% </w:t>
      </w:r>
      <w:r>
        <w:rPr>
          <w:rFonts w:ascii="Arial" w:eastAsia="Verdana" w:hAnsi="Arial" w:cs="Arial"/>
          <w:sz w:val="20"/>
        </w:rPr>
        <w:t>male,</w:t>
      </w:r>
      <w:r w:rsidRPr="00010F2F">
        <w:rPr>
          <w:rFonts w:ascii="Arial" w:eastAsia="Verdana" w:hAnsi="Arial" w:cs="Arial"/>
          <w:sz w:val="20"/>
        </w:rPr>
        <w:t xml:space="preserve"> </w:t>
      </w:r>
      <w:r>
        <w:rPr>
          <w:rFonts w:ascii="Arial" w:eastAsia="Verdana" w:hAnsi="Arial" w:cs="Arial"/>
          <w:sz w:val="20"/>
        </w:rPr>
        <w:t>and 0.5% Other</w:t>
      </w:r>
      <w:r w:rsidRPr="00010F2F">
        <w:rPr>
          <w:rFonts w:ascii="Arial" w:eastAsia="Verdana" w:hAnsi="Arial" w:cs="Arial"/>
          <w:sz w:val="20"/>
        </w:rPr>
        <w:t xml:space="preserve">. These percentages remained </w:t>
      </w:r>
      <w:r>
        <w:rPr>
          <w:rFonts w:ascii="Arial" w:eastAsia="Verdana" w:hAnsi="Arial" w:cs="Arial"/>
          <w:sz w:val="20"/>
        </w:rPr>
        <w:t>largely consistent from</w:t>
      </w:r>
      <w:r w:rsidRPr="00010F2F">
        <w:rPr>
          <w:rFonts w:ascii="Arial" w:eastAsia="Verdana" w:hAnsi="Arial" w:cs="Arial"/>
          <w:sz w:val="20"/>
        </w:rPr>
        <w:t xml:space="preserve"> FY2</w:t>
      </w:r>
      <w:r>
        <w:rPr>
          <w:rFonts w:ascii="Arial" w:eastAsia="Verdana" w:hAnsi="Arial" w:cs="Arial"/>
          <w:sz w:val="20"/>
        </w:rPr>
        <w:t xml:space="preserve">1 </w:t>
      </w:r>
      <w:r w:rsidRPr="00010F2F">
        <w:rPr>
          <w:rFonts w:ascii="Arial" w:eastAsia="Verdana" w:hAnsi="Arial" w:cs="Arial"/>
          <w:sz w:val="20"/>
        </w:rPr>
        <w:t>and FY2</w:t>
      </w:r>
      <w:r>
        <w:rPr>
          <w:rFonts w:ascii="Arial" w:eastAsia="Verdana" w:hAnsi="Arial" w:cs="Arial"/>
          <w:sz w:val="20"/>
        </w:rPr>
        <w:t>3</w:t>
      </w:r>
      <w:r w:rsidRPr="00010F2F">
        <w:rPr>
          <w:rFonts w:ascii="Arial" w:eastAsia="Verdana" w:hAnsi="Arial" w:cs="Arial"/>
          <w:sz w:val="20"/>
        </w:rPr>
        <w:t>.</w:t>
      </w:r>
      <w:r>
        <w:rPr>
          <w:rFonts w:ascii="Arial" w:eastAsia="Times New Roman" w:hAnsi="Arial" w:cs="Arial"/>
          <w:color w:val="000000" w:themeColor="text1"/>
          <w:kern w:val="2"/>
          <w:sz w:val="20"/>
          <w:szCs w:val="20"/>
        </w:rPr>
        <w:t xml:space="preserve"> </w:t>
      </w:r>
      <w:r>
        <w:rPr>
          <w:rFonts w:ascii="Arial" w:eastAsia="Verdana" w:hAnsi="Arial" w:cs="Arial"/>
          <w:sz w:val="20"/>
        </w:rPr>
        <w:t xml:space="preserve">Approximately 75% of the Patient Panel self-identify as White and approximately 88% of the Patient Panel self-identify as </w:t>
      </w:r>
      <w:proofErr w:type="gramStart"/>
      <w:r>
        <w:rPr>
          <w:rFonts w:ascii="Arial" w:eastAsia="Verdana" w:hAnsi="Arial" w:cs="Arial"/>
          <w:sz w:val="20"/>
        </w:rPr>
        <w:t>Not-Hispanic</w:t>
      </w:r>
      <w:proofErr w:type="gramEnd"/>
      <w:r>
        <w:rPr>
          <w:rFonts w:ascii="Arial" w:eastAsia="Verdana" w:hAnsi="Arial" w:cs="Arial"/>
          <w:sz w:val="20"/>
        </w:rPr>
        <w:t>/Latino.</w:t>
      </w:r>
      <w:r>
        <w:rPr>
          <w:rFonts w:ascii="Arial" w:eastAsia="Times New Roman" w:hAnsi="Arial" w:cs="Arial"/>
          <w:color w:val="000000" w:themeColor="text1"/>
          <w:kern w:val="2"/>
          <w:sz w:val="20"/>
          <w:szCs w:val="20"/>
        </w:rPr>
        <w:t xml:space="preserve"> Lastly, co</w:t>
      </w:r>
      <w:r>
        <w:rPr>
          <w:rFonts w:ascii="Arial" w:eastAsia="Verdana" w:hAnsi="Arial" w:cs="Arial"/>
          <w:sz w:val="20"/>
        </w:rPr>
        <w:t xml:space="preserve">mmercial payers are the primary payer source (50.5%), followed by Medicare (30%), and Medicaid (16.1%). </w:t>
      </w:r>
      <w:r w:rsidRPr="00250206">
        <w:rPr>
          <w:rFonts w:ascii="Arial" w:eastAsia="Times New Roman" w:hAnsi="Arial" w:cs="Arial"/>
          <w:color w:val="000000" w:themeColor="text1"/>
          <w:kern w:val="2"/>
          <w:sz w:val="20"/>
          <w:szCs w:val="20"/>
        </w:rPr>
        <w:t>The following table illustrates the demographics</w:t>
      </w:r>
      <w:r>
        <w:rPr>
          <w:rFonts w:ascii="Arial" w:eastAsia="Times New Roman" w:hAnsi="Arial" w:cs="Arial"/>
          <w:color w:val="000000" w:themeColor="text1"/>
          <w:kern w:val="2"/>
          <w:sz w:val="20"/>
          <w:szCs w:val="20"/>
        </w:rPr>
        <w:t xml:space="preserve"> of BILH’s Patient Panel.</w:t>
      </w:r>
    </w:p>
    <w:p w14:paraId="50D6E7F7" w14:textId="41244537" w:rsidR="00490311" w:rsidRDefault="00490311">
      <w:pPr>
        <w:spacing w:line="259" w:lineRule="auto"/>
        <w:rPr>
          <w:snapToGrid w:val="0"/>
        </w:rPr>
      </w:pPr>
    </w:p>
    <w:tbl>
      <w:tblPr>
        <w:tblStyle w:val="TableGrid"/>
        <w:tblW w:w="9360" w:type="dxa"/>
        <w:tblInd w:w="-5" w:type="dxa"/>
        <w:tblLayout w:type="fixed"/>
        <w:tblLook w:val="04A0" w:firstRow="1" w:lastRow="0" w:firstColumn="1" w:lastColumn="0" w:noHBand="0" w:noVBand="1"/>
      </w:tblPr>
      <w:tblGrid>
        <w:gridCol w:w="3150"/>
        <w:gridCol w:w="1035"/>
        <w:gridCol w:w="1035"/>
        <w:gridCol w:w="1035"/>
        <w:gridCol w:w="1035"/>
        <w:gridCol w:w="1035"/>
        <w:gridCol w:w="1035"/>
      </w:tblGrid>
      <w:tr w:rsidR="00623EFA" w14:paraId="12971CCD" w14:textId="77777777" w:rsidTr="001446BB">
        <w:trPr>
          <w:cantSplit/>
          <w:tblHeader/>
        </w:trPr>
        <w:tc>
          <w:tcPr>
            <w:tcW w:w="3150" w:type="dxa"/>
            <w:shd w:val="clear" w:color="auto" w:fill="B4C6E7" w:themeFill="accent1" w:themeFillTint="66"/>
            <w:vAlign w:val="center"/>
          </w:tcPr>
          <w:p w14:paraId="5FA1A033" w14:textId="6DAB8EAD" w:rsidR="00623EFA" w:rsidRPr="00283B35" w:rsidRDefault="00623EFA" w:rsidP="00623EFA">
            <w:pPr>
              <w:rPr>
                <w:rFonts w:asciiTheme="majorHAnsi" w:hAnsiTheme="majorHAnsi" w:cstheme="majorHAnsi"/>
                <w:sz w:val="20"/>
                <w:szCs w:val="20"/>
              </w:rPr>
            </w:pPr>
            <w:r w:rsidRPr="00623EFA">
              <w:rPr>
                <w:rFonts w:asciiTheme="majorHAnsi" w:eastAsia="Verdana" w:hAnsiTheme="majorHAnsi" w:cstheme="majorHAnsi"/>
                <w:b/>
                <w:bCs/>
                <w:sz w:val="20"/>
                <w:szCs w:val="20"/>
              </w:rPr>
              <w:lastRenderedPageBreak/>
              <w:t>Table 1: BILH Patient Panel Demographics</w:t>
            </w:r>
            <w:r w:rsidR="00250206">
              <w:rPr>
                <w:rStyle w:val="FootnoteReference"/>
                <w:rFonts w:asciiTheme="majorHAnsi" w:eastAsia="Verdana" w:hAnsiTheme="majorHAnsi" w:cstheme="majorHAnsi"/>
                <w:b/>
                <w:bCs/>
                <w:sz w:val="20"/>
                <w:szCs w:val="20"/>
              </w:rPr>
              <w:footnoteReference w:id="5"/>
            </w:r>
          </w:p>
        </w:tc>
        <w:tc>
          <w:tcPr>
            <w:tcW w:w="1035" w:type="dxa"/>
            <w:shd w:val="clear" w:color="auto" w:fill="B4C6E7" w:themeFill="accent1" w:themeFillTint="66"/>
            <w:vAlign w:val="center"/>
          </w:tcPr>
          <w:p w14:paraId="568B9D17" w14:textId="77777777" w:rsidR="00623EFA" w:rsidRPr="00283B35" w:rsidRDefault="00623EFA" w:rsidP="00623EFA">
            <w:pPr>
              <w:jc w:val="center"/>
              <w:rPr>
                <w:rFonts w:asciiTheme="majorHAnsi" w:hAnsiTheme="majorHAnsi" w:cstheme="majorHAnsi"/>
                <w:sz w:val="20"/>
                <w:szCs w:val="20"/>
              </w:rPr>
            </w:pPr>
            <w:r w:rsidRPr="00283B35">
              <w:rPr>
                <w:rFonts w:asciiTheme="majorHAnsi" w:eastAsia="Times New Roman" w:hAnsiTheme="majorHAnsi" w:cstheme="majorHAnsi"/>
                <w:b/>
                <w:bCs/>
                <w:color w:val="000000"/>
                <w:sz w:val="20"/>
                <w:szCs w:val="20"/>
              </w:rPr>
              <w:t>FY2021 Count</w:t>
            </w:r>
          </w:p>
        </w:tc>
        <w:tc>
          <w:tcPr>
            <w:tcW w:w="1035" w:type="dxa"/>
            <w:shd w:val="clear" w:color="auto" w:fill="B4C6E7" w:themeFill="accent1" w:themeFillTint="66"/>
            <w:vAlign w:val="center"/>
          </w:tcPr>
          <w:p w14:paraId="45167005" w14:textId="77777777" w:rsidR="00623EFA" w:rsidRPr="00283B35" w:rsidRDefault="00623EFA" w:rsidP="00623EFA">
            <w:pPr>
              <w:jc w:val="center"/>
              <w:rPr>
                <w:rFonts w:asciiTheme="majorHAnsi" w:hAnsiTheme="majorHAnsi" w:cstheme="majorHAnsi"/>
                <w:sz w:val="20"/>
                <w:szCs w:val="20"/>
              </w:rPr>
            </w:pPr>
            <w:r w:rsidRPr="00283B35">
              <w:rPr>
                <w:rFonts w:asciiTheme="majorHAnsi" w:eastAsia="Times New Roman" w:hAnsiTheme="majorHAnsi" w:cstheme="majorHAnsi"/>
                <w:b/>
                <w:bCs/>
                <w:color w:val="000000"/>
                <w:sz w:val="20"/>
                <w:szCs w:val="20"/>
              </w:rPr>
              <w:t>FY2021 Percent</w:t>
            </w:r>
          </w:p>
        </w:tc>
        <w:tc>
          <w:tcPr>
            <w:tcW w:w="1035" w:type="dxa"/>
            <w:shd w:val="clear" w:color="auto" w:fill="B4C6E7" w:themeFill="accent1" w:themeFillTint="66"/>
            <w:vAlign w:val="center"/>
          </w:tcPr>
          <w:p w14:paraId="08D4428A" w14:textId="77777777" w:rsidR="00623EFA" w:rsidRPr="00283B35" w:rsidRDefault="00623EFA" w:rsidP="00623EFA">
            <w:pPr>
              <w:jc w:val="center"/>
              <w:rPr>
                <w:rFonts w:asciiTheme="majorHAnsi" w:hAnsiTheme="majorHAnsi" w:cstheme="majorHAnsi"/>
                <w:sz w:val="20"/>
                <w:szCs w:val="20"/>
              </w:rPr>
            </w:pPr>
            <w:r w:rsidRPr="00283B35">
              <w:rPr>
                <w:rFonts w:asciiTheme="majorHAnsi" w:eastAsia="Times New Roman" w:hAnsiTheme="majorHAnsi" w:cstheme="majorHAnsi"/>
                <w:b/>
                <w:bCs/>
                <w:color w:val="000000"/>
                <w:sz w:val="20"/>
                <w:szCs w:val="20"/>
              </w:rPr>
              <w:t>FY2022 Count</w:t>
            </w:r>
          </w:p>
        </w:tc>
        <w:tc>
          <w:tcPr>
            <w:tcW w:w="1035" w:type="dxa"/>
            <w:shd w:val="clear" w:color="auto" w:fill="B4C6E7" w:themeFill="accent1" w:themeFillTint="66"/>
            <w:vAlign w:val="center"/>
          </w:tcPr>
          <w:p w14:paraId="52096FFD" w14:textId="77777777" w:rsidR="00623EFA" w:rsidRPr="00283B35" w:rsidRDefault="00623EFA" w:rsidP="00623EFA">
            <w:pPr>
              <w:jc w:val="center"/>
              <w:rPr>
                <w:rFonts w:asciiTheme="majorHAnsi" w:hAnsiTheme="majorHAnsi" w:cstheme="majorHAnsi"/>
                <w:sz w:val="20"/>
                <w:szCs w:val="20"/>
              </w:rPr>
            </w:pPr>
            <w:r w:rsidRPr="00283B35">
              <w:rPr>
                <w:rFonts w:asciiTheme="majorHAnsi" w:eastAsia="Times New Roman" w:hAnsiTheme="majorHAnsi" w:cstheme="majorHAnsi"/>
                <w:b/>
                <w:bCs/>
                <w:color w:val="000000"/>
                <w:sz w:val="20"/>
                <w:szCs w:val="20"/>
              </w:rPr>
              <w:t>FY2022 Percent</w:t>
            </w:r>
          </w:p>
        </w:tc>
        <w:tc>
          <w:tcPr>
            <w:tcW w:w="1035" w:type="dxa"/>
            <w:shd w:val="clear" w:color="auto" w:fill="B4C6E7" w:themeFill="accent1" w:themeFillTint="66"/>
            <w:vAlign w:val="center"/>
          </w:tcPr>
          <w:p w14:paraId="4F1A1E2B" w14:textId="1200B3BE" w:rsidR="00623EFA" w:rsidRPr="00283B35" w:rsidRDefault="00623EFA" w:rsidP="00623EFA">
            <w:pPr>
              <w:jc w:val="center"/>
              <w:rPr>
                <w:rFonts w:asciiTheme="majorHAnsi" w:hAnsiTheme="majorHAnsi" w:cstheme="majorHAnsi"/>
                <w:sz w:val="20"/>
                <w:szCs w:val="20"/>
              </w:rPr>
            </w:pPr>
            <w:r w:rsidRPr="00283B35">
              <w:rPr>
                <w:rFonts w:asciiTheme="majorHAnsi" w:eastAsia="Times New Roman" w:hAnsiTheme="majorHAnsi" w:cstheme="majorHAnsi"/>
                <w:b/>
                <w:bCs/>
                <w:color w:val="000000"/>
                <w:sz w:val="20"/>
                <w:szCs w:val="20"/>
              </w:rPr>
              <w:t>FY202</w:t>
            </w:r>
            <w:r>
              <w:rPr>
                <w:rFonts w:asciiTheme="majorHAnsi" w:eastAsia="Times New Roman" w:hAnsiTheme="majorHAnsi" w:cstheme="majorHAnsi"/>
                <w:b/>
                <w:bCs/>
                <w:color w:val="000000"/>
                <w:sz w:val="20"/>
                <w:szCs w:val="20"/>
              </w:rPr>
              <w:t>3</w:t>
            </w:r>
            <w:r w:rsidRPr="00283B35">
              <w:rPr>
                <w:rFonts w:asciiTheme="majorHAnsi" w:eastAsia="Times New Roman" w:hAnsiTheme="majorHAnsi" w:cstheme="majorHAnsi"/>
                <w:b/>
                <w:bCs/>
                <w:color w:val="000000"/>
                <w:sz w:val="20"/>
                <w:szCs w:val="20"/>
              </w:rPr>
              <w:t xml:space="preserve"> Count</w:t>
            </w:r>
          </w:p>
        </w:tc>
        <w:tc>
          <w:tcPr>
            <w:tcW w:w="1035" w:type="dxa"/>
            <w:shd w:val="clear" w:color="auto" w:fill="B4C6E7" w:themeFill="accent1" w:themeFillTint="66"/>
            <w:vAlign w:val="center"/>
          </w:tcPr>
          <w:p w14:paraId="7DB2CA3D" w14:textId="77777777" w:rsidR="00623EFA" w:rsidRDefault="00623EFA" w:rsidP="00623EFA">
            <w:pPr>
              <w:jc w:val="center"/>
              <w:rPr>
                <w:rFonts w:asciiTheme="majorHAnsi" w:eastAsia="Times New Roman" w:hAnsiTheme="majorHAnsi" w:cstheme="majorHAnsi"/>
                <w:b/>
                <w:bCs/>
                <w:color w:val="000000"/>
                <w:sz w:val="20"/>
                <w:szCs w:val="20"/>
              </w:rPr>
            </w:pPr>
            <w:r w:rsidRPr="00283B35">
              <w:rPr>
                <w:rFonts w:asciiTheme="majorHAnsi" w:eastAsia="Times New Roman" w:hAnsiTheme="majorHAnsi" w:cstheme="majorHAnsi"/>
                <w:b/>
                <w:bCs/>
                <w:color w:val="000000"/>
                <w:sz w:val="20"/>
                <w:szCs w:val="20"/>
              </w:rPr>
              <w:t>FY202</w:t>
            </w:r>
            <w:r>
              <w:rPr>
                <w:rFonts w:asciiTheme="majorHAnsi" w:eastAsia="Times New Roman" w:hAnsiTheme="majorHAnsi" w:cstheme="majorHAnsi"/>
                <w:b/>
                <w:bCs/>
                <w:color w:val="000000"/>
                <w:sz w:val="20"/>
                <w:szCs w:val="20"/>
              </w:rPr>
              <w:t>3</w:t>
            </w:r>
          </w:p>
          <w:p w14:paraId="3804289F" w14:textId="0B7E0C84" w:rsidR="00623EFA" w:rsidRPr="00283B35" w:rsidRDefault="00623EFA" w:rsidP="00623EFA">
            <w:pPr>
              <w:jc w:val="center"/>
              <w:rPr>
                <w:rFonts w:asciiTheme="majorHAnsi" w:hAnsiTheme="majorHAnsi" w:cstheme="majorHAnsi"/>
                <w:sz w:val="20"/>
                <w:szCs w:val="20"/>
              </w:rPr>
            </w:pPr>
            <w:r w:rsidRPr="00283B35">
              <w:rPr>
                <w:rFonts w:asciiTheme="majorHAnsi" w:eastAsia="Times New Roman" w:hAnsiTheme="majorHAnsi" w:cstheme="majorHAnsi"/>
                <w:b/>
                <w:bCs/>
                <w:color w:val="000000"/>
                <w:sz w:val="20"/>
                <w:szCs w:val="20"/>
              </w:rPr>
              <w:t>Percent</w:t>
            </w:r>
          </w:p>
        </w:tc>
      </w:tr>
      <w:tr w:rsidR="003D4F94" w14:paraId="0A298F18" w14:textId="77777777" w:rsidTr="001446BB">
        <w:trPr>
          <w:cantSplit/>
        </w:trPr>
        <w:tc>
          <w:tcPr>
            <w:tcW w:w="3150" w:type="dxa"/>
            <w:shd w:val="clear" w:color="auto" w:fill="D9E2F3" w:themeFill="accent1" w:themeFillTint="33"/>
            <w:vAlign w:val="center"/>
          </w:tcPr>
          <w:p w14:paraId="4A38B16C" w14:textId="77777777" w:rsidR="003D4F94" w:rsidRPr="00283B35" w:rsidRDefault="003D4F94" w:rsidP="003D4F94">
            <w:pPr>
              <w:rPr>
                <w:rFonts w:asciiTheme="majorHAnsi" w:hAnsiTheme="majorHAnsi" w:cstheme="majorHAnsi"/>
                <w:sz w:val="20"/>
                <w:szCs w:val="20"/>
              </w:rPr>
            </w:pPr>
            <w:r w:rsidRPr="00283B35">
              <w:rPr>
                <w:rFonts w:asciiTheme="majorHAnsi" w:eastAsia="Times New Roman" w:hAnsiTheme="majorHAnsi" w:cstheme="majorHAnsi"/>
                <w:b/>
                <w:bCs/>
                <w:color w:val="000000"/>
                <w:sz w:val="20"/>
                <w:szCs w:val="20"/>
              </w:rPr>
              <w:t>Total</w:t>
            </w:r>
          </w:p>
        </w:tc>
        <w:tc>
          <w:tcPr>
            <w:tcW w:w="1035" w:type="dxa"/>
            <w:shd w:val="clear" w:color="auto" w:fill="D9E2F3" w:themeFill="accent1" w:themeFillTint="33"/>
          </w:tcPr>
          <w:p w14:paraId="7BFB6AFA" w14:textId="44437298" w:rsidR="003D4F94" w:rsidRPr="003D4F94" w:rsidRDefault="003D4F94" w:rsidP="003D4F94">
            <w:pPr>
              <w:jc w:val="right"/>
              <w:rPr>
                <w:rFonts w:asciiTheme="majorHAnsi" w:hAnsiTheme="majorHAnsi" w:cstheme="majorHAnsi"/>
                <w:sz w:val="18"/>
                <w:szCs w:val="18"/>
              </w:rPr>
            </w:pPr>
            <w:r w:rsidRPr="003D4F94">
              <w:rPr>
                <w:color w:val="000000"/>
                <w:sz w:val="18"/>
                <w:szCs w:val="18"/>
              </w:rPr>
              <w:t>1,434,603</w:t>
            </w:r>
          </w:p>
        </w:tc>
        <w:tc>
          <w:tcPr>
            <w:tcW w:w="1035" w:type="dxa"/>
            <w:shd w:val="clear" w:color="auto" w:fill="D9E2F3" w:themeFill="accent1" w:themeFillTint="33"/>
          </w:tcPr>
          <w:p w14:paraId="7743E47D" w14:textId="6A900356" w:rsidR="003D4F94" w:rsidRPr="003D4F94" w:rsidRDefault="003D4F94" w:rsidP="003D4F94">
            <w:pPr>
              <w:jc w:val="right"/>
              <w:rPr>
                <w:rFonts w:asciiTheme="majorHAnsi" w:hAnsiTheme="majorHAnsi" w:cstheme="majorHAnsi"/>
                <w:sz w:val="18"/>
                <w:szCs w:val="18"/>
              </w:rPr>
            </w:pPr>
            <w:r w:rsidRPr="003D4F94">
              <w:rPr>
                <w:color w:val="000000"/>
                <w:sz w:val="18"/>
                <w:szCs w:val="18"/>
              </w:rPr>
              <w:t>100.00%</w:t>
            </w:r>
          </w:p>
        </w:tc>
        <w:tc>
          <w:tcPr>
            <w:tcW w:w="1035" w:type="dxa"/>
            <w:shd w:val="clear" w:color="auto" w:fill="D9E2F3" w:themeFill="accent1" w:themeFillTint="33"/>
          </w:tcPr>
          <w:p w14:paraId="02A1905E" w14:textId="31DCFD71" w:rsidR="003D4F94" w:rsidRPr="003D4F94" w:rsidRDefault="003D4F94" w:rsidP="003D4F94">
            <w:pPr>
              <w:jc w:val="right"/>
              <w:rPr>
                <w:rFonts w:asciiTheme="majorHAnsi" w:hAnsiTheme="majorHAnsi" w:cstheme="majorHAnsi"/>
                <w:sz w:val="18"/>
                <w:szCs w:val="18"/>
              </w:rPr>
            </w:pPr>
            <w:r w:rsidRPr="003D4F94">
              <w:rPr>
                <w:color w:val="000000"/>
                <w:sz w:val="18"/>
                <w:szCs w:val="18"/>
              </w:rPr>
              <w:t>1,389,264</w:t>
            </w:r>
          </w:p>
        </w:tc>
        <w:tc>
          <w:tcPr>
            <w:tcW w:w="1035" w:type="dxa"/>
            <w:shd w:val="clear" w:color="auto" w:fill="D9E2F3" w:themeFill="accent1" w:themeFillTint="33"/>
          </w:tcPr>
          <w:p w14:paraId="0B2C0A7E" w14:textId="05F3B3EB" w:rsidR="003D4F94" w:rsidRPr="003D4F94" w:rsidRDefault="003D4F94" w:rsidP="003D4F94">
            <w:pPr>
              <w:jc w:val="right"/>
              <w:rPr>
                <w:rFonts w:asciiTheme="majorHAnsi" w:hAnsiTheme="majorHAnsi" w:cstheme="majorHAnsi"/>
                <w:sz w:val="18"/>
                <w:szCs w:val="18"/>
              </w:rPr>
            </w:pPr>
            <w:r w:rsidRPr="003D4F94">
              <w:rPr>
                <w:color w:val="000000"/>
                <w:sz w:val="18"/>
                <w:szCs w:val="18"/>
              </w:rPr>
              <w:t>100.00%</w:t>
            </w:r>
          </w:p>
        </w:tc>
        <w:tc>
          <w:tcPr>
            <w:tcW w:w="1035" w:type="dxa"/>
            <w:shd w:val="clear" w:color="auto" w:fill="D9E2F3" w:themeFill="accent1" w:themeFillTint="33"/>
          </w:tcPr>
          <w:p w14:paraId="339B3AED" w14:textId="7149E601" w:rsidR="003D4F94" w:rsidRPr="003D4F94" w:rsidRDefault="003D4F94" w:rsidP="003D4F94">
            <w:pPr>
              <w:jc w:val="right"/>
              <w:rPr>
                <w:rFonts w:asciiTheme="majorHAnsi" w:hAnsiTheme="majorHAnsi" w:cstheme="majorHAnsi"/>
                <w:sz w:val="18"/>
                <w:szCs w:val="18"/>
              </w:rPr>
            </w:pPr>
            <w:r w:rsidRPr="003D4F94">
              <w:rPr>
                <w:color w:val="000000"/>
                <w:sz w:val="18"/>
                <w:szCs w:val="18"/>
              </w:rPr>
              <w:t>1,398,921</w:t>
            </w:r>
          </w:p>
        </w:tc>
        <w:tc>
          <w:tcPr>
            <w:tcW w:w="1035" w:type="dxa"/>
            <w:shd w:val="clear" w:color="auto" w:fill="D9E2F3" w:themeFill="accent1" w:themeFillTint="33"/>
          </w:tcPr>
          <w:p w14:paraId="65305494" w14:textId="3B09B7F0" w:rsidR="003D4F94" w:rsidRPr="003D4F94" w:rsidRDefault="003D4F94" w:rsidP="003D4F94">
            <w:pPr>
              <w:jc w:val="right"/>
              <w:rPr>
                <w:rFonts w:asciiTheme="majorHAnsi" w:hAnsiTheme="majorHAnsi" w:cstheme="majorHAnsi"/>
                <w:sz w:val="18"/>
                <w:szCs w:val="18"/>
              </w:rPr>
            </w:pPr>
            <w:r w:rsidRPr="003D4F94">
              <w:rPr>
                <w:color w:val="000000"/>
                <w:sz w:val="18"/>
                <w:szCs w:val="18"/>
              </w:rPr>
              <w:t>100.00%</w:t>
            </w:r>
          </w:p>
        </w:tc>
      </w:tr>
      <w:tr w:rsidR="003D4F94" w14:paraId="7D9782F2" w14:textId="77777777" w:rsidTr="001446BB">
        <w:trPr>
          <w:cantSplit/>
        </w:trPr>
        <w:tc>
          <w:tcPr>
            <w:tcW w:w="3150" w:type="dxa"/>
            <w:shd w:val="clear" w:color="auto" w:fill="auto"/>
            <w:vAlign w:val="bottom"/>
          </w:tcPr>
          <w:p w14:paraId="776334ED" w14:textId="1067BC41" w:rsidR="003D4F94" w:rsidRPr="003D4F94" w:rsidRDefault="003D4F94" w:rsidP="003D4F94">
            <w:pPr>
              <w:rPr>
                <w:rFonts w:cstheme="minorHAnsi"/>
                <w:sz w:val="18"/>
                <w:szCs w:val="18"/>
              </w:rPr>
            </w:pPr>
            <w:r>
              <w:rPr>
                <w:rFonts w:cstheme="minorHAnsi"/>
                <w:color w:val="000000"/>
                <w:sz w:val="18"/>
                <w:szCs w:val="18"/>
              </w:rPr>
              <w:t xml:space="preserve">Age: </w:t>
            </w:r>
            <w:r w:rsidRPr="003D4F94">
              <w:rPr>
                <w:rFonts w:cstheme="minorHAnsi"/>
                <w:color w:val="000000"/>
                <w:sz w:val="18"/>
                <w:szCs w:val="18"/>
              </w:rPr>
              <w:t>0 to 17</w:t>
            </w:r>
          </w:p>
        </w:tc>
        <w:tc>
          <w:tcPr>
            <w:tcW w:w="1035" w:type="dxa"/>
          </w:tcPr>
          <w:p w14:paraId="33F2648E" w14:textId="0DAEA448" w:rsidR="003D4F94" w:rsidRPr="003D4F94" w:rsidRDefault="003D4F94" w:rsidP="003D4F94">
            <w:pPr>
              <w:jc w:val="right"/>
              <w:rPr>
                <w:rFonts w:cstheme="minorHAnsi"/>
                <w:sz w:val="18"/>
                <w:szCs w:val="18"/>
              </w:rPr>
            </w:pPr>
            <w:r w:rsidRPr="003D4F94">
              <w:rPr>
                <w:rFonts w:cstheme="minorHAnsi"/>
                <w:color w:val="000000"/>
                <w:sz w:val="18"/>
                <w:szCs w:val="18"/>
              </w:rPr>
              <w:t>119</w:t>
            </w:r>
            <w:r>
              <w:rPr>
                <w:rFonts w:cstheme="minorHAnsi"/>
                <w:color w:val="000000"/>
                <w:sz w:val="18"/>
                <w:szCs w:val="18"/>
              </w:rPr>
              <w:t>,</w:t>
            </w:r>
            <w:r w:rsidRPr="003D4F94">
              <w:rPr>
                <w:rFonts w:cstheme="minorHAnsi"/>
                <w:color w:val="000000"/>
                <w:sz w:val="18"/>
                <w:szCs w:val="18"/>
              </w:rPr>
              <w:t>847</w:t>
            </w:r>
          </w:p>
        </w:tc>
        <w:tc>
          <w:tcPr>
            <w:tcW w:w="1035" w:type="dxa"/>
          </w:tcPr>
          <w:p w14:paraId="75086A2F" w14:textId="327CC809" w:rsidR="003D4F94" w:rsidRPr="003D4F94" w:rsidRDefault="003D4F94" w:rsidP="003D4F94">
            <w:pPr>
              <w:jc w:val="right"/>
              <w:rPr>
                <w:rFonts w:cstheme="minorHAnsi"/>
                <w:sz w:val="18"/>
                <w:szCs w:val="18"/>
              </w:rPr>
            </w:pPr>
            <w:r w:rsidRPr="003D4F94">
              <w:rPr>
                <w:rFonts w:cstheme="minorHAnsi"/>
                <w:color w:val="000000"/>
                <w:sz w:val="18"/>
                <w:szCs w:val="18"/>
              </w:rPr>
              <w:t>8.4%</w:t>
            </w:r>
          </w:p>
        </w:tc>
        <w:tc>
          <w:tcPr>
            <w:tcW w:w="1035" w:type="dxa"/>
          </w:tcPr>
          <w:p w14:paraId="5EDE7BAB" w14:textId="1DA1558E" w:rsidR="003D4F94" w:rsidRPr="003D4F94" w:rsidRDefault="003D4F94" w:rsidP="003D4F94">
            <w:pPr>
              <w:jc w:val="right"/>
              <w:rPr>
                <w:rFonts w:cstheme="minorHAnsi"/>
                <w:sz w:val="18"/>
                <w:szCs w:val="18"/>
              </w:rPr>
            </w:pPr>
            <w:r w:rsidRPr="003D4F94">
              <w:rPr>
                <w:rFonts w:cstheme="minorHAnsi"/>
                <w:color w:val="000000"/>
                <w:sz w:val="18"/>
                <w:szCs w:val="18"/>
              </w:rPr>
              <w:t>114</w:t>
            </w:r>
            <w:r>
              <w:rPr>
                <w:rFonts w:cstheme="minorHAnsi"/>
                <w:color w:val="000000"/>
                <w:sz w:val="18"/>
                <w:szCs w:val="18"/>
              </w:rPr>
              <w:t>,</w:t>
            </w:r>
            <w:r w:rsidRPr="003D4F94">
              <w:rPr>
                <w:rFonts w:cstheme="minorHAnsi"/>
                <w:color w:val="000000"/>
                <w:sz w:val="18"/>
                <w:szCs w:val="18"/>
              </w:rPr>
              <w:t>893</w:t>
            </w:r>
          </w:p>
        </w:tc>
        <w:tc>
          <w:tcPr>
            <w:tcW w:w="1035" w:type="dxa"/>
          </w:tcPr>
          <w:p w14:paraId="183B2CDC" w14:textId="077506F3" w:rsidR="003D4F94" w:rsidRPr="003D4F94" w:rsidRDefault="003D4F94" w:rsidP="003D4F94">
            <w:pPr>
              <w:jc w:val="right"/>
              <w:rPr>
                <w:rFonts w:cstheme="minorHAnsi"/>
                <w:sz w:val="18"/>
                <w:szCs w:val="18"/>
              </w:rPr>
            </w:pPr>
            <w:r w:rsidRPr="003D4F94">
              <w:rPr>
                <w:rFonts w:cstheme="minorHAnsi"/>
                <w:color w:val="000000"/>
                <w:sz w:val="18"/>
                <w:szCs w:val="18"/>
              </w:rPr>
              <w:t>8.3%</w:t>
            </w:r>
          </w:p>
        </w:tc>
        <w:tc>
          <w:tcPr>
            <w:tcW w:w="1035" w:type="dxa"/>
            <w:shd w:val="clear" w:color="auto" w:fill="auto"/>
          </w:tcPr>
          <w:p w14:paraId="3134B051" w14:textId="1F3939C5" w:rsidR="003D4F94" w:rsidRPr="003D4F94" w:rsidRDefault="003D4F94" w:rsidP="003D4F94">
            <w:pPr>
              <w:jc w:val="right"/>
              <w:rPr>
                <w:rFonts w:cstheme="minorHAnsi"/>
                <w:sz w:val="18"/>
                <w:szCs w:val="18"/>
              </w:rPr>
            </w:pPr>
            <w:r w:rsidRPr="003D4F94">
              <w:rPr>
                <w:rFonts w:cstheme="minorHAnsi"/>
                <w:color w:val="000000"/>
                <w:sz w:val="18"/>
                <w:szCs w:val="18"/>
              </w:rPr>
              <w:t>98</w:t>
            </w:r>
            <w:r>
              <w:rPr>
                <w:rFonts w:cstheme="minorHAnsi"/>
                <w:color w:val="000000"/>
                <w:sz w:val="18"/>
                <w:szCs w:val="18"/>
              </w:rPr>
              <w:t>,</w:t>
            </w:r>
            <w:r w:rsidRPr="003D4F94">
              <w:rPr>
                <w:rFonts w:cstheme="minorHAnsi"/>
                <w:color w:val="000000"/>
                <w:sz w:val="18"/>
                <w:szCs w:val="18"/>
              </w:rPr>
              <w:t>201</w:t>
            </w:r>
          </w:p>
        </w:tc>
        <w:tc>
          <w:tcPr>
            <w:tcW w:w="1035" w:type="dxa"/>
            <w:shd w:val="clear" w:color="auto" w:fill="auto"/>
          </w:tcPr>
          <w:p w14:paraId="4D5CD656" w14:textId="013FF58C" w:rsidR="003D4F94" w:rsidRPr="003D4F94" w:rsidRDefault="003D4F94" w:rsidP="003D4F94">
            <w:pPr>
              <w:jc w:val="right"/>
              <w:rPr>
                <w:rFonts w:cstheme="minorHAnsi"/>
                <w:sz w:val="18"/>
                <w:szCs w:val="18"/>
              </w:rPr>
            </w:pPr>
            <w:r w:rsidRPr="003D4F94">
              <w:rPr>
                <w:rFonts w:cstheme="minorHAnsi"/>
                <w:color w:val="000000"/>
                <w:sz w:val="18"/>
                <w:szCs w:val="18"/>
              </w:rPr>
              <w:t>7.0%</w:t>
            </w:r>
          </w:p>
        </w:tc>
      </w:tr>
      <w:tr w:rsidR="003D4F94" w14:paraId="0BF135C4" w14:textId="77777777" w:rsidTr="001446BB">
        <w:trPr>
          <w:cantSplit/>
        </w:trPr>
        <w:tc>
          <w:tcPr>
            <w:tcW w:w="3150" w:type="dxa"/>
            <w:shd w:val="clear" w:color="auto" w:fill="auto"/>
            <w:vAlign w:val="bottom"/>
          </w:tcPr>
          <w:p w14:paraId="388778B9" w14:textId="5A6D8050" w:rsidR="003D4F94" w:rsidRPr="003D4F94" w:rsidRDefault="003D4F94" w:rsidP="003D4F94">
            <w:pPr>
              <w:rPr>
                <w:rFonts w:cstheme="minorHAnsi"/>
                <w:sz w:val="18"/>
                <w:szCs w:val="18"/>
              </w:rPr>
            </w:pPr>
            <w:r>
              <w:rPr>
                <w:rFonts w:cstheme="minorHAnsi"/>
                <w:color w:val="000000"/>
                <w:sz w:val="18"/>
                <w:szCs w:val="18"/>
              </w:rPr>
              <w:t xml:space="preserve">Age: </w:t>
            </w:r>
            <w:r w:rsidRPr="003D4F94">
              <w:rPr>
                <w:rFonts w:cstheme="minorHAnsi"/>
                <w:color w:val="000000"/>
                <w:sz w:val="18"/>
                <w:szCs w:val="18"/>
              </w:rPr>
              <w:t>18 to 64</w:t>
            </w:r>
          </w:p>
        </w:tc>
        <w:tc>
          <w:tcPr>
            <w:tcW w:w="1035" w:type="dxa"/>
          </w:tcPr>
          <w:p w14:paraId="402F1FF5" w14:textId="59689529" w:rsidR="003D4F94" w:rsidRPr="003D4F94" w:rsidRDefault="003D4F94" w:rsidP="003D4F94">
            <w:pPr>
              <w:jc w:val="right"/>
              <w:rPr>
                <w:rFonts w:cstheme="minorHAnsi"/>
                <w:sz w:val="18"/>
                <w:szCs w:val="18"/>
              </w:rPr>
            </w:pPr>
            <w:r w:rsidRPr="003D4F94">
              <w:rPr>
                <w:rFonts w:cstheme="minorHAnsi"/>
                <w:color w:val="000000"/>
                <w:sz w:val="18"/>
                <w:szCs w:val="18"/>
              </w:rPr>
              <w:t>899</w:t>
            </w:r>
            <w:r>
              <w:rPr>
                <w:rFonts w:cstheme="minorHAnsi"/>
                <w:color w:val="000000"/>
                <w:sz w:val="18"/>
                <w:szCs w:val="18"/>
              </w:rPr>
              <w:t>,</w:t>
            </w:r>
            <w:r w:rsidRPr="003D4F94">
              <w:rPr>
                <w:rFonts w:cstheme="minorHAnsi"/>
                <w:color w:val="000000"/>
                <w:sz w:val="18"/>
                <w:szCs w:val="18"/>
              </w:rPr>
              <w:t>855</w:t>
            </w:r>
          </w:p>
        </w:tc>
        <w:tc>
          <w:tcPr>
            <w:tcW w:w="1035" w:type="dxa"/>
          </w:tcPr>
          <w:p w14:paraId="6AE9D02B" w14:textId="1B41B1B4" w:rsidR="003D4F94" w:rsidRPr="003D4F94" w:rsidRDefault="003D4F94" w:rsidP="003D4F94">
            <w:pPr>
              <w:jc w:val="right"/>
              <w:rPr>
                <w:rFonts w:cstheme="minorHAnsi"/>
                <w:sz w:val="18"/>
                <w:szCs w:val="18"/>
              </w:rPr>
            </w:pPr>
            <w:r w:rsidRPr="003D4F94">
              <w:rPr>
                <w:rFonts w:cstheme="minorHAnsi"/>
                <w:color w:val="000000"/>
                <w:sz w:val="18"/>
                <w:szCs w:val="18"/>
              </w:rPr>
              <w:t>62.7%</w:t>
            </w:r>
          </w:p>
        </w:tc>
        <w:tc>
          <w:tcPr>
            <w:tcW w:w="1035" w:type="dxa"/>
          </w:tcPr>
          <w:p w14:paraId="26E3FD7B" w14:textId="58290F03" w:rsidR="003D4F94" w:rsidRPr="003D4F94" w:rsidRDefault="003D4F94" w:rsidP="003D4F94">
            <w:pPr>
              <w:jc w:val="right"/>
              <w:rPr>
                <w:rFonts w:cstheme="minorHAnsi"/>
                <w:sz w:val="18"/>
                <w:szCs w:val="18"/>
              </w:rPr>
            </w:pPr>
            <w:r w:rsidRPr="003D4F94">
              <w:rPr>
                <w:rFonts w:cstheme="minorHAnsi"/>
                <w:color w:val="000000"/>
                <w:sz w:val="18"/>
                <w:szCs w:val="18"/>
              </w:rPr>
              <w:t>852</w:t>
            </w:r>
            <w:r>
              <w:rPr>
                <w:rFonts w:cstheme="minorHAnsi"/>
                <w:color w:val="000000"/>
                <w:sz w:val="18"/>
                <w:szCs w:val="18"/>
              </w:rPr>
              <w:t>,</w:t>
            </w:r>
            <w:r w:rsidRPr="003D4F94">
              <w:rPr>
                <w:rFonts w:cstheme="minorHAnsi"/>
                <w:color w:val="000000"/>
                <w:sz w:val="18"/>
                <w:szCs w:val="18"/>
              </w:rPr>
              <w:t>745</w:t>
            </w:r>
          </w:p>
        </w:tc>
        <w:tc>
          <w:tcPr>
            <w:tcW w:w="1035" w:type="dxa"/>
          </w:tcPr>
          <w:p w14:paraId="138014E7" w14:textId="55687CE4" w:rsidR="003D4F94" w:rsidRPr="003D4F94" w:rsidRDefault="003D4F94" w:rsidP="003D4F94">
            <w:pPr>
              <w:jc w:val="right"/>
              <w:rPr>
                <w:rFonts w:cstheme="minorHAnsi"/>
                <w:sz w:val="18"/>
                <w:szCs w:val="18"/>
              </w:rPr>
            </w:pPr>
            <w:r w:rsidRPr="003D4F94">
              <w:rPr>
                <w:rFonts w:cstheme="minorHAnsi"/>
                <w:color w:val="000000"/>
                <w:sz w:val="18"/>
                <w:szCs w:val="18"/>
              </w:rPr>
              <w:t>61.4%</w:t>
            </w:r>
          </w:p>
        </w:tc>
        <w:tc>
          <w:tcPr>
            <w:tcW w:w="1035" w:type="dxa"/>
            <w:shd w:val="clear" w:color="auto" w:fill="auto"/>
          </w:tcPr>
          <w:p w14:paraId="33AEA4C1" w14:textId="4AD33B82" w:rsidR="003D4F94" w:rsidRPr="003D4F94" w:rsidRDefault="003D4F94" w:rsidP="003D4F94">
            <w:pPr>
              <w:jc w:val="right"/>
              <w:rPr>
                <w:rFonts w:cstheme="minorHAnsi"/>
                <w:sz w:val="18"/>
                <w:szCs w:val="18"/>
              </w:rPr>
            </w:pPr>
            <w:r w:rsidRPr="003D4F94">
              <w:rPr>
                <w:rFonts w:cstheme="minorHAnsi"/>
                <w:color w:val="000000"/>
                <w:sz w:val="18"/>
                <w:szCs w:val="18"/>
              </w:rPr>
              <w:t>848</w:t>
            </w:r>
            <w:r>
              <w:rPr>
                <w:rFonts w:cstheme="minorHAnsi"/>
                <w:color w:val="000000"/>
                <w:sz w:val="18"/>
                <w:szCs w:val="18"/>
              </w:rPr>
              <w:t>,</w:t>
            </w:r>
            <w:r w:rsidRPr="003D4F94">
              <w:rPr>
                <w:rFonts w:cstheme="minorHAnsi"/>
                <w:color w:val="000000"/>
                <w:sz w:val="18"/>
                <w:szCs w:val="18"/>
              </w:rPr>
              <w:t>076</w:t>
            </w:r>
          </w:p>
        </w:tc>
        <w:tc>
          <w:tcPr>
            <w:tcW w:w="1035" w:type="dxa"/>
            <w:shd w:val="clear" w:color="auto" w:fill="auto"/>
          </w:tcPr>
          <w:p w14:paraId="4DF35ADA" w14:textId="2ED805BB" w:rsidR="003D4F94" w:rsidRPr="003D4F94" w:rsidRDefault="003D4F94" w:rsidP="003D4F94">
            <w:pPr>
              <w:jc w:val="right"/>
              <w:rPr>
                <w:rFonts w:cstheme="minorHAnsi"/>
                <w:sz w:val="18"/>
                <w:szCs w:val="18"/>
              </w:rPr>
            </w:pPr>
            <w:r w:rsidRPr="003D4F94">
              <w:rPr>
                <w:rFonts w:cstheme="minorHAnsi"/>
                <w:color w:val="000000"/>
                <w:sz w:val="18"/>
                <w:szCs w:val="18"/>
              </w:rPr>
              <w:t>60.6%</w:t>
            </w:r>
          </w:p>
        </w:tc>
      </w:tr>
      <w:tr w:rsidR="003D4F94" w14:paraId="1223B686" w14:textId="77777777" w:rsidTr="001446BB">
        <w:trPr>
          <w:cantSplit/>
        </w:trPr>
        <w:tc>
          <w:tcPr>
            <w:tcW w:w="3150" w:type="dxa"/>
            <w:shd w:val="clear" w:color="auto" w:fill="auto"/>
            <w:vAlign w:val="bottom"/>
          </w:tcPr>
          <w:p w14:paraId="3FA84824" w14:textId="166D1976" w:rsidR="003D4F94" w:rsidRPr="003D4F94" w:rsidRDefault="003D4F94" w:rsidP="003D4F94">
            <w:pPr>
              <w:rPr>
                <w:rFonts w:cstheme="minorHAnsi"/>
                <w:sz w:val="18"/>
                <w:szCs w:val="18"/>
              </w:rPr>
            </w:pPr>
            <w:r>
              <w:rPr>
                <w:rFonts w:cstheme="minorHAnsi"/>
                <w:color w:val="000000"/>
                <w:sz w:val="18"/>
                <w:szCs w:val="18"/>
              </w:rPr>
              <w:t xml:space="preserve">Age: </w:t>
            </w:r>
            <w:r w:rsidRPr="003D4F94">
              <w:rPr>
                <w:rFonts w:cstheme="minorHAnsi"/>
                <w:color w:val="000000"/>
                <w:sz w:val="18"/>
                <w:szCs w:val="18"/>
              </w:rPr>
              <w:t>65+</w:t>
            </w:r>
          </w:p>
        </w:tc>
        <w:tc>
          <w:tcPr>
            <w:tcW w:w="1035" w:type="dxa"/>
          </w:tcPr>
          <w:p w14:paraId="35E45FCD" w14:textId="62994660" w:rsidR="003D4F94" w:rsidRPr="003D4F94" w:rsidRDefault="003D4F94" w:rsidP="003D4F94">
            <w:pPr>
              <w:jc w:val="right"/>
              <w:rPr>
                <w:rFonts w:cstheme="minorHAnsi"/>
                <w:sz w:val="18"/>
                <w:szCs w:val="18"/>
              </w:rPr>
            </w:pPr>
            <w:r w:rsidRPr="003D4F94">
              <w:rPr>
                <w:rFonts w:cstheme="minorHAnsi"/>
                <w:color w:val="000000"/>
                <w:sz w:val="18"/>
                <w:szCs w:val="18"/>
              </w:rPr>
              <w:t>414901</w:t>
            </w:r>
          </w:p>
        </w:tc>
        <w:tc>
          <w:tcPr>
            <w:tcW w:w="1035" w:type="dxa"/>
          </w:tcPr>
          <w:p w14:paraId="153C0355" w14:textId="2D2DAE03" w:rsidR="003D4F94" w:rsidRPr="003D4F94" w:rsidRDefault="003D4F94" w:rsidP="003D4F94">
            <w:pPr>
              <w:jc w:val="right"/>
              <w:rPr>
                <w:rFonts w:cstheme="minorHAnsi"/>
                <w:sz w:val="18"/>
                <w:szCs w:val="18"/>
              </w:rPr>
            </w:pPr>
            <w:r w:rsidRPr="003D4F94">
              <w:rPr>
                <w:rFonts w:cstheme="minorHAnsi"/>
                <w:color w:val="000000"/>
                <w:sz w:val="18"/>
                <w:szCs w:val="18"/>
              </w:rPr>
              <w:t>28.9%</w:t>
            </w:r>
          </w:p>
        </w:tc>
        <w:tc>
          <w:tcPr>
            <w:tcW w:w="1035" w:type="dxa"/>
          </w:tcPr>
          <w:p w14:paraId="3A588EC6" w14:textId="4A79B6C6" w:rsidR="003D4F94" w:rsidRPr="003D4F94" w:rsidRDefault="003D4F94" w:rsidP="003D4F94">
            <w:pPr>
              <w:jc w:val="right"/>
              <w:rPr>
                <w:rFonts w:cstheme="minorHAnsi"/>
                <w:sz w:val="18"/>
                <w:szCs w:val="18"/>
              </w:rPr>
            </w:pPr>
            <w:r w:rsidRPr="003D4F94">
              <w:rPr>
                <w:rFonts w:cstheme="minorHAnsi"/>
                <w:color w:val="000000"/>
                <w:sz w:val="18"/>
                <w:szCs w:val="18"/>
              </w:rPr>
              <w:t>421</w:t>
            </w:r>
            <w:r>
              <w:rPr>
                <w:rFonts w:cstheme="minorHAnsi"/>
                <w:color w:val="000000"/>
                <w:sz w:val="18"/>
                <w:szCs w:val="18"/>
              </w:rPr>
              <w:t>,</w:t>
            </w:r>
            <w:r w:rsidRPr="003D4F94">
              <w:rPr>
                <w:rFonts w:cstheme="minorHAnsi"/>
                <w:color w:val="000000"/>
                <w:sz w:val="18"/>
                <w:szCs w:val="18"/>
              </w:rPr>
              <w:t>626</w:t>
            </w:r>
          </w:p>
        </w:tc>
        <w:tc>
          <w:tcPr>
            <w:tcW w:w="1035" w:type="dxa"/>
          </w:tcPr>
          <w:p w14:paraId="726A12ED" w14:textId="6B5BE4BF" w:rsidR="003D4F94" w:rsidRPr="003D4F94" w:rsidRDefault="003D4F94" w:rsidP="003D4F94">
            <w:pPr>
              <w:jc w:val="right"/>
              <w:rPr>
                <w:rFonts w:cstheme="minorHAnsi"/>
                <w:sz w:val="18"/>
                <w:szCs w:val="18"/>
              </w:rPr>
            </w:pPr>
            <w:r w:rsidRPr="003D4F94">
              <w:rPr>
                <w:rFonts w:cstheme="minorHAnsi"/>
                <w:color w:val="000000"/>
                <w:sz w:val="18"/>
                <w:szCs w:val="18"/>
              </w:rPr>
              <w:t>30.3%</w:t>
            </w:r>
          </w:p>
        </w:tc>
        <w:tc>
          <w:tcPr>
            <w:tcW w:w="1035" w:type="dxa"/>
            <w:shd w:val="clear" w:color="auto" w:fill="auto"/>
          </w:tcPr>
          <w:p w14:paraId="6A64F57F" w14:textId="6A8ABB7B" w:rsidR="003D4F94" w:rsidRPr="003D4F94" w:rsidRDefault="003D4F94" w:rsidP="003D4F94">
            <w:pPr>
              <w:jc w:val="right"/>
              <w:rPr>
                <w:rFonts w:cstheme="minorHAnsi"/>
                <w:sz w:val="18"/>
                <w:szCs w:val="18"/>
              </w:rPr>
            </w:pPr>
            <w:r w:rsidRPr="003D4F94">
              <w:rPr>
                <w:rFonts w:cstheme="minorHAnsi"/>
                <w:color w:val="000000"/>
                <w:sz w:val="18"/>
                <w:szCs w:val="18"/>
              </w:rPr>
              <w:t>452</w:t>
            </w:r>
            <w:r>
              <w:rPr>
                <w:rFonts w:cstheme="minorHAnsi"/>
                <w:color w:val="000000"/>
                <w:sz w:val="18"/>
                <w:szCs w:val="18"/>
              </w:rPr>
              <w:t>,</w:t>
            </w:r>
            <w:r w:rsidRPr="003D4F94">
              <w:rPr>
                <w:rFonts w:cstheme="minorHAnsi"/>
                <w:color w:val="000000"/>
                <w:sz w:val="18"/>
                <w:szCs w:val="18"/>
              </w:rPr>
              <w:t>644</w:t>
            </w:r>
          </w:p>
        </w:tc>
        <w:tc>
          <w:tcPr>
            <w:tcW w:w="1035" w:type="dxa"/>
            <w:shd w:val="clear" w:color="auto" w:fill="auto"/>
          </w:tcPr>
          <w:p w14:paraId="3E2AFC74" w14:textId="60515356" w:rsidR="003D4F94" w:rsidRPr="003D4F94" w:rsidRDefault="003D4F94" w:rsidP="003D4F94">
            <w:pPr>
              <w:jc w:val="right"/>
              <w:rPr>
                <w:rFonts w:cstheme="minorHAnsi"/>
                <w:sz w:val="18"/>
                <w:szCs w:val="18"/>
              </w:rPr>
            </w:pPr>
            <w:r w:rsidRPr="003D4F94">
              <w:rPr>
                <w:rFonts w:cstheme="minorHAnsi"/>
                <w:color w:val="000000"/>
                <w:sz w:val="18"/>
                <w:szCs w:val="18"/>
              </w:rPr>
              <w:t>32.4%</w:t>
            </w:r>
          </w:p>
        </w:tc>
      </w:tr>
      <w:tr w:rsidR="003D4F94" w14:paraId="45FD2A63" w14:textId="77777777" w:rsidTr="001446BB">
        <w:trPr>
          <w:cantSplit/>
        </w:trPr>
        <w:tc>
          <w:tcPr>
            <w:tcW w:w="3150" w:type="dxa"/>
            <w:shd w:val="clear" w:color="auto" w:fill="auto"/>
            <w:vAlign w:val="bottom"/>
          </w:tcPr>
          <w:p w14:paraId="7F1DF7FC" w14:textId="10893078" w:rsidR="003D4F94" w:rsidRPr="003D4F94" w:rsidRDefault="003D4F94" w:rsidP="003D4F94">
            <w:pPr>
              <w:rPr>
                <w:rFonts w:cstheme="minorHAnsi"/>
                <w:sz w:val="18"/>
                <w:szCs w:val="18"/>
              </w:rPr>
            </w:pPr>
            <w:r>
              <w:rPr>
                <w:rFonts w:cstheme="minorHAnsi"/>
                <w:color w:val="000000"/>
                <w:sz w:val="18"/>
                <w:szCs w:val="18"/>
              </w:rPr>
              <w:t xml:space="preserve">Gender: </w:t>
            </w:r>
            <w:r w:rsidRPr="003D4F94">
              <w:rPr>
                <w:rFonts w:cstheme="minorHAnsi"/>
                <w:color w:val="000000"/>
                <w:sz w:val="18"/>
                <w:szCs w:val="18"/>
              </w:rPr>
              <w:t>Male</w:t>
            </w:r>
          </w:p>
        </w:tc>
        <w:tc>
          <w:tcPr>
            <w:tcW w:w="1035" w:type="dxa"/>
          </w:tcPr>
          <w:p w14:paraId="3BBF7F6D" w14:textId="289538A9" w:rsidR="003D4F94" w:rsidRPr="003D4F94" w:rsidRDefault="003D4F94" w:rsidP="003D4F94">
            <w:pPr>
              <w:jc w:val="right"/>
              <w:rPr>
                <w:rFonts w:cstheme="minorHAnsi"/>
                <w:sz w:val="18"/>
                <w:szCs w:val="18"/>
              </w:rPr>
            </w:pPr>
            <w:r w:rsidRPr="003D4F94">
              <w:rPr>
                <w:rFonts w:cstheme="minorHAnsi"/>
                <w:color w:val="000000"/>
                <w:sz w:val="18"/>
                <w:szCs w:val="18"/>
              </w:rPr>
              <w:t>593</w:t>
            </w:r>
            <w:r>
              <w:rPr>
                <w:rFonts w:cstheme="minorHAnsi"/>
                <w:color w:val="000000"/>
                <w:sz w:val="18"/>
                <w:szCs w:val="18"/>
              </w:rPr>
              <w:t>,</w:t>
            </w:r>
            <w:r w:rsidRPr="003D4F94">
              <w:rPr>
                <w:rFonts w:cstheme="minorHAnsi"/>
                <w:color w:val="000000"/>
                <w:sz w:val="18"/>
                <w:szCs w:val="18"/>
              </w:rPr>
              <w:t>790</w:t>
            </w:r>
          </w:p>
        </w:tc>
        <w:tc>
          <w:tcPr>
            <w:tcW w:w="1035" w:type="dxa"/>
          </w:tcPr>
          <w:p w14:paraId="3C883C42" w14:textId="1264089F" w:rsidR="003D4F94" w:rsidRPr="003D4F94" w:rsidRDefault="003D4F94" w:rsidP="003D4F94">
            <w:pPr>
              <w:jc w:val="right"/>
              <w:rPr>
                <w:rFonts w:cstheme="minorHAnsi"/>
                <w:sz w:val="18"/>
                <w:szCs w:val="18"/>
              </w:rPr>
            </w:pPr>
            <w:r w:rsidRPr="003D4F94">
              <w:rPr>
                <w:rFonts w:cstheme="minorHAnsi"/>
                <w:color w:val="000000"/>
                <w:sz w:val="18"/>
                <w:szCs w:val="18"/>
              </w:rPr>
              <w:t>41.4%</w:t>
            </w:r>
          </w:p>
        </w:tc>
        <w:tc>
          <w:tcPr>
            <w:tcW w:w="1035" w:type="dxa"/>
          </w:tcPr>
          <w:p w14:paraId="517C8AA4" w14:textId="47549894" w:rsidR="003D4F94" w:rsidRPr="003D4F94" w:rsidRDefault="003D4F94" w:rsidP="003D4F94">
            <w:pPr>
              <w:jc w:val="right"/>
              <w:rPr>
                <w:rFonts w:cstheme="minorHAnsi"/>
                <w:sz w:val="18"/>
                <w:szCs w:val="18"/>
              </w:rPr>
            </w:pPr>
            <w:r w:rsidRPr="003D4F94">
              <w:rPr>
                <w:rFonts w:cstheme="minorHAnsi"/>
                <w:color w:val="000000"/>
                <w:sz w:val="18"/>
                <w:szCs w:val="18"/>
              </w:rPr>
              <w:t>567</w:t>
            </w:r>
            <w:r>
              <w:rPr>
                <w:rFonts w:cstheme="minorHAnsi"/>
                <w:color w:val="000000"/>
                <w:sz w:val="18"/>
                <w:szCs w:val="18"/>
              </w:rPr>
              <w:t>,</w:t>
            </w:r>
            <w:r w:rsidRPr="003D4F94">
              <w:rPr>
                <w:rFonts w:cstheme="minorHAnsi"/>
                <w:color w:val="000000"/>
                <w:sz w:val="18"/>
                <w:szCs w:val="18"/>
              </w:rPr>
              <w:t>279</w:t>
            </w:r>
          </w:p>
        </w:tc>
        <w:tc>
          <w:tcPr>
            <w:tcW w:w="1035" w:type="dxa"/>
          </w:tcPr>
          <w:p w14:paraId="31DF872D" w14:textId="27E5512B" w:rsidR="003D4F94" w:rsidRPr="003D4F94" w:rsidRDefault="003D4F94" w:rsidP="003D4F94">
            <w:pPr>
              <w:jc w:val="right"/>
              <w:rPr>
                <w:rFonts w:cstheme="minorHAnsi"/>
                <w:sz w:val="18"/>
                <w:szCs w:val="18"/>
              </w:rPr>
            </w:pPr>
            <w:r w:rsidRPr="003D4F94">
              <w:rPr>
                <w:rFonts w:cstheme="minorHAnsi"/>
                <w:color w:val="000000"/>
                <w:sz w:val="18"/>
                <w:szCs w:val="18"/>
              </w:rPr>
              <w:t>40.8%</w:t>
            </w:r>
          </w:p>
        </w:tc>
        <w:tc>
          <w:tcPr>
            <w:tcW w:w="1035" w:type="dxa"/>
            <w:shd w:val="clear" w:color="auto" w:fill="auto"/>
          </w:tcPr>
          <w:p w14:paraId="67519BC4" w14:textId="78654CC6" w:rsidR="003D4F94" w:rsidRPr="003D4F94" w:rsidRDefault="003D4F94" w:rsidP="003D4F94">
            <w:pPr>
              <w:jc w:val="right"/>
              <w:rPr>
                <w:rFonts w:cstheme="minorHAnsi"/>
                <w:sz w:val="18"/>
                <w:szCs w:val="18"/>
              </w:rPr>
            </w:pPr>
            <w:r w:rsidRPr="003D4F94">
              <w:rPr>
                <w:rFonts w:cstheme="minorHAnsi"/>
                <w:color w:val="000000"/>
                <w:sz w:val="18"/>
                <w:szCs w:val="18"/>
              </w:rPr>
              <w:t>573</w:t>
            </w:r>
            <w:r>
              <w:rPr>
                <w:rFonts w:cstheme="minorHAnsi"/>
                <w:color w:val="000000"/>
                <w:sz w:val="18"/>
                <w:szCs w:val="18"/>
              </w:rPr>
              <w:t>,</w:t>
            </w:r>
            <w:r w:rsidRPr="003D4F94">
              <w:rPr>
                <w:rFonts w:cstheme="minorHAnsi"/>
                <w:color w:val="000000"/>
                <w:sz w:val="18"/>
                <w:szCs w:val="18"/>
              </w:rPr>
              <w:t>059</w:t>
            </w:r>
          </w:p>
        </w:tc>
        <w:tc>
          <w:tcPr>
            <w:tcW w:w="1035" w:type="dxa"/>
            <w:shd w:val="clear" w:color="auto" w:fill="auto"/>
          </w:tcPr>
          <w:p w14:paraId="40D1A6EA" w14:textId="594264E6" w:rsidR="003D4F94" w:rsidRPr="003D4F94" w:rsidRDefault="003D4F94" w:rsidP="003D4F94">
            <w:pPr>
              <w:jc w:val="right"/>
              <w:rPr>
                <w:rFonts w:cstheme="minorHAnsi"/>
                <w:sz w:val="18"/>
                <w:szCs w:val="18"/>
              </w:rPr>
            </w:pPr>
            <w:r w:rsidRPr="003D4F94">
              <w:rPr>
                <w:rFonts w:cstheme="minorHAnsi"/>
                <w:color w:val="000000"/>
                <w:sz w:val="18"/>
                <w:szCs w:val="18"/>
              </w:rPr>
              <w:t>41.0%</w:t>
            </w:r>
          </w:p>
        </w:tc>
      </w:tr>
      <w:tr w:rsidR="003D4F94" w14:paraId="46AA5DEA" w14:textId="77777777" w:rsidTr="001446BB">
        <w:trPr>
          <w:cantSplit/>
        </w:trPr>
        <w:tc>
          <w:tcPr>
            <w:tcW w:w="3150" w:type="dxa"/>
            <w:shd w:val="clear" w:color="auto" w:fill="auto"/>
            <w:vAlign w:val="bottom"/>
          </w:tcPr>
          <w:p w14:paraId="1C4FE777" w14:textId="76734C32" w:rsidR="003D4F94" w:rsidRPr="003D4F94" w:rsidRDefault="006B4DDB" w:rsidP="003D4F94">
            <w:pPr>
              <w:rPr>
                <w:rFonts w:cstheme="minorHAnsi"/>
                <w:sz w:val="18"/>
                <w:szCs w:val="18"/>
              </w:rPr>
            </w:pPr>
            <w:r>
              <w:rPr>
                <w:rFonts w:cstheme="minorHAnsi"/>
                <w:color w:val="000000"/>
                <w:sz w:val="18"/>
                <w:szCs w:val="18"/>
              </w:rPr>
              <w:t xml:space="preserve">Gender: </w:t>
            </w:r>
            <w:r w:rsidR="003D4F94" w:rsidRPr="003D4F94">
              <w:rPr>
                <w:rFonts w:cstheme="minorHAnsi"/>
                <w:color w:val="000000"/>
                <w:sz w:val="18"/>
                <w:szCs w:val="18"/>
              </w:rPr>
              <w:t>Female</w:t>
            </w:r>
          </w:p>
        </w:tc>
        <w:tc>
          <w:tcPr>
            <w:tcW w:w="1035" w:type="dxa"/>
          </w:tcPr>
          <w:p w14:paraId="406F8F5B" w14:textId="1F44D338" w:rsidR="003D4F94" w:rsidRPr="003D4F94" w:rsidRDefault="003D4F94" w:rsidP="003D4F94">
            <w:pPr>
              <w:jc w:val="right"/>
              <w:rPr>
                <w:rFonts w:cstheme="minorHAnsi"/>
                <w:sz w:val="18"/>
                <w:szCs w:val="18"/>
              </w:rPr>
            </w:pPr>
            <w:r w:rsidRPr="003D4F94">
              <w:rPr>
                <w:rFonts w:cstheme="minorHAnsi"/>
                <w:color w:val="000000"/>
                <w:sz w:val="18"/>
                <w:szCs w:val="18"/>
              </w:rPr>
              <w:t>817</w:t>
            </w:r>
            <w:r>
              <w:rPr>
                <w:rFonts w:cstheme="minorHAnsi"/>
                <w:color w:val="000000"/>
                <w:sz w:val="18"/>
                <w:szCs w:val="18"/>
              </w:rPr>
              <w:t>,</w:t>
            </w:r>
            <w:r w:rsidRPr="003D4F94">
              <w:rPr>
                <w:rFonts w:cstheme="minorHAnsi"/>
                <w:color w:val="000000"/>
                <w:sz w:val="18"/>
                <w:szCs w:val="18"/>
              </w:rPr>
              <w:t>695</w:t>
            </w:r>
          </w:p>
        </w:tc>
        <w:tc>
          <w:tcPr>
            <w:tcW w:w="1035" w:type="dxa"/>
          </w:tcPr>
          <w:p w14:paraId="12DB68B5" w14:textId="2508BD57" w:rsidR="003D4F94" w:rsidRPr="003D4F94" w:rsidRDefault="003D4F94" w:rsidP="003D4F94">
            <w:pPr>
              <w:jc w:val="right"/>
              <w:rPr>
                <w:rFonts w:cstheme="minorHAnsi"/>
                <w:sz w:val="18"/>
                <w:szCs w:val="18"/>
              </w:rPr>
            </w:pPr>
            <w:r w:rsidRPr="003D4F94">
              <w:rPr>
                <w:rFonts w:cstheme="minorHAnsi"/>
                <w:color w:val="000000"/>
                <w:sz w:val="18"/>
                <w:szCs w:val="18"/>
              </w:rPr>
              <w:t>57.0%</w:t>
            </w:r>
          </w:p>
        </w:tc>
        <w:tc>
          <w:tcPr>
            <w:tcW w:w="1035" w:type="dxa"/>
          </w:tcPr>
          <w:p w14:paraId="064CA8A5" w14:textId="57B5EAFF" w:rsidR="003D4F94" w:rsidRPr="003D4F94" w:rsidRDefault="003D4F94" w:rsidP="003D4F94">
            <w:pPr>
              <w:jc w:val="right"/>
              <w:rPr>
                <w:rFonts w:cstheme="minorHAnsi"/>
                <w:sz w:val="18"/>
                <w:szCs w:val="18"/>
              </w:rPr>
            </w:pPr>
            <w:r w:rsidRPr="003D4F94">
              <w:rPr>
                <w:rFonts w:cstheme="minorHAnsi"/>
                <w:color w:val="000000"/>
                <w:sz w:val="18"/>
                <w:szCs w:val="18"/>
              </w:rPr>
              <w:t>809</w:t>
            </w:r>
            <w:r>
              <w:rPr>
                <w:rFonts w:cstheme="minorHAnsi"/>
                <w:color w:val="000000"/>
                <w:sz w:val="18"/>
                <w:szCs w:val="18"/>
              </w:rPr>
              <w:t>,</w:t>
            </w:r>
            <w:r w:rsidRPr="003D4F94">
              <w:rPr>
                <w:rFonts w:cstheme="minorHAnsi"/>
                <w:color w:val="000000"/>
                <w:sz w:val="18"/>
                <w:szCs w:val="18"/>
              </w:rPr>
              <w:t>920</w:t>
            </w:r>
          </w:p>
        </w:tc>
        <w:tc>
          <w:tcPr>
            <w:tcW w:w="1035" w:type="dxa"/>
          </w:tcPr>
          <w:p w14:paraId="45EE80F5" w14:textId="525E0876" w:rsidR="003D4F94" w:rsidRPr="003D4F94" w:rsidRDefault="003D4F94" w:rsidP="003D4F94">
            <w:pPr>
              <w:jc w:val="right"/>
              <w:rPr>
                <w:rFonts w:cstheme="minorHAnsi"/>
                <w:sz w:val="18"/>
                <w:szCs w:val="18"/>
              </w:rPr>
            </w:pPr>
            <w:r w:rsidRPr="003D4F94">
              <w:rPr>
                <w:rFonts w:cstheme="minorHAnsi"/>
                <w:color w:val="000000"/>
                <w:sz w:val="18"/>
                <w:szCs w:val="18"/>
              </w:rPr>
              <w:t>58.3%</w:t>
            </w:r>
          </w:p>
        </w:tc>
        <w:tc>
          <w:tcPr>
            <w:tcW w:w="1035" w:type="dxa"/>
            <w:shd w:val="clear" w:color="auto" w:fill="auto"/>
          </w:tcPr>
          <w:p w14:paraId="69D607A0" w14:textId="30F22DBB" w:rsidR="003D4F94" w:rsidRPr="003D4F94" w:rsidRDefault="003D4F94" w:rsidP="003D4F94">
            <w:pPr>
              <w:jc w:val="right"/>
              <w:rPr>
                <w:rFonts w:cstheme="minorHAnsi"/>
                <w:sz w:val="18"/>
                <w:szCs w:val="18"/>
              </w:rPr>
            </w:pPr>
            <w:r w:rsidRPr="003D4F94">
              <w:rPr>
                <w:rFonts w:cstheme="minorHAnsi"/>
                <w:color w:val="000000"/>
                <w:sz w:val="18"/>
                <w:szCs w:val="18"/>
              </w:rPr>
              <w:t>819</w:t>
            </w:r>
            <w:r>
              <w:rPr>
                <w:rFonts w:cstheme="minorHAnsi"/>
                <w:color w:val="000000"/>
                <w:sz w:val="18"/>
                <w:szCs w:val="18"/>
              </w:rPr>
              <w:t>,</w:t>
            </w:r>
            <w:r w:rsidRPr="003D4F94">
              <w:rPr>
                <w:rFonts w:cstheme="minorHAnsi"/>
                <w:color w:val="000000"/>
                <w:sz w:val="18"/>
                <w:szCs w:val="18"/>
              </w:rPr>
              <w:t>131</w:t>
            </w:r>
          </w:p>
        </w:tc>
        <w:tc>
          <w:tcPr>
            <w:tcW w:w="1035" w:type="dxa"/>
            <w:shd w:val="clear" w:color="auto" w:fill="auto"/>
          </w:tcPr>
          <w:p w14:paraId="52EF700C" w14:textId="0D5C7F3B" w:rsidR="003D4F94" w:rsidRPr="003D4F94" w:rsidRDefault="003D4F94" w:rsidP="003D4F94">
            <w:pPr>
              <w:jc w:val="right"/>
              <w:rPr>
                <w:rFonts w:cstheme="minorHAnsi"/>
                <w:sz w:val="18"/>
                <w:szCs w:val="18"/>
              </w:rPr>
            </w:pPr>
            <w:r w:rsidRPr="003D4F94">
              <w:rPr>
                <w:rFonts w:cstheme="minorHAnsi"/>
                <w:color w:val="000000"/>
                <w:sz w:val="18"/>
                <w:szCs w:val="18"/>
              </w:rPr>
              <w:t>58.6%</w:t>
            </w:r>
          </w:p>
        </w:tc>
      </w:tr>
      <w:tr w:rsidR="003D4F94" w14:paraId="0A0177AE" w14:textId="77777777" w:rsidTr="001446BB">
        <w:trPr>
          <w:cantSplit/>
        </w:trPr>
        <w:tc>
          <w:tcPr>
            <w:tcW w:w="3150" w:type="dxa"/>
            <w:shd w:val="clear" w:color="auto" w:fill="auto"/>
            <w:vAlign w:val="bottom"/>
          </w:tcPr>
          <w:p w14:paraId="10E1C6E2" w14:textId="4327828B" w:rsidR="003D4F94" w:rsidRPr="003D4F94" w:rsidRDefault="006B4DDB" w:rsidP="003D4F94">
            <w:pPr>
              <w:rPr>
                <w:rFonts w:cstheme="minorHAnsi"/>
                <w:sz w:val="18"/>
                <w:szCs w:val="18"/>
              </w:rPr>
            </w:pPr>
            <w:r>
              <w:rPr>
                <w:rFonts w:cstheme="minorHAnsi"/>
                <w:color w:val="000000"/>
                <w:sz w:val="18"/>
                <w:szCs w:val="18"/>
              </w:rPr>
              <w:t xml:space="preserve">Gender: </w:t>
            </w:r>
            <w:r w:rsidR="003D4F94" w:rsidRPr="003D4F94">
              <w:rPr>
                <w:rFonts w:cstheme="minorHAnsi"/>
                <w:color w:val="000000"/>
                <w:sz w:val="18"/>
                <w:szCs w:val="18"/>
              </w:rPr>
              <w:t>Other</w:t>
            </w:r>
            <w:r>
              <w:rPr>
                <w:rStyle w:val="FootnoteReference"/>
                <w:rFonts w:cstheme="minorHAnsi"/>
                <w:color w:val="000000"/>
                <w:sz w:val="18"/>
                <w:szCs w:val="18"/>
              </w:rPr>
              <w:footnoteReference w:id="6"/>
            </w:r>
          </w:p>
        </w:tc>
        <w:tc>
          <w:tcPr>
            <w:tcW w:w="1035" w:type="dxa"/>
          </w:tcPr>
          <w:p w14:paraId="40977CA8" w14:textId="1B354FC2" w:rsidR="003D4F94" w:rsidRPr="003D4F94" w:rsidRDefault="003D4F94" w:rsidP="003D4F94">
            <w:pPr>
              <w:jc w:val="right"/>
              <w:rPr>
                <w:rFonts w:cstheme="minorHAnsi"/>
                <w:sz w:val="18"/>
                <w:szCs w:val="18"/>
              </w:rPr>
            </w:pPr>
            <w:r w:rsidRPr="003D4F94">
              <w:rPr>
                <w:rFonts w:cstheme="minorHAnsi"/>
                <w:color w:val="000000"/>
                <w:sz w:val="18"/>
                <w:szCs w:val="18"/>
              </w:rPr>
              <w:t>23</w:t>
            </w:r>
            <w:r w:rsidR="006B4DDB">
              <w:rPr>
                <w:rFonts w:cstheme="minorHAnsi"/>
                <w:color w:val="000000"/>
                <w:sz w:val="18"/>
                <w:szCs w:val="18"/>
              </w:rPr>
              <w:t>,</w:t>
            </w:r>
            <w:r w:rsidRPr="003D4F94">
              <w:rPr>
                <w:rFonts w:cstheme="minorHAnsi"/>
                <w:color w:val="000000"/>
                <w:sz w:val="18"/>
                <w:szCs w:val="18"/>
              </w:rPr>
              <w:t>118</w:t>
            </w:r>
          </w:p>
        </w:tc>
        <w:tc>
          <w:tcPr>
            <w:tcW w:w="1035" w:type="dxa"/>
          </w:tcPr>
          <w:p w14:paraId="0E96077C" w14:textId="30D0FA2F" w:rsidR="003D4F94" w:rsidRPr="003D4F94" w:rsidRDefault="003D4F94" w:rsidP="003D4F94">
            <w:pPr>
              <w:jc w:val="right"/>
              <w:rPr>
                <w:rFonts w:cstheme="minorHAnsi"/>
                <w:sz w:val="18"/>
                <w:szCs w:val="18"/>
              </w:rPr>
            </w:pPr>
            <w:r w:rsidRPr="003D4F94">
              <w:rPr>
                <w:rFonts w:cstheme="minorHAnsi"/>
                <w:color w:val="000000"/>
                <w:sz w:val="18"/>
                <w:szCs w:val="18"/>
              </w:rPr>
              <w:t>1.6%</w:t>
            </w:r>
          </w:p>
        </w:tc>
        <w:tc>
          <w:tcPr>
            <w:tcW w:w="1035" w:type="dxa"/>
          </w:tcPr>
          <w:p w14:paraId="2CA9DA58" w14:textId="605DE033" w:rsidR="003D4F94" w:rsidRPr="003D4F94" w:rsidRDefault="003D4F94" w:rsidP="003D4F94">
            <w:pPr>
              <w:jc w:val="right"/>
              <w:rPr>
                <w:rFonts w:cstheme="minorHAnsi"/>
                <w:sz w:val="18"/>
                <w:szCs w:val="18"/>
              </w:rPr>
            </w:pPr>
            <w:r w:rsidRPr="003D4F94">
              <w:rPr>
                <w:rFonts w:cstheme="minorHAnsi"/>
                <w:color w:val="000000"/>
                <w:sz w:val="18"/>
                <w:szCs w:val="18"/>
              </w:rPr>
              <w:t>12</w:t>
            </w:r>
            <w:r>
              <w:rPr>
                <w:rFonts w:cstheme="minorHAnsi"/>
                <w:color w:val="000000"/>
                <w:sz w:val="18"/>
                <w:szCs w:val="18"/>
              </w:rPr>
              <w:t>,</w:t>
            </w:r>
            <w:r w:rsidRPr="003D4F94">
              <w:rPr>
                <w:rFonts w:cstheme="minorHAnsi"/>
                <w:color w:val="000000"/>
                <w:sz w:val="18"/>
                <w:szCs w:val="18"/>
              </w:rPr>
              <w:t>065</w:t>
            </w:r>
          </w:p>
        </w:tc>
        <w:tc>
          <w:tcPr>
            <w:tcW w:w="1035" w:type="dxa"/>
          </w:tcPr>
          <w:p w14:paraId="0B2A2196" w14:textId="077505DB" w:rsidR="003D4F94" w:rsidRPr="003D4F94" w:rsidRDefault="003D4F94" w:rsidP="003D4F94">
            <w:pPr>
              <w:jc w:val="right"/>
              <w:rPr>
                <w:rFonts w:cstheme="minorHAnsi"/>
                <w:sz w:val="18"/>
                <w:szCs w:val="18"/>
              </w:rPr>
            </w:pPr>
            <w:r w:rsidRPr="003D4F94">
              <w:rPr>
                <w:rFonts w:cstheme="minorHAnsi"/>
                <w:color w:val="000000"/>
                <w:sz w:val="18"/>
                <w:szCs w:val="18"/>
              </w:rPr>
              <w:t>0.9%</w:t>
            </w:r>
          </w:p>
        </w:tc>
        <w:tc>
          <w:tcPr>
            <w:tcW w:w="1035" w:type="dxa"/>
            <w:shd w:val="clear" w:color="auto" w:fill="auto"/>
          </w:tcPr>
          <w:p w14:paraId="6A573322" w14:textId="6367515C" w:rsidR="003D4F94" w:rsidRPr="003D4F94" w:rsidRDefault="003D4F94" w:rsidP="003D4F94">
            <w:pPr>
              <w:jc w:val="right"/>
              <w:rPr>
                <w:rFonts w:cstheme="minorHAnsi"/>
                <w:sz w:val="18"/>
                <w:szCs w:val="18"/>
              </w:rPr>
            </w:pPr>
            <w:r w:rsidRPr="003D4F94">
              <w:rPr>
                <w:rFonts w:cstheme="minorHAnsi"/>
                <w:color w:val="000000"/>
                <w:sz w:val="18"/>
                <w:szCs w:val="18"/>
              </w:rPr>
              <w:t>6</w:t>
            </w:r>
            <w:r>
              <w:rPr>
                <w:rFonts w:cstheme="minorHAnsi"/>
                <w:color w:val="000000"/>
                <w:sz w:val="18"/>
                <w:szCs w:val="18"/>
              </w:rPr>
              <w:t>,</w:t>
            </w:r>
            <w:r w:rsidRPr="003D4F94">
              <w:rPr>
                <w:rFonts w:cstheme="minorHAnsi"/>
                <w:color w:val="000000"/>
                <w:sz w:val="18"/>
                <w:szCs w:val="18"/>
              </w:rPr>
              <w:t>731</w:t>
            </w:r>
          </w:p>
        </w:tc>
        <w:tc>
          <w:tcPr>
            <w:tcW w:w="1035" w:type="dxa"/>
            <w:shd w:val="clear" w:color="auto" w:fill="auto"/>
          </w:tcPr>
          <w:p w14:paraId="2E518FAC" w14:textId="388B1610" w:rsidR="003D4F94" w:rsidRPr="003D4F94" w:rsidRDefault="003D4F94" w:rsidP="003D4F94">
            <w:pPr>
              <w:jc w:val="right"/>
              <w:rPr>
                <w:rFonts w:cstheme="minorHAnsi"/>
                <w:sz w:val="18"/>
                <w:szCs w:val="18"/>
              </w:rPr>
            </w:pPr>
            <w:r w:rsidRPr="003D4F94">
              <w:rPr>
                <w:rFonts w:cstheme="minorHAnsi"/>
                <w:color w:val="000000"/>
                <w:sz w:val="18"/>
                <w:szCs w:val="18"/>
              </w:rPr>
              <w:t>0.5%</w:t>
            </w:r>
          </w:p>
        </w:tc>
      </w:tr>
      <w:tr w:rsidR="003D4F94" w14:paraId="3AEB0F98" w14:textId="77777777" w:rsidTr="001446BB">
        <w:trPr>
          <w:cantSplit/>
        </w:trPr>
        <w:tc>
          <w:tcPr>
            <w:tcW w:w="3150" w:type="dxa"/>
            <w:shd w:val="clear" w:color="auto" w:fill="auto"/>
            <w:vAlign w:val="bottom"/>
          </w:tcPr>
          <w:p w14:paraId="7558F88B" w14:textId="1400EBE1" w:rsidR="003D4F94" w:rsidRPr="003D4F94" w:rsidRDefault="006B4DDB" w:rsidP="003D4F94">
            <w:pPr>
              <w:rPr>
                <w:rFonts w:cstheme="minorHAnsi"/>
                <w:sz w:val="18"/>
                <w:szCs w:val="18"/>
              </w:rPr>
            </w:pPr>
            <w:r>
              <w:rPr>
                <w:rFonts w:cstheme="minorHAnsi"/>
                <w:color w:val="000000"/>
                <w:sz w:val="18"/>
                <w:szCs w:val="18"/>
              </w:rPr>
              <w:t xml:space="preserve">Race: </w:t>
            </w:r>
            <w:r w:rsidR="003D4F94" w:rsidRPr="003D4F94">
              <w:rPr>
                <w:rFonts w:cstheme="minorHAnsi"/>
                <w:color w:val="000000"/>
                <w:sz w:val="18"/>
                <w:szCs w:val="18"/>
              </w:rPr>
              <w:t>White</w:t>
            </w:r>
          </w:p>
        </w:tc>
        <w:tc>
          <w:tcPr>
            <w:tcW w:w="1035" w:type="dxa"/>
          </w:tcPr>
          <w:p w14:paraId="7143DE62" w14:textId="2360FEEC" w:rsidR="003D4F94" w:rsidRPr="003D4F94" w:rsidRDefault="003D4F94" w:rsidP="003D4F94">
            <w:pPr>
              <w:jc w:val="right"/>
              <w:rPr>
                <w:rFonts w:cstheme="minorHAnsi"/>
                <w:sz w:val="18"/>
                <w:szCs w:val="18"/>
              </w:rPr>
            </w:pPr>
            <w:r w:rsidRPr="003D4F94">
              <w:rPr>
                <w:rFonts w:cstheme="minorHAnsi"/>
                <w:color w:val="000000"/>
                <w:sz w:val="18"/>
                <w:szCs w:val="18"/>
              </w:rPr>
              <w:t>1,063,216</w:t>
            </w:r>
          </w:p>
        </w:tc>
        <w:tc>
          <w:tcPr>
            <w:tcW w:w="1035" w:type="dxa"/>
          </w:tcPr>
          <w:p w14:paraId="53B75966" w14:textId="5B205FAD" w:rsidR="003D4F94" w:rsidRPr="003D4F94" w:rsidRDefault="003D4F94" w:rsidP="003D4F94">
            <w:pPr>
              <w:jc w:val="right"/>
              <w:rPr>
                <w:rFonts w:cstheme="minorHAnsi"/>
                <w:sz w:val="18"/>
                <w:szCs w:val="18"/>
              </w:rPr>
            </w:pPr>
            <w:r w:rsidRPr="003D4F94">
              <w:rPr>
                <w:rFonts w:cstheme="minorHAnsi"/>
                <w:color w:val="000000"/>
                <w:sz w:val="18"/>
                <w:szCs w:val="18"/>
              </w:rPr>
              <w:t>74.1%</w:t>
            </w:r>
          </w:p>
        </w:tc>
        <w:tc>
          <w:tcPr>
            <w:tcW w:w="1035" w:type="dxa"/>
          </w:tcPr>
          <w:p w14:paraId="3BED8B60" w14:textId="040355AE" w:rsidR="003D4F94" w:rsidRPr="003D4F94" w:rsidRDefault="003D4F94" w:rsidP="003D4F94">
            <w:pPr>
              <w:jc w:val="right"/>
              <w:rPr>
                <w:rFonts w:cstheme="minorHAnsi"/>
                <w:sz w:val="18"/>
                <w:szCs w:val="18"/>
              </w:rPr>
            </w:pPr>
            <w:r w:rsidRPr="003D4F94">
              <w:rPr>
                <w:rFonts w:cstheme="minorHAnsi"/>
                <w:color w:val="000000"/>
                <w:sz w:val="18"/>
                <w:szCs w:val="18"/>
              </w:rPr>
              <w:t>1,046,183</w:t>
            </w:r>
          </w:p>
        </w:tc>
        <w:tc>
          <w:tcPr>
            <w:tcW w:w="1035" w:type="dxa"/>
          </w:tcPr>
          <w:p w14:paraId="2308BC3E" w14:textId="0EFAA1EC" w:rsidR="003D4F94" w:rsidRPr="003D4F94" w:rsidRDefault="003D4F94" w:rsidP="003D4F94">
            <w:pPr>
              <w:jc w:val="right"/>
              <w:rPr>
                <w:rFonts w:cstheme="minorHAnsi"/>
                <w:sz w:val="18"/>
                <w:szCs w:val="18"/>
              </w:rPr>
            </w:pPr>
            <w:r w:rsidRPr="003D4F94">
              <w:rPr>
                <w:rFonts w:cstheme="minorHAnsi"/>
                <w:color w:val="000000"/>
                <w:sz w:val="18"/>
                <w:szCs w:val="18"/>
              </w:rPr>
              <w:t>75.3%</w:t>
            </w:r>
          </w:p>
        </w:tc>
        <w:tc>
          <w:tcPr>
            <w:tcW w:w="1035" w:type="dxa"/>
            <w:shd w:val="clear" w:color="auto" w:fill="auto"/>
          </w:tcPr>
          <w:p w14:paraId="212A4C40" w14:textId="40228691" w:rsidR="003D4F94" w:rsidRPr="003D4F94" w:rsidRDefault="003D4F94" w:rsidP="003D4F94">
            <w:pPr>
              <w:jc w:val="right"/>
              <w:rPr>
                <w:rFonts w:cstheme="minorHAnsi"/>
                <w:sz w:val="18"/>
                <w:szCs w:val="18"/>
              </w:rPr>
            </w:pPr>
            <w:r w:rsidRPr="003D4F94">
              <w:rPr>
                <w:rFonts w:cstheme="minorHAnsi"/>
                <w:color w:val="000000"/>
                <w:sz w:val="18"/>
                <w:szCs w:val="18"/>
              </w:rPr>
              <w:t>1,057,436</w:t>
            </w:r>
          </w:p>
        </w:tc>
        <w:tc>
          <w:tcPr>
            <w:tcW w:w="1035" w:type="dxa"/>
            <w:shd w:val="clear" w:color="auto" w:fill="auto"/>
          </w:tcPr>
          <w:p w14:paraId="6EBBEFCA" w14:textId="07914C7C" w:rsidR="003D4F94" w:rsidRPr="003D4F94" w:rsidRDefault="003D4F94" w:rsidP="003D4F94">
            <w:pPr>
              <w:jc w:val="right"/>
              <w:rPr>
                <w:rFonts w:cstheme="minorHAnsi"/>
                <w:sz w:val="18"/>
                <w:szCs w:val="18"/>
              </w:rPr>
            </w:pPr>
            <w:r w:rsidRPr="003D4F94">
              <w:rPr>
                <w:rFonts w:cstheme="minorHAnsi"/>
                <w:color w:val="000000"/>
                <w:sz w:val="18"/>
                <w:szCs w:val="18"/>
              </w:rPr>
              <w:t>75.6%</w:t>
            </w:r>
          </w:p>
        </w:tc>
      </w:tr>
      <w:tr w:rsidR="003D4F94" w14:paraId="6E537FAF" w14:textId="77777777" w:rsidTr="001446BB">
        <w:trPr>
          <w:cantSplit/>
        </w:trPr>
        <w:tc>
          <w:tcPr>
            <w:tcW w:w="3150" w:type="dxa"/>
            <w:shd w:val="clear" w:color="auto" w:fill="auto"/>
            <w:vAlign w:val="bottom"/>
          </w:tcPr>
          <w:p w14:paraId="66C213C2" w14:textId="43C3C8C3" w:rsidR="003D4F94" w:rsidRPr="003D4F94" w:rsidRDefault="003D4F94" w:rsidP="003D4F94">
            <w:pPr>
              <w:rPr>
                <w:rFonts w:cstheme="minorHAnsi"/>
                <w:sz w:val="18"/>
                <w:szCs w:val="18"/>
              </w:rPr>
            </w:pPr>
            <w:r>
              <w:rPr>
                <w:rFonts w:cstheme="minorHAnsi"/>
                <w:color w:val="000000"/>
                <w:sz w:val="18"/>
                <w:szCs w:val="18"/>
              </w:rPr>
              <w:t xml:space="preserve">Race: </w:t>
            </w:r>
            <w:r w:rsidRPr="003D4F94">
              <w:rPr>
                <w:rFonts w:cstheme="minorHAnsi"/>
                <w:color w:val="000000"/>
                <w:sz w:val="18"/>
                <w:szCs w:val="18"/>
              </w:rPr>
              <w:t>Black or African American</w:t>
            </w:r>
          </w:p>
        </w:tc>
        <w:tc>
          <w:tcPr>
            <w:tcW w:w="1035" w:type="dxa"/>
          </w:tcPr>
          <w:p w14:paraId="3E7CD5A4" w14:textId="316C534C" w:rsidR="003D4F94" w:rsidRPr="003D4F94" w:rsidRDefault="003D4F94" w:rsidP="003D4F94">
            <w:pPr>
              <w:jc w:val="right"/>
              <w:rPr>
                <w:rFonts w:cstheme="minorHAnsi"/>
                <w:sz w:val="18"/>
                <w:szCs w:val="18"/>
              </w:rPr>
            </w:pPr>
            <w:r w:rsidRPr="003D4F94">
              <w:rPr>
                <w:rFonts w:cstheme="minorHAnsi"/>
                <w:color w:val="000000"/>
                <w:sz w:val="18"/>
                <w:szCs w:val="18"/>
              </w:rPr>
              <w:t>79,034</w:t>
            </w:r>
          </w:p>
        </w:tc>
        <w:tc>
          <w:tcPr>
            <w:tcW w:w="1035" w:type="dxa"/>
          </w:tcPr>
          <w:p w14:paraId="561CB816" w14:textId="23C45C49" w:rsidR="003D4F94" w:rsidRPr="003D4F94" w:rsidRDefault="003D4F94" w:rsidP="003D4F94">
            <w:pPr>
              <w:jc w:val="right"/>
              <w:rPr>
                <w:rFonts w:cstheme="minorHAnsi"/>
                <w:sz w:val="18"/>
                <w:szCs w:val="18"/>
              </w:rPr>
            </w:pPr>
            <w:r w:rsidRPr="003D4F94">
              <w:rPr>
                <w:rFonts w:cstheme="minorHAnsi"/>
                <w:color w:val="000000"/>
                <w:sz w:val="18"/>
                <w:szCs w:val="18"/>
              </w:rPr>
              <w:t>5.5%</w:t>
            </w:r>
          </w:p>
        </w:tc>
        <w:tc>
          <w:tcPr>
            <w:tcW w:w="1035" w:type="dxa"/>
          </w:tcPr>
          <w:p w14:paraId="26CF1715" w14:textId="3F150F8C" w:rsidR="003D4F94" w:rsidRPr="003D4F94" w:rsidRDefault="003D4F94" w:rsidP="003D4F94">
            <w:pPr>
              <w:jc w:val="right"/>
              <w:rPr>
                <w:rFonts w:cstheme="minorHAnsi"/>
                <w:sz w:val="18"/>
                <w:szCs w:val="18"/>
              </w:rPr>
            </w:pPr>
            <w:r w:rsidRPr="003D4F94">
              <w:rPr>
                <w:rFonts w:cstheme="minorHAnsi"/>
                <w:color w:val="000000"/>
                <w:sz w:val="18"/>
                <w:szCs w:val="18"/>
              </w:rPr>
              <w:t>77,014</w:t>
            </w:r>
          </w:p>
        </w:tc>
        <w:tc>
          <w:tcPr>
            <w:tcW w:w="1035" w:type="dxa"/>
          </w:tcPr>
          <w:p w14:paraId="71B55A77" w14:textId="26023C16" w:rsidR="003D4F94" w:rsidRPr="003D4F94" w:rsidRDefault="003D4F94" w:rsidP="003D4F94">
            <w:pPr>
              <w:jc w:val="right"/>
              <w:rPr>
                <w:rFonts w:cstheme="minorHAnsi"/>
                <w:sz w:val="18"/>
                <w:szCs w:val="18"/>
              </w:rPr>
            </w:pPr>
            <w:r w:rsidRPr="003D4F94">
              <w:rPr>
                <w:rFonts w:cstheme="minorHAnsi"/>
                <w:color w:val="000000"/>
                <w:sz w:val="18"/>
                <w:szCs w:val="18"/>
              </w:rPr>
              <w:t>5.5%</w:t>
            </w:r>
          </w:p>
        </w:tc>
        <w:tc>
          <w:tcPr>
            <w:tcW w:w="1035" w:type="dxa"/>
            <w:shd w:val="clear" w:color="auto" w:fill="auto"/>
          </w:tcPr>
          <w:p w14:paraId="555C7F44" w14:textId="3EC7E3BF" w:rsidR="003D4F94" w:rsidRPr="003D4F94" w:rsidRDefault="003D4F94" w:rsidP="003D4F94">
            <w:pPr>
              <w:jc w:val="right"/>
              <w:rPr>
                <w:rFonts w:cstheme="minorHAnsi"/>
                <w:sz w:val="18"/>
                <w:szCs w:val="18"/>
              </w:rPr>
            </w:pPr>
            <w:r w:rsidRPr="003D4F94">
              <w:rPr>
                <w:rFonts w:cstheme="minorHAnsi"/>
                <w:color w:val="000000"/>
                <w:sz w:val="18"/>
                <w:szCs w:val="18"/>
              </w:rPr>
              <w:t>79,023</w:t>
            </w:r>
          </w:p>
        </w:tc>
        <w:tc>
          <w:tcPr>
            <w:tcW w:w="1035" w:type="dxa"/>
            <w:shd w:val="clear" w:color="auto" w:fill="auto"/>
          </w:tcPr>
          <w:p w14:paraId="588B2D3E" w14:textId="1578E25E" w:rsidR="003D4F94" w:rsidRPr="003D4F94" w:rsidRDefault="003D4F94" w:rsidP="003D4F94">
            <w:pPr>
              <w:jc w:val="right"/>
              <w:rPr>
                <w:rFonts w:cstheme="minorHAnsi"/>
                <w:sz w:val="18"/>
                <w:szCs w:val="18"/>
              </w:rPr>
            </w:pPr>
            <w:r w:rsidRPr="003D4F94">
              <w:rPr>
                <w:rFonts w:cstheme="minorHAnsi"/>
                <w:color w:val="000000"/>
                <w:sz w:val="18"/>
                <w:szCs w:val="18"/>
              </w:rPr>
              <w:t>5.6%</w:t>
            </w:r>
          </w:p>
        </w:tc>
      </w:tr>
      <w:tr w:rsidR="003D4F94" w14:paraId="08FCA7CE" w14:textId="77777777" w:rsidTr="001446BB">
        <w:trPr>
          <w:cantSplit/>
        </w:trPr>
        <w:tc>
          <w:tcPr>
            <w:tcW w:w="3150" w:type="dxa"/>
            <w:shd w:val="clear" w:color="auto" w:fill="auto"/>
            <w:vAlign w:val="bottom"/>
          </w:tcPr>
          <w:p w14:paraId="14564673" w14:textId="531612CC" w:rsidR="003D4F94" w:rsidRPr="003D4F94" w:rsidRDefault="006B4DDB" w:rsidP="003D4F94">
            <w:pPr>
              <w:rPr>
                <w:rFonts w:cstheme="minorHAnsi"/>
                <w:sz w:val="18"/>
                <w:szCs w:val="18"/>
              </w:rPr>
            </w:pPr>
            <w:r>
              <w:rPr>
                <w:rFonts w:cstheme="minorHAnsi"/>
                <w:color w:val="000000"/>
                <w:sz w:val="18"/>
                <w:szCs w:val="18"/>
              </w:rPr>
              <w:t xml:space="preserve">Race: </w:t>
            </w:r>
            <w:r w:rsidR="003D4F94" w:rsidRPr="003D4F94">
              <w:rPr>
                <w:rFonts w:cstheme="minorHAnsi"/>
                <w:color w:val="000000"/>
                <w:sz w:val="18"/>
                <w:szCs w:val="18"/>
              </w:rPr>
              <w:t>American Indian or Alaska Native</w:t>
            </w:r>
          </w:p>
        </w:tc>
        <w:tc>
          <w:tcPr>
            <w:tcW w:w="1035" w:type="dxa"/>
          </w:tcPr>
          <w:p w14:paraId="4CD97694" w14:textId="12DF4739" w:rsidR="003D4F94" w:rsidRPr="003D4F94" w:rsidRDefault="003D4F94" w:rsidP="003D4F94">
            <w:pPr>
              <w:jc w:val="right"/>
              <w:rPr>
                <w:rFonts w:cstheme="minorHAnsi"/>
                <w:sz w:val="18"/>
                <w:szCs w:val="18"/>
              </w:rPr>
            </w:pPr>
            <w:r w:rsidRPr="003D4F94">
              <w:rPr>
                <w:rFonts w:cstheme="minorHAnsi"/>
                <w:color w:val="000000"/>
                <w:sz w:val="18"/>
                <w:szCs w:val="18"/>
              </w:rPr>
              <w:t>1,931</w:t>
            </w:r>
          </w:p>
        </w:tc>
        <w:tc>
          <w:tcPr>
            <w:tcW w:w="1035" w:type="dxa"/>
          </w:tcPr>
          <w:p w14:paraId="4DA6EC93" w14:textId="1ABC20CA" w:rsidR="003D4F94" w:rsidRPr="003D4F94" w:rsidRDefault="003D4F94" w:rsidP="003D4F94">
            <w:pPr>
              <w:jc w:val="right"/>
              <w:rPr>
                <w:rFonts w:cstheme="minorHAnsi"/>
                <w:sz w:val="18"/>
                <w:szCs w:val="18"/>
              </w:rPr>
            </w:pPr>
            <w:r w:rsidRPr="003D4F94">
              <w:rPr>
                <w:rFonts w:cstheme="minorHAnsi"/>
                <w:color w:val="000000"/>
                <w:sz w:val="18"/>
                <w:szCs w:val="18"/>
              </w:rPr>
              <w:t>0.1%</w:t>
            </w:r>
          </w:p>
        </w:tc>
        <w:tc>
          <w:tcPr>
            <w:tcW w:w="1035" w:type="dxa"/>
          </w:tcPr>
          <w:p w14:paraId="17CE90F5" w14:textId="3E429902" w:rsidR="003D4F94" w:rsidRPr="003D4F94" w:rsidRDefault="003D4F94" w:rsidP="003D4F94">
            <w:pPr>
              <w:jc w:val="right"/>
              <w:rPr>
                <w:rFonts w:cstheme="minorHAnsi"/>
                <w:sz w:val="18"/>
                <w:szCs w:val="18"/>
              </w:rPr>
            </w:pPr>
            <w:r w:rsidRPr="003D4F94">
              <w:rPr>
                <w:rFonts w:cstheme="minorHAnsi"/>
                <w:color w:val="000000"/>
                <w:sz w:val="18"/>
                <w:szCs w:val="18"/>
              </w:rPr>
              <w:t>1,804</w:t>
            </w:r>
          </w:p>
        </w:tc>
        <w:tc>
          <w:tcPr>
            <w:tcW w:w="1035" w:type="dxa"/>
          </w:tcPr>
          <w:p w14:paraId="6A9BBA67" w14:textId="1BF4C156" w:rsidR="003D4F94" w:rsidRPr="003D4F94" w:rsidRDefault="003D4F94" w:rsidP="003D4F94">
            <w:pPr>
              <w:jc w:val="right"/>
              <w:rPr>
                <w:rFonts w:cstheme="minorHAnsi"/>
                <w:sz w:val="18"/>
                <w:szCs w:val="18"/>
              </w:rPr>
            </w:pPr>
            <w:r w:rsidRPr="003D4F94">
              <w:rPr>
                <w:rFonts w:cstheme="minorHAnsi"/>
                <w:color w:val="000000"/>
                <w:sz w:val="18"/>
                <w:szCs w:val="18"/>
              </w:rPr>
              <w:t>0.1%</w:t>
            </w:r>
          </w:p>
        </w:tc>
        <w:tc>
          <w:tcPr>
            <w:tcW w:w="1035" w:type="dxa"/>
            <w:shd w:val="clear" w:color="auto" w:fill="auto"/>
          </w:tcPr>
          <w:p w14:paraId="734AF27B" w14:textId="17A9D164" w:rsidR="003D4F94" w:rsidRPr="003D4F94" w:rsidRDefault="003D4F94" w:rsidP="003D4F94">
            <w:pPr>
              <w:jc w:val="right"/>
              <w:rPr>
                <w:rFonts w:cstheme="minorHAnsi"/>
                <w:sz w:val="18"/>
                <w:szCs w:val="18"/>
              </w:rPr>
            </w:pPr>
            <w:r w:rsidRPr="003D4F94">
              <w:rPr>
                <w:rFonts w:cstheme="minorHAnsi"/>
                <w:color w:val="000000"/>
                <w:sz w:val="18"/>
                <w:szCs w:val="18"/>
              </w:rPr>
              <w:t>1,819</w:t>
            </w:r>
          </w:p>
        </w:tc>
        <w:tc>
          <w:tcPr>
            <w:tcW w:w="1035" w:type="dxa"/>
            <w:shd w:val="clear" w:color="auto" w:fill="auto"/>
          </w:tcPr>
          <w:p w14:paraId="1D455C8F" w14:textId="68D2B84D" w:rsidR="003D4F94" w:rsidRPr="003D4F94" w:rsidRDefault="003D4F94" w:rsidP="003D4F94">
            <w:pPr>
              <w:jc w:val="right"/>
              <w:rPr>
                <w:rFonts w:cstheme="minorHAnsi"/>
                <w:sz w:val="18"/>
                <w:szCs w:val="18"/>
              </w:rPr>
            </w:pPr>
            <w:r w:rsidRPr="003D4F94">
              <w:rPr>
                <w:rFonts w:cstheme="minorHAnsi"/>
                <w:color w:val="000000"/>
                <w:sz w:val="18"/>
                <w:szCs w:val="18"/>
              </w:rPr>
              <w:t>0.1%</w:t>
            </w:r>
          </w:p>
        </w:tc>
      </w:tr>
      <w:tr w:rsidR="003D4F94" w14:paraId="09D4B247" w14:textId="77777777" w:rsidTr="001446BB">
        <w:trPr>
          <w:cantSplit/>
        </w:trPr>
        <w:tc>
          <w:tcPr>
            <w:tcW w:w="3150" w:type="dxa"/>
            <w:shd w:val="clear" w:color="auto" w:fill="auto"/>
            <w:vAlign w:val="bottom"/>
          </w:tcPr>
          <w:p w14:paraId="5FBE32BF" w14:textId="1D6B9F74" w:rsidR="003D4F94" w:rsidRPr="003D4F94" w:rsidRDefault="006B4DDB" w:rsidP="003D4F94">
            <w:pPr>
              <w:rPr>
                <w:rFonts w:cstheme="minorHAnsi"/>
                <w:sz w:val="18"/>
                <w:szCs w:val="18"/>
              </w:rPr>
            </w:pPr>
            <w:r>
              <w:rPr>
                <w:rFonts w:cstheme="minorHAnsi"/>
                <w:color w:val="000000"/>
                <w:sz w:val="18"/>
                <w:szCs w:val="18"/>
              </w:rPr>
              <w:t xml:space="preserve">Race: </w:t>
            </w:r>
            <w:r w:rsidR="003D4F94" w:rsidRPr="003D4F94">
              <w:rPr>
                <w:rFonts w:cstheme="minorHAnsi"/>
                <w:color w:val="000000"/>
                <w:sz w:val="18"/>
                <w:szCs w:val="18"/>
              </w:rPr>
              <w:t>Asian</w:t>
            </w:r>
          </w:p>
        </w:tc>
        <w:tc>
          <w:tcPr>
            <w:tcW w:w="1035" w:type="dxa"/>
          </w:tcPr>
          <w:p w14:paraId="1EADA9F9" w14:textId="0CFC360B" w:rsidR="003D4F94" w:rsidRPr="003D4F94" w:rsidRDefault="003D4F94" w:rsidP="003D4F94">
            <w:pPr>
              <w:jc w:val="right"/>
              <w:rPr>
                <w:rFonts w:cstheme="minorHAnsi"/>
                <w:sz w:val="18"/>
                <w:szCs w:val="18"/>
              </w:rPr>
            </w:pPr>
            <w:r w:rsidRPr="003D4F94">
              <w:rPr>
                <w:rFonts w:cstheme="minorHAnsi"/>
                <w:color w:val="000000"/>
                <w:sz w:val="18"/>
                <w:szCs w:val="18"/>
              </w:rPr>
              <w:t>86,041</w:t>
            </w:r>
          </w:p>
        </w:tc>
        <w:tc>
          <w:tcPr>
            <w:tcW w:w="1035" w:type="dxa"/>
          </w:tcPr>
          <w:p w14:paraId="075E6E1B" w14:textId="42B1F54D" w:rsidR="003D4F94" w:rsidRPr="003D4F94" w:rsidRDefault="003D4F94" w:rsidP="003D4F94">
            <w:pPr>
              <w:jc w:val="right"/>
              <w:rPr>
                <w:rFonts w:cstheme="minorHAnsi"/>
                <w:sz w:val="18"/>
                <w:szCs w:val="18"/>
              </w:rPr>
            </w:pPr>
            <w:r w:rsidRPr="003D4F94">
              <w:rPr>
                <w:rFonts w:cstheme="minorHAnsi"/>
                <w:color w:val="000000"/>
                <w:sz w:val="18"/>
                <w:szCs w:val="18"/>
              </w:rPr>
              <w:t>6.0%</w:t>
            </w:r>
          </w:p>
        </w:tc>
        <w:tc>
          <w:tcPr>
            <w:tcW w:w="1035" w:type="dxa"/>
          </w:tcPr>
          <w:p w14:paraId="4CB2C192" w14:textId="401C5261" w:rsidR="003D4F94" w:rsidRPr="003D4F94" w:rsidRDefault="003D4F94" w:rsidP="003D4F94">
            <w:pPr>
              <w:jc w:val="right"/>
              <w:rPr>
                <w:rFonts w:cstheme="minorHAnsi"/>
                <w:sz w:val="18"/>
                <w:szCs w:val="18"/>
              </w:rPr>
            </w:pPr>
            <w:r w:rsidRPr="003D4F94">
              <w:rPr>
                <w:rFonts w:cstheme="minorHAnsi"/>
                <w:color w:val="000000"/>
                <w:sz w:val="18"/>
                <w:szCs w:val="18"/>
              </w:rPr>
              <w:t>92,716</w:t>
            </w:r>
          </w:p>
        </w:tc>
        <w:tc>
          <w:tcPr>
            <w:tcW w:w="1035" w:type="dxa"/>
          </w:tcPr>
          <w:p w14:paraId="00B8EDFC" w14:textId="1991310D" w:rsidR="003D4F94" w:rsidRPr="003D4F94" w:rsidRDefault="003D4F94" w:rsidP="003D4F94">
            <w:pPr>
              <w:jc w:val="right"/>
              <w:rPr>
                <w:rFonts w:cstheme="minorHAnsi"/>
                <w:sz w:val="18"/>
                <w:szCs w:val="18"/>
              </w:rPr>
            </w:pPr>
            <w:r w:rsidRPr="003D4F94">
              <w:rPr>
                <w:rFonts w:cstheme="minorHAnsi"/>
                <w:color w:val="000000"/>
                <w:sz w:val="18"/>
                <w:szCs w:val="18"/>
              </w:rPr>
              <w:t>6.7%</w:t>
            </w:r>
          </w:p>
        </w:tc>
        <w:tc>
          <w:tcPr>
            <w:tcW w:w="1035" w:type="dxa"/>
            <w:shd w:val="clear" w:color="auto" w:fill="auto"/>
          </w:tcPr>
          <w:p w14:paraId="518E9E42" w14:textId="72138315" w:rsidR="003D4F94" w:rsidRPr="003D4F94" w:rsidRDefault="003D4F94" w:rsidP="003D4F94">
            <w:pPr>
              <w:jc w:val="right"/>
              <w:rPr>
                <w:rFonts w:cstheme="minorHAnsi"/>
                <w:sz w:val="18"/>
                <w:szCs w:val="18"/>
              </w:rPr>
            </w:pPr>
            <w:r w:rsidRPr="003D4F94">
              <w:rPr>
                <w:rFonts w:cstheme="minorHAnsi"/>
                <w:color w:val="000000"/>
                <w:sz w:val="18"/>
                <w:szCs w:val="18"/>
              </w:rPr>
              <w:t>95,061</w:t>
            </w:r>
          </w:p>
        </w:tc>
        <w:tc>
          <w:tcPr>
            <w:tcW w:w="1035" w:type="dxa"/>
            <w:shd w:val="clear" w:color="auto" w:fill="auto"/>
          </w:tcPr>
          <w:p w14:paraId="675A2F47" w14:textId="7198A1C8" w:rsidR="003D4F94" w:rsidRPr="003D4F94" w:rsidRDefault="003D4F94" w:rsidP="003D4F94">
            <w:pPr>
              <w:jc w:val="right"/>
              <w:rPr>
                <w:rFonts w:cstheme="minorHAnsi"/>
                <w:sz w:val="18"/>
                <w:szCs w:val="18"/>
              </w:rPr>
            </w:pPr>
            <w:r w:rsidRPr="003D4F94">
              <w:rPr>
                <w:rFonts w:cstheme="minorHAnsi"/>
                <w:color w:val="000000"/>
                <w:sz w:val="18"/>
                <w:szCs w:val="18"/>
              </w:rPr>
              <w:t>6.8%</w:t>
            </w:r>
          </w:p>
        </w:tc>
      </w:tr>
      <w:tr w:rsidR="003D4F94" w14:paraId="1EA72CC6" w14:textId="77777777" w:rsidTr="001446BB">
        <w:trPr>
          <w:cantSplit/>
        </w:trPr>
        <w:tc>
          <w:tcPr>
            <w:tcW w:w="3150" w:type="dxa"/>
            <w:shd w:val="clear" w:color="auto" w:fill="auto"/>
            <w:vAlign w:val="bottom"/>
          </w:tcPr>
          <w:p w14:paraId="3FC80E75" w14:textId="34912B6F" w:rsidR="003D4F94" w:rsidRPr="003D4F94" w:rsidRDefault="006B4DDB" w:rsidP="003D4F94">
            <w:pPr>
              <w:rPr>
                <w:rFonts w:cstheme="minorHAnsi"/>
                <w:sz w:val="18"/>
                <w:szCs w:val="18"/>
              </w:rPr>
            </w:pPr>
            <w:r>
              <w:rPr>
                <w:rFonts w:cstheme="minorHAnsi"/>
                <w:color w:val="000000"/>
                <w:sz w:val="18"/>
                <w:szCs w:val="18"/>
              </w:rPr>
              <w:t xml:space="preserve">Race: </w:t>
            </w:r>
            <w:r w:rsidR="003D4F94" w:rsidRPr="003D4F94">
              <w:rPr>
                <w:rFonts w:cstheme="minorHAnsi"/>
                <w:color w:val="000000"/>
                <w:sz w:val="18"/>
                <w:szCs w:val="18"/>
              </w:rPr>
              <w:t>Native Hawaiian or Other Pacific Islander</w:t>
            </w:r>
          </w:p>
        </w:tc>
        <w:tc>
          <w:tcPr>
            <w:tcW w:w="1035" w:type="dxa"/>
          </w:tcPr>
          <w:p w14:paraId="78DF6EF9" w14:textId="3730EE37" w:rsidR="003D4F94" w:rsidRPr="003D4F94" w:rsidRDefault="003D4F94" w:rsidP="003D4F94">
            <w:pPr>
              <w:jc w:val="right"/>
              <w:rPr>
                <w:rFonts w:cstheme="minorHAnsi"/>
                <w:sz w:val="18"/>
                <w:szCs w:val="18"/>
              </w:rPr>
            </w:pPr>
            <w:r w:rsidRPr="003D4F94">
              <w:rPr>
                <w:rFonts w:cstheme="minorHAnsi"/>
                <w:color w:val="000000"/>
                <w:sz w:val="18"/>
                <w:szCs w:val="18"/>
              </w:rPr>
              <w:t>1,007</w:t>
            </w:r>
          </w:p>
        </w:tc>
        <w:tc>
          <w:tcPr>
            <w:tcW w:w="1035" w:type="dxa"/>
          </w:tcPr>
          <w:p w14:paraId="2EB149CF" w14:textId="6B2F81AE" w:rsidR="003D4F94" w:rsidRPr="003D4F94" w:rsidRDefault="003D4F94" w:rsidP="003D4F94">
            <w:pPr>
              <w:jc w:val="right"/>
              <w:rPr>
                <w:rFonts w:cstheme="minorHAnsi"/>
                <w:sz w:val="18"/>
                <w:szCs w:val="18"/>
              </w:rPr>
            </w:pPr>
            <w:r w:rsidRPr="003D4F94">
              <w:rPr>
                <w:rFonts w:cstheme="minorHAnsi"/>
                <w:color w:val="000000"/>
                <w:sz w:val="18"/>
                <w:szCs w:val="18"/>
              </w:rPr>
              <w:t>0.1%</w:t>
            </w:r>
          </w:p>
        </w:tc>
        <w:tc>
          <w:tcPr>
            <w:tcW w:w="1035" w:type="dxa"/>
          </w:tcPr>
          <w:p w14:paraId="62694DB5" w14:textId="188ED7EA" w:rsidR="003D4F94" w:rsidRPr="003D4F94" w:rsidRDefault="003D4F94" w:rsidP="003D4F94">
            <w:pPr>
              <w:jc w:val="right"/>
              <w:rPr>
                <w:rFonts w:cstheme="minorHAnsi"/>
                <w:sz w:val="18"/>
                <w:szCs w:val="18"/>
              </w:rPr>
            </w:pPr>
            <w:r w:rsidRPr="003D4F94">
              <w:rPr>
                <w:rFonts w:cstheme="minorHAnsi"/>
                <w:color w:val="000000"/>
                <w:sz w:val="18"/>
                <w:szCs w:val="18"/>
              </w:rPr>
              <w:t>968</w:t>
            </w:r>
          </w:p>
        </w:tc>
        <w:tc>
          <w:tcPr>
            <w:tcW w:w="1035" w:type="dxa"/>
          </w:tcPr>
          <w:p w14:paraId="7CD70BD7" w14:textId="3AFDEE78" w:rsidR="003D4F94" w:rsidRPr="003D4F94" w:rsidRDefault="003D4F94" w:rsidP="003D4F94">
            <w:pPr>
              <w:jc w:val="right"/>
              <w:rPr>
                <w:rFonts w:cstheme="minorHAnsi"/>
                <w:sz w:val="18"/>
                <w:szCs w:val="18"/>
              </w:rPr>
            </w:pPr>
            <w:r w:rsidRPr="003D4F94">
              <w:rPr>
                <w:rFonts w:cstheme="minorHAnsi"/>
                <w:color w:val="000000"/>
                <w:sz w:val="18"/>
                <w:szCs w:val="18"/>
              </w:rPr>
              <w:t>0.1%</w:t>
            </w:r>
          </w:p>
        </w:tc>
        <w:tc>
          <w:tcPr>
            <w:tcW w:w="1035" w:type="dxa"/>
            <w:shd w:val="clear" w:color="auto" w:fill="auto"/>
          </w:tcPr>
          <w:p w14:paraId="60EE374E" w14:textId="3AB24FDB" w:rsidR="003D4F94" w:rsidRPr="003D4F94" w:rsidRDefault="003D4F94" w:rsidP="003D4F94">
            <w:pPr>
              <w:jc w:val="right"/>
              <w:rPr>
                <w:rFonts w:cstheme="minorHAnsi"/>
                <w:sz w:val="18"/>
                <w:szCs w:val="18"/>
              </w:rPr>
            </w:pPr>
            <w:r w:rsidRPr="003D4F94">
              <w:rPr>
                <w:rFonts w:cstheme="minorHAnsi"/>
                <w:color w:val="000000"/>
                <w:sz w:val="18"/>
                <w:szCs w:val="18"/>
              </w:rPr>
              <w:t>934</w:t>
            </w:r>
          </w:p>
        </w:tc>
        <w:tc>
          <w:tcPr>
            <w:tcW w:w="1035" w:type="dxa"/>
            <w:shd w:val="clear" w:color="auto" w:fill="auto"/>
          </w:tcPr>
          <w:p w14:paraId="2DCCA373" w14:textId="65AE4B5D" w:rsidR="003D4F94" w:rsidRPr="003D4F94" w:rsidRDefault="003D4F94" w:rsidP="003D4F94">
            <w:pPr>
              <w:jc w:val="right"/>
              <w:rPr>
                <w:rFonts w:cstheme="minorHAnsi"/>
                <w:sz w:val="18"/>
                <w:szCs w:val="18"/>
              </w:rPr>
            </w:pPr>
            <w:r w:rsidRPr="003D4F94">
              <w:rPr>
                <w:rFonts w:cstheme="minorHAnsi"/>
                <w:color w:val="000000"/>
                <w:sz w:val="18"/>
                <w:szCs w:val="18"/>
              </w:rPr>
              <w:t>0.1%</w:t>
            </w:r>
          </w:p>
        </w:tc>
      </w:tr>
      <w:tr w:rsidR="003D4F94" w14:paraId="309BC3CA" w14:textId="77777777" w:rsidTr="001446BB">
        <w:trPr>
          <w:cantSplit/>
        </w:trPr>
        <w:tc>
          <w:tcPr>
            <w:tcW w:w="3150" w:type="dxa"/>
            <w:shd w:val="clear" w:color="auto" w:fill="auto"/>
            <w:vAlign w:val="bottom"/>
          </w:tcPr>
          <w:p w14:paraId="0E6D720A" w14:textId="38B9D46B" w:rsidR="003D4F94" w:rsidRPr="003D4F94" w:rsidRDefault="006B4DDB" w:rsidP="003D4F94">
            <w:pPr>
              <w:rPr>
                <w:rFonts w:cstheme="minorHAnsi"/>
                <w:sz w:val="18"/>
                <w:szCs w:val="18"/>
              </w:rPr>
            </w:pPr>
            <w:r>
              <w:rPr>
                <w:rFonts w:cstheme="minorHAnsi"/>
                <w:color w:val="000000"/>
                <w:sz w:val="18"/>
                <w:szCs w:val="18"/>
              </w:rPr>
              <w:t xml:space="preserve">Race: </w:t>
            </w:r>
            <w:r w:rsidR="003D4F94" w:rsidRPr="003D4F94">
              <w:rPr>
                <w:rFonts w:cstheme="minorHAnsi"/>
                <w:color w:val="000000"/>
                <w:sz w:val="18"/>
                <w:szCs w:val="18"/>
              </w:rPr>
              <w:t>Other</w:t>
            </w:r>
          </w:p>
        </w:tc>
        <w:tc>
          <w:tcPr>
            <w:tcW w:w="1035" w:type="dxa"/>
          </w:tcPr>
          <w:p w14:paraId="17BC8F66" w14:textId="5CAF3017" w:rsidR="003D4F94" w:rsidRPr="003D4F94" w:rsidRDefault="003D4F94" w:rsidP="003D4F94">
            <w:pPr>
              <w:jc w:val="right"/>
              <w:rPr>
                <w:rFonts w:cstheme="minorHAnsi"/>
                <w:sz w:val="18"/>
                <w:szCs w:val="18"/>
              </w:rPr>
            </w:pPr>
            <w:r w:rsidRPr="003D4F94">
              <w:rPr>
                <w:rFonts w:cstheme="minorHAnsi"/>
                <w:color w:val="000000"/>
                <w:sz w:val="18"/>
                <w:szCs w:val="18"/>
              </w:rPr>
              <w:t>70,296</w:t>
            </w:r>
          </w:p>
        </w:tc>
        <w:tc>
          <w:tcPr>
            <w:tcW w:w="1035" w:type="dxa"/>
          </w:tcPr>
          <w:p w14:paraId="37D60483" w14:textId="47D4BA3F" w:rsidR="003D4F94" w:rsidRPr="003D4F94" w:rsidRDefault="003D4F94" w:rsidP="003D4F94">
            <w:pPr>
              <w:jc w:val="right"/>
              <w:rPr>
                <w:rFonts w:cstheme="minorHAnsi"/>
                <w:sz w:val="18"/>
                <w:szCs w:val="18"/>
              </w:rPr>
            </w:pPr>
            <w:r w:rsidRPr="003D4F94">
              <w:rPr>
                <w:rFonts w:cstheme="minorHAnsi"/>
                <w:color w:val="000000"/>
                <w:sz w:val="18"/>
                <w:szCs w:val="18"/>
              </w:rPr>
              <w:t>4.9%</w:t>
            </w:r>
          </w:p>
        </w:tc>
        <w:tc>
          <w:tcPr>
            <w:tcW w:w="1035" w:type="dxa"/>
          </w:tcPr>
          <w:p w14:paraId="2877E1DE" w14:textId="46F9DF33" w:rsidR="003D4F94" w:rsidRPr="003D4F94" w:rsidRDefault="003D4F94" w:rsidP="003D4F94">
            <w:pPr>
              <w:jc w:val="right"/>
              <w:rPr>
                <w:rFonts w:cstheme="minorHAnsi"/>
                <w:sz w:val="18"/>
                <w:szCs w:val="18"/>
              </w:rPr>
            </w:pPr>
            <w:r w:rsidRPr="003D4F94">
              <w:rPr>
                <w:rFonts w:cstheme="minorHAnsi"/>
                <w:color w:val="000000"/>
                <w:sz w:val="18"/>
                <w:szCs w:val="18"/>
              </w:rPr>
              <w:t>67,993</w:t>
            </w:r>
          </w:p>
        </w:tc>
        <w:tc>
          <w:tcPr>
            <w:tcW w:w="1035" w:type="dxa"/>
          </w:tcPr>
          <w:p w14:paraId="1A20D80B" w14:textId="7AF478F9" w:rsidR="003D4F94" w:rsidRPr="003D4F94" w:rsidRDefault="003D4F94" w:rsidP="003D4F94">
            <w:pPr>
              <w:jc w:val="right"/>
              <w:rPr>
                <w:rFonts w:cstheme="minorHAnsi"/>
                <w:sz w:val="18"/>
                <w:szCs w:val="18"/>
              </w:rPr>
            </w:pPr>
            <w:r w:rsidRPr="003D4F94">
              <w:rPr>
                <w:rFonts w:cstheme="minorHAnsi"/>
                <w:color w:val="000000"/>
                <w:sz w:val="18"/>
                <w:szCs w:val="18"/>
              </w:rPr>
              <w:t>4.9%</w:t>
            </w:r>
          </w:p>
        </w:tc>
        <w:tc>
          <w:tcPr>
            <w:tcW w:w="1035" w:type="dxa"/>
            <w:shd w:val="clear" w:color="auto" w:fill="auto"/>
          </w:tcPr>
          <w:p w14:paraId="790CE207" w14:textId="0FD1D34F" w:rsidR="003D4F94" w:rsidRPr="003D4F94" w:rsidRDefault="003D4F94" w:rsidP="003D4F94">
            <w:pPr>
              <w:jc w:val="right"/>
              <w:rPr>
                <w:rFonts w:cstheme="minorHAnsi"/>
                <w:sz w:val="18"/>
                <w:szCs w:val="18"/>
              </w:rPr>
            </w:pPr>
            <w:r w:rsidRPr="003D4F94">
              <w:rPr>
                <w:rFonts w:cstheme="minorHAnsi"/>
                <w:color w:val="000000"/>
                <w:sz w:val="18"/>
                <w:szCs w:val="18"/>
              </w:rPr>
              <w:t>66,961</w:t>
            </w:r>
          </w:p>
        </w:tc>
        <w:tc>
          <w:tcPr>
            <w:tcW w:w="1035" w:type="dxa"/>
            <w:shd w:val="clear" w:color="auto" w:fill="auto"/>
          </w:tcPr>
          <w:p w14:paraId="7E48240B" w14:textId="7FA43212" w:rsidR="003D4F94" w:rsidRPr="003D4F94" w:rsidRDefault="003D4F94" w:rsidP="003D4F94">
            <w:pPr>
              <w:jc w:val="right"/>
              <w:rPr>
                <w:rFonts w:cstheme="minorHAnsi"/>
                <w:sz w:val="18"/>
                <w:szCs w:val="18"/>
              </w:rPr>
            </w:pPr>
            <w:r w:rsidRPr="003D4F94">
              <w:rPr>
                <w:rFonts w:cstheme="minorHAnsi"/>
                <w:color w:val="000000"/>
                <w:sz w:val="18"/>
                <w:szCs w:val="18"/>
              </w:rPr>
              <w:t>4.8%</w:t>
            </w:r>
          </w:p>
        </w:tc>
      </w:tr>
      <w:tr w:rsidR="003D4F94" w14:paraId="359CC34E" w14:textId="77777777" w:rsidTr="001446BB">
        <w:trPr>
          <w:cantSplit/>
        </w:trPr>
        <w:tc>
          <w:tcPr>
            <w:tcW w:w="3150" w:type="dxa"/>
            <w:shd w:val="clear" w:color="auto" w:fill="auto"/>
            <w:vAlign w:val="bottom"/>
          </w:tcPr>
          <w:p w14:paraId="62B2F7B8" w14:textId="473E42FC" w:rsidR="003D4F94" w:rsidRPr="003D4F94" w:rsidRDefault="006B4DDB" w:rsidP="003D4F94">
            <w:pPr>
              <w:rPr>
                <w:rFonts w:cstheme="minorHAnsi"/>
                <w:sz w:val="18"/>
                <w:szCs w:val="18"/>
              </w:rPr>
            </w:pPr>
            <w:r>
              <w:rPr>
                <w:rFonts w:cstheme="minorHAnsi"/>
                <w:color w:val="000000"/>
                <w:sz w:val="18"/>
                <w:szCs w:val="18"/>
              </w:rPr>
              <w:t xml:space="preserve">Race: </w:t>
            </w:r>
            <w:r w:rsidR="003D4F94" w:rsidRPr="003D4F94">
              <w:rPr>
                <w:rFonts w:cstheme="minorHAnsi"/>
                <w:color w:val="000000"/>
                <w:sz w:val="18"/>
                <w:szCs w:val="18"/>
              </w:rPr>
              <w:t>Unknown</w:t>
            </w:r>
          </w:p>
        </w:tc>
        <w:tc>
          <w:tcPr>
            <w:tcW w:w="1035" w:type="dxa"/>
          </w:tcPr>
          <w:p w14:paraId="06D637CC" w14:textId="667DDBA7" w:rsidR="003D4F94" w:rsidRPr="003D4F94" w:rsidRDefault="003D4F94" w:rsidP="003D4F94">
            <w:pPr>
              <w:jc w:val="right"/>
              <w:rPr>
                <w:rFonts w:cstheme="minorHAnsi"/>
                <w:sz w:val="18"/>
                <w:szCs w:val="18"/>
              </w:rPr>
            </w:pPr>
            <w:r w:rsidRPr="003D4F94">
              <w:rPr>
                <w:rFonts w:cstheme="minorHAnsi"/>
                <w:color w:val="000000"/>
                <w:sz w:val="18"/>
                <w:szCs w:val="18"/>
              </w:rPr>
              <w:t>115,782</w:t>
            </w:r>
          </w:p>
        </w:tc>
        <w:tc>
          <w:tcPr>
            <w:tcW w:w="1035" w:type="dxa"/>
          </w:tcPr>
          <w:p w14:paraId="63273A70" w14:textId="05607BA7" w:rsidR="003D4F94" w:rsidRPr="003D4F94" w:rsidRDefault="003D4F94" w:rsidP="003D4F94">
            <w:pPr>
              <w:jc w:val="right"/>
              <w:rPr>
                <w:rFonts w:cstheme="minorHAnsi"/>
                <w:sz w:val="18"/>
                <w:szCs w:val="18"/>
              </w:rPr>
            </w:pPr>
            <w:r w:rsidRPr="003D4F94">
              <w:rPr>
                <w:rFonts w:cstheme="minorHAnsi"/>
                <w:color w:val="000000"/>
                <w:sz w:val="18"/>
                <w:szCs w:val="18"/>
              </w:rPr>
              <w:t>8.1%</w:t>
            </w:r>
          </w:p>
        </w:tc>
        <w:tc>
          <w:tcPr>
            <w:tcW w:w="1035" w:type="dxa"/>
          </w:tcPr>
          <w:p w14:paraId="72F9D6C4" w14:textId="617461F3" w:rsidR="003D4F94" w:rsidRPr="003D4F94" w:rsidRDefault="003D4F94" w:rsidP="003D4F94">
            <w:pPr>
              <w:jc w:val="right"/>
              <w:rPr>
                <w:rFonts w:cstheme="minorHAnsi"/>
                <w:sz w:val="18"/>
                <w:szCs w:val="18"/>
              </w:rPr>
            </w:pPr>
            <w:r w:rsidRPr="003D4F94">
              <w:rPr>
                <w:rFonts w:cstheme="minorHAnsi"/>
                <w:color w:val="000000"/>
                <w:sz w:val="18"/>
                <w:szCs w:val="18"/>
              </w:rPr>
              <w:t>83,494</w:t>
            </w:r>
          </w:p>
        </w:tc>
        <w:tc>
          <w:tcPr>
            <w:tcW w:w="1035" w:type="dxa"/>
          </w:tcPr>
          <w:p w14:paraId="75B1159C" w14:textId="48DE8E87" w:rsidR="003D4F94" w:rsidRPr="003D4F94" w:rsidRDefault="003D4F94" w:rsidP="003D4F94">
            <w:pPr>
              <w:jc w:val="right"/>
              <w:rPr>
                <w:rFonts w:cstheme="minorHAnsi"/>
                <w:sz w:val="18"/>
                <w:szCs w:val="18"/>
              </w:rPr>
            </w:pPr>
            <w:r w:rsidRPr="003D4F94">
              <w:rPr>
                <w:rFonts w:cstheme="minorHAnsi"/>
                <w:color w:val="000000"/>
                <w:sz w:val="18"/>
                <w:szCs w:val="18"/>
              </w:rPr>
              <w:t>6.0%</w:t>
            </w:r>
          </w:p>
        </w:tc>
        <w:tc>
          <w:tcPr>
            <w:tcW w:w="1035" w:type="dxa"/>
            <w:shd w:val="clear" w:color="auto" w:fill="auto"/>
          </w:tcPr>
          <w:p w14:paraId="2596FDFB" w14:textId="1D0EB66C" w:rsidR="003D4F94" w:rsidRPr="003D4F94" w:rsidRDefault="003D4F94" w:rsidP="003D4F94">
            <w:pPr>
              <w:jc w:val="right"/>
              <w:rPr>
                <w:rFonts w:cstheme="minorHAnsi"/>
                <w:sz w:val="18"/>
                <w:szCs w:val="18"/>
              </w:rPr>
            </w:pPr>
            <w:r w:rsidRPr="003D4F94">
              <w:rPr>
                <w:rFonts w:cstheme="minorHAnsi"/>
                <w:color w:val="000000"/>
                <w:sz w:val="18"/>
                <w:szCs w:val="18"/>
              </w:rPr>
              <w:t>78,252</w:t>
            </w:r>
          </w:p>
        </w:tc>
        <w:tc>
          <w:tcPr>
            <w:tcW w:w="1035" w:type="dxa"/>
            <w:shd w:val="clear" w:color="auto" w:fill="auto"/>
          </w:tcPr>
          <w:p w14:paraId="2C9A46D9" w14:textId="58791DDB" w:rsidR="003D4F94" w:rsidRPr="003D4F94" w:rsidRDefault="003D4F94" w:rsidP="003D4F94">
            <w:pPr>
              <w:jc w:val="right"/>
              <w:rPr>
                <w:rFonts w:cstheme="minorHAnsi"/>
                <w:sz w:val="18"/>
                <w:szCs w:val="18"/>
              </w:rPr>
            </w:pPr>
            <w:r w:rsidRPr="003D4F94">
              <w:rPr>
                <w:rFonts w:cstheme="minorHAnsi"/>
                <w:color w:val="000000"/>
                <w:sz w:val="18"/>
                <w:szCs w:val="18"/>
              </w:rPr>
              <w:t>5.6%</w:t>
            </w:r>
          </w:p>
        </w:tc>
      </w:tr>
      <w:tr w:rsidR="003D4F94" w14:paraId="08C867DF" w14:textId="77777777" w:rsidTr="001446BB">
        <w:trPr>
          <w:cantSplit/>
        </w:trPr>
        <w:tc>
          <w:tcPr>
            <w:tcW w:w="3150" w:type="dxa"/>
            <w:shd w:val="clear" w:color="auto" w:fill="auto"/>
            <w:vAlign w:val="bottom"/>
          </w:tcPr>
          <w:p w14:paraId="59FD6452" w14:textId="42301707" w:rsidR="003D4F94" w:rsidRPr="003D4F94" w:rsidRDefault="006B4DDB" w:rsidP="003D4F94">
            <w:pPr>
              <w:rPr>
                <w:rFonts w:cstheme="minorHAnsi"/>
                <w:sz w:val="18"/>
                <w:szCs w:val="18"/>
              </w:rPr>
            </w:pPr>
            <w:r>
              <w:rPr>
                <w:rFonts w:cstheme="minorHAnsi"/>
                <w:color w:val="000000"/>
                <w:sz w:val="18"/>
                <w:szCs w:val="18"/>
              </w:rPr>
              <w:t xml:space="preserve">Race: </w:t>
            </w:r>
            <w:r w:rsidR="003D4F94" w:rsidRPr="003D4F94">
              <w:rPr>
                <w:rFonts w:cstheme="minorHAnsi"/>
                <w:color w:val="000000"/>
                <w:sz w:val="18"/>
                <w:szCs w:val="18"/>
              </w:rPr>
              <w:t>Patient Declined</w:t>
            </w:r>
          </w:p>
        </w:tc>
        <w:tc>
          <w:tcPr>
            <w:tcW w:w="1035" w:type="dxa"/>
          </w:tcPr>
          <w:p w14:paraId="68FE8796" w14:textId="3A104E08" w:rsidR="003D4F94" w:rsidRPr="003D4F94" w:rsidRDefault="003D4F94" w:rsidP="003D4F94">
            <w:pPr>
              <w:jc w:val="right"/>
              <w:rPr>
                <w:rFonts w:cstheme="minorHAnsi"/>
                <w:sz w:val="18"/>
                <w:szCs w:val="18"/>
              </w:rPr>
            </w:pPr>
            <w:r w:rsidRPr="003D4F94">
              <w:rPr>
                <w:rFonts w:cstheme="minorHAnsi"/>
                <w:color w:val="000000"/>
                <w:sz w:val="18"/>
                <w:szCs w:val="18"/>
              </w:rPr>
              <w:t>17,296</w:t>
            </w:r>
          </w:p>
        </w:tc>
        <w:tc>
          <w:tcPr>
            <w:tcW w:w="1035" w:type="dxa"/>
          </w:tcPr>
          <w:p w14:paraId="07A4719E" w14:textId="1E8E5FD3" w:rsidR="003D4F94" w:rsidRPr="003D4F94" w:rsidRDefault="003D4F94" w:rsidP="003D4F94">
            <w:pPr>
              <w:jc w:val="right"/>
              <w:rPr>
                <w:rFonts w:cstheme="minorHAnsi"/>
                <w:sz w:val="18"/>
                <w:szCs w:val="18"/>
              </w:rPr>
            </w:pPr>
            <w:r w:rsidRPr="003D4F94">
              <w:rPr>
                <w:rFonts w:cstheme="minorHAnsi"/>
                <w:color w:val="000000"/>
                <w:sz w:val="18"/>
                <w:szCs w:val="18"/>
              </w:rPr>
              <w:t>1.2%</w:t>
            </w:r>
          </w:p>
        </w:tc>
        <w:tc>
          <w:tcPr>
            <w:tcW w:w="1035" w:type="dxa"/>
          </w:tcPr>
          <w:p w14:paraId="4AA771FF" w14:textId="56FEF01A" w:rsidR="003D4F94" w:rsidRPr="003D4F94" w:rsidRDefault="003D4F94" w:rsidP="003D4F94">
            <w:pPr>
              <w:jc w:val="right"/>
              <w:rPr>
                <w:rFonts w:cstheme="minorHAnsi"/>
                <w:sz w:val="18"/>
                <w:szCs w:val="18"/>
              </w:rPr>
            </w:pPr>
            <w:r w:rsidRPr="003D4F94">
              <w:rPr>
                <w:rFonts w:cstheme="minorHAnsi"/>
                <w:color w:val="000000"/>
                <w:sz w:val="18"/>
                <w:szCs w:val="18"/>
              </w:rPr>
              <w:t>19,092</w:t>
            </w:r>
          </w:p>
        </w:tc>
        <w:tc>
          <w:tcPr>
            <w:tcW w:w="1035" w:type="dxa"/>
          </w:tcPr>
          <w:p w14:paraId="14CD14F0" w14:textId="0D4DF61B" w:rsidR="003D4F94" w:rsidRPr="003D4F94" w:rsidRDefault="003D4F94" w:rsidP="003D4F94">
            <w:pPr>
              <w:jc w:val="right"/>
              <w:rPr>
                <w:rFonts w:cstheme="minorHAnsi"/>
                <w:sz w:val="18"/>
                <w:szCs w:val="18"/>
              </w:rPr>
            </w:pPr>
            <w:r w:rsidRPr="003D4F94">
              <w:rPr>
                <w:rFonts w:cstheme="minorHAnsi"/>
                <w:color w:val="000000"/>
                <w:sz w:val="18"/>
                <w:szCs w:val="18"/>
              </w:rPr>
              <w:t>1.4%</w:t>
            </w:r>
          </w:p>
        </w:tc>
        <w:tc>
          <w:tcPr>
            <w:tcW w:w="1035" w:type="dxa"/>
            <w:shd w:val="clear" w:color="auto" w:fill="auto"/>
          </w:tcPr>
          <w:p w14:paraId="1AA8F1BD" w14:textId="02E7296D" w:rsidR="003D4F94" w:rsidRPr="003D4F94" w:rsidRDefault="003D4F94" w:rsidP="003D4F94">
            <w:pPr>
              <w:jc w:val="right"/>
              <w:rPr>
                <w:rFonts w:cstheme="minorHAnsi"/>
                <w:sz w:val="18"/>
                <w:szCs w:val="18"/>
              </w:rPr>
            </w:pPr>
            <w:r w:rsidRPr="003D4F94">
              <w:rPr>
                <w:rFonts w:cstheme="minorHAnsi"/>
                <w:color w:val="000000"/>
                <w:sz w:val="18"/>
                <w:szCs w:val="18"/>
              </w:rPr>
              <w:t>19,435</w:t>
            </w:r>
          </w:p>
        </w:tc>
        <w:tc>
          <w:tcPr>
            <w:tcW w:w="1035" w:type="dxa"/>
            <w:shd w:val="clear" w:color="auto" w:fill="auto"/>
          </w:tcPr>
          <w:p w14:paraId="5E4E9C20" w14:textId="792CF63D" w:rsidR="003D4F94" w:rsidRPr="003D4F94" w:rsidRDefault="003D4F94" w:rsidP="003D4F94">
            <w:pPr>
              <w:jc w:val="right"/>
              <w:rPr>
                <w:rFonts w:cstheme="minorHAnsi"/>
                <w:sz w:val="18"/>
                <w:szCs w:val="18"/>
              </w:rPr>
            </w:pPr>
            <w:r w:rsidRPr="003D4F94">
              <w:rPr>
                <w:rFonts w:cstheme="minorHAnsi"/>
                <w:color w:val="000000"/>
                <w:sz w:val="18"/>
                <w:szCs w:val="18"/>
              </w:rPr>
              <w:t>1.4%</w:t>
            </w:r>
          </w:p>
        </w:tc>
      </w:tr>
      <w:tr w:rsidR="003D4F94" w14:paraId="28A1CDD1" w14:textId="77777777" w:rsidTr="001446BB">
        <w:trPr>
          <w:cantSplit/>
        </w:trPr>
        <w:tc>
          <w:tcPr>
            <w:tcW w:w="3150" w:type="dxa"/>
            <w:shd w:val="clear" w:color="auto" w:fill="auto"/>
            <w:vAlign w:val="bottom"/>
          </w:tcPr>
          <w:p w14:paraId="0B458D3D" w14:textId="0CA062D8" w:rsidR="003D4F94" w:rsidRPr="003D4F94" w:rsidRDefault="003D4F94" w:rsidP="003D4F94">
            <w:pPr>
              <w:rPr>
                <w:rFonts w:cstheme="minorHAnsi"/>
                <w:sz w:val="18"/>
                <w:szCs w:val="18"/>
              </w:rPr>
            </w:pPr>
            <w:r>
              <w:rPr>
                <w:rFonts w:cstheme="minorHAnsi"/>
                <w:color w:val="000000"/>
                <w:sz w:val="18"/>
                <w:szCs w:val="18"/>
              </w:rPr>
              <w:t xml:space="preserve">Ethnicity: </w:t>
            </w:r>
            <w:r w:rsidRPr="003D4F94">
              <w:rPr>
                <w:rFonts w:cstheme="minorHAnsi"/>
                <w:color w:val="000000"/>
                <w:sz w:val="18"/>
                <w:szCs w:val="18"/>
              </w:rPr>
              <w:t>Hispanic or Latino</w:t>
            </w:r>
          </w:p>
        </w:tc>
        <w:tc>
          <w:tcPr>
            <w:tcW w:w="1035" w:type="dxa"/>
          </w:tcPr>
          <w:p w14:paraId="06480B9F" w14:textId="56A6585E" w:rsidR="003D4F94" w:rsidRPr="003D4F94" w:rsidRDefault="003D4F94" w:rsidP="003D4F94">
            <w:pPr>
              <w:jc w:val="right"/>
              <w:rPr>
                <w:rFonts w:cstheme="minorHAnsi"/>
                <w:sz w:val="18"/>
                <w:szCs w:val="18"/>
              </w:rPr>
            </w:pPr>
            <w:r w:rsidRPr="003D4F94">
              <w:rPr>
                <w:rFonts w:cstheme="minorHAnsi"/>
                <w:color w:val="000000"/>
                <w:sz w:val="18"/>
                <w:szCs w:val="18"/>
              </w:rPr>
              <w:t>56,446</w:t>
            </w:r>
          </w:p>
        </w:tc>
        <w:tc>
          <w:tcPr>
            <w:tcW w:w="1035" w:type="dxa"/>
          </w:tcPr>
          <w:p w14:paraId="14F2778E" w14:textId="469900DD" w:rsidR="003D4F94" w:rsidRPr="003D4F94" w:rsidRDefault="003D4F94" w:rsidP="003D4F94">
            <w:pPr>
              <w:jc w:val="right"/>
              <w:rPr>
                <w:rFonts w:cstheme="minorHAnsi"/>
                <w:sz w:val="18"/>
                <w:szCs w:val="18"/>
              </w:rPr>
            </w:pPr>
            <w:r w:rsidRPr="003D4F94">
              <w:rPr>
                <w:rFonts w:cstheme="minorHAnsi"/>
                <w:color w:val="000000"/>
                <w:sz w:val="18"/>
                <w:szCs w:val="18"/>
              </w:rPr>
              <w:t>3.9%</w:t>
            </w:r>
          </w:p>
        </w:tc>
        <w:tc>
          <w:tcPr>
            <w:tcW w:w="1035" w:type="dxa"/>
          </w:tcPr>
          <w:p w14:paraId="34E13D2E" w14:textId="76C2FBA5" w:rsidR="003D4F94" w:rsidRPr="003D4F94" w:rsidRDefault="003D4F94" w:rsidP="003D4F94">
            <w:pPr>
              <w:jc w:val="right"/>
              <w:rPr>
                <w:rFonts w:cstheme="minorHAnsi"/>
                <w:sz w:val="18"/>
                <w:szCs w:val="18"/>
              </w:rPr>
            </w:pPr>
            <w:r w:rsidRPr="003D4F94">
              <w:rPr>
                <w:rFonts w:cstheme="minorHAnsi"/>
                <w:color w:val="000000"/>
                <w:sz w:val="18"/>
                <w:szCs w:val="18"/>
              </w:rPr>
              <w:t>52,941</w:t>
            </w:r>
          </w:p>
        </w:tc>
        <w:tc>
          <w:tcPr>
            <w:tcW w:w="1035" w:type="dxa"/>
          </w:tcPr>
          <w:p w14:paraId="3FF4E933" w14:textId="313CCF38" w:rsidR="003D4F94" w:rsidRPr="003D4F94" w:rsidRDefault="003D4F94" w:rsidP="003D4F94">
            <w:pPr>
              <w:jc w:val="right"/>
              <w:rPr>
                <w:rFonts w:cstheme="minorHAnsi"/>
                <w:sz w:val="18"/>
                <w:szCs w:val="18"/>
              </w:rPr>
            </w:pPr>
            <w:r w:rsidRPr="003D4F94">
              <w:rPr>
                <w:rFonts w:cstheme="minorHAnsi"/>
                <w:color w:val="000000"/>
                <w:sz w:val="18"/>
                <w:szCs w:val="18"/>
              </w:rPr>
              <w:t>3.8%</w:t>
            </w:r>
          </w:p>
        </w:tc>
        <w:tc>
          <w:tcPr>
            <w:tcW w:w="1035" w:type="dxa"/>
            <w:shd w:val="clear" w:color="auto" w:fill="auto"/>
          </w:tcPr>
          <w:p w14:paraId="31A31B0D" w14:textId="04E66EF0" w:rsidR="003D4F94" w:rsidRPr="003D4F94" w:rsidRDefault="003D4F94" w:rsidP="003D4F94">
            <w:pPr>
              <w:jc w:val="right"/>
              <w:rPr>
                <w:rFonts w:cstheme="minorHAnsi"/>
                <w:sz w:val="18"/>
                <w:szCs w:val="18"/>
              </w:rPr>
            </w:pPr>
            <w:r w:rsidRPr="003D4F94">
              <w:rPr>
                <w:rFonts w:cstheme="minorHAnsi"/>
                <w:color w:val="000000"/>
                <w:sz w:val="18"/>
                <w:szCs w:val="18"/>
              </w:rPr>
              <w:t>52,818</w:t>
            </w:r>
          </w:p>
        </w:tc>
        <w:tc>
          <w:tcPr>
            <w:tcW w:w="1035" w:type="dxa"/>
            <w:shd w:val="clear" w:color="auto" w:fill="auto"/>
          </w:tcPr>
          <w:p w14:paraId="59518D2D" w14:textId="173AADA1" w:rsidR="003D4F94" w:rsidRPr="003D4F94" w:rsidRDefault="003D4F94" w:rsidP="003D4F94">
            <w:pPr>
              <w:jc w:val="right"/>
              <w:rPr>
                <w:rFonts w:cstheme="minorHAnsi"/>
                <w:sz w:val="18"/>
                <w:szCs w:val="18"/>
              </w:rPr>
            </w:pPr>
            <w:r w:rsidRPr="003D4F94">
              <w:rPr>
                <w:rFonts w:cstheme="minorHAnsi"/>
                <w:color w:val="000000"/>
                <w:sz w:val="18"/>
                <w:szCs w:val="18"/>
              </w:rPr>
              <w:t>3.8%</w:t>
            </w:r>
          </w:p>
        </w:tc>
      </w:tr>
      <w:tr w:rsidR="003D4F94" w14:paraId="33F4B879" w14:textId="77777777" w:rsidTr="001446BB">
        <w:trPr>
          <w:cantSplit/>
        </w:trPr>
        <w:tc>
          <w:tcPr>
            <w:tcW w:w="3150" w:type="dxa"/>
            <w:shd w:val="clear" w:color="auto" w:fill="auto"/>
            <w:vAlign w:val="bottom"/>
          </w:tcPr>
          <w:p w14:paraId="626195ED" w14:textId="328BAE39" w:rsidR="003D4F94" w:rsidRPr="003D4F94" w:rsidRDefault="006B4DDB" w:rsidP="003D4F94">
            <w:pPr>
              <w:rPr>
                <w:rFonts w:cstheme="minorHAnsi"/>
                <w:sz w:val="18"/>
                <w:szCs w:val="18"/>
              </w:rPr>
            </w:pPr>
            <w:r>
              <w:rPr>
                <w:rFonts w:cstheme="minorHAnsi"/>
                <w:color w:val="000000"/>
                <w:sz w:val="18"/>
                <w:szCs w:val="18"/>
              </w:rPr>
              <w:t xml:space="preserve">Ethnicity: </w:t>
            </w:r>
            <w:r w:rsidR="003D4F94" w:rsidRPr="003D4F94">
              <w:rPr>
                <w:rFonts w:cstheme="minorHAnsi"/>
                <w:color w:val="000000"/>
                <w:sz w:val="18"/>
                <w:szCs w:val="18"/>
              </w:rPr>
              <w:t>Not Hispanic or Latino</w:t>
            </w:r>
          </w:p>
        </w:tc>
        <w:tc>
          <w:tcPr>
            <w:tcW w:w="1035" w:type="dxa"/>
          </w:tcPr>
          <w:p w14:paraId="54C19E7B" w14:textId="36876200" w:rsidR="003D4F94" w:rsidRPr="003D4F94" w:rsidRDefault="003D4F94" w:rsidP="003D4F94">
            <w:pPr>
              <w:jc w:val="right"/>
              <w:rPr>
                <w:rFonts w:cstheme="minorHAnsi"/>
                <w:sz w:val="18"/>
                <w:szCs w:val="18"/>
              </w:rPr>
            </w:pPr>
            <w:r w:rsidRPr="003D4F94">
              <w:rPr>
                <w:rFonts w:cstheme="minorHAnsi"/>
                <w:color w:val="000000"/>
                <w:sz w:val="18"/>
                <w:szCs w:val="18"/>
              </w:rPr>
              <w:t>1,207,159</w:t>
            </w:r>
          </w:p>
        </w:tc>
        <w:tc>
          <w:tcPr>
            <w:tcW w:w="1035" w:type="dxa"/>
          </w:tcPr>
          <w:p w14:paraId="22E9B86A" w14:textId="02C76A54" w:rsidR="003D4F94" w:rsidRPr="003D4F94" w:rsidRDefault="003D4F94" w:rsidP="003D4F94">
            <w:pPr>
              <w:jc w:val="right"/>
              <w:rPr>
                <w:rFonts w:cstheme="minorHAnsi"/>
                <w:sz w:val="18"/>
                <w:szCs w:val="18"/>
              </w:rPr>
            </w:pPr>
            <w:r w:rsidRPr="003D4F94">
              <w:rPr>
                <w:rFonts w:cstheme="minorHAnsi"/>
                <w:color w:val="000000"/>
                <w:sz w:val="18"/>
                <w:szCs w:val="18"/>
              </w:rPr>
              <w:t>84.1%</w:t>
            </w:r>
          </w:p>
        </w:tc>
        <w:tc>
          <w:tcPr>
            <w:tcW w:w="1035" w:type="dxa"/>
          </w:tcPr>
          <w:p w14:paraId="7B548B47" w14:textId="3746C134" w:rsidR="003D4F94" w:rsidRPr="003D4F94" w:rsidRDefault="003D4F94" w:rsidP="003D4F94">
            <w:pPr>
              <w:jc w:val="right"/>
              <w:rPr>
                <w:rFonts w:cstheme="minorHAnsi"/>
                <w:sz w:val="18"/>
                <w:szCs w:val="18"/>
              </w:rPr>
            </w:pPr>
            <w:r w:rsidRPr="003D4F94">
              <w:rPr>
                <w:rFonts w:cstheme="minorHAnsi"/>
                <w:color w:val="000000"/>
                <w:sz w:val="18"/>
                <w:szCs w:val="18"/>
              </w:rPr>
              <w:t>1,215,830</w:t>
            </w:r>
          </w:p>
        </w:tc>
        <w:tc>
          <w:tcPr>
            <w:tcW w:w="1035" w:type="dxa"/>
          </w:tcPr>
          <w:p w14:paraId="75701BA6" w14:textId="306EB392" w:rsidR="003D4F94" w:rsidRPr="003D4F94" w:rsidRDefault="003D4F94" w:rsidP="003D4F94">
            <w:pPr>
              <w:jc w:val="right"/>
              <w:rPr>
                <w:rFonts w:cstheme="minorHAnsi"/>
                <w:sz w:val="18"/>
                <w:szCs w:val="18"/>
              </w:rPr>
            </w:pPr>
            <w:r w:rsidRPr="003D4F94">
              <w:rPr>
                <w:rFonts w:cstheme="minorHAnsi"/>
                <w:color w:val="000000"/>
                <w:sz w:val="18"/>
                <w:szCs w:val="18"/>
              </w:rPr>
              <w:t>87.5%</w:t>
            </w:r>
          </w:p>
        </w:tc>
        <w:tc>
          <w:tcPr>
            <w:tcW w:w="1035" w:type="dxa"/>
            <w:shd w:val="clear" w:color="auto" w:fill="auto"/>
          </w:tcPr>
          <w:p w14:paraId="68E1AF0E" w14:textId="21EBC40E" w:rsidR="003D4F94" w:rsidRPr="003D4F94" w:rsidRDefault="003D4F94" w:rsidP="003D4F94">
            <w:pPr>
              <w:jc w:val="right"/>
              <w:rPr>
                <w:rFonts w:cstheme="minorHAnsi"/>
                <w:sz w:val="18"/>
                <w:szCs w:val="18"/>
              </w:rPr>
            </w:pPr>
            <w:r w:rsidRPr="003D4F94">
              <w:rPr>
                <w:rFonts w:cstheme="minorHAnsi"/>
                <w:color w:val="000000"/>
                <w:sz w:val="18"/>
                <w:szCs w:val="18"/>
              </w:rPr>
              <w:t>1,242,712</w:t>
            </w:r>
          </w:p>
        </w:tc>
        <w:tc>
          <w:tcPr>
            <w:tcW w:w="1035" w:type="dxa"/>
            <w:shd w:val="clear" w:color="auto" w:fill="auto"/>
          </w:tcPr>
          <w:p w14:paraId="3505A0C0" w14:textId="6CCD02A8" w:rsidR="003D4F94" w:rsidRPr="003D4F94" w:rsidRDefault="003D4F94" w:rsidP="003D4F94">
            <w:pPr>
              <w:jc w:val="right"/>
              <w:rPr>
                <w:rFonts w:cstheme="minorHAnsi"/>
                <w:sz w:val="18"/>
                <w:szCs w:val="18"/>
              </w:rPr>
            </w:pPr>
            <w:r w:rsidRPr="003D4F94">
              <w:rPr>
                <w:rFonts w:cstheme="minorHAnsi"/>
                <w:color w:val="000000"/>
                <w:sz w:val="18"/>
                <w:szCs w:val="18"/>
              </w:rPr>
              <w:t>88.8%</w:t>
            </w:r>
          </w:p>
        </w:tc>
      </w:tr>
      <w:tr w:rsidR="003D4F94" w14:paraId="64EACD7C" w14:textId="77777777" w:rsidTr="001446BB">
        <w:trPr>
          <w:cantSplit/>
        </w:trPr>
        <w:tc>
          <w:tcPr>
            <w:tcW w:w="3150" w:type="dxa"/>
            <w:shd w:val="clear" w:color="auto" w:fill="auto"/>
            <w:vAlign w:val="bottom"/>
          </w:tcPr>
          <w:p w14:paraId="4E55C1D0" w14:textId="65381382" w:rsidR="003D4F94" w:rsidRPr="003D4F94" w:rsidRDefault="006B4DDB" w:rsidP="003D4F94">
            <w:pPr>
              <w:rPr>
                <w:rFonts w:cstheme="minorHAnsi"/>
                <w:sz w:val="18"/>
                <w:szCs w:val="18"/>
              </w:rPr>
            </w:pPr>
            <w:r>
              <w:rPr>
                <w:rFonts w:cstheme="minorHAnsi"/>
                <w:color w:val="000000"/>
                <w:sz w:val="18"/>
                <w:szCs w:val="18"/>
              </w:rPr>
              <w:t xml:space="preserve">Ethnicity: </w:t>
            </w:r>
            <w:r w:rsidR="003D4F94" w:rsidRPr="003D4F94">
              <w:rPr>
                <w:rFonts w:cstheme="minorHAnsi"/>
                <w:color w:val="000000"/>
                <w:sz w:val="18"/>
                <w:szCs w:val="18"/>
              </w:rPr>
              <w:t>Other</w:t>
            </w:r>
          </w:p>
        </w:tc>
        <w:tc>
          <w:tcPr>
            <w:tcW w:w="1035" w:type="dxa"/>
          </w:tcPr>
          <w:p w14:paraId="4AF929D2" w14:textId="31AD43D5" w:rsidR="003D4F94" w:rsidRPr="003D4F94" w:rsidRDefault="003D4F94" w:rsidP="003D4F94">
            <w:pPr>
              <w:jc w:val="right"/>
              <w:rPr>
                <w:rFonts w:cstheme="minorHAnsi"/>
                <w:sz w:val="18"/>
                <w:szCs w:val="18"/>
              </w:rPr>
            </w:pPr>
            <w:r w:rsidRPr="003D4F94">
              <w:rPr>
                <w:rFonts w:cstheme="minorHAnsi"/>
                <w:color w:val="000000"/>
                <w:sz w:val="18"/>
                <w:szCs w:val="18"/>
              </w:rPr>
              <w:t>49,012</w:t>
            </w:r>
          </w:p>
        </w:tc>
        <w:tc>
          <w:tcPr>
            <w:tcW w:w="1035" w:type="dxa"/>
          </w:tcPr>
          <w:p w14:paraId="53C62E49" w14:textId="5F10165F" w:rsidR="003D4F94" w:rsidRPr="003D4F94" w:rsidRDefault="003D4F94" w:rsidP="003D4F94">
            <w:pPr>
              <w:jc w:val="right"/>
              <w:rPr>
                <w:rFonts w:cstheme="minorHAnsi"/>
                <w:sz w:val="18"/>
                <w:szCs w:val="18"/>
              </w:rPr>
            </w:pPr>
            <w:r w:rsidRPr="003D4F94">
              <w:rPr>
                <w:rFonts w:cstheme="minorHAnsi"/>
                <w:color w:val="000000"/>
                <w:sz w:val="18"/>
                <w:szCs w:val="18"/>
              </w:rPr>
              <w:t>3.4%</w:t>
            </w:r>
          </w:p>
        </w:tc>
        <w:tc>
          <w:tcPr>
            <w:tcW w:w="1035" w:type="dxa"/>
          </w:tcPr>
          <w:p w14:paraId="74EA8DEB" w14:textId="07372C1B" w:rsidR="003D4F94" w:rsidRPr="003D4F94" w:rsidRDefault="003D4F94" w:rsidP="003D4F94">
            <w:pPr>
              <w:jc w:val="right"/>
              <w:rPr>
                <w:rFonts w:cstheme="minorHAnsi"/>
                <w:sz w:val="18"/>
                <w:szCs w:val="18"/>
              </w:rPr>
            </w:pPr>
            <w:r w:rsidRPr="003D4F94">
              <w:rPr>
                <w:rFonts w:cstheme="minorHAnsi"/>
                <w:color w:val="000000"/>
                <w:sz w:val="18"/>
                <w:szCs w:val="18"/>
              </w:rPr>
              <w:t>36,755</w:t>
            </w:r>
          </w:p>
        </w:tc>
        <w:tc>
          <w:tcPr>
            <w:tcW w:w="1035" w:type="dxa"/>
          </w:tcPr>
          <w:p w14:paraId="655363AF" w14:textId="6AA3C95E" w:rsidR="003D4F94" w:rsidRPr="003D4F94" w:rsidRDefault="003D4F94" w:rsidP="003D4F94">
            <w:pPr>
              <w:jc w:val="right"/>
              <w:rPr>
                <w:rFonts w:cstheme="minorHAnsi"/>
                <w:sz w:val="18"/>
                <w:szCs w:val="18"/>
              </w:rPr>
            </w:pPr>
            <w:r w:rsidRPr="003D4F94">
              <w:rPr>
                <w:rFonts w:cstheme="minorHAnsi"/>
                <w:color w:val="000000"/>
                <w:sz w:val="18"/>
                <w:szCs w:val="18"/>
              </w:rPr>
              <w:t>2.6%</w:t>
            </w:r>
          </w:p>
        </w:tc>
        <w:tc>
          <w:tcPr>
            <w:tcW w:w="1035" w:type="dxa"/>
            <w:shd w:val="clear" w:color="auto" w:fill="auto"/>
          </w:tcPr>
          <w:p w14:paraId="4B241F65" w14:textId="287118E1" w:rsidR="003D4F94" w:rsidRPr="003D4F94" w:rsidRDefault="003D4F94" w:rsidP="003D4F94">
            <w:pPr>
              <w:jc w:val="right"/>
              <w:rPr>
                <w:rFonts w:cstheme="minorHAnsi"/>
                <w:sz w:val="18"/>
                <w:szCs w:val="18"/>
              </w:rPr>
            </w:pPr>
            <w:r w:rsidRPr="003D4F94">
              <w:rPr>
                <w:rFonts w:cstheme="minorHAnsi"/>
                <w:color w:val="000000"/>
                <w:sz w:val="18"/>
                <w:szCs w:val="18"/>
              </w:rPr>
              <w:t>30,306</w:t>
            </w:r>
          </w:p>
        </w:tc>
        <w:tc>
          <w:tcPr>
            <w:tcW w:w="1035" w:type="dxa"/>
            <w:shd w:val="clear" w:color="auto" w:fill="auto"/>
          </w:tcPr>
          <w:p w14:paraId="43D531F8" w14:textId="15D441A3" w:rsidR="003D4F94" w:rsidRPr="003D4F94" w:rsidRDefault="003D4F94" w:rsidP="003D4F94">
            <w:pPr>
              <w:jc w:val="right"/>
              <w:rPr>
                <w:rFonts w:cstheme="minorHAnsi"/>
                <w:sz w:val="18"/>
                <w:szCs w:val="18"/>
              </w:rPr>
            </w:pPr>
            <w:r w:rsidRPr="003D4F94">
              <w:rPr>
                <w:rFonts w:cstheme="minorHAnsi"/>
                <w:color w:val="000000"/>
                <w:sz w:val="18"/>
                <w:szCs w:val="18"/>
              </w:rPr>
              <w:t>2.2%</w:t>
            </w:r>
          </w:p>
        </w:tc>
      </w:tr>
      <w:tr w:rsidR="003D4F94" w14:paraId="396A67E7" w14:textId="77777777" w:rsidTr="001446BB">
        <w:trPr>
          <w:cantSplit/>
        </w:trPr>
        <w:tc>
          <w:tcPr>
            <w:tcW w:w="3150" w:type="dxa"/>
            <w:shd w:val="clear" w:color="auto" w:fill="auto"/>
            <w:vAlign w:val="bottom"/>
          </w:tcPr>
          <w:p w14:paraId="1ED9F873" w14:textId="65BB3A67" w:rsidR="003D4F94" w:rsidRPr="003D4F94" w:rsidRDefault="006B4DDB" w:rsidP="003D4F94">
            <w:pPr>
              <w:rPr>
                <w:rFonts w:cstheme="minorHAnsi"/>
                <w:sz w:val="18"/>
                <w:szCs w:val="18"/>
              </w:rPr>
            </w:pPr>
            <w:r>
              <w:rPr>
                <w:rFonts w:cstheme="minorHAnsi"/>
                <w:color w:val="000000"/>
                <w:sz w:val="18"/>
                <w:szCs w:val="18"/>
              </w:rPr>
              <w:t xml:space="preserve">Ethnicity: </w:t>
            </w:r>
            <w:r w:rsidR="003D4F94" w:rsidRPr="003D4F94">
              <w:rPr>
                <w:rFonts w:cstheme="minorHAnsi"/>
                <w:color w:val="000000"/>
                <w:sz w:val="18"/>
                <w:szCs w:val="18"/>
              </w:rPr>
              <w:t>Unknown</w:t>
            </w:r>
          </w:p>
        </w:tc>
        <w:tc>
          <w:tcPr>
            <w:tcW w:w="1035" w:type="dxa"/>
          </w:tcPr>
          <w:p w14:paraId="2B1D048F" w14:textId="543115FF" w:rsidR="003D4F94" w:rsidRPr="003D4F94" w:rsidRDefault="003D4F94" w:rsidP="003D4F94">
            <w:pPr>
              <w:jc w:val="right"/>
              <w:rPr>
                <w:rFonts w:cstheme="minorHAnsi"/>
                <w:sz w:val="18"/>
                <w:szCs w:val="18"/>
              </w:rPr>
            </w:pPr>
            <w:r w:rsidRPr="003D4F94">
              <w:rPr>
                <w:rFonts w:cstheme="minorHAnsi"/>
                <w:color w:val="000000"/>
                <w:sz w:val="18"/>
                <w:szCs w:val="18"/>
              </w:rPr>
              <w:t>114,486</w:t>
            </w:r>
          </w:p>
        </w:tc>
        <w:tc>
          <w:tcPr>
            <w:tcW w:w="1035" w:type="dxa"/>
          </w:tcPr>
          <w:p w14:paraId="13449EF2" w14:textId="7A25BF69" w:rsidR="003D4F94" w:rsidRPr="003D4F94" w:rsidRDefault="003D4F94" w:rsidP="003D4F94">
            <w:pPr>
              <w:jc w:val="right"/>
              <w:rPr>
                <w:rFonts w:cstheme="minorHAnsi"/>
                <w:sz w:val="18"/>
                <w:szCs w:val="18"/>
              </w:rPr>
            </w:pPr>
            <w:r w:rsidRPr="003D4F94">
              <w:rPr>
                <w:rFonts w:cstheme="minorHAnsi"/>
                <w:color w:val="000000"/>
                <w:sz w:val="18"/>
                <w:szCs w:val="18"/>
              </w:rPr>
              <w:t>8.0%</w:t>
            </w:r>
          </w:p>
        </w:tc>
        <w:tc>
          <w:tcPr>
            <w:tcW w:w="1035" w:type="dxa"/>
          </w:tcPr>
          <w:p w14:paraId="4A9257D8" w14:textId="152D0EF1" w:rsidR="003D4F94" w:rsidRPr="003D4F94" w:rsidRDefault="003D4F94" w:rsidP="003D4F94">
            <w:pPr>
              <w:jc w:val="right"/>
              <w:rPr>
                <w:rFonts w:cstheme="minorHAnsi"/>
                <w:sz w:val="18"/>
                <w:szCs w:val="18"/>
              </w:rPr>
            </w:pPr>
            <w:r w:rsidRPr="003D4F94">
              <w:rPr>
                <w:rFonts w:cstheme="minorHAnsi"/>
                <w:color w:val="000000"/>
                <w:sz w:val="18"/>
                <w:szCs w:val="18"/>
              </w:rPr>
              <w:t>76,998</w:t>
            </w:r>
          </w:p>
        </w:tc>
        <w:tc>
          <w:tcPr>
            <w:tcW w:w="1035" w:type="dxa"/>
          </w:tcPr>
          <w:p w14:paraId="6B40E091" w14:textId="7CA2E753" w:rsidR="003D4F94" w:rsidRPr="003D4F94" w:rsidRDefault="003D4F94" w:rsidP="003D4F94">
            <w:pPr>
              <w:jc w:val="right"/>
              <w:rPr>
                <w:rFonts w:cstheme="minorHAnsi"/>
                <w:sz w:val="18"/>
                <w:szCs w:val="18"/>
              </w:rPr>
            </w:pPr>
            <w:r w:rsidRPr="003D4F94">
              <w:rPr>
                <w:rFonts w:cstheme="minorHAnsi"/>
                <w:color w:val="000000"/>
                <w:sz w:val="18"/>
                <w:szCs w:val="18"/>
              </w:rPr>
              <w:t>5.5%</w:t>
            </w:r>
          </w:p>
        </w:tc>
        <w:tc>
          <w:tcPr>
            <w:tcW w:w="1035" w:type="dxa"/>
            <w:shd w:val="clear" w:color="auto" w:fill="auto"/>
          </w:tcPr>
          <w:p w14:paraId="32F4187B" w14:textId="109148B3" w:rsidR="003D4F94" w:rsidRPr="003D4F94" w:rsidRDefault="003D4F94" w:rsidP="003D4F94">
            <w:pPr>
              <w:jc w:val="right"/>
              <w:rPr>
                <w:rFonts w:cstheme="minorHAnsi"/>
                <w:sz w:val="18"/>
                <w:szCs w:val="18"/>
              </w:rPr>
            </w:pPr>
            <w:r w:rsidRPr="003D4F94">
              <w:rPr>
                <w:rFonts w:cstheme="minorHAnsi"/>
                <w:color w:val="000000"/>
                <w:sz w:val="18"/>
                <w:szCs w:val="18"/>
              </w:rPr>
              <w:t>67,382</w:t>
            </w:r>
          </w:p>
        </w:tc>
        <w:tc>
          <w:tcPr>
            <w:tcW w:w="1035" w:type="dxa"/>
            <w:shd w:val="clear" w:color="auto" w:fill="auto"/>
          </w:tcPr>
          <w:p w14:paraId="595BFF9F" w14:textId="309EC415" w:rsidR="003D4F94" w:rsidRPr="003D4F94" w:rsidRDefault="003D4F94" w:rsidP="003D4F94">
            <w:pPr>
              <w:jc w:val="right"/>
              <w:rPr>
                <w:rFonts w:cstheme="minorHAnsi"/>
                <w:sz w:val="18"/>
                <w:szCs w:val="18"/>
              </w:rPr>
            </w:pPr>
            <w:r w:rsidRPr="003D4F94">
              <w:rPr>
                <w:rFonts w:cstheme="minorHAnsi"/>
                <w:color w:val="000000"/>
                <w:sz w:val="18"/>
                <w:szCs w:val="18"/>
              </w:rPr>
              <w:t>4.8%</w:t>
            </w:r>
          </w:p>
        </w:tc>
      </w:tr>
      <w:tr w:rsidR="003D4F94" w14:paraId="024E9068" w14:textId="77777777" w:rsidTr="001446BB">
        <w:trPr>
          <w:cantSplit/>
        </w:trPr>
        <w:tc>
          <w:tcPr>
            <w:tcW w:w="3150" w:type="dxa"/>
            <w:shd w:val="clear" w:color="auto" w:fill="auto"/>
            <w:vAlign w:val="bottom"/>
          </w:tcPr>
          <w:p w14:paraId="4220ED66" w14:textId="13184FD0" w:rsidR="003D4F94" w:rsidRPr="003D4F94" w:rsidRDefault="006B4DDB" w:rsidP="003D4F94">
            <w:pPr>
              <w:rPr>
                <w:rFonts w:cstheme="minorHAnsi"/>
                <w:sz w:val="18"/>
                <w:szCs w:val="18"/>
              </w:rPr>
            </w:pPr>
            <w:r>
              <w:rPr>
                <w:rFonts w:cstheme="minorHAnsi"/>
                <w:color w:val="000000"/>
                <w:sz w:val="18"/>
                <w:szCs w:val="18"/>
              </w:rPr>
              <w:t xml:space="preserve">Ethnicity: </w:t>
            </w:r>
            <w:r w:rsidR="003D4F94" w:rsidRPr="003D4F94">
              <w:rPr>
                <w:rFonts w:cstheme="minorHAnsi"/>
                <w:color w:val="000000"/>
                <w:sz w:val="18"/>
                <w:szCs w:val="18"/>
              </w:rPr>
              <w:t>Patient Declined</w:t>
            </w:r>
          </w:p>
        </w:tc>
        <w:tc>
          <w:tcPr>
            <w:tcW w:w="1035" w:type="dxa"/>
          </w:tcPr>
          <w:p w14:paraId="04402BCA" w14:textId="57C8A684" w:rsidR="003D4F94" w:rsidRPr="003D4F94" w:rsidRDefault="003D4F94" w:rsidP="003D4F94">
            <w:pPr>
              <w:jc w:val="right"/>
              <w:rPr>
                <w:rFonts w:cstheme="minorHAnsi"/>
                <w:sz w:val="18"/>
                <w:szCs w:val="18"/>
              </w:rPr>
            </w:pPr>
            <w:r w:rsidRPr="003D4F94">
              <w:rPr>
                <w:rFonts w:cstheme="minorHAnsi"/>
                <w:color w:val="000000"/>
                <w:sz w:val="18"/>
                <w:szCs w:val="18"/>
              </w:rPr>
              <w:t>7,500</w:t>
            </w:r>
          </w:p>
        </w:tc>
        <w:tc>
          <w:tcPr>
            <w:tcW w:w="1035" w:type="dxa"/>
          </w:tcPr>
          <w:p w14:paraId="2CDC8DAB" w14:textId="47A8F749" w:rsidR="003D4F94" w:rsidRPr="003D4F94" w:rsidRDefault="003D4F94" w:rsidP="003D4F94">
            <w:pPr>
              <w:jc w:val="right"/>
              <w:rPr>
                <w:rFonts w:cstheme="minorHAnsi"/>
                <w:sz w:val="18"/>
                <w:szCs w:val="18"/>
              </w:rPr>
            </w:pPr>
            <w:r w:rsidRPr="003D4F94">
              <w:rPr>
                <w:rFonts w:cstheme="minorHAnsi"/>
                <w:color w:val="000000"/>
                <w:sz w:val="18"/>
                <w:szCs w:val="18"/>
              </w:rPr>
              <w:t>0.5%</w:t>
            </w:r>
          </w:p>
        </w:tc>
        <w:tc>
          <w:tcPr>
            <w:tcW w:w="1035" w:type="dxa"/>
          </w:tcPr>
          <w:p w14:paraId="2433B62F" w14:textId="3823837C" w:rsidR="003D4F94" w:rsidRPr="003D4F94" w:rsidRDefault="003D4F94" w:rsidP="003D4F94">
            <w:pPr>
              <w:jc w:val="right"/>
              <w:rPr>
                <w:rFonts w:cstheme="minorHAnsi"/>
                <w:sz w:val="18"/>
                <w:szCs w:val="18"/>
              </w:rPr>
            </w:pPr>
            <w:r w:rsidRPr="003D4F94">
              <w:rPr>
                <w:rFonts w:cstheme="minorHAnsi"/>
                <w:color w:val="000000"/>
                <w:sz w:val="18"/>
                <w:szCs w:val="18"/>
              </w:rPr>
              <w:t>6,740</w:t>
            </w:r>
          </w:p>
        </w:tc>
        <w:tc>
          <w:tcPr>
            <w:tcW w:w="1035" w:type="dxa"/>
          </w:tcPr>
          <w:p w14:paraId="6EE0F37A" w14:textId="45780F54" w:rsidR="003D4F94" w:rsidRPr="003D4F94" w:rsidRDefault="003D4F94" w:rsidP="003D4F94">
            <w:pPr>
              <w:jc w:val="right"/>
              <w:rPr>
                <w:rFonts w:cstheme="minorHAnsi"/>
                <w:sz w:val="18"/>
                <w:szCs w:val="18"/>
              </w:rPr>
            </w:pPr>
            <w:r w:rsidRPr="003D4F94">
              <w:rPr>
                <w:rFonts w:cstheme="minorHAnsi"/>
                <w:color w:val="000000"/>
                <w:sz w:val="18"/>
                <w:szCs w:val="18"/>
              </w:rPr>
              <w:t>0.5%</w:t>
            </w:r>
          </w:p>
        </w:tc>
        <w:tc>
          <w:tcPr>
            <w:tcW w:w="1035" w:type="dxa"/>
            <w:shd w:val="clear" w:color="auto" w:fill="auto"/>
          </w:tcPr>
          <w:p w14:paraId="46E97752" w14:textId="29F0D6D8" w:rsidR="003D4F94" w:rsidRPr="003D4F94" w:rsidRDefault="003D4F94" w:rsidP="003D4F94">
            <w:pPr>
              <w:jc w:val="right"/>
              <w:rPr>
                <w:rFonts w:cstheme="minorHAnsi"/>
                <w:sz w:val="18"/>
                <w:szCs w:val="18"/>
              </w:rPr>
            </w:pPr>
            <w:r w:rsidRPr="003D4F94">
              <w:rPr>
                <w:rFonts w:cstheme="minorHAnsi"/>
                <w:color w:val="000000"/>
                <w:sz w:val="18"/>
                <w:szCs w:val="18"/>
              </w:rPr>
              <w:t>5,703</w:t>
            </w:r>
          </w:p>
        </w:tc>
        <w:tc>
          <w:tcPr>
            <w:tcW w:w="1035" w:type="dxa"/>
            <w:shd w:val="clear" w:color="auto" w:fill="auto"/>
          </w:tcPr>
          <w:p w14:paraId="05936321" w14:textId="176EE155" w:rsidR="003D4F94" w:rsidRPr="003D4F94" w:rsidRDefault="003D4F94" w:rsidP="003D4F94">
            <w:pPr>
              <w:jc w:val="right"/>
              <w:rPr>
                <w:rFonts w:cstheme="minorHAnsi"/>
                <w:sz w:val="18"/>
                <w:szCs w:val="18"/>
              </w:rPr>
            </w:pPr>
            <w:r w:rsidRPr="003D4F94">
              <w:rPr>
                <w:rFonts w:cstheme="minorHAnsi"/>
                <w:color w:val="000000"/>
                <w:sz w:val="18"/>
                <w:szCs w:val="18"/>
              </w:rPr>
              <w:t>0.4%</w:t>
            </w:r>
          </w:p>
        </w:tc>
      </w:tr>
      <w:tr w:rsidR="003D4F94" w14:paraId="041455A2" w14:textId="77777777" w:rsidTr="001446BB">
        <w:trPr>
          <w:cantSplit/>
        </w:trPr>
        <w:tc>
          <w:tcPr>
            <w:tcW w:w="3150" w:type="dxa"/>
            <w:shd w:val="clear" w:color="auto" w:fill="auto"/>
            <w:vAlign w:val="bottom"/>
          </w:tcPr>
          <w:p w14:paraId="1B0687BA" w14:textId="1DBE1E4E" w:rsidR="003D4F94" w:rsidRPr="003D4F94" w:rsidRDefault="003D4F94" w:rsidP="003D4F94">
            <w:pPr>
              <w:rPr>
                <w:rFonts w:cstheme="minorHAnsi"/>
                <w:sz w:val="18"/>
                <w:szCs w:val="18"/>
              </w:rPr>
            </w:pPr>
            <w:r>
              <w:rPr>
                <w:rFonts w:cstheme="minorHAnsi"/>
                <w:color w:val="000000"/>
                <w:sz w:val="18"/>
                <w:szCs w:val="18"/>
              </w:rPr>
              <w:t xml:space="preserve">Payer: </w:t>
            </w:r>
            <w:r w:rsidRPr="003D4F94">
              <w:rPr>
                <w:rFonts w:cstheme="minorHAnsi"/>
                <w:color w:val="000000"/>
                <w:sz w:val="18"/>
                <w:szCs w:val="18"/>
              </w:rPr>
              <w:t>Commercial</w:t>
            </w:r>
          </w:p>
        </w:tc>
        <w:tc>
          <w:tcPr>
            <w:tcW w:w="1035" w:type="dxa"/>
          </w:tcPr>
          <w:p w14:paraId="6491A8E9" w14:textId="176B0A5F" w:rsidR="003D4F94" w:rsidRPr="003D4F94" w:rsidRDefault="003D4F94" w:rsidP="003D4F94">
            <w:pPr>
              <w:jc w:val="right"/>
              <w:rPr>
                <w:rFonts w:cstheme="minorHAnsi"/>
                <w:sz w:val="18"/>
                <w:szCs w:val="18"/>
              </w:rPr>
            </w:pPr>
            <w:r w:rsidRPr="003D4F94">
              <w:rPr>
                <w:rFonts w:cstheme="minorHAnsi"/>
                <w:color w:val="000000"/>
                <w:sz w:val="18"/>
                <w:szCs w:val="18"/>
              </w:rPr>
              <w:t>738,815</w:t>
            </w:r>
          </w:p>
        </w:tc>
        <w:tc>
          <w:tcPr>
            <w:tcW w:w="1035" w:type="dxa"/>
          </w:tcPr>
          <w:p w14:paraId="4309E848" w14:textId="00799EE1" w:rsidR="003D4F94" w:rsidRPr="003D4F94" w:rsidRDefault="003D4F94" w:rsidP="003D4F94">
            <w:pPr>
              <w:jc w:val="right"/>
              <w:rPr>
                <w:rFonts w:cstheme="minorHAnsi"/>
                <w:sz w:val="18"/>
                <w:szCs w:val="18"/>
              </w:rPr>
            </w:pPr>
            <w:r w:rsidRPr="003D4F94">
              <w:rPr>
                <w:rFonts w:cstheme="minorHAnsi"/>
                <w:color w:val="000000"/>
                <w:sz w:val="18"/>
                <w:szCs w:val="18"/>
              </w:rPr>
              <w:t>51.5%</w:t>
            </w:r>
          </w:p>
        </w:tc>
        <w:tc>
          <w:tcPr>
            <w:tcW w:w="1035" w:type="dxa"/>
          </w:tcPr>
          <w:p w14:paraId="6E20F2BC" w14:textId="54D0D256" w:rsidR="003D4F94" w:rsidRPr="003D4F94" w:rsidRDefault="003D4F94" w:rsidP="003D4F94">
            <w:pPr>
              <w:jc w:val="right"/>
              <w:rPr>
                <w:rFonts w:cstheme="minorHAnsi"/>
                <w:sz w:val="18"/>
                <w:szCs w:val="18"/>
              </w:rPr>
            </w:pPr>
            <w:r w:rsidRPr="003D4F94">
              <w:rPr>
                <w:rFonts w:cstheme="minorHAnsi"/>
                <w:color w:val="000000"/>
                <w:sz w:val="18"/>
                <w:szCs w:val="18"/>
              </w:rPr>
              <w:t>711,907</w:t>
            </w:r>
          </w:p>
        </w:tc>
        <w:tc>
          <w:tcPr>
            <w:tcW w:w="1035" w:type="dxa"/>
          </w:tcPr>
          <w:p w14:paraId="010D1BAC" w14:textId="6A221AB6" w:rsidR="003D4F94" w:rsidRPr="003D4F94" w:rsidRDefault="003D4F94" w:rsidP="003D4F94">
            <w:pPr>
              <w:jc w:val="right"/>
              <w:rPr>
                <w:rFonts w:cstheme="minorHAnsi"/>
                <w:sz w:val="18"/>
                <w:szCs w:val="18"/>
              </w:rPr>
            </w:pPr>
            <w:r w:rsidRPr="003D4F94">
              <w:rPr>
                <w:rFonts w:cstheme="minorHAnsi"/>
                <w:color w:val="000000"/>
                <w:sz w:val="18"/>
                <w:szCs w:val="18"/>
              </w:rPr>
              <w:t>51.2%</w:t>
            </w:r>
          </w:p>
        </w:tc>
        <w:tc>
          <w:tcPr>
            <w:tcW w:w="1035" w:type="dxa"/>
            <w:shd w:val="clear" w:color="auto" w:fill="auto"/>
          </w:tcPr>
          <w:p w14:paraId="6EEB553F" w14:textId="3967ABE2" w:rsidR="003D4F94" w:rsidRPr="003D4F94" w:rsidRDefault="003D4F94" w:rsidP="003D4F94">
            <w:pPr>
              <w:jc w:val="right"/>
              <w:rPr>
                <w:rFonts w:cstheme="minorHAnsi"/>
                <w:sz w:val="18"/>
                <w:szCs w:val="18"/>
              </w:rPr>
            </w:pPr>
            <w:r w:rsidRPr="003D4F94">
              <w:rPr>
                <w:rFonts w:cstheme="minorHAnsi"/>
                <w:color w:val="000000"/>
                <w:sz w:val="18"/>
                <w:szCs w:val="18"/>
              </w:rPr>
              <w:t>706,050</w:t>
            </w:r>
          </w:p>
        </w:tc>
        <w:tc>
          <w:tcPr>
            <w:tcW w:w="1035" w:type="dxa"/>
            <w:shd w:val="clear" w:color="auto" w:fill="auto"/>
          </w:tcPr>
          <w:p w14:paraId="553241D4" w14:textId="5939C8EE" w:rsidR="003D4F94" w:rsidRPr="003D4F94" w:rsidRDefault="003D4F94" w:rsidP="003D4F94">
            <w:pPr>
              <w:jc w:val="right"/>
              <w:rPr>
                <w:rFonts w:cstheme="minorHAnsi"/>
                <w:sz w:val="18"/>
                <w:szCs w:val="18"/>
              </w:rPr>
            </w:pPr>
            <w:r w:rsidRPr="003D4F94">
              <w:rPr>
                <w:rFonts w:cstheme="minorHAnsi"/>
                <w:color w:val="000000"/>
                <w:sz w:val="18"/>
                <w:szCs w:val="18"/>
              </w:rPr>
              <w:t>50.5%</w:t>
            </w:r>
          </w:p>
        </w:tc>
      </w:tr>
      <w:tr w:rsidR="003D4F94" w14:paraId="7EC9CF63" w14:textId="77777777" w:rsidTr="001446BB">
        <w:trPr>
          <w:cantSplit/>
        </w:trPr>
        <w:tc>
          <w:tcPr>
            <w:tcW w:w="3150" w:type="dxa"/>
            <w:shd w:val="clear" w:color="auto" w:fill="auto"/>
            <w:vAlign w:val="bottom"/>
          </w:tcPr>
          <w:p w14:paraId="1B25E5BF" w14:textId="1CE543B2" w:rsidR="003D4F94" w:rsidRPr="003D4F94" w:rsidRDefault="006B4DDB" w:rsidP="003D4F94">
            <w:pPr>
              <w:rPr>
                <w:rFonts w:cstheme="minorHAnsi"/>
                <w:sz w:val="18"/>
                <w:szCs w:val="18"/>
              </w:rPr>
            </w:pPr>
            <w:r>
              <w:rPr>
                <w:rFonts w:cstheme="minorHAnsi"/>
                <w:color w:val="000000"/>
                <w:sz w:val="18"/>
                <w:szCs w:val="18"/>
              </w:rPr>
              <w:t xml:space="preserve">Payer: </w:t>
            </w:r>
            <w:r w:rsidR="003D4F94" w:rsidRPr="003D4F94">
              <w:rPr>
                <w:rFonts w:cstheme="minorHAnsi"/>
                <w:color w:val="000000"/>
                <w:sz w:val="18"/>
                <w:szCs w:val="18"/>
              </w:rPr>
              <w:t>Medicare</w:t>
            </w:r>
          </w:p>
        </w:tc>
        <w:tc>
          <w:tcPr>
            <w:tcW w:w="1035" w:type="dxa"/>
          </w:tcPr>
          <w:p w14:paraId="17EB8537" w14:textId="501F2064" w:rsidR="003D4F94" w:rsidRPr="003D4F94" w:rsidRDefault="003D4F94" w:rsidP="003D4F94">
            <w:pPr>
              <w:jc w:val="right"/>
              <w:rPr>
                <w:rFonts w:cstheme="minorHAnsi"/>
                <w:sz w:val="18"/>
                <w:szCs w:val="18"/>
              </w:rPr>
            </w:pPr>
            <w:r w:rsidRPr="003D4F94">
              <w:rPr>
                <w:rFonts w:cstheme="minorHAnsi"/>
                <w:color w:val="000000"/>
                <w:sz w:val="18"/>
                <w:szCs w:val="18"/>
              </w:rPr>
              <w:t>393,368</w:t>
            </w:r>
          </w:p>
        </w:tc>
        <w:tc>
          <w:tcPr>
            <w:tcW w:w="1035" w:type="dxa"/>
          </w:tcPr>
          <w:p w14:paraId="416244A1" w14:textId="552A6E73" w:rsidR="003D4F94" w:rsidRPr="003D4F94" w:rsidRDefault="003D4F94" w:rsidP="003D4F94">
            <w:pPr>
              <w:jc w:val="right"/>
              <w:rPr>
                <w:rFonts w:cstheme="minorHAnsi"/>
                <w:sz w:val="18"/>
                <w:szCs w:val="18"/>
              </w:rPr>
            </w:pPr>
            <w:r w:rsidRPr="003D4F94">
              <w:rPr>
                <w:rFonts w:cstheme="minorHAnsi"/>
                <w:color w:val="000000"/>
                <w:sz w:val="18"/>
                <w:szCs w:val="18"/>
              </w:rPr>
              <w:t>27.4%</w:t>
            </w:r>
          </w:p>
        </w:tc>
        <w:tc>
          <w:tcPr>
            <w:tcW w:w="1035" w:type="dxa"/>
          </w:tcPr>
          <w:p w14:paraId="71EFB06C" w14:textId="57DC0E9D" w:rsidR="003D4F94" w:rsidRPr="003D4F94" w:rsidRDefault="003D4F94" w:rsidP="003D4F94">
            <w:pPr>
              <w:jc w:val="right"/>
              <w:rPr>
                <w:rFonts w:cstheme="minorHAnsi"/>
                <w:sz w:val="18"/>
                <w:szCs w:val="18"/>
              </w:rPr>
            </w:pPr>
            <w:r w:rsidRPr="003D4F94">
              <w:rPr>
                <w:rFonts w:cstheme="minorHAnsi"/>
                <w:color w:val="000000"/>
                <w:sz w:val="18"/>
                <w:szCs w:val="18"/>
              </w:rPr>
              <w:t>396,340</w:t>
            </w:r>
          </w:p>
        </w:tc>
        <w:tc>
          <w:tcPr>
            <w:tcW w:w="1035" w:type="dxa"/>
          </w:tcPr>
          <w:p w14:paraId="13501A92" w14:textId="302978E6" w:rsidR="003D4F94" w:rsidRPr="003D4F94" w:rsidRDefault="003D4F94" w:rsidP="003D4F94">
            <w:pPr>
              <w:jc w:val="right"/>
              <w:rPr>
                <w:rFonts w:cstheme="minorHAnsi"/>
                <w:sz w:val="18"/>
                <w:szCs w:val="18"/>
              </w:rPr>
            </w:pPr>
            <w:r w:rsidRPr="003D4F94">
              <w:rPr>
                <w:rFonts w:cstheme="minorHAnsi"/>
                <w:color w:val="000000"/>
                <w:sz w:val="18"/>
                <w:szCs w:val="18"/>
              </w:rPr>
              <w:t>28.5%</w:t>
            </w:r>
          </w:p>
        </w:tc>
        <w:tc>
          <w:tcPr>
            <w:tcW w:w="1035" w:type="dxa"/>
            <w:shd w:val="clear" w:color="auto" w:fill="auto"/>
          </w:tcPr>
          <w:p w14:paraId="031805EB" w14:textId="420FDD8E" w:rsidR="003D4F94" w:rsidRPr="003D4F94" w:rsidRDefault="003D4F94" w:rsidP="003D4F94">
            <w:pPr>
              <w:jc w:val="right"/>
              <w:rPr>
                <w:rFonts w:cstheme="minorHAnsi"/>
                <w:sz w:val="18"/>
                <w:szCs w:val="18"/>
              </w:rPr>
            </w:pPr>
            <w:r w:rsidRPr="003D4F94">
              <w:rPr>
                <w:rFonts w:cstheme="minorHAnsi"/>
                <w:color w:val="000000"/>
                <w:sz w:val="18"/>
                <w:szCs w:val="18"/>
              </w:rPr>
              <w:t>419,994</w:t>
            </w:r>
          </w:p>
        </w:tc>
        <w:tc>
          <w:tcPr>
            <w:tcW w:w="1035" w:type="dxa"/>
            <w:shd w:val="clear" w:color="auto" w:fill="auto"/>
          </w:tcPr>
          <w:p w14:paraId="4BA7C8A9" w14:textId="75B36DCB" w:rsidR="003D4F94" w:rsidRPr="003D4F94" w:rsidRDefault="003D4F94" w:rsidP="003D4F94">
            <w:pPr>
              <w:jc w:val="right"/>
              <w:rPr>
                <w:rFonts w:cstheme="minorHAnsi"/>
                <w:sz w:val="18"/>
                <w:szCs w:val="18"/>
              </w:rPr>
            </w:pPr>
            <w:r w:rsidRPr="003D4F94">
              <w:rPr>
                <w:rFonts w:cstheme="minorHAnsi"/>
                <w:color w:val="000000"/>
                <w:sz w:val="18"/>
                <w:szCs w:val="18"/>
              </w:rPr>
              <w:t>30.0%</w:t>
            </w:r>
          </w:p>
        </w:tc>
      </w:tr>
      <w:tr w:rsidR="003D4F94" w14:paraId="6F539A9F" w14:textId="77777777" w:rsidTr="001446BB">
        <w:trPr>
          <w:cantSplit/>
        </w:trPr>
        <w:tc>
          <w:tcPr>
            <w:tcW w:w="3150" w:type="dxa"/>
            <w:shd w:val="clear" w:color="auto" w:fill="auto"/>
            <w:vAlign w:val="bottom"/>
          </w:tcPr>
          <w:p w14:paraId="1F261190" w14:textId="12448804" w:rsidR="003D4F94" w:rsidRPr="003D4F94" w:rsidRDefault="006B4DDB" w:rsidP="003D4F94">
            <w:pPr>
              <w:rPr>
                <w:rFonts w:cstheme="minorHAnsi"/>
                <w:sz w:val="18"/>
                <w:szCs w:val="18"/>
              </w:rPr>
            </w:pPr>
            <w:r>
              <w:rPr>
                <w:rFonts w:cstheme="minorHAnsi"/>
                <w:color w:val="000000"/>
                <w:sz w:val="18"/>
                <w:szCs w:val="18"/>
              </w:rPr>
              <w:t xml:space="preserve">Payer: </w:t>
            </w:r>
            <w:r w:rsidR="003D4F94" w:rsidRPr="003D4F94">
              <w:rPr>
                <w:rFonts w:cstheme="minorHAnsi"/>
                <w:color w:val="000000"/>
                <w:sz w:val="18"/>
                <w:szCs w:val="18"/>
              </w:rPr>
              <w:t>Medicaid</w:t>
            </w:r>
          </w:p>
        </w:tc>
        <w:tc>
          <w:tcPr>
            <w:tcW w:w="1035" w:type="dxa"/>
          </w:tcPr>
          <w:p w14:paraId="127C79E3" w14:textId="361770CD" w:rsidR="003D4F94" w:rsidRPr="003D4F94" w:rsidRDefault="003D4F94" w:rsidP="003D4F94">
            <w:pPr>
              <w:jc w:val="right"/>
              <w:rPr>
                <w:rFonts w:cstheme="minorHAnsi"/>
                <w:sz w:val="18"/>
                <w:szCs w:val="18"/>
              </w:rPr>
            </w:pPr>
            <w:r w:rsidRPr="003D4F94">
              <w:rPr>
                <w:rFonts w:cstheme="minorHAnsi"/>
                <w:color w:val="000000"/>
                <w:sz w:val="18"/>
                <w:szCs w:val="18"/>
              </w:rPr>
              <w:t>221,234</w:t>
            </w:r>
          </w:p>
        </w:tc>
        <w:tc>
          <w:tcPr>
            <w:tcW w:w="1035" w:type="dxa"/>
          </w:tcPr>
          <w:p w14:paraId="4C5CB243" w14:textId="3C4F320E" w:rsidR="003D4F94" w:rsidRPr="003D4F94" w:rsidRDefault="003D4F94" w:rsidP="003D4F94">
            <w:pPr>
              <w:jc w:val="right"/>
              <w:rPr>
                <w:rFonts w:cstheme="minorHAnsi"/>
                <w:sz w:val="18"/>
                <w:szCs w:val="18"/>
              </w:rPr>
            </w:pPr>
            <w:r w:rsidRPr="003D4F94">
              <w:rPr>
                <w:rFonts w:cstheme="minorHAnsi"/>
                <w:color w:val="000000"/>
                <w:sz w:val="18"/>
                <w:szCs w:val="18"/>
              </w:rPr>
              <w:t>15.4%</w:t>
            </w:r>
          </w:p>
        </w:tc>
        <w:tc>
          <w:tcPr>
            <w:tcW w:w="1035" w:type="dxa"/>
          </w:tcPr>
          <w:p w14:paraId="1B2F820B" w14:textId="454004CC" w:rsidR="003D4F94" w:rsidRPr="003D4F94" w:rsidRDefault="003D4F94" w:rsidP="003D4F94">
            <w:pPr>
              <w:jc w:val="right"/>
              <w:rPr>
                <w:rFonts w:cstheme="minorHAnsi"/>
                <w:sz w:val="18"/>
                <w:szCs w:val="18"/>
              </w:rPr>
            </w:pPr>
            <w:r w:rsidRPr="003D4F94">
              <w:rPr>
                <w:rFonts w:cstheme="minorHAnsi"/>
                <w:color w:val="000000"/>
                <w:sz w:val="18"/>
                <w:szCs w:val="18"/>
              </w:rPr>
              <w:t>225,370</w:t>
            </w:r>
          </w:p>
        </w:tc>
        <w:tc>
          <w:tcPr>
            <w:tcW w:w="1035" w:type="dxa"/>
          </w:tcPr>
          <w:p w14:paraId="089CA156" w14:textId="4404EB6A" w:rsidR="003D4F94" w:rsidRPr="003D4F94" w:rsidRDefault="003D4F94" w:rsidP="003D4F94">
            <w:pPr>
              <w:jc w:val="right"/>
              <w:rPr>
                <w:rFonts w:cstheme="minorHAnsi"/>
                <w:sz w:val="18"/>
                <w:szCs w:val="18"/>
              </w:rPr>
            </w:pPr>
            <w:r w:rsidRPr="003D4F94">
              <w:rPr>
                <w:rFonts w:cstheme="minorHAnsi"/>
                <w:color w:val="000000"/>
                <w:sz w:val="18"/>
                <w:szCs w:val="18"/>
              </w:rPr>
              <w:t>16.2%</w:t>
            </w:r>
          </w:p>
        </w:tc>
        <w:tc>
          <w:tcPr>
            <w:tcW w:w="1035" w:type="dxa"/>
            <w:shd w:val="clear" w:color="auto" w:fill="auto"/>
          </w:tcPr>
          <w:p w14:paraId="7BE622B3" w14:textId="0BC80B2A" w:rsidR="003D4F94" w:rsidRPr="003D4F94" w:rsidRDefault="003D4F94" w:rsidP="003D4F94">
            <w:pPr>
              <w:jc w:val="right"/>
              <w:rPr>
                <w:rFonts w:cstheme="minorHAnsi"/>
                <w:sz w:val="18"/>
                <w:szCs w:val="18"/>
              </w:rPr>
            </w:pPr>
            <w:r w:rsidRPr="003D4F94">
              <w:rPr>
                <w:rFonts w:cstheme="minorHAnsi"/>
                <w:color w:val="000000"/>
                <w:sz w:val="18"/>
                <w:szCs w:val="18"/>
              </w:rPr>
              <w:t>224,892</w:t>
            </w:r>
          </w:p>
        </w:tc>
        <w:tc>
          <w:tcPr>
            <w:tcW w:w="1035" w:type="dxa"/>
            <w:shd w:val="clear" w:color="auto" w:fill="auto"/>
          </w:tcPr>
          <w:p w14:paraId="46CE31A6" w14:textId="146112F1" w:rsidR="003D4F94" w:rsidRPr="003D4F94" w:rsidRDefault="003D4F94" w:rsidP="003D4F94">
            <w:pPr>
              <w:jc w:val="right"/>
              <w:rPr>
                <w:rFonts w:cstheme="minorHAnsi"/>
                <w:sz w:val="18"/>
                <w:szCs w:val="18"/>
              </w:rPr>
            </w:pPr>
            <w:r w:rsidRPr="003D4F94">
              <w:rPr>
                <w:rFonts w:cstheme="minorHAnsi"/>
                <w:color w:val="000000"/>
                <w:sz w:val="18"/>
                <w:szCs w:val="18"/>
              </w:rPr>
              <w:t>16.1%</w:t>
            </w:r>
          </w:p>
        </w:tc>
      </w:tr>
      <w:tr w:rsidR="003D4F94" w14:paraId="66010FB7" w14:textId="77777777" w:rsidTr="001446BB">
        <w:trPr>
          <w:cantSplit/>
        </w:trPr>
        <w:tc>
          <w:tcPr>
            <w:tcW w:w="3150" w:type="dxa"/>
            <w:shd w:val="clear" w:color="auto" w:fill="auto"/>
            <w:vAlign w:val="bottom"/>
          </w:tcPr>
          <w:p w14:paraId="755FC67C" w14:textId="03319A4E" w:rsidR="003D4F94" w:rsidRPr="003D4F94" w:rsidRDefault="006B4DDB" w:rsidP="003D4F94">
            <w:pPr>
              <w:rPr>
                <w:rFonts w:cstheme="minorHAnsi"/>
                <w:sz w:val="18"/>
                <w:szCs w:val="18"/>
              </w:rPr>
            </w:pPr>
            <w:r>
              <w:rPr>
                <w:rFonts w:cstheme="minorHAnsi"/>
                <w:color w:val="000000"/>
                <w:sz w:val="18"/>
                <w:szCs w:val="18"/>
              </w:rPr>
              <w:t xml:space="preserve">Payer: </w:t>
            </w:r>
            <w:r w:rsidR="003D4F94" w:rsidRPr="003D4F94">
              <w:rPr>
                <w:rFonts w:cstheme="minorHAnsi"/>
                <w:color w:val="000000"/>
                <w:sz w:val="18"/>
                <w:szCs w:val="18"/>
              </w:rPr>
              <w:t>Other</w:t>
            </w:r>
            <w:r w:rsidR="003D4F94">
              <w:rPr>
                <w:rStyle w:val="FootnoteReference"/>
                <w:rFonts w:cstheme="minorHAnsi"/>
                <w:color w:val="000000"/>
                <w:sz w:val="18"/>
                <w:szCs w:val="18"/>
              </w:rPr>
              <w:footnoteReference w:id="7"/>
            </w:r>
          </w:p>
        </w:tc>
        <w:tc>
          <w:tcPr>
            <w:tcW w:w="1035" w:type="dxa"/>
          </w:tcPr>
          <w:p w14:paraId="764E85A5" w14:textId="199DB9A8" w:rsidR="003D4F94" w:rsidRPr="003D4F94" w:rsidRDefault="003D4F94" w:rsidP="003D4F94">
            <w:pPr>
              <w:jc w:val="right"/>
              <w:rPr>
                <w:rFonts w:cstheme="minorHAnsi"/>
                <w:sz w:val="18"/>
                <w:szCs w:val="18"/>
              </w:rPr>
            </w:pPr>
            <w:r w:rsidRPr="003D4F94">
              <w:rPr>
                <w:rFonts w:cstheme="minorHAnsi"/>
                <w:color w:val="000000"/>
                <w:sz w:val="18"/>
                <w:szCs w:val="18"/>
              </w:rPr>
              <w:t>81,032</w:t>
            </w:r>
          </w:p>
        </w:tc>
        <w:tc>
          <w:tcPr>
            <w:tcW w:w="1035" w:type="dxa"/>
          </w:tcPr>
          <w:p w14:paraId="3D69FBDC" w14:textId="52E82E9B" w:rsidR="003D4F94" w:rsidRPr="003D4F94" w:rsidRDefault="003D4F94" w:rsidP="003D4F94">
            <w:pPr>
              <w:jc w:val="right"/>
              <w:rPr>
                <w:rFonts w:cstheme="minorHAnsi"/>
                <w:sz w:val="18"/>
                <w:szCs w:val="18"/>
              </w:rPr>
            </w:pPr>
            <w:r w:rsidRPr="003D4F94">
              <w:rPr>
                <w:rFonts w:cstheme="minorHAnsi"/>
                <w:color w:val="000000"/>
                <w:sz w:val="18"/>
                <w:szCs w:val="18"/>
              </w:rPr>
              <w:t>5.6%</w:t>
            </w:r>
          </w:p>
        </w:tc>
        <w:tc>
          <w:tcPr>
            <w:tcW w:w="1035" w:type="dxa"/>
          </w:tcPr>
          <w:p w14:paraId="25EFF693" w14:textId="3050E293" w:rsidR="003D4F94" w:rsidRPr="003D4F94" w:rsidRDefault="003D4F94" w:rsidP="003D4F94">
            <w:pPr>
              <w:jc w:val="right"/>
              <w:rPr>
                <w:rFonts w:cstheme="minorHAnsi"/>
                <w:sz w:val="18"/>
                <w:szCs w:val="18"/>
              </w:rPr>
            </w:pPr>
            <w:r w:rsidRPr="003D4F94">
              <w:rPr>
                <w:rFonts w:cstheme="minorHAnsi"/>
                <w:color w:val="000000"/>
                <w:sz w:val="18"/>
                <w:szCs w:val="18"/>
              </w:rPr>
              <w:t>55,116</w:t>
            </w:r>
          </w:p>
        </w:tc>
        <w:tc>
          <w:tcPr>
            <w:tcW w:w="1035" w:type="dxa"/>
          </w:tcPr>
          <w:p w14:paraId="01D31C1B" w14:textId="2A10FB51" w:rsidR="003D4F94" w:rsidRPr="003D4F94" w:rsidRDefault="003D4F94" w:rsidP="003D4F94">
            <w:pPr>
              <w:jc w:val="right"/>
              <w:rPr>
                <w:rFonts w:cstheme="minorHAnsi"/>
                <w:sz w:val="18"/>
                <w:szCs w:val="18"/>
              </w:rPr>
            </w:pPr>
            <w:r w:rsidRPr="003D4F94">
              <w:rPr>
                <w:rFonts w:cstheme="minorHAnsi"/>
                <w:color w:val="000000"/>
                <w:sz w:val="18"/>
                <w:szCs w:val="18"/>
              </w:rPr>
              <w:t>4.0%</w:t>
            </w:r>
          </w:p>
        </w:tc>
        <w:tc>
          <w:tcPr>
            <w:tcW w:w="1035" w:type="dxa"/>
            <w:shd w:val="clear" w:color="auto" w:fill="auto"/>
          </w:tcPr>
          <w:p w14:paraId="1AE9DBDA" w14:textId="68862B10" w:rsidR="003D4F94" w:rsidRPr="003D4F94" w:rsidRDefault="003D4F94" w:rsidP="003D4F94">
            <w:pPr>
              <w:jc w:val="right"/>
              <w:rPr>
                <w:rFonts w:cstheme="minorHAnsi"/>
                <w:sz w:val="18"/>
                <w:szCs w:val="18"/>
              </w:rPr>
            </w:pPr>
            <w:r w:rsidRPr="003D4F94">
              <w:rPr>
                <w:rFonts w:cstheme="minorHAnsi"/>
                <w:color w:val="000000"/>
                <w:sz w:val="18"/>
                <w:szCs w:val="18"/>
              </w:rPr>
              <w:t>46,685</w:t>
            </w:r>
          </w:p>
        </w:tc>
        <w:tc>
          <w:tcPr>
            <w:tcW w:w="1035" w:type="dxa"/>
            <w:shd w:val="clear" w:color="auto" w:fill="auto"/>
          </w:tcPr>
          <w:p w14:paraId="18A3FBD6" w14:textId="7E2F0071" w:rsidR="003D4F94" w:rsidRPr="003D4F94" w:rsidRDefault="003D4F94" w:rsidP="003D4F94">
            <w:pPr>
              <w:jc w:val="right"/>
              <w:rPr>
                <w:rFonts w:cstheme="minorHAnsi"/>
                <w:sz w:val="18"/>
                <w:szCs w:val="18"/>
              </w:rPr>
            </w:pPr>
            <w:r w:rsidRPr="003D4F94">
              <w:rPr>
                <w:rFonts w:cstheme="minorHAnsi"/>
                <w:color w:val="000000"/>
                <w:sz w:val="18"/>
                <w:szCs w:val="18"/>
              </w:rPr>
              <w:t>3.3%</w:t>
            </w:r>
          </w:p>
        </w:tc>
      </w:tr>
      <w:tr w:rsidR="003D4F94" w14:paraId="7F5919D4" w14:textId="77777777" w:rsidTr="001446BB">
        <w:trPr>
          <w:cantSplit/>
        </w:trPr>
        <w:tc>
          <w:tcPr>
            <w:tcW w:w="3150" w:type="dxa"/>
            <w:shd w:val="clear" w:color="auto" w:fill="auto"/>
            <w:vAlign w:val="bottom"/>
          </w:tcPr>
          <w:p w14:paraId="51C4CA8D" w14:textId="13EF8A6D" w:rsidR="003D4F94" w:rsidRPr="003D4F94" w:rsidRDefault="006B4DDB" w:rsidP="003D4F94">
            <w:pPr>
              <w:rPr>
                <w:rFonts w:cstheme="minorHAnsi"/>
                <w:sz w:val="18"/>
                <w:szCs w:val="18"/>
              </w:rPr>
            </w:pPr>
            <w:r>
              <w:rPr>
                <w:rFonts w:cstheme="minorHAnsi"/>
                <w:color w:val="000000"/>
                <w:sz w:val="18"/>
                <w:szCs w:val="18"/>
              </w:rPr>
              <w:t xml:space="preserve">Payer: </w:t>
            </w:r>
            <w:r w:rsidR="003D4F94" w:rsidRPr="003D4F94">
              <w:rPr>
                <w:rFonts w:cstheme="minorHAnsi"/>
                <w:color w:val="000000"/>
                <w:sz w:val="18"/>
                <w:szCs w:val="18"/>
              </w:rPr>
              <w:t>Unknown</w:t>
            </w:r>
          </w:p>
        </w:tc>
        <w:tc>
          <w:tcPr>
            <w:tcW w:w="1035" w:type="dxa"/>
          </w:tcPr>
          <w:p w14:paraId="059B72B8" w14:textId="12233842" w:rsidR="003D4F94" w:rsidRPr="003D4F94" w:rsidRDefault="003D4F94" w:rsidP="003D4F94">
            <w:pPr>
              <w:jc w:val="right"/>
              <w:rPr>
                <w:rFonts w:cstheme="minorHAnsi"/>
                <w:sz w:val="18"/>
                <w:szCs w:val="18"/>
              </w:rPr>
            </w:pPr>
            <w:r w:rsidRPr="003D4F94">
              <w:rPr>
                <w:rFonts w:cstheme="minorHAnsi"/>
                <w:color w:val="000000"/>
                <w:sz w:val="18"/>
                <w:szCs w:val="18"/>
              </w:rPr>
              <w:t>154</w:t>
            </w:r>
          </w:p>
        </w:tc>
        <w:tc>
          <w:tcPr>
            <w:tcW w:w="1035" w:type="dxa"/>
          </w:tcPr>
          <w:p w14:paraId="378CBB1C" w14:textId="6C31FB37" w:rsidR="003D4F94" w:rsidRPr="003D4F94" w:rsidRDefault="003D4F94" w:rsidP="003D4F94">
            <w:pPr>
              <w:jc w:val="right"/>
              <w:rPr>
                <w:rFonts w:cstheme="minorHAnsi"/>
                <w:sz w:val="18"/>
                <w:szCs w:val="18"/>
              </w:rPr>
            </w:pPr>
            <w:r w:rsidRPr="003D4F94">
              <w:rPr>
                <w:rFonts w:cstheme="minorHAnsi"/>
                <w:color w:val="000000"/>
                <w:sz w:val="18"/>
                <w:szCs w:val="18"/>
              </w:rPr>
              <w:t>0.0%</w:t>
            </w:r>
          </w:p>
        </w:tc>
        <w:tc>
          <w:tcPr>
            <w:tcW w:w="1035" w:type="dxa"/>
          </w:tcPr>
          <w:p w14:paraId="2CF2F8D7" w14:textId="547F5282" w:rsidR="003D4F94" w:rsidRPr="003D4F94" w:rsidRDefault="003D4F94" w:rsidP="003D4F94">
            <w:pPr>
              <w:jc w:val="right"/>
              <w:rPr>
                <w:rFonts w:cstheme="minorHAnsi"/>
                <w:sz w:val="18"/>
                <w:szCs w:val="18"/>
              </w:rPr>
            </w:pPr>
            <w:r w:rsidRPr="003D4F94">
              <w:rPr>
                <w:rFonts w:cstheme="minorHAnsi"/>
                <w:color w:val="000000"/>
                <w:sz w:val="18"/>
                <w:szCs w:val="18"/>
              </w:rPr>
              <w:t>531</w:t>
            </w:r>
          </w:p>
        </w:tc>
        <w:tc>
          <w:tcPr>
            <w:tcW w:w="1035" w:type="dxa"/>
          </w:tcPr>
          <w:p w14:paraId="00411784" w14:textId="338D23DD" w:rsidR="003D4F94" w:rsidRPr="003D4F94" w:rsidRDefault="003D4F94" w:rsidP="003D4F94">
            <w:pPr>
              <w:jc w:val="right"/>
              <w:rPr>
                <w:rFonts w:cstheme="minorHAnsi"/>
                <w:sz w:val="18"/>
                <w:szCs w:val="18"/>
              </w:rPr>
            </w:pPr>
            <w:r w:rsidRPr="003D4F94">
              <w:rPr>
                <w:rFonts w:cstheme="minorHAnsi"/>
                <w:color w:val="000000"/>
                <w:sz w:val="18"/>
                <w:szCs w:val="18"/>
              </w:rPr>
              <w:t>0.0%</w:t>
            </w:r>
          </w:p>
        </w:tc>
        <w:tc>
          <w:tcPr>
            <w:tcW w:w="1035" w:type="dxa"/>
            <w:shd w:val="clear" w:color="auto" w:fill="auto"/>
          </w:tcPr>
          <w:p w14:paraId="5C2FDA66" w14:textId="48A59892" w:rsidR="003D4F94" w:rsidRPr="003D4F94" w:rsidRDefault="003D4F94" w:rsidP="003D4F94">
            <w:pPr>
              <w:jc w:val="right"/>
              <w:rPr>
                <w:rFonts w:cstheme="minorHAnsi"/>
                <w:sz w:val="18"/>
                <w:szCs w:val="18"/>
              </w:rPr>
            </w:pPr>
            <w:r w:rsidRPr="003D4F94">
              <w:rPr>
                <w:rFonts w:cstheme="minorHAnsi"/>
                <w:color w:val="000000"/>
                <w:sz w:val="18"/>
                <w:szCs w:val="18"/>
              </w:rPr>
              <w:t>1,300</w:t>
            </w:r>
          </w:p>
        </w:tc>
        <w:tc>
          <w:tcPr>
            <w:tcW w:w="1035" w:type="dxa"/>
            <w:shd w:val="clear" w:color="auto" w:fill="auto"/>
          </w:tcPr>
          <w:p w14:paraId="32DA64C8" w14:textId="13DAF73A" w:rsidR="003D4F94" w:rsidRPr="003D4F94" w:rsidRDefault="003D4F94" w:rsidP="003D4F94">
            <w:pPr>
              <w:jc w:val="right"/>
              <w:rPr>
                <w:rFonts w:cstheme="minorHAnsi"/>
                <w:sz w:val="18"/>
                <w:szCs w:val="18"/>
              </w:rPr>
            </w:pPr>
            <w:r w:rsidRPr="003D4F94">
              <w:rPr>
                <w:rFonts w:cstheme="minorHAnsi"/>
                <w:color w:val="000000"/>
                <w:sz w:val="18"/>
                <w:szCs w:val="18"/>
              </w:rPr>
              <w:t>0.1%</w:t>
            </w:r>
          </w:p>
        </w:tc>
      </w:tr>
    </w:tbl>
    <w:p w14:paraId="421960D7" w14:textId="77777777" w:rsidR="00BE2AAE" w:rsidRDefault="00BE2AAE" w:rsidP="00BE2AAE">
      <w:pPr>
        <w:spacing w:after="0" w:line="240" w:lineRule="auto"/>
        <w:rPr>
          <w:rFonts w:ascii="Arial" w:hAnsi="Arial" w:cs="Arial"/>
          <w:b/>
          <w:bCs/>
          <w:sz w:val="20"/>
          <w:szCs w:val="20"/>
        </w:rPr>
      </w:pPr>
    </w:p>
    <w:p w14:paraId="6D6FEA76" w14:textId="77777777" w:rsidR="006B4DDB" w:rsidRDefault="006B4DDB" w:rsidP="00BE2AAE">
      <w:pPr>
        <w:spacing w:after="120" w:line="240" w:lineRule="auto"/>
        <w:jc w:val="both"/>
        <w:rPr>
          <w:rFonts w:ascii="Arial" w:eastAsia="Verdana" w:hAnsi="Arial" w:cs="Arial"/>
          <w:sz w:val="20"/>
        </w:rPr>
      </w:pPr>
    </w:p>
    <w:p w14:paraId="75167890" w14:textId="77777777" w:rsidR="006B4DDB" w:rsidRDefault="006B4DDB" w:rsidP="00BE2AAE">
      <w:pPr>
        <w:spacing w:after="120" w:line="240" w:lineRule="auto"/>
        <w:jc w:val="both"/>
        <w:rPr>
          <w:rFonts w:ascii="Arial" w:eastAsia="Verdana" w:hAnsi="Arial" w:cs="Arial"/>
          <w:sz w:val="20"/>
        </w:rPr>
      </w:pPr>
    </w:p>
    <w:p w14:paraId="79C923CE" w14:textId="7AE4AD0E" w:rsidR="00BE2AAE" w:rsidRPr="006B4DDB" w:rsidRDefault="00BE2AAE" w:rsidP="006B4DDB">
      <w:pPr>
        <w:pStyle w:val="ListParagraph"/>
        <w:numPr>
          <w:ilvl w:val="0"/>
          <w:numId w:val="3"/>
        </w:numPr>
        <w:spacing w:after="120" w:line="240" w:lineRule="auto"/>
        <w:ind w:left="450" w:hanging="450"/>
        <w:jc w:val="both"/>
        <w:rPr>
          <w:rFonts w:ascii="Arial" w:hAnsi="Arial" w:cs="Arial"/>
          <w:sz w:val="20"/>
          <w:szCs w:val="20"/>
          <w:u w:val="single"/>
        </w:rPr>
      </w:pPr>
      <w:r w:rsidRPr="006B4DDB">
        <w:rPr>
          <w:rFonts w:ascii="Arial" w:hAnsi="Arial" w:cs="Arial"/>
          <w:sz w:val="20"/>
          <w:szCs w:val="20"/>
          <w:u w:val="single"/>
        </w:rPr>
        <w:t xml:space="preserve">Beth Israel Deaconess Hospital – </w:t>
      </w:r>
      <w:r w:rsidR="00231A56" w:rsidRPr="006B4DDB">
        <w:rPr>
          <w:rFonts w:ascii="Arial" w:hAnsi="Arial" w:cs="Arial"/>
          <w:sz w:val="20"/>
          <w:szCs w:val="20"/>
          <w:u w:val="single"/>
        </w:rPr>
        <w:t>Plymouth</w:t>
      </w:r>
    </w:p>
    <w:p w14:paraId="346F96B7" w14:textId="77777777" w:rsidR="00BE2AAE" w:rsidRDefault="00BE2AAE" w:rsidP="00BE2AAE">
      <w:pPr>
        <w:pStyle w:val="ListParagraph"/>
        <w:spacing w:after="120" w:line="240" w:lineRule="auto"/>
        <w:ind w:left="450"/>
        <w:jc w:val="both"/>
        <w:rPr>
          <w:rFonts w:ascii="Arial" w:hAnsi="Arial" w:cs="Arial"/>
          <w:sz w:val="20"/>
          <w:szCs w:val="20"/>
          <w:u w:val="single"/>
        </w:rPr>
      </w:pPr>
    </w:p>
    <w:p w14:paraId="37F5AE24" w14:textId="77777777" w:rsidR="00BE2AAE" w:rsidRPr="008004A1" w:rsidRDefault="00BE2AAE" w:rsidP="00BE2AAE">
      <w:pPr>
        <w:pStyle w:val="ListParagraph"/>
        <w:spacing w:after="120" w:line="240" w:lineRule="auto"/>
        <w:ind w:left="450"/>
        <w:jc w:val="both"/>
        <w:rPr>
          <w:rFonts w:ascii="Arial" w:hAnsi="Arial" w:cs="Arial"/>
          <w:i/>
          <w:iCs/>
          <w:sz w:val="20"/>
          <w:szCs w:val="20"/>
        </w:rPr>
      </w:pPr>
      <w:r>
        <w:rPr>
          <w:rFonts w:ascii="Arial" w:hAnsi="Arial" w:cs="Arial"/>
          <w:i/>
          <w:iCs/>
          <w:sz w:val="20"/>
          <w:szCs w:val="20"/>
        </w:rPr>
        <w:t>Overall Patient Panel</w:t>
      </w:r>
    </w:p>
    <w:p w14:paraId="672675BD" w14:textId="461E0409" w:rsidR="00BE2AAE" w:rsidRDefault="00BE2AAE" w:rsidP="00BE2AAE">
      <w:pPr>
        <w:spacing w:after="120" w:line="240" w:lineRule="auto"/>
        <w:jc w:val="both"/>
        <w:rPr>
          <w:rFonts w:ascii="Arial" w:hAnsi="Arial" w:cs="Arial"/>
          <w:sz w:val="20"/>
          <w:szCs w:val="20"/>
        </w:rPr>
      </w:pPr>
      <w:r w:rsidRPr="002B7B01">
        <w:rPr>
          <w:rFonts w:ascii="Arial" w:hAnsi="Arial" w:cs="Arial"/>
          <w:sz w:val="20"/>
          <w:szCs w:val="20"/>
        </w:rPr>
        <w:t>In FY23, BID</w:t>
      </w:r>
      <w:r w:rsidR="00CB37D4">
        <w:rPr>
          <w:rFonts w:ascii="Arial" w:hAnsi="Arial" w:cs="Arial"/>
          <w:sz w:val="20"/>
          <w:szCs w:val="20"/>
        </w:rPr>
        <w:t>-</w:t>
      </w:r>
      <w:r w:rsidR="00231A56" w:rsidRPr="00231A56">
        <w:rPr>
          <w:rFonts w:ascii="Arial" w:hAnsi="Arial" w:cs="Arial"/>
          <w:sz w:val="20"/>
          <w:szCs w:val="20"/>
        </w:rPr>
        <w:t>Plymouth</w:t>
      </w:r>
      <w:r w:rsidRPr="002B7B01">
        <w:rPr>
          <w:rFonts w:ascii="Arial" w:hAnsi="Arial" w:cs="Arial"/>
          <w:sz w:val="20"/>
          <w:szCs w:val="20"/>
        </w:rPr>
        <w:t>’s overall patient panel included 82,191 unique patients</w:t>
      </w:r>
      <w:r>
        <w:rPr>
          <w:rFonts w:ascii="Arial" w:hAnsi="Arial" w:cs="Arial"/>
          <w:sz w:val="20"/>
          <w:szCs w:val="20"/>
        </w:rPr>
        <w:t xml:space="preserve">. </w:t>
      </w:r>
      <w:r w:rsidRPr="00EE78CE">
        <w:rPr>
          <w:rFonts w:ascii="Arial" w:hAnsi="Arial" w:cs="Arial"/>
          <w:sz w:val="20"/>
          <w:szCs w:val="20"/>
        </w:rPr>
        <w:t>Patients aged 65+ were the largest patient cohort, making up</w:t>
      </w:r>
      <w:r>
        <w:rPr>
          <w:rFonts w:ascii="Arial" w:hAnsi="Arial" w:cs="Arial"/>
          <w:sz w:val="20"/>
          <w:szCs w:val="20"/>
        </w:rPr>
        <w:t xml:space="preserve"> 37</w:t>
      </w:r>
      <w:r w:rsidRPr="00EE78CE">
        <w:rPr>
          <w:rFonts w:ascii="Arial" w:hAnsi="Arial" w:cs="Arial"/>
          <w:sz w:val="20"/>
          <w:szCs w:val="20"/>
        </w:rPr>
        <w:t xml:space="preserve">% of unique patients. An additional </w:t>
      </w:r>
      <w:r>
        <w:rPr>
          <w:rFonts w:ascii="Arial" w:hAnsi="Arial" w:cs="Arial"/>
          <w:sz w:val="20"/>
          <w:szCs w:val="20"/>
        </w:rPr>
        <w:t>29</w:t>
      </w:r>
      <w:r w:rsidRPr="00EE78CE">
        <w:rPr>
          <w:rFonts w:ascii="Arial" w:hAnsi="Arial" w:cs="Arial"/>
          <w:sz w:val="20"/>
          <w:szCs w:val="20"/>
        </w:rPr>
        <w:t xml:space="preserve">% of patients were aged 46-64. </w:t>
      </w:r>
      <w:r>
        <w:rPr>
          <w:rFonts w:ascii="Arial" w:hAnsi="Arial" w:cs="Arial"/>
          <w:sz w:val="20"/>
          <w:szCs w:val="20"/>
        </w:rPr>
        <w:t>58</w:t>
      </w:r>
      <w:r w:rsidRPr="00EE78CE">
        <w:rPr>
          <w:rFonts w:ascii="Arial" w:hAnsi="Arial" w:cs="Arial"/>
          <w:sz w:val="20"/>
          <w:szCs w:val="20"/>
        </w:rPr>
        <w:t>% of patients were female, compared to 4</w:t>
      </w:r>
      <w:r>
        <w:rPr>
          <w:rFonts w:ascii="Arial" w:hAnsi="Arial" w:cs="Arial"/>
          <w:sz w:val="20"/>
          <w:szCs w:val="20"/>
        </w:rPr>
        <w:t>2</w:t>
      </w:r>
      <w:r w:rsidRPr="00EE78CE">
        <w:rPr>
          <w:rFonts w:ascii="Arial" w:hAnsi="Arial" w:cs="Arial"/>
          <w:sz w:val="20"/>
          <w:szCs w:val="20"/>
        </w:rPr>
        <w:t xml:space="preserve">% male. </w:t>
      </w:r>
      <w:r>
        <w:rPr>
          <w:rFonts w:ascii="Arial" w:hAnsi="Arial" w:cs="Arial"/>
          <w:sz w:val="20"/>
          <w:szCs w:val="20"/>
        </w:rPr>
        <w:t>88</w:t>
      </w:r>
      <w:r w:rsidRPr="00EE78CE">
        <w:rPr>
          <w:rFonts w:ascii="Arial" w:hAnsi="Arial" w:cs="Arial"/>
          <w:sz w:val="20"/>
          <w:szCs w:val="20"/>
        </w:rPr>
        <w:t>% of patients self-identified as White, 2.</w:t>
      </w:r>
      <w:r>
        <w:rPr>
          <w:rFonts w:ascii="Arial" w:hAnsi="Arial" w:cs="Arial"/>
          <w:sz w:val="20"/>
          <w:szCs w:val="20"/>
        </w:rPr>
        <w:t>3</w:t>
      </w:r>
      <w:r w:rsidRPr="00EE78CE">
        <w:rPr>
          <w:rFonts w:ascii="Arial" w:hAnsi="Arial" w:cs="Arial"/>
          <w:sz w:val="20"/>
          <w:szCs w:val="20"/>
        </w:rPr>
        <w:t xml:space="preserve">% </w:t>
      </w:r>
      <w:r>
        <w:rPr>
          <w:rFonts w:ascii="Arial" w:hAnsi="Arial" w:cs="Arial"/>
          <w:sz w:val="20"/>
          <w:szCs w:val="20"/>
        </w:rPr>
        <w:t xml:space="preserve">of patients </w:t>
      </w:r>
      <w:r w:rsidRPr="00EE78CE">
        <w:rPr>
          <w:rFonts w:ascii="Arial" w:hAnsi="Arial" w:cs="Arial"/>
          <w:sz w:val="20"/>
          <w:szCs w:val="20"/>
        </w:rPr>
        <w:t>identified as Black/African American and 0.6% as Asian. Approximately 6.7% of patients declined to report their race.  Approximately 40% of patients were covered by a commercial insurance plan, compared to 3</w:t>
      </w:r>
      <w:r>
        <w:rPr>
          <w:rFonts w:ascii="Arial" w:hAnsi="Arial" w:cs="Arial"/>
          <w:sz w:val="20"/>
          <w:szCs w:val="20"/>
        </w:rPr>
        <w:t>4</w:t>
      </w:r>
      <w:r w:rsidRPr="00EE78CE">
        <w:rPr>
          <w:rFonts w:ascii="Arial" w:hAnsi="Arial" w:cs="Arial"/>
          <w:sz w:val="20"/>
          <w:szCs w:val="20"/>
        </w:rPr>
        <w:t>% who were insured through Medicare, 1</w:t>
      </w:r>
      <w:r>
        <w:rPr>
          <w:rFonts w:ascii="Arial" w:hAnsi="Arial" w:cs="Arial"/>
          <w:sz w:val="20"/>
          <w:szCs w:val="20"/>
        </w:rPr>
        <w:t>8</w:t>
      </w:r>
      <w:r w:rsidRPr="00EE78CE">
        <w:rPr>
          <w:rFonts w:ascii="Arial" w:hAnsi="Arial" w:cs="Arial"/>
          <w:sz w:val="20"/>
          <w:szCs w:val="20"/>
        </w:rPr>
        <w:t xml:space="preserve">% through Medicaid, and </w:t>
      </w:r>
      <w:r>
        <w:rPr>
          <w:rFonts w:ascii="Arial" w:hAnsi="Arial" w:cs="Arial"/>
          <w:sz w:val="20"/>
          <w:szCs w:val="20"/>
        </w:rPr>
        <w:t>8</w:t>
      </w:r>
      <w:r w:rsidRPr="00EE78CE">
        <w:rPr>
          <w:rFonts w:ascii="Arial" w:hAnsi="Arial" w:cs="Arial"/>
          <w:sz w:val="20"/>
          <w:szCs w:val="20"/>
        </w:rPr>
        <w:t>% who had another source of coverage.</w:t>
      </w:r>
      <w:r>
        <w:rPr>
          <w:rFonts w:ascii="Arial" w:hAnsi="Arial" w:cs="Arial"/>
          <w:sz w:val="20"/>
          <w:szCs w:val="20"/>
        </w:rPr>
        <w:t xml:space="preserve"> </w:t>
      </w:r>
    </w:p>
    <w:p w14:paraId="7C965BD8" w14:textId="77777777" w:rsidR="00BE2AAE" w:rsidRDefault="00BE2AAE" w:rsidP="00490311">
      <w:pPr>
        <w:spacing w:after="120" w:line="240" w:lineRule="auto"/>
        <w:ind w:right="-720"/>
        <w:rPr>
          <w:rFonts w:ascii="Arial" w:hAnsi="Arial" w:cs="Arial"/>
          <w:b/>
          <w:bCs/>
          <w:sz w:val="20"/>
          <w:szCs w:val="20"/>
        </w:rPr>
      </w:pPr>
    </w:p>
    <w:p w14:paraId="1111FC3F" w14:textId="77777777" w:rsidR="00124E82" w:rsidRDefault="00124E82" w:rsidP="00490311">
      <w:pPr>
        <w:spacing w:after="120" w:line="240" w:lineRule="auto"/>
        <w:ind w:right="-720"/>
        <w:rPr>
          <w:rFonts w:ascii="Arial" w:hAnsi="Arial" w:cs="Arial"/>
          <w:b/>
          <w:bCs/>
          <w:sz w:val="20"/>
          <w:szCs w:val="20"/>
        </w:rPr>
      </w:pPr>
    </w:p>
    <w:p w14:paraId="6C7DBEE8" w14:textId="77777777" w:rsidR="00124E82" w:rsidRDefault="00124E82" w:rsidP="00490311">
      <w:pPr>
        <w:spacing w:after="120" w:line="240" w:lineRule="auto"/>
        <w:ind w:right="-720"/>
        <w:rPr>
          <w:rFonts w:ascii="Arial" w:hAnsi="Arial" w:cs="Arial"/>
          <w:b/>
          <w:bCs/>
          <w:sz w:val="20"/>
          <w:szCs w:val="20"/>
        </w:rPr>
      </w:pPr>
    </w:p>
    <w:p w14:paraId="497FCB9F" w14:textId="77777777" w:rsidR="00124E82" w:rsidRDefault="00124E82" w:rsidP="00490311">
      <w:pPr>
        <w:spacing w:after="120" w:line="240" w:lineRule="auto"/>
        <w:ind w:right="-720"/>
        <w:rPr>
          <w:rFonts w:ascii="Arial" w:hAnsi="Arial" w:cs="Arial"/>
          <w:b/>
          <w:bCs/>
          <w:sz w:val="20"/>
          <w:szCs w:val="20"/>
        </w:rPr>
        <w:sectPr w:rsidR="00124E82" w:rsidSect="00607FAE">
          <w:pgSz w:w="12240" w:h="15840"/>
          <w:pgMar w:top="1440" w:right="1440" w:bottom="1440" w:left="1440" w:header="720" w:footer="720" w:gutter="0"/>
          <w:cols w:space="720"/>
          <w:docGrid w:linePitch="360"/>
        </w:sectPr>
      </w:pPr>
    </w:p>
    <w:p w14:paraId="46B3652F" w14:textId="5BC0251F" w:rsidR="00BE2AAE" w:rsidRPr="00623EFA" w:rsidRDefault="00BE2AAE" w:rsidP="00BE2AAE">
      <w:pPr>
        <w:spacing w:after="120" w:line="240" w:lineRule="auto"/>
        <w:rPr>
          <w:rFonts w:ascii="Arial" w:hAnsi="Arial" w:cs="Arial"/>
          <w:b/>
          <w:bCs/>
          <w:sz w:val="20"/>
          <w:szCs w:val="20"/>
        </w:rPr>
      </w:pPr>
    </w:p>
    <w:tbl>
      <w:tblPr>
        <w:tblStyle w:val="TableGrid"/>
        <w:tblW w:w="9720" w:type="dxa"/>
        <w:tblInd w:w="-5" w:type="dxa"/>
        <w:tblLook w:val="04A0" w:firstRow="1" w:lastRow="0" w:firstColumn="1" w:lastColumn="0" w:noHBand="0" w:noVBand="1"/>
      </w:tblPr>
      <w:tblGrid>
        <w:gridCol w:w="4050"/>
        <w:gridCol w:w="810"/>
        <w:gridCol w:w="990"/>
        <w:gridCol w:w="990"/>
        <w:gridCol w:w="900"/>
        <w:gridCol w:w="990"/>
        <w:gridCol w:w="990"/>
      </w:tblGrid>
      <w:tr w:rsidR="00BE2AAE" w14:paraId="7713E532" w14:textId="77777777" w:rsidTr="0096689E">
        <w:trPr>
          <w:cantSplit/>
          <w:tblHeader/>
        </w:trPr>
        <w:tc>
          <w:tcPr>
            <w:tcW w:w="4050" w:type="dxa"/>
            <w:shd w:val="clear" w:color="auto" w:fill="B4C6E7" w:themeFill="accent1" w:themeFillTint="66"/>
          </w:tcPr>
          <w:p w14:paraId="6B3D8E6B" w14:textId="400E0F4A" w:rsidR="00BE2AAE" w:rsidRPr="005842F1" w:rsidRDefault="00623EFA" w:rsidP="00607FAE">
            <w:pPr>
              <w:spacing w:line="240" w:lineRule="auto"/>
              <w:rPr>
                <w:rFonts w:asciiTheme="majorHAnsi" w:hAnsiTheme="majorHAnsi" w:cstheme="majorHAnsi"/>
                <w:b/>
                <w:bCs/>
                <w:sz w:val="20"/>
                <w:szCs w:val="20"/>
              </w:rPr>
            </w:pPr>
            <w:r w:rsidRPr="00623EFA">
              <w:rPr>
                <w:rFonts w:asciiTheme="majorHAnsi" w:hAnsiTheme="majorHAnsi" w:cstheme="majorHAnsi"/>
                <w:b/>
                <w:bCs/>
                <w:sz w:val="20"/>
                <w:szCs w:val="20"/>
              </w:rPr>
              <w:t>Table 2: BID</w:t>
            </w:r>
            <w:r w:rsidR="00CB37D4">
              <w:rPr>
                <w:rFonts w:asciiTheme="majorHAnsi" w:hAnsiTheme="majorHAnsi" w:cstheme="majorHAnsi"/>
                <w:b/>
                <w:bCs/>
                <w:sz w:val="20"/>
                <w:szCs w:val="20"/>
              </w:rPr>
              <w:t>-</w:t>
            </w:r>
            <w:r w:rsidRPr="00623EFA">
              <w:rPr>
                <w:rFonts w:asciiTheme="majorHAnsi" w:hAnsiTheme="majorHAnsi" w:cstheme="majorHAnsi"/>
                <w:b/>
                <w:bCs/>
                <w:sz w:val="20"/>
                <w:szCs w:val="20"/>
              </w:rPr>
              <w:t xml:space="preserve">Plymouth Patient Panel Demographics  </w:t>
            </w:r>
          </w:p>
        </w:tc>
        <w:tc>
          <w:tcPr>
            <w:tcW w:w="810" w:type="dxa"/>
            <w:shd w:val="clear" w:color="auto" w:fill="B4C6E7" w:themeFill="accent1" w:themeFillTint="66"/>
          </w:tcPr>
          <w:p w14:paraId="338D909D" w14:textId="77777777" w:rsidR="00BE2AAE" w:rsidRDefault="00BE2AAE" w:rsidP="00607FAE">
            <w:pPr>
              <w:spacing w:line="240" w:lineRule="auto"/>
              <w:jc w:val="center"/>
              <w:rPr>
                <w:rFonts w:asciiTheme="majorHAnsi" w:hAnsiTheme="majorHAnsi" w:cstheme="majorHAnsi"/>
                <w:b/>
                <w:bCs/>
                <w:sz w:val="20"/>
                <w:szCs w:val="20"/>
              </w:rPr>
            </w:pPr>
            <w:r w:rsidRPr="005842F1">
              <w:rPr>
                <w:rFonts w:asciiTheme="majorHAnsi" w:hAnsiTheme="majorHAnsi" w:cstheme="majorHAnsi"/>
                <w:b/>
                <w:bCs/>
                <w:sz w:val="20"/>
                <w:szCs w:val="20"/>
              </w:rPr>
              <w:t xml:space="preserve">2021 </w:t>
            </w:r>
          </w:p>
          <w:p w14:paraId="58F1A6AF" w14:textId="77777777" w:rsidR="00BE2AAE" w:rsidRPr="005842F1" w:rsidRDefault="00BE2AAE" w:rsidP="00607FAE">
            <w:pPr>
              <w:spacing w:line="240" w:lineRule="auto"/>
              <w:jc w:val="center"/>
              <w:rPr>
                <w:rFonts w:asciiTheme="majorHAnsi" w:hAnsiTheme="majorHAnsi" w:cstheme="majorHAnsi"/>
                <w:b/>
                <w:bCs/>
                <w:sz w:val="20"/>
                <w:szCs w:val="20"/>
              </w:rPr>
            </w:pPr>
            <w:r w:rsidRPr="005842F1">
              <w:rPr>
                <w:rFonts w:asciiTheme="majorHAnsi" w:hAnsiTheme="majorHAnsi" w:cstheme="majorHAnsi"/>
                <w:b/>
                <w:bCs/>
                <w:sz w:val="20"/>
                <w:szCs w:val="20"/>
              </w:rPr>
              <w:t>Count</w:t>
            </w:r>
          </w:p>
        </w:tc>
        <w:tc>
          <w:tcPr>
            <w:tcW w:w="990" w:type="dxa"/>
            <w:shd w:val="clear" w:color="auto" w:fill="B4C6E7" w:themeFill="accent1" w:themeFillTint="66"/>
          </w:tcPr>
          <w:p w14:paraId="499464A3" w14:textId="77777777" w:rsidR="00BE2AAE" w:rsidRPr="005842F1" w:rsidRDefault="00BE2AAE" w:rsidP="00607FAE">
            <w:pPr>
              <w:spacing w:line="240" w:lineRule="auto"/>
              <w:jc w:val="center"/>
              <w:rPr>
                <w:rFonts w:asciiTheme="majorHAnsi" w:hAnsiTheme="majorHAnsi" w:cstheme="majorHAnsi"/>
                <w:b/>
                <w:bCs/>
                <w:sz w:val="20"/>
                <w:szCs w:val="20"/>
              </w:rPr>
            </w:pPr>
            <w:r w:rsidRPr="005842F1">
              <w:rPr>
                <w:rFonts w:asciiTheme="majorHAnsi" w:hAnsiTheme="majorHAnsi" w:cstheme="majorHAnsi"/>
                <w:b/>
                <w:bCs/>
                <w:sz w:val="20"/>
                <w:szCs w:val="20"/>
              </w:rPr>
              <w:t>2021 Percent</w:t>
            </w:r>
          </w:p>
        </w:tc>
        <w:tc>
          <w:tcPr>
            <w:tcW w:w="990" w:type="dxa"/>
            <w:shd w:val="clear" w:color="auto" w:fill="B4C6E7" w:themeFill="accent1" w:themeFillTint="66"/>
          </w:tcPr>
          <w:p w14:paraId="5CE58B9E" w14:textId="77777777" w:rsidR="00BE2AAE" w:rsidRDefault="00BE2AAE" w:rsidP="00607FAE">
            <w:pPr>
              <w:spacing w:line="240" w:lineRule="auto"/>
              <w:jc w:val="center"/>
              <w:rPr>
                <w:rFonts w:asciiTheme="majorHAnsi" w:hAnsiTheme="majorHAnsi" w:cstheme="majorHAnsi"/>
                <w:b/>
                <w:bCs/>
                <w:sz w:val="20"/>
                <w:szCs w:val="20"/>
              </w:rPr>
            </w:pPr>
            <w:r w:rsidRPr="005842F1">
              <w:rPr>
                <w:rFonts w:asciiTheme="majorHAnsi" w:hAnsiTheme="majorHAnsi" w:cstheme="majorHAnsi"/>
                <w:b/>
                <w:bCs/>
                <w:sz w:val="20"/>
                <w:szCs w:val="20"/>
              </w:rPr>
              <w:t xml:space="preserve">2022 </w:t>
            </w:r>
          </w:p>
          <w:p w14:paraId="6D2A1465" w14:textId="77777777" w:rsidR="00BE2AAE" w:rsidRPr="005842F1" w:rsidRDefault="00BE2AAE" w:rsidP="00607FAE">
            <w:pPr>
              <w:spacing w:line="240" w:lineRule="auto"/>
              <w:jc w:val="center"/>
              <w:rPr>
                <w:rFonts w:asciiTheme="majorHAnsi" w:hAnsiTheme="majorHAnsi" w:cstheme="majorHAnsi"/>
                <w:b/>
                <w:bCs/>
                <w:sz w:val="20"/>
                <w:szCs w:val="20"/>
              </w:rPr>
            </w:pPr>
            <w:r w:rsidRPr="005842F1">
              <w:rPr>
                <w:rFonts w:asciiTheme="majorHAnsi" w:hAnsiTheme="majorHAnsi" w:cstheme="majorHAnsi"/>
                <w:b/>
                <w:bCs/>
                <w:sz w:val="20"/>
                <w:szCs w:val="20"/>
              </w:rPr>
              <w:t>Count</w:t>
            </w:r>
          </w:p>
        </w:tc>
        <w:tc>
          <w:tcPr>
            <w:tcW w:w="900" w:type="dxa"/>
            <w:shd w:val="clear" w:color="auto" w:fill="B4C6E7" w:themeFill="accent1" w:themeFillTint="66"/>
          </w:tcPr>
          <w:p w14:paraId="025D6B65" w14:textId="77777777" w:rsidR="00BE2AAE" w:rsidRPr="005842F1" w:rsidRDefault="00BE2AAE" w:rsidP="00607FAE">
            <w:pPr>
              <w:spacing w:line="240" w:lineRule="auto"/>
              <w:jc w:val="center"/>
              <w:rPr>
                <w:rFonts w:asciiTheme="majorHAnsi" w:hAnsiTheme="majorHAnsi" w:cstheme="majorHAnsi"/>
                <w:b/>
                <w:bCs/>
                <w:sz w:val="20"/>
                <w:szCs w:val="20"/>
              </w:rPr>
            </w:pPr>
            <w:r w:rsidRPr="005842F1">
              <w:rPr>
                <w:rFonts w:asciiTheme="majorHAnsi" w:hAnsiTheme="majorHAnsi" w:cstheme="majorHAnsi"/>
                <w:b/>
                <w:bCs/>
                <w:sz w:val="20"/>
                <w:szCs w:val="20"/>
              </w:rPr>
              <w:t>2022 Percent</w:t>
            </w:r>
          </w:p>
        </w:tc>
        <w:tc>
          <w:tcPr>
            <w:tcW w:w="990" w:type="dxa"/>
            <w:shd w:val="clear" w:color="auto" w:fill="B4C6E7" w:themeFill="accent1" w:themeFillTint="66"/>
          </w:tcPr>
          <w:p w14:paraId="54EDA92D" w14:textId="77777777" w:rsidR="00BE2AAE" w:rsidRDefault="00BE2AAE" w:rsidP="00607FAE">
            <w:pPr>
              <w:spacing w:line="240" w:lineRule="auto"/>
              <w:jc w:val="center"/>
              <w:rPr>
                <w:rFonts w:asciiTheme="majorHAnsi" w:hAnsiTheme="majorHAnsi" w:cstheme="majorHAnsi"/>
                <w:b/>
                <w:bCs/>
                <w:sz w:val="20"/>
                <w:szCs w:val="20"/>
              </w:rPr>
            </w:pPr>
            <w:r w:rsidRPr="005842F1">
              <w:rPr>
                <w:rFonts w:asciiTheme="majorHAnsi" w:hAnsiTheme="majorHAnsi" w:cstheme="majorHAnsi"/>
                <w:b/>
                <w:bCs/>
                <w:sz w:val="20"/>
                <w:szCs w:val="20"/>
              </w:rPr>
              <w:t>202</w:t>
            </w:r>
            <w:r>
              <w:rPr>
                <w:rFonts w:asciiTheme="majorHAnsi" w:hAnsiTheme="majorHAnsi" w:cstheme="majorHAnsi"/>
                <w:b/>
                <w:bCs/>
                <w:sz w:val="20"/>
                <w:szCs w:val="20"/>
              </w:rPr>
              <w:t>3</w:t>
            </w:r>
          </w:p>
          <w:p w14:paraId="3C8018FD" w14:textId="77777777" w:rsidR="00BE2AAE" w:rsidRPr="005842F1" w:rsidRDefault="00BE2AAE" w:rsidP="00607FAE">
            <w:pPr>
              <w:spacing w:line="240" w:lineRule="auto"/>
              <w:jc w:val="center"/>
              <w:rPr>
                <w:rFonts w:asciiTheme="majorHAnsi" w:hAnsiTheme="majorHAnsi" w:cstheme="majorHAnsi"/>
                <w:b/>
                <w:bCs/>
                <w:sz w:val="20"/>
                <w:szCs w:val="20"/>
              </w:rPr>
            </w:pPr>
            <w:r w:rsidRPr="005842F1">
              <w:rPr>
                <w:rFonts w:asciiTheme="majorHAnsi" w:hAnsiTheme="majorHAnsi" w:cstheme="majorHAnsi"/>
                <w:b/>
                <w:bCs/>
                <w:sz w:val="20"/>
                <w:szCs w:val="20"/>
              </w:rPr>
              <w:t>Count</w:t>
            </w:r>
          </w:p>
        </w:tc>
        <w:tc>
          <w:tcPr>
            <w:tcW w:w="990" w:type="dxa"/>
            <w:shd w:val="clear" w:color="auto" w:fill="B4C6E7" w:themeFill="accent1" w:themeFillTint="66"/>
          </w:tcPr>
          <w:p w14:paraId="194B7323" w14:textId="77777777" w:rsidR="00BE2AAE" w:rsidRDefault="00BE2AAE" w:rsidP="00607FAE">
            <w:pPr>
              <w:spacing w:line="240" w:lineRule="auto"/>
              <w:jc w:val="center"/>
              <w:rPr>
                <w:rFonts w:asciiTheme="majorHAnsi" w:hAnsiTheme="majorHAnsi" w:cstheme="majorHAnsi"/>
                <w:b/>
                <w:bCs/>
                <w:sz w:val="20"/>
                <w:szCs w:val="20"/>
              </w:rPr>
            </w:pPr>
            <w:r w:rsidRPr="005842F1">
              <w:rPr>
                <w:rFonts w:asciiTheme="majorHAnsi" w:hAnsiTheme="majorHAnsi" w:cstheme="majorHAnsi"/>
                <w:b/>
                <w:bCs/>
                <w:sz w:val="20"/>
                <w:szCs w:val="20"/>
              </w:rPr>
              <w:t>202</w:t>
            </w:r>
            <w:r>
              <w:rPr>
                <w:rFonts w:asciiTheme="majorHAnsi" w:hAnsiTheme="majorHAnsi" w:cstheme="majorHAnsi"/>
                <w:b/>
                <w:bCs/>
                <w:sz w:val="20"/>
                <w:szCs w:val="20"/>
              </w:rPr>
              <w:t>3</w:t>
            </w:r>
          </w:p>
          <w:p w14:paraId="7E8CB54A" w14:textId="77777777" w:rsidR="00BE2AAE" w:rsidRPr="005842F1" w:rsidRDefault="00BE2AAE" w:rsidP="00607FAE">
            <w:pPr>
              <w:spacing w:line="240" w:lineRule="auto"/>
              <w:jc w:val="center"/>
              <w:rPr>
                <w:rFonts w:asciiTheme="majorHAnsi" w:hAnsiTheme="majorHAnsi" w:cstheme="majorHAnsi"/>
                <w:b/>
                <w:bCs/>
                <w:sz w:val="20"/>
                <w:szCs w:val="20"/>
              </w:rPr>
            </w:pPr>
            <w:r w:rsidRPr="005842F1">
              <w:rPr>
                <w:rFonts w:asciiTheme="majorHAnsi" w:hAnsiTheme="majorHAnsi" w:cstheme="majorHAnsi"/>
                <w:b/>
                <w:bCs/>
                <w:sz w:val="20"/>
                <w:szCs w:val="20"/>
              </w:rPr>
              <w:t>Percent</w:t>
            </w:r>
          </w:p>
        </w:tc>
      </w:tr>
      <w:tr w:rsidR="00BE2AAE" w14:paraId="12336B09" w14:textId="77777777" w:rsidTr="0096689E">
        <w:trPr>
          <w:cantSplit/>
          <w:trHeight w:val="251"/>
        </w:trPr>
        <w:tc>
          <w:tcPr>
            <w:tcW w:w="4050" w:type="dxa"/>
            <w:shd w:val="clear" w:color="auto" w:fill="D9E2F3" w:themeFill="accent1" w:themeFillTint="33"/>
            <w:vAlign w:val="center"/>
          </w:tcPr>
          <w:p w14:paraId="514C9F2E" w14:textId="77777777" w:rsidR="00BE2AAE" w:rsidRPr="005842F1" w:rsidRDefault="00BE2AAE" w:rsidP="00607FAE">
            <w:pPr>
              <w:spacing w:line="240" w:lineRule="auto"/>
              <w:rPr>
                <w:rFonts w:asciiTheme="majorHAnsi" w:hAnsiTheme="majorHAnsi" w:cstheme="majorHAnsi"/>
                <w:sz w:val="20"/>
                <w:szCs w:val="20"/>
              </w:rPr>
            </w:pPr>
            <w:r w:rsidRPr="005842F1">
              <w:rPr>
                <w:rFonts w:asciiTheme="majorHAnsi" w:hAnsiTheme="majorHAnsi" w:cstheme="majorHAnsi"/>
                <w:b/>
                <w:bCs/>
                <w:color w:val="000000"/>
                <w:sz w:val="20"/>
                <w:szCs w:val="20"/>
              </w:rPr>
              <w:t>Total</w:t>
            </w:r>
          </w:p>
        </w:tc>
        <w:tc>
          <w:tcPr>
            <w:tcW w:w="810" w:type="dxa"/>
            <w:shd w:val="clear" w:color="auto" w:fill="D9E2F3" w:themeFill="accent1" w:themeFillTint="33"/>
            <w:vAlign w:val="center"/>
          </w:tcPr>
          <w:p w14:paraId="038396D5" w14:textId="77777777" w:rsidR="00BE2AAE" w:rsidRPr="005842F1" w:rsidRDefault="00BE2AAE" w:rsidP="00623EFA">
            <w:pPr>
              <w:spacing w:line="240" w:lineRule="auto"/>
              <w:jc w:val="right"/>
              <w:rPr>
                <w:rFonts w:asciiTheme="majorHAnsi" w:hAnsiTheme="majorHAnsi" w:cstheme="majorHAnsi"/>
                <w:sz w:val="20"/>
                <w:szCs w:val="20"/>
              </w:rPr>
            </w:pPr>
            <w:r w:rsidRPr="005842F1">
              <w:rPr>
                <w:rFonts w:asciiTheme="majorHAnsi" w:hAnsiTheme="majorHAnsi" w:cstheme="majorHAnsi"/>
                <w:b/>
                <w:bCs/>
                <w:color w:val="000000"/>
                <w:sz w:val="20"/>
                <w:szCs w:val="20"/>
              </w:rPr>
              <w:t>89,731</w:t>
            </w:r>
          </w:p>
        </w:tc>
        <w:tc>
          <w:tcPr>
            <w:tcW w:w="990" w:type="dxa"/>
            <w:shd w:val="clear" w:color="auto" w:fill="D9E2F3" w:themeFill="accent1" w:themeFillTint="33"/>
            <w:vAlign w:val="center"/>
          </w:tcPr>
          <w:p w14:paraId="6A3E2B2A" w14:textId="77777777" w:rsidR="00BE2AAE" w:rsidRPr="005842F1" w:rsidRDefault="00BE2AAE" w:rsidP="00623EFA">
            <w:pPr>
              <w:spacing w:line="240" w:lineRule="auto"/>
              <w:jc w:val="right"/>
              <w:rPr>
                <w:rFonts w:asciiTheme="majorHAnsi" w:hAnsiTheme="majorHAnsi" w:cstheme="majorHAnsi"/>
                <w:sz w:val="20"/>
                <w:szCs w:val="20"/>
              </w:rPr>
            </w:pPr>
            <w:r w:rsidRPr="005842F1">
              <w:rPr>
                <w:rFonts w:asciiTheme="majorHAnsi" w:hAnsiTheme="majorHAnsi" w:cstheme="majorHAnsi"/>
                <w:b/>
                <w:bCs/>
                <w:color w:val="000000"/>
                <w:sz w:val="20"/>
                <w:szCs w:val="20"/>
              </w:rPr>
              <w:t>100%</w:t>
            </w:r>
          </w:p>
        </w:tc>
        <w:tc>
          <w:tcPr>
            <w:tcW w:w="990" w:type="dxa"/>
            <w:shd w:val="clear" w:color="auto" w:fill="D9E2F3" w:themeFill="accent1" w:themeFillTint="33"/>
            <w:vAlign w:val="center"/>
          </w:tcPr>
          <w:p w14:paraId="6E0AD687" w14:textId="77777777" w:rsidR="00BE2AAE" w:rsidRPr="005842F1" w:rsidRDefault="00BE2AAE" w:rsidP="00623EFA">
            <w:pPr>
              <w:spacing w:line="240" w:lineRule="auto"/>
              <w:jc w:val="right"/>
              <w:rPr>
                <w:rFonts w:asciiTheme="majorHAnsi" w:hAnsiTheme="majorHAnsi" w:cstheme="majorHAnsi"/>
                <w:sz w:val="20"/>
                <w:szCs w:val="20"/>
              </w:rPr>
            </w:pPr>
            <w:r w:rsidRPr="005842F1">
              <w:rPr>
                <w:rFonts w:asciiTheme="majorHAnsi" w:hAnsiTheme="majorHAnsi" w:cstheme="majorHAnsi"/>
                <w:b/>
                <w:bCs/>
                <w:color w:val="000000"/>
                <w:sz w:val="20"/>
                <w:szCs w:val="20"/>
              </w:rPr>
              <w:t>83,796</w:t>
            </w:r>
          </w:p>
        </w:tc>
        <w:tc>
          <w:tcPr>
            <w:tcW w:w="900" w:type="dxa"/>
            <w:shd w:val="clear" w:color="auto" w:fill="D9E2F3" w:themeFill="accent1" w:themeFillTint="33"/>
            <w:vAlign w:val="center"/>
          </w:tcPr>
          <w:p w14:paraId="30D4E4F1" w14:textId="77777777" w:rsidR="00BE2AAE" w:rsidRPr="005842F1" w:rsidRDefault="00BE2AAE" w:rsidP="00623EFA">
            <w:pPr>
              <w:spacing w:line="240" w:lineRule="auto"/>
              <w:jc w:val="right"/>
              <w:rPr>
                <w:rFonts w:asciiTheme="majorHAnsi" w:hAnsiTheme="majorHAnsi" w:cstheme="majorHAnsi"/>
                <w:sz w:val="20"/>
                <w:szCs w:val="20"/>
              </w:rPr>
            </w:pPr>
            <w:r w:rsidRPr="005842F1">
              <w:rPr>
                <w:rFonts w:asciiTheme="majorHAnsi" w:hAnsiTheme="majorHAnsi" w:cstheme="majorHAnsi"/>
                <w:b/>
                <w:bCs/>
                <w:color w:val="000000"/>
                <w:sz w:val="20"/>
                <w:szCs w:val="20"/>
              </w:rPr>
              <w:t>100%</w:t>
            </w:r>
          </w:p>
        </w:tc>
        <w:tc>
          <w:tcPr>
            <w:tcW w:w="990" w:type="dxa"/>
            <w:shd w:val="clear" w:color="auto" w:fill="D9E2F3" w:themeFill="accent1" w:themeFillTint="33"/>
          </w:tcPr>
          <w:p w14:paraId="725FBA9A" w14:textId="77777777" w:rsidR="00BE2AAE" w:rsidRPr="005842F1" w:rsidRDefault="00BE2AAE" w:rsidP="00623EFA">
            <w:pPr>
              <w:spacing w:line="240" w:lineRule="auto"/>
              <w:jc w:val="right"/>
              <w:rPr>
                <w:rFonts w:asciiTheme="majorHAnsi" w:hAnsiTheme="majorHAnsi" w:cstheme="majorHAnsi"/>
                <w:sz w:val="20"/>
                <w:szCs w:val="20"/>
              </w:rPr>
            </w:pPr>
            <w:r w:rsidRPr="00867550">
              <w:t>82,191</w:t>
            </w:r>
          </w:p>
        </w:tc>
        <w:tc>
          <w:tcPr>
            <w:tcW w:w="990" w:type="dxa"/>
            <w:shd w:val="clear" w:color="auto" w:fill="D9E2F3" w:themeFill="accent1" w:themeFillTint="33"/>
          </w:tcPr>
          <w:p w14:paraId="5D86A9F8" w14:textId="77777777" w:rsidR="00BE2AAE" w:rsidRPr="005842F1" w:rsidRDefault="00BE2AAE" w:rsidP="00623EFA">
            <w:pPr>
              <w:spacing w:line="240" w:lineRule="auto"/>
              <w:jc w:val="right"/>
              <w:rPr>
                <w:rFonts w:asciiTheme="majorHAnsi" w:hAnsiTheme="majorHAnsi" w:cstheme="majorHAnsi"/>
                <w:sz w:val="20"/>
                <w:szCs w:val="20"/>
              </w:rPr>
            </w:pPr>
            <w:r w:rsidRPr="00867550">
              <w:t>100%</w:t>
            </w:r>
          </w:p>
        </w:tc>
      </w:tr>
      <w:tr w:rsidR="00BE2AAE" w14:paraId="57298D12" w14:textId="77777777" w:rsidTr="0096689E">
        <w:trPr>
          <w:cantSplit/>
        </w:trPr>
        <w:tc>
          <w:tcPr>
            <w:tcW w:w="4050" w:type="dxa"/>
            <w:shd w:val="clear" w:color="auto" w:fill="auto"/>
            <w:vAlign w:val="center"/>
          </w:tcPr>
          <w:p w14:paraId="599DE6E0" w14:textId="550DAFCC" w:rsidR="00BE2AAE" w:rsidRPr="005842F1" w:rsidRDefault="00BE2AAE" w:rsidP="00607FAE">
            <w:pPr>
              <w:spacing w:line="240" w:lineRule="auto"/>
              <w:rPr>
                <w:rFonts w:asciiTheme="majorHAnsi" w:hAnsiTheme="majorHAnsi" w:cstheme="majorHAnsi"/>
                <w:sz w:val="20"/>
                <w:szCs w:val="20"/>
              </w:rPr>
            </w:pPr>
            <w:r w:rsidRPr="005842F1">
              <w:rPr>
                <w:rFonts w:asciiTheme="majorHAnsi" w:hAnsiTheme="majorHAnsi" w:cstheme="majorHAnsi"/>
                <w:color w:val="000000"/>
                <w:sz w:val="20"/>
                <w:szCs w:val="20"/>
              </w:rPr>
              <w:t>Age</w:t>
            </w:r>
            <w:r w:rsidR="005707AC">
              <w:rPr>
                <w:rFonts w:asciiTheme="majorHAnsi" w:hAnsiTheme="majorHAnsi" w:cstheme="majorHAnsi"/>
                <w:color w:val="000000"/>
                <w:sz w:val="20"/>
                <w:szCs w:val="20"/>
              </w:rPr>
              <w:t>:</w:t>
            </w:r>
            <w:r w:rsidRPr="005842F1">
              <w:rPr>
                <w:rFonts w:asciiTheme="majorHAnsi" w:hAnsiTheme="majorHAnsi" w:cstheme="majorHAnsi"/>
                <w:color w:val="000000"/>
                <w:sz w:val="20"/>
                <w:szCs w:val="20"/>
              </w:rPr>
              <w:t xml:space="preserve"> 0 to 17</w:t>
            </w:r>
          </w:p>
        </w:tc>
        <w:tc>
          <w:tcPr>
            <w:tcW w:w="810" w:type="dxa"/>
            <w:vAlign w:val="center"/>
          </w:tcPr>
          <w:p w14:paraId="19AEF878" w14:textId="77777777" w:rsidR="00BE2AAE" w:rsidRPr="005842F1" w:rsidRDefault="00BE2AAE" w:rsidP="00623EFA">
            <w:pPr>
              <w:spacing w:line="240" w:lineRule="auto"/>
              <w:jc w:val="right"/>
              <w:rPr>
                <w:rFonts w:asciiTheme="majorHAnsi" w:hAnsiTheme="majorHAnsi" w:cstheme="majorHAnsi"/>
                <w:sz w:val="20"/>
                <w:szCs w:val="20"/>
              </w:rPr>
            </w:pPr>
            <w:r w:rsidRPr="005842F1">
              <w:rPr>
                <w:rFonts w:asciiTheme="majorHAnsi" w:hAnsiTheme="majorHAnsi" w:cstheme="majorHAnsi"/>
                <w:color w:val="000000"/>
                <w:sz w:val="20"/>
                <w:szCs w:val="20"/>
              </w:rPr>
              <w:t>7,662</w:t>
            </w:r>
          </w:p>
        </w:tc>
        <w:tc>
          <w:tcPr>
            <w:tcW w:w="990" w:type="dxa"/>
            <w:vAlign w:val="center"/>
          </w:tcPr>
          <w:p w14:paraId="687EC5F2" w14:textId="77777777" w:rsidR="00BE2AAE" w:rsidRPr="005842F1" w:rsidRDefault="00BE2AAE" w:rsidP="00623EFA">
            <w:pPr>
              <w:spacing w:line="240" w:lineRule="auto"/>
              <w:jc w:val="right"/>
              <w:rPr>
                <w:rFonts w:asciiTheme="majorHAnsi" w:hAnsiTheme="majorHAnsi" w:cstheme="majorHAnsi"/>
                <w:sz w:val="20"/>
                <w:szCs w:val="20"/>
              </w:rPr>
            </w:pPr>
            <w:r w:rsidRPr="005842F1">
              <w:rPr>
                <w:rFonts w:asciiTheme="majorHAnsi" w:hAnsiTheme="majorHAnsi" w:cstheme="majorHAnsi"/>
                <w:color w:val="000000"/>
                <w:sz w:val="20"/>
                <w:szCs w:val="20"/>
              </w:rPr>
              <w:t>8.54%</w:t>
            </w:r>
          </w:p>
        </w:tc>
        <w:tc>
          <w:tcPr>
            <w:tcW w:w="990" w:type="dxa"/>
            <w:vAlign w:val="center"/>
          </w:tcPr>
          <w:p w14:paraId="627CB126" w14:textId="77777777" w:rsidR="00BE2AAE" w:rsidRPr="005842F1" w:rsidRDefault="00BE2AAE" w:rsidP="00623EFA">
            <w:pPr>
              <w:spacing w:line="240" w:lineRule="auto"/>
              <w:jc w:val="right"/>
              <w:rPr>
                <w:rFonts w:asciiTheme="majorHAnsi" w:hAnsiTheme="majorHAnsi" w:cstheme="majorHAnsi"/>
                <w:sz w:val="20"/>
                <w:szCs w:val="20"/>
              </w:rPr>
            </w:pPr>
            <w:r w:rsidRPr="005842F1">
              <w:rPr>
                <w:rFonts w:asciiTheme="majorHAnsi" w:hAnsiTheme="majorHAnsi" w:cstheme="majorHAnsi"/>
                <w:color w:val="000000"/>
                <w:sz w:val="20"/>
                <w:szCs w:val="20"/>
              </w:rPr>
              <w:t>7,171</w:t>
            </w:r>
          </w:p>
        </w:tc>
        <w:tc>
          <w:tcPr>
            <w:tcW w:w="900" w:type="dxa"/>
            <w:vAlign w:val="center"/>
          </w:tcPr>
          <w:p w14:paraId="64A4EFA5" w14:textId="77777777" w:rsidR="00BE2AAE" w:rsidRPr="005842F1" w:rsidRDefault="00BE2AAE" w:rsidP="00623EFA">
            <w:pPr>
              <w:spacing w:line="240" w:lineRule="auto"/>
              <w:jc w:val="right"/>
              <w:rPr>
                <w:rFonts w:asciiTheme="majorHAnsi" w:hAnsiTheme="majorHAnsi" w:cstheme="majorHAnsi"/>
                <w:sz w:val="20"/>
                <w:szCs w:val="20"/>
              </w:rPr>
            </w:pPr>
            <w:r w:rsidRPr="005842F1">
              <w:rPr>
                <w:rFonts w:asciiTheme="majorHAnsi" w:hAnsiTheme="majorHAnsi" w:cstheme="majorHAnsi"/>
                <w:color w:val="000000"/>
                <w:sz w:val="20"/>
                <w:szCs w:val="20"/>
              </w:rPr>
              <w:t>8.6%</w:t>
            </w:r>
          </w:p>
        </w:tc>
        <w:tc>
          <w:tcPr>
            <w:tcW w:w="990" w:type="dxa"/>
            <w:shd w:val="clear" w:color="auto" w:fill="auto"/>
          </w:tcPr>
          <w:p w14:paraId="268A7BE9" w14:textId="77777777" w:rsidR="00BE2AAE" w:rsidRPr="00E74C94" w:rsidRDefault="00BE2AAE" w:rsidP="00623EFA">
            <w:pPr>
              <w:spacing w:line="240" w:lineRule="auto"/>
              <w:jc w:val="right"/>
              <w:rPr>
                <w:rFonts w:asciiTheme="majorHAnsi" w:hAnsiTheme="majorHAnsi" w:cstheme="majorHAnsi"/>
                <w:color w:val="000000"/>
                <w:sz w:val="20"/>
                <w:szCs w:val="20"/>
              </w:rPr>
            </w:pPr>
            <w:r w:rsidRPr="00E74C94">
              <w:rPr>
                <w:rFonts w:asciiTheme="majorHAnsi" w:hAnsiTheme="majorHAnsi" w:cstheme="majorHAnsi"/>
                <w:color w:val="000000"/>
                <w:sz w:val="20"/>
                <w:szCs w:val="20"/>
              </w:rPr>
              <w:t>6,747</w:t>
            </w:r>
          </w:p>
        </w:tc>
        <w:tc>
          <w:tcPr>
            <w:tcW w:w="990" w:type="dxa"/>
            <w:shd w:val="clear" w:color="auto" w:fill="auto"/>
          </w:tcPr>
          <w:p w14:paraId="29C073DC" w14:textId="77777777" w:rsidR="00BE2AAE" w:rsidRPr="00E74C94" w:rsidRDefault="00BE2AAE" w:rsidP="00623EFA">
            <w:pPr>
              <w:spacing w:line="240" w:lineRule="auto"/>
              <w:jc w:val="right"/>
              <w:rPr>
                <w:rFonts w:asciiTheme="majorHAnsi" w:hAnsiTheme="majorHAnsi" w:cstheme="majorHAnsi"/>
                <w:color w:val="000000"/>
                <w:sz w:val="20"/>
                <w:szCs w:val="20"/>
              </w:rPr>
            </w:pPr>
            <w:r w:rsidRPr="00E74C94">
              <w:rPr>
                <w:rFonts w:asciiTheme="majorHAnsi" w:hAnsiTheme="majorHAnsi" w:cstheme="majorHAnsi"/>
                <w:color w:val="000000"/>
                <w:sz w:val="20"/>
                <w:szCs w:val="20"/>
              </w:rPr>
              <w:t>8.2%</w:t>
            </w:r>
          </w:p>
        </w:tc>
      </w:tr>
      <w:tr w:rsidR="00BE2AAE" w14:paraId="00AD9983" w14:textId="77777777" w:rsidTr="0096689E">
        <w:trPr>
          <w:cantSplit/>
        </w:trPr>
        <w:tc>
          <w:tcPr>
            <w:tcW w:w="4050" w:type="dxa"/>
            <w:shd w:val="clear" w:color="auto" w:fill="auto"/>
            <w:vAlign w:val="center"/>
          </w:tcPr>
          <w:p w14:paraId="7015D6AF" w14:textId="511AE42A" w:rsidR="00BE2AAE" w:rsidRPr="005842F1" w:rsidRDefault="00BE2AAE" w:rsidP="00607FAE">
            <w:pPr>
              <w:spacing w:line="240" w:lineRule="auto"/>
              <w:rPr>
                <w:rFonts w:asciiTheme="majorHAnsi" w:hAnsiTheme="majorHAnsi" w:cstheme="majorHAnsi"/>
                <w:sz w:val="20"/>
                <w:szCs w:val="20"/>
              </w:rPr>
            </w:pPr>
            <w:r w:rsidRPr="005842F1">
              <w:rPr>
                <w:rFonts w:asciiTheme="majorHAnsi" w:hAnsiTheme="majorHAnsi" w:cstheme="majorHAnsi"/>
                <w:color w:val="000000"/>
                <w:sz w:val="20"/>
                <w:szCs w:val="20"/>
              </w:rPr>
              <w:t>Age</w:t>
            </w:r>
            <w:r w:rsidR="005707AC">
              <w:rPr>
                <w:rFonts w:asciiTheme="majorHAnsi" w:hAnsiTheme="majorHAnsi" w:cstheme="majorHAnsi"/>
                <w:color w:val="000000"/>
                <w:sz w:val="20"/>
                <w:szCs w:val="20"/>
              </w:rPr>
              <w:t>:</w:t>
            </w:r>
            <w:r w:rsidRPr="005842F1">
              <w:rPr>
                <w:rFonts w:asciiTheme="majorHAnsi" w:hAnsiTheme="majorHAnsi" w:cstheme="majorHAnsi"/>
                <w:color w:val="000000"/>
                <w:sz w:val="20"/>
                <w:szCs w:val="20"/>
              </w:rPr>
              <w:t xml:space="preserve"> 18 to 25</w:t>
            </w:r>
          </w:p>
        </w:tc>
        <w:tc>
          <w:tcPr>
            <w:tcW w:w="810" w:type="dxa"/>
            <w:vAlign w:val="center"/>
          </w:tcPr>
          <w:p w14:paraId="10D9EE0A" w14:textId="77777777" w:rsidR="00BE2AAE" w:rsidRPr="005842F1" w:rsidRDefault="00BE2AAE" w:rsidP="00623EFA">
            <w:pPr>
              <w:spacing w:line="240" w:lineRule="auto"/>
              <w:jc w:val="right"/>
              <w:rPr>
                <w:rFonts w:asciiTheme="majorHAnsi" w:hAnsiTheme="majorHAnsi" w:cstheme="majorHAnsi"/>
                <w:sz w:val="20"/>
                <w:szCs w:val="20"/>
              </w:rPr>
            </w:pPr>
            <w:r w:rsidRPr="005842F1">
              <w:rPr>
                <w:rFonts w:asciiTheme="majorHAnsi" w:hAnsiTheme="majorHAnsi" w:cstheme="majorHAnsi"/>
                <w:color w:val="000000"/>
                <w:sz w:val="20"/>
                <w:szCs w:val="20"/>
              </w:rPr>
              <w:t>5,688</w:t>
            </w:r>
          </w:p>
        </w:tc>
        <w:tc>
          <w:tcPr>
            <w:tcW w:w="990" w:type="dxa"/>
            <w:vAlign w:val="center"/>
          </w:tcPr>
          <w:p w14:paraId="138DAFDB" w14:textId="77777777" w:rsidR="00BE2AAE" w:rsidRPr="005842F1" w:rsidRDefault="00BE2AAE" w:rsidP="00623EFA">
            <w:pPr>
              <w:spacing w:line="240" w:lineRule="auto"/>
              <w:jc w:val="right"/>
              <w:rPr>
                <w:rFonts w:asciiTheme="majorHAnsi" w:hAnsiTheme="majorHAnsi" w:cstheme="majorHAnsi"/>
                <w:sz w:val="20"/>
                <w:szCs w:val="20"/>
              </w:rPr>
            </w:pPr>
            <w:r w:rsidRPr="005842F1">
              <w:rPr>
                <w:rFonts w:asciiTheme="majorHAnsi" w:hAnsiTheme="majorHAnsi" w:cstheme="majorHAnsi"/>
                <w:color w:val="000000"/>
                <w:sz w:val="20"/>
                <w:szCs w:val="20"/>
              </w:rPr>
              <w:t>6.34%</w:t>
            </w:r>
          </w:p>
        </w:tc>
        <w:tc>
          <w:tcPr>
            <w:tcW w:w="990" w:type="dxa"/>
            <w:vAlign w:val="center"/>
          </w:tcPr>
          <w:p w14:paraId="3DA01D34" w14:textId="77777777" w:rsidR="00BE2AAE" w:rsidRPr="005842F1" w:rsidRDefault="00BE2AAE" w:rsidP="00623EFA">
            <w:pPr>
              <w:spacing w:line="240" w:lineRule="auto"/>
              <w:jc w:val="right"/>
              <w:rPr>
                <w:rFonts w:asciiTheme="majorHAnsi" w:hAnsiTheme="majorHAnsi" w:cstheme="majorHAnsi"/>
                <w:sz w:val="20"/>
                <w:szCs w:val="20"/>
              </w:rPr>
            </w:pPr>
            <w:r w:rsidRPr="005842F1">
              <w:rPr>
                <w:rFonts w:asciiTheme="majorHAnsi" w:hAnsiTheme="majorHAnsi" w:cstheme="majorHAnsi"/>
                <w:color w:val="000000"/>
                <w:sz w:val="20"/>
                <w:szCs w:val="20"/>
              </w:rPr>
              <w:t>5,095</w:t>
            </w:r>
          </w:p>
        </w:tc>
        <w:tc>
          <w:tcPr>
            <w:tcW w:w="900" w:type="dxa"/>
            <w:vAlign w:val="center"/>
          </w:tcPr>
          <w:p w14:paraId="428D3A05" w14:textId="77777777" w:rsidR="00BE2AAE" w:rsidRPr="005842F1" w:rsidRDefault="00BE2AAE" w:rsidP="00623EFA">
            <w:pPr>
              <w:spacing w:line="240" w:lineRule="auto"/>
              <w:jc w:val="right"/>
              <w:rPr>
                <w:rFonts w:asciiTheme="majorHAnsi" w:hAnsiTheme="majorHAnsi" w:cstheme="majorHAnsi"/>
                <w:sz w:val="20"/>
                <w:szCs w:val="20"/>
              </w:rPr>
            </w:pPr>
            <w:r w:rsidRPr="005842F1">
              <w:rPr>
                <w:rFonts w:asciiTheme="majorHAnsi" w:hAnsiTheme="majorHAnsi" w:cstheme="majorHAnsi"/>
                <w:color w:val="000000"/>
                <w:sz w:val="20"/>
                <w:szCs w:val="20"/>
              </w:rPr>
              <w:t>6.1%</w:t>
            </w:r>
          </w:p>
        </w:tc>
        <w:tc>
          <w:tcPr>
            <w:tcW w:w="990" w:type="dxa"/>
            <w:shd w:val="clear" w:color="auto" w:fill="auto"/>
          </w:tcPr>
          <w:p w14:paraId="3EF79B65" w14:textId="77777777" w:rsidR="00BE2AAE" w:rsidRPr="00E74C94" w:rsidRDefault="00BE2AAE" w:rsidP="00623EFA">
            <w:pPr>
              <w:spacing w:line="240" w:lineRule="auto"/>
              <w:jc w:val="right"/>
              <w:rPr>
                <w:rFonts w:asciiTheme="majorHAnsi" w:hAnsiTheme="majorHAnsi" w:cstheme="majorHAnsi"/>
                <w:color w:val="000000"/>
                <w:sz w:val="20"/>
                <w:szCs w:val="20"/>
              </w:rPr>
            </w:pPr>
            <w:r w:rsidRPr="00E74C94">
              <w:rPr>
                <w:rFonts w:asciiTheme="majorHAnsi" w:hAnsiTheme="majorHAnsi" w:cstheme="majorHAnsi"/>
                <w:color w:val="000000"/>
                <w:sz w:val="20"/>
                <w:szCs w:val="20"/>
              </w:rPr>
              <w:t>4,835</w:t>
            </w:r>
          </w:p>
        </w:tc>
        <w:tc>
          <w:tcPr>
            <w:tcW w:w="990" w:type="dxa"/>
            <w:shd w:val="clear" w:color="auto" w:fill="auto"/>
          </w:tcPr>
          <w:p w14:paraId="3C1159C4" w14:textId="77777777" w:rsidR="00BE2AAE" w:rsidRPr="00E74C94" w:rsidRDefault="00BE2AAE" w:rsidP="00623EFA">
            <w:pPr>
              <w:spacing w:line="240" w:lineRule="auto"/>
              <w:jc w:val="right"/>
              <w:rPr>
                <w:rFonts w:asciiTheme="majorHAnsi" w:hAnsiTheme="majorHAnsi" w:cstheme="majorHAnsi"/>
                <w:color w:val="000000"/>
                <w:sz w:val="20"/>
                <w:szCs w:val="20"/>
              </w:rPr>
            </w:pPr>
            <w:r w:rsidRPr="00E74C94">
              <w:rPr>
                <w:rFonts w:asciiTheme="majorHAnsi" w:hAnsiTheme="majorHAnsi" w:cstheme="majorHAnsi"/>
                <w:color w:val="000000"/>
                <w:sz w:val="20"/>
                <w:szCs w:val="20"/>
              </w:rPr>
              <w:t>5.9%</w:t>
            </w:r>
          </w:p>
        </w:tc>
      </w:tr>
      <w:tr w:rsidR="00BE2AAE" w14:paraId="78600C9C" w14:textId="77777777" w:rsidTr="0096689E">
        <w:trPr>
          <w:cantSplit/>
        </w:trPr>
        <w:tc>
          <w:tcPr>
            <w:tcW w:w="4050" w:type="dxa"/>
            <w:shd w:val="clear" w:color="auto" w:fill="auto"/>
            <w:vAlign w:val="center"/>
          </w:tcPr>
          <w:p w14:paraId="1EE6D9E2" w14:textId="44BD12F7" w:rsidR="00BE2AAE" w:rsidRPr="005842F1" w:rsidRDefault="00BE2AAE" w:rsidP="00607FAE">
            <w:pPr>
              <w:spacing w:line="240" w:lineRule="auto"/>
              <w:rPr>
                <w:rFonts w:asciiTheme="majorHAnsi" w:hAnsiTheme="majorHAnsi" w:cstheme="majorHAnsi"/>
                <w:sz w:val="20"/>
                <w:szCs w:val="20"/>
              </w:rPr>
            </w:pPr>
            <w:r w:rsidRPr="005842F1">
              <w:rPr>
                <w:rFonts w:asciiTheme="majorHAnsi" w:hAnsiTheme="majorHAnsi" w:cstheme="majorHAnsi"/>
                <w:color w:val="000000"/>
                <w:sz w:val="20"/>
                <w:szCs w:val="20"/>
              </w:rPr>
              <w:t>Age</w:t>
            </w:r>
            <w:r w:rsidR="005707AC">
              <w:rPr>
                <w:rFonts w:asciiTheme="majorHAnsi" w:hAnsiTheme="majorHAnsi" w:cstheme="majorHAnsi"/>
                <w:color w:val="000000"/>
                <w:sz w:val="20"/>
                <w:szCs w:val="20"/>
              </w:rPr>
              <w:t>:</w:t>
            </w:r>
            <w:r w:rsidRPr="005842F1">
              <w:rPr>
                <w:rFonts w:asciiTheme="majorHAnsi" w:hAnsiTheme="majorHAnsi" w:cstheme="majorHAnsi"/>
                <w:color w:val="000000"/>
                <w:sz w:val="20"/>
                <w:szCs w:val="20"/>
              </w:rPr>
              <w:t xml:space="preserve"> 26-45</w:t>
            </w:r>
          </w:p>
        </w:tc>
        <w:tc>
          <w:tcPr>
            <w:tcW w:w="810" w:type="dxa"/>
            <w:vAlign w:val="center"/>
          </w:tcPr>
          <w:p w14:paraId="19417BC9" w14:textId="77777777" w:rsidR="00BE2AAE" w:rsidRPr="005842F1" w:rsidRDefault="00BE2AAE" w:rsidP="00623EFA">
            <w:pPr>
              <w:spacing w:line="240" w:lineRule="auto"/>
              <w:jc w:val="right"/>
              <w:rPr>
                <w:rFonts w:asciiTheme="majorHAnsi" w:hAnsiTheme="majorHAnsi" w:cstheme="majorHAnsi"/>
                <w:sz w:val="20"/>
                <w:szCs w:val="20"/>
              </w:rPr>
            </w:pPr>
            <w:r w:rsidRPr="005842F1">
              <w:rPr>
                <w:rFonts w:asciiTheme="majorHAnsi" w:hAnsiTheme="majorHAnsi" w:cstheme="majorHAnsi"/>
                <w:color w:val="000000"/>
                <w:sz w:val="20"/>
                <w:szCs w:val="20"/>
              </w:rPr>
              <w:t>18,599</w:t>
            </w:r>
          </w:p>
        </w:tc>
        <w:tc>
          <w:tcPr>
            <w:tcW w:w="990" w:type="dxa"/>
            <w:vAlign w:val="center"/>
          </w:tcPr>
          <w:p w14:paraId="00369458" w14:textId="77777777" w:rsidR="00BE2AAE" w:rsidRPr="005842F1" w:rsidRDefault="00BE2AAE" w:rsidP="00623EFA">
            <w:pPr>
              <w:spacing w:line="240" w:lineRule="auto"/>
              <w:jc w:val="right"/>
              <w:rPr>
                <w:rFonts w:asciiTheme="majorHAnsi" w:hAnsiTheme="majorHAnsi" w:cstheme="majorHAnsi"/>
                <w:sz w:val="20"/>
                <w:szCs w:val="20"/>
              </w:rPr>
            </w:pPr>
            <w:r w:rsidRPr="005842F1">
              <w:rPr>
                <w:rFonts w:asciiTheme="majorHAnsi" w:hAnsiTheme="majorHAnsi" w:cstheme="majorHAnsi"/>
                <w:color w:val="000000"/>
                <w:sz w:val="20"/>
                <w:szCs w:val="20"/>
              </w:rPr>
              <w:t>20.73%</w:t>
            </w:r>
          </w:p>
        </w:tc>
        <w:tc>
          <w:tcPr>
            <w:tcW w:w="990" w:type="dxa"/>
            <w:vAlign w:val="center"/>
          </w:tcPr>
          <w:p w14:paraId="48E5A648" w14:textId="77777777" w:rsidR="00BE2AAE" w:rsidRPr="005842F1" w:rsidRDefault="00BE2AAE" w:rsidP="00623EFA">
            <w:pPr>
              <w:spacing w:line="240" w:lineRule="auto"/>
              <w:jc w:val="right"/>
              <w:rPr>
                <w:rFonts w:asciiTheme="majorHAnsi" w:hAnsiTheme="majorHAnsi" w:cstheme="majorHAnsi"/>
                <w:sz w:val="20"/>
                <w:szCs w:val="20"/>
              </w:rPr>
            </w:pPr>
            <w:r w:rsidRPr="005842F1">
              <w:rPr>
                <w:rFonts w:asciiTheme="majorHAnsi" w:hAnsiTheme="majorHAnsi" w:cstheme="majorHAnsi"/>
                <w:color w:val="000000"/>
                <w:sz w:val="20"/>
                <w:szCs w:val="20"/>
              </w:rPr>
              <w:t>16,955</w:t>
            </w:r>
          </w:p>
        </w:tc>
        <w:tc>
          <w:tcPr>
            <w:tcW w:w="900" w:type="dxa"/>
            <w:vAlign w:val="center"/>
          </w:tcPr>
          <w:p w14:paraId="2D290418" w14:textId="77777777" w:rsidR="00BE2AAE" w:rsidRPr="005842F1" w:rsidRDefault="00BE2AAE" w:rsidP="00623EFA">
            <w:pPr>
              <w:spacing w:line="240" w:lineRule="auto"/>
              <w:jc w:val="right"/>
              <w:rPr>
                <w:rFonts w:asciiTheme="majorHAnsi" w:hAnsiTheme="majorHAnsi" w:cstheme="majorHAnsi"/>
                <w:sz w:val="20"/>
                <w:szCs w:val="20"/>
              </w:rPr>
            </w:pPr>
            <w:r w:rsidRPr="005842F1">
              <w:rPr>
                <w:rFonts w:asciiTheme="majorHAnsi" w:hAnsiTheme="majorHAnsi" w:cstheme="majorHAnsi"/>
                <w:color w:val="000000"/>
                <w:sz w:val="20"/>
                <w:szCs w:val="20"/>
              </w:rPr>
              <w:t>20.2%</w:t>
            </w:r>
          </w:p>
        </w:tc>
        <w:tc>
          <w:tcPr>
            <w:tcW w:w="990" w:type="dxa"/>
            <w:shd w:val="clear" w:color="auto" w:fill="auto"/>
          </w:tcPr>
          <w:p w14:paraId="198ED46E" w14:textId="77777777" w:rsidR="00BE2AAE" w:rsidRPr="00E74C94" w:rsidRDefault="00BE2AAE" w:rsidP="00623EFA">
            <w:pPr>
              <w:spacing w:line="240" w:lineRule="auto"/>
              <w:jc w:val="right"/>
              <w:rPr>
                <w:rFonts w:asciiTheme="majorHAnsi" w:hAnsiTheme="majorHAnsi" w:cstheme="majorHAnsi"/>
                <w:color w:val="000000"/>
                <w:sz w:val="20"/>
                <w:szCs w:val="20"/>
              </w:rPr>
            </w:pPr>
            <w:r w:rsidRPr="00E74C94">
              <w:rPr>
                <w:rFonts w:asciiTheme="majorHAnsi" w:hAnsiTheme="majorHAnsi" w:cstheme="majorHAnsi"/>
                <w:color w:val="000000"/>
                <w:sz w:val="20"/>
                <w:szCs w:val="20"/>
              </w:rPr>
              <w:t>16,649</w:t>
            </w:r>
          </w:p>
        </w:tc>
        <w:tc>
          <w:tcPr>
            <w:tcW w:w="990" w:type="dxa"/>
            <w:shd w:val="clear" w:color="auto" w:fill="auto"/>
          </w:tcPr>
          <w:p w14:paraId="17782CEC" w14:textId="77777777" w:rsidR="00BE2AAE" w:rsidRPr="00E74C94" w:rsidRDefault="00BE2AAE" w:rsidP="00623EFA">
            <w:pPr>
              <w:spacing w:line="240" w:lineRule="auto"/>
              <w:jc w:val="right"/>
              <w:rPr>
                <w:rFonts w:asciiTheme="majorHAnsi" w:hAnsiTheme="majorHAnsi" w:cstheme="majorHAnsi"/>
                <w:color w:val="000000"/>
                <w:sz w:val="20"/>
                <w:szCs w:val="20"/>
              </w:rPr>
            </w:pPr>
            <w:r w:rsidRPr="00E74C94">
              <w:rPr>
                <w:rFonts w:asciiTheme="majorHAnsi" w:hAnsiTheme="majorHAnsi" w:cstheme="majorHAnsi"/>
                <w:color w:val="000000"/>
                <w:sz w:val="20"/>
                <w:szCs w:val="20"/>
              </w:rPr>
              <w:t>20.3%</w:t>
            </w:r>
          </w:p>
        </w:tc>
      </w:tr>
      <w:tr w:rsidR="00BE2AAE" w14:paraId="02A0F551" w14:textId="77777777" w:rsidTr="0096689E">
        <w:trPr>
          <w:cantSplit/>
        </w:trPr>
        <w:tc>
          <w:tcPr>
            <w:tcW w:w="4050" w:type="dxa"/>
            <w:shd w:val="clear" w:color="auto" w:fill="auto"/>
            <w:vAlign w:val="center"/>
          </w:tcPr>
          <w:p w14:paraId="17D0A354" w14:textId="4F10140C" w:rsidR="00BE2AAE" w:rsidRPr="005842F1" w:rsidRDefault="00BE2AAE" w:rsidP="00607FAE">
            <w:pPr>
              <w:spacing w:line="240" w:lineRule="auto"/>
              <w:rPr>
                <w:rFonts w:asciiTheme="majorHAnsi" w:hAnsiTheme="majorHAnsi" w:cstheme="majorHAnsi"/>
                <w:sz w:val="20"/>
                <w:szCs w:val="20"/>
              </w:rPr>
            </w:pPr>
            <w:r w:rsidRPr="005842F1">
              <w:rPr>
                <w:rFonts w:asciiTheme="majorHAnsi" w:hAnsiTheme="majorHAnsi" w:cstheme="majorHAnsi"/>
                <w:color w:val="000000"/>
                <w:sz w:val="20"/>
                <w:szCs w:val="20"/>
              </w:rPr>
              <w:t>Age</w:t>
            </w:r>
            <w:r w:rsidR="005707AC">
              <w:rPr>
                <w:rFonts w:asciiTheme="majorHAnsi" w:hAnsiTheme="majorHAnsi" w:cstheme="majorHAnsi"/>
                <w:color w:val="000000"/>
                <w:sz w:val="20"/>
                <w:szCs w:val="20"/>
              </w:rPr>
              <w:t xml:space="preserve">: </w:t>
            </w:r>
            <w:r w:rsidRPr="005842F1">
              <w:rPr>
                <w:rFonts w:asciiTheme="majorHAnsi" w:hAnsiTheme="majorHAnsi" w:cstheme="majorHAnsi"/>
                <w:color w:val="000000"/>
                <w:sz w:val="20"/>
                <w:szCs w:val="20"/>
              </w:rPr>
              <w:t>46-64</w:t>
            </w:r>
          </w:p>
        </w:tc>
        <w:tc>
          <w:tcPr>
            <w:tcW w:w="810" w:type="dxa"/>
            <w:vAlign w:val="center"/>
          </w:tcPr>
          <w:p w14:paraId="3A167B4C" w14:textId="77777777" w:rsidR="00BE2AAE" w:rsidRPr="005842F1" w:rsidRDefault="00BE2AAE" w:rsidP="00623EFA">
            <w:pPr>
              <w:spacing w:line="240" w:lineRule="auto"/>
              <w:jc w:val="right"/>
              <w:rPr>
                <w:rFonts w:asciiTheme="majorHAnsi" w:hAnsiTheme="majorHAnsi" w:cstheme="majorHAnsi"/>
                <w:sz w:val="20"/>
                <w:szCs w:val="20"/>
              </w:rPr>
            </w:pPr>
            <w:r w:rsidRPr="005842F1">
              <w:rPr>
                <w:rFonts w:asciiTheme="majorHAnsi" w:hAnsiTheme="majorHAnsi" w:cstheme="majorHAnsi"/>
                <w:color w:val="000000"/>
                <w:sz w:val="20"/>
                <w:szCs w:val="20"/>
              </w:rPr>
              <w:t>28,335</w:t>
            </w:r>
          </w:p>
        </w:tc>
        <w:tc>
          <w:tcPr>
            <w:tcW w:w="990" w:type="dxa"/>
            <w:vAlign w:val="center"/>
          </w:tcPr>
          <w:p w14:paraId="0B84EBC7" w14:textId="77777777" w:rsidR="00BE2AAE" w:rsidRPr="005842F1" w:rsidRDefault="00BE2AAE" w:rsidP="00623EFA">
            <w:pPr>
              <w:spacing w:line="240" w:lineRule="auto"/>
              <w:jc w:val="right"/>
              <w:rPr>
                <w:rFonts w:asciiTheme="majorHAnsi" w:hAnsiTheme="majorHAnsi" w:cstheme="majorHAnsi"/>
                <w:sz w:val="20"/>
                <w:szCs w:val="20"/>
              </w:rPr>
            </w:pPr>
            <w:r w:rsidRPr="005842F1">
              <w:rPr>
                <w:rFonts w:asciiTheme="majorHAnsi" w:hAnsiTheme="majorHAnsi" w:cstheme="majorHAnsi"/>
                <w:color w:val="000000"/>
                <w:sz w:val="20"/>
                <w:szCs w:val="20"/>
              </w:rPr>
              <w:t>31.58%</w:t>
            </w:r>
          </w:p>
        </w:tc>
        <w:tc>
          <w:tcPr>
            <w:tcW w:w="990" w:type="dxa"/>
            <w:vAlign w:val="center"/>
          </w:tcPr>
          <w:p w14:paraId="0555EA9E" w14:textId="77777777" w:rsidR="00BE2AAE" w:rsidRPr="005842F1" w:rsidRDefault="00BE2AAE" w:rsidP="00623EFA">
            <w:pPr>
              <w:spacing w:line="240" w:lineRule="auto"/>
              <w:jc w:val="right"/>
              <w:rPr>
                <w:rFonts w:asciiTheme="majorHAnsi" w:hAnsiTheme="majorHAnsi" w:cstheme="majorHAnsi"/>
                <w:sz w:val="20"/>
                <w:szCs w:val="20"/>
              </w:rPr>
            </w:pPr>
            <w:r w:rsidRPr="005842F1">
              <w:rPr>
                <w:rFonts w:asciiTheme="majorHAnsi" w:hAnsiTheme="majorHAnsi" w:cstheme="majorHAnsi"/>
                <w:color w:val="000000"/>
                <w:sz w:val="20"/>
                <w:szCs w:val="20"/>
              </w:rPr>
              <w:t>25,214</w:t>
            </w:r>
          </w:p>
        </w:tc>
        <w:tc>
          <w:tcPr>
            <w:tcW w:w="900" w:type="dxa"/>
            <w:vAlign w:val="center"/>
          </w:tcPr>
          <w:p w14:paraId="4C166127" w14:textId="77777777" w:rsidR="00BE2AAE" w:rsidRPr="005842F1" w:rsidRDefault="00BE2AAE" w:rsidP="00623EFA">
            <w:pPr>
              <w:spacing w:line="240" w:lineRule="auto"/>
              <w:jc w:val="right"/>
              <w:rPr>
                <w:rFonts w:asciiTheme="majorHAnsi" w:hAnsiTheme="majorHAnsi" w:cstheme="majorHAnsi"/>
                <w:sz w:val="20"/>
                <w:szCs w:val="20"/>
              </w:rPr>
            </w:pPr>
            <w:r w:rsidRPr="005842F1">
              <w:rPr>
                <w:rFonts w:asciiTheme="majorHAnsi" w:hAnsiTheme="majorHAnsi" w:cstheme="majorHAnsi"/>
                <w:color w:val="000000"/>
                <w:sz w:val="20"/>
                <w:szCs w:val="20"/>
              </w:rPr>
              <w:t>30.1%</w:t>
            </w:r>
          </w:p>
        </w:tc>
        <w:tc>
          <w:tcPr>
            <w:tcW w:w="990" w:type="dxa"/>
            <w:shd w:val="clear" w:color="auto" w:fill="auto"/>
          </w:tcPr>
          <w:p w14:paraId="1199E006" w14:textId="77777777" w:rsidR="00BE2AAE" w:rsidRPr="00E74C94" w:rsidRDefault="00BE2AAE" w:rsidP="00623EFA">
            <w:pPr>
              <w:spacing w:line="240" w:lineRule="auto"/>
              <w:jc w:val="right"/>
              <w:rPr>
                <w:rFonts w:asciiTheme="majorHAnsi" w:hAnsiTheme="majorHAnsi" w:cstheme="majorHAnsi"/>
                <w:color w:val="000000"/>
                <w:sz w:val="20"/>
                <w:szCs w:val="20"/>
              </w:rPr>
            </w:pPr>
            <w:r w:rsidRPr="00E74C94">
              <w:rPr>
                <w:rFonts w:asciiTheme="majorHAnsi" w:hAnsiTheme="majorHAnsi" w:cstheme="majorHAnsi"/>
                <w:color w:val="000000"/>
                <w:sz w:val="20"/>
                <w:szCs w:val="20"/>
              </w:rPr>
              <w:t>23,659</w:t>
            </w:r>
          </w:p>
        </w:tc>
        <w:tc>
          <w:tcPr>
            <w:tcW w:w="990" w:type="dxa"/>
            <w:shd w:val="clear" w:color="auto" w:fill="auto"/>
          </w:tcPr>
          <w:p w14:paraId="57340B43" w14:textId="77777777" w:rsidR="00BE2AAE" w:rsidRPr="00E74C94" w:rsidRDefault="00BE2AAE" w:rsidP="00623EFA">
            <w:pPr>
              <w:spacing w:line="240" w:lineRule="auto"/>
              <w:jc w:val="right"/>
              <w:rPr>
                <w:rFonts w:asciiTheme="majorHAnsi" w:hAnsiTheme="majorHAnsi" w:cstheme="majorHAnsi"/>
                <w:color w:val="000000"/>
                <w:sz w:val="20"/>
                <w:szCs w:val="20"/>
              </w:rPr>
            </w:pPr>
            <w:r w:rsidRPr="00E74C94">
              <w:rPr>
                <w:rFonts w:asciiTheme="majorHAnsi" w:hAnsiTheme="majorHAnsi" w:cstheme="majorHAnsi"/>
                <w:color w:val="000000"/>
                <w:sz w:val="20"/>
                <w:szCs w:val="20"/>
              </w:rPr>
              <w:t>28.8%</w:t>
            </w:r>
          </w:p>
        </w:tc>
      </w:tr>
      <w:tr w:rsidR="00BE2AAE" w14:paraId="3C59EBB5" w14:textId="77777777" w:rsidTr="0096689E">
        <w:trPr>
          <w:cantSplit/>
        </w:trPr>
        <w:tc>
          <w:tcPr>
            <w:tcW w:w="4050" w:type="dxa"/>
            <w:shd w:val="clear" w:color="auto" w:fill="auto"/>
            <w:vAlign w:val="center"/>
          </w:tcPr>
          <w:p w14:paraId="73EFCE15" w14:textId="5BBE0925" w:rsidR="00BE2AAE" w:rsidRPr="005842F1" w:rsidRDefault="00BE2AAE" w:rsidP="00607FAE">
            <w:pPr>
              <w:spacing w:line="240" w:lineRule="auto"/>
              <w:rPr>
                <w:rFonts w:asciiTheme="majorHAnsi" w:hAnsiTheme="majorHAnsi" w:cstheme="majorHAnsi"/>
                <w:color w:val="000000"/>
                <w:sz w:val="20"/>
                <w:szCs w:val="20"/>
              </w:rPr>
            </w:pPr>
            <w:r w:rsidRPr="005842F1">
              <w:rPr>
                <w:rFonts w:asciiTheme="majorHAnsi" w:hAnsiTheme="majorHAnsi" w:cstheme="majorHAnsi"/>
                <w:color w:val="000000"/>
                <w:sz w:val="20"/>
                <w:szCs w:val="20"/>
              </w:rPr>
              <w:t>Age</w:t>
            </w:r>
            <w:r w:rsidR="005707AC">
              <w:rPr>
                <w:rFonts w:asciiTheme="majorHAnsi" w:hAnsiTheme="majorHAnsi" w:cstheme="majorHAnsi"/>
                <w:color w:val="000000"/>
                <w:sz w:val="20"/>
                <w:szCs w:val="20"/>
              </w:rPr>
              <w:t>:</w:t>
            </w:r>
            <w:r w:rsidRPr="005842F1">
              <w:rPr>
                <w:rFonts w:asciiTheme="majorHAnsi" w:hAnsiTheme="majorHAnsi" w:cstheme="majorHAnsi"/>
                <w:color w:val="000000"/>
                <w:sz w:val="20"/>
                <w:szCs w:val="20"/>
              </w:rPr>
              <w:t xml:space="preserve"> 65+</w:t>
            </w:r>
          </w:p>
        </w:tc>
        <w:tc>
          <w:tcPr>
            <w:tcW w:w="810" w:type="dxa"/>
            <w:vAlign w:val="center"/>
          </w:tcPr>
          <w:p w14:paraId="51C1FB88" w14:textId="77777777" w:rsidR="00BE2AAE" w:rsidRPr="005842F1" w:rsidRDefault="00BE2AAE" w:rsidP="00623EFA">
            <w:pPr>
              <w:spacing w:line="240" w:lineRule="auto"/>
              <w:jc w:val="right"/>
              <w:rPr>
                <w:rFonts w:asciiTheme="majorHAnsi" w:hAnsiTheme="majorHAnsi" w:cstheme="majorHAnsi"/>
                <w:color w:val="000000"/>
                <w:sz w:val="20"/>
                <w:szCs w:val="20"/>
              </w:rPr>
            </w:pPr>
            <w:r w:rsidRPr="005842F1">
              <w:rPr>
                <w:rFonts w:asciiTheme="majorHAnsi" w:hAnsiTheme="majorHAnsi" w:cstheme="majorHAnsi"/>
                <w:color w:val="000000"/>
                <w:sz w:val="20"/>
                <w:szCs w:val="20"/>
              </w:rPr>
              <w:t>29,447</w:t>
            </w:r>
          </w:p>
        </w:tc>
        <w:tc>
          <w:tcPr>
            <w:tcW w:w="990" w:type="dxa"/>
            <w:vAlign w:val="center"/>
          </w:tcPr>
          <w:p w14:paraId="19DB8393" w14:textId="77777777" w:rsidR="00BE2AAE" w:rsidRPr="005842F1" w:rsidRDefault="00BE2AAE" w:rsidP="00623EFA">
            <w:pPr>
              <w:spacing w:line="240" w:lineRule="auto"/>
              <w:jc w:val="right"/>
              <w:rPr>
                <w:rFonts w:asciiTheme="majorHAnsi" w:hAnsiTheme="majorHAnsi" w:cstheme="majorHAnsi"/>
                <w:color w:val="000000"/>
                <w:sz w:val="20"/>
                <w:szCs w:val="20"/>
              </w:rPr>
            </w:pPr>
            <w:r w:rsidRPr="005842F1">
              <w:rPr>
                <w:rFonts w:asciiTheme="majorHAnsi" w:hAnsiTheme="majorHAnsi" w:cstheme="majorHAnsi"/>
                <w:color w:val="000000"/>
                <w:sz w:val="20"/>
                <w:szCs w:val="20"/>
              </w:rPr>
              <w:t>32.82%</w:t>
            </w:r>
          </w:p>
        </w:tc>
        <w:tc>
          <w:tcPr>
            <w:tcW w:w="990" w:type="dxa"/>
            <w:vAlign w:val="center"/>
          </w:tcPr>
          <w:p w14:paraId="155358D9" w14:textId="77777777" w:rsidR="00BE2AAE" w:rsidRPr="005842F1" w:rsidRDefault="00BE2AAE" w:rsidP="00623EFA">
            <w:pPr>
              <w:spacing w:line="240" w:lineRule="auto"/>
              <w:jc w:val="right"/>
              <w:rPr>
                <w:rFonts w:asciiTheme="majorHAnsi" w:hAnsiTheme="majorHAnsi" w:cstheme="majorHAnsi"/>
                <w:color w:val="000000"/>
                <w:sz w:val="20"/>
                <w:szCs w:val="20"/>
              </w:rPr>
            </w:pPr>
            <w:r w:rsidRPr="005842F1">
              <w:rPr>
                <w:rFonts w:asciiTheme="majorHAnsi" w:hAnsiTheme="majorHAnsi" w:cstheme="majorHAnsi"/>
                <w:color w:val="000000"/>
                <w:sz w:val="20"/>
                <w:szCs w:val="20"/>
              </w:rPr>
              <w:t>29,361</w:t>
            </w:r>
          </w:p>
        </w:tc>
        <w:tc>
          <w:tcPr>
            <w:tcW w:w="900" w:type="dxa"/>
            <w:vAlign w:val="center"/>
          </w:tcPr>
          <w:p w14:paraId="39844A62" w14:textId="77777777" w:rsidR="00BE2AAE" w:rsidRPr="005842F1" w:rsidRDefault="00BE2AAE" w:rsidP="00623EFA">
            <w:pPr>
              <w:spacing w:line="240" w:lineRule="auto"/>
              <w:jc w:val="right"/>
              <w:rPr>
                <w:rFonts w:asciiTheme="majorHAnsi" w:hAnsiTheme="majorHAnsi" w:cstheme="majorHAnsi"/>
                <w:color w:val="000000"/>
                <w:sz w:val="20"/>
                <w:szCs w:val="20"/>
              </w:rPr>
            </w:pPr>
            <w:r w:rsidRPr="005842F1">
              <w:rPr>
                <w:rFonts w:asciiTheme="majorHAnsi" w:hAnsiTheme="majorHAnsi" w:cstheme="majorHAnsi"/>
                <w:color w:val="000000"/>
                <w:sz w:val="20"/>
                <w:szCs w:val="20"/>
              </w:rPr>
              <w:t>35.0%</w:t>
            </w:r>
          </w:p>
        </w:tc>
        <w:tc>
          <w:tcPr>
            <w:tcW w:w="990" w:type="dxa"/>
            <w:shd w:val="clear" w:color="auto" w:fill="auto"/>
          </w:tcPr>
          <w:p w14:paraId="23266B5E" w14:textId="77777777" w:rsidR="00BE2AAE" w:rsidRPr="005842F1" w:rsidRDefault="00BE2AAE" w:rsidP="00623EFA">
            <w:pPr>
              <w:spacing w:line="240" w:lineRule="auto"/>
              <w:jc w:val="right"/>
              <w:rPr>
                <w:rFonts w:asciiTheme="majorHAnsi" w:hAnsiTheme="majorHAnsi" w:cstheme="majorHAnsi"/>
                <w:color w:val="000000"/>
                <w:sz w:val="20"/>
                <w:szCs w:val="20"/>
              </w:rPr>
            </w:pPr>
            <w:r w:rsidRPr="00E74C94">
              <w:rPr>
                <w:rFonts w:asciiTheme="majorHAnsi" w:hAnsiTheme="majorHAnsi" w:cstheme="majorHAnsi"/>
                <w:color w:val="000000"/>
                <w:sz w:val="20"/>
                <w:szCs w:val="20"/>
              </w:rPr>
              <w:t>30,301</w:t>
            </w:r>
          </w:p>
        </w:tc>
        <w:tc>
          <w:tcPr>
            <w:tcW w:w="990" w:type="dxa"/>
            <w:shd w:val="clear" w:color="auto" w:fill="auto"/>
          </w:tcPr>
          <w:p w14:paraId="13F1BFDB" w14:textId="77777777" w:rsidR="00BE2AAE" w:rsidRPr="005842F1" w:rsidRDefault="00BE2AAE" w:rsidP="00623EFA">
            <w:pPr>
              <w:spacing w:line="240" w:lineRule="auto"/>
              <w:jc w:val="right"/>
              <w:rPr>
                <w:rFonts w:asciiTheme="majorHAnsi" w:hAnsiTheme="majorHAnsi" w:cstheme="majorHAnsi"/>
                <w:color w:val="000000"/>
                <w:sz w:val="20"/>
                <w:szCs w:val="20"/>
              </w:rPr>
            </w:pPr>
            <w:r w:rsidRPr="00E74C94">
              <w:rPr>
                <w:rFonts w:asciiTheme="majorHAnsi" w:hAnsiTheme="majorHAnsi" w:cstheme="majorHAnsi"/>
                <w:color w:val="000000"/>
                <w:sz w:val="20"/>
                <w:szCs w:val="20"/>
              </w:rPr>
              <w:t>36.9%</w:t>
            </w:r>
          </w:p>
        </w:tc>
      </w:tr>
      <w:tr w:rsidR="00BE2AAE" w14:paraId="30E71D8C" w14:textId="77777777" w:rsidTr="0096689E">
        <w:trPr>
          <w:cantSplit/>
        </w:trPr>
        <w:tc>
          <w:tcPr>
            <w:tcW w:w="4050" w:type="dxa"/>
            <w:shd w:val="clear" w:color="auto" w:fill="auto"/>
            <w:vAlign w:val="center"/>
          </w:tcPr>
          <w:p w14:paraId="60B44C9A" w14:textId="1F8164E5" w:rsidR="00BE2AAE" w:rsidRPr="005842F1" w:rsidRDefault="00BE2AAE" w:rsidP="00607FAE">
            <w:pPr>
              <w:spacing w:line="240" w:lineRule="auto"/>
              <w:rPr>
                <w:rFonts w:asciiTheme="majorHAnsi" w:hAnsiTheme="majorHAnsi" w:cstheme="majorHAnsi"/>
                <w:color w:val="000000"/>
                <w:sz w:val="20"/>
                <w:szCs w:val="20"/>
              </w:rPr>
            </w:pPr>
            <w:r w:rsidRPr="005842F1">
              <w:rPr>
                <w:rFonts w:asciiTheme="majorHAnsi" w:hAnsiTheme="majorHAnsi" w:cstheme="majorHAnsi"/>
                <w:color w:val="000000"/>
                <w:sz w:val="20"/>
                <w:szCs w:val="20"/>
              </w:rPr>
              <w:t>Gender</w:t>
            </w:r>
            <w:r w:rsidR="005707AC">
              <w:rPr>
                <w:rFonts w:asciiTheme="majorHAnsi" w:hAnsiTheme="majorHAnsi" w:cstheme="majorHAnsi"/>
                <w:color w:val="000000"/>
                <w:sz w:val="20"/>
                <w:szCs w:val="20"/>
              </w:rPr>
              <w:t xml:space="preserve">: </w:t>
            </w:r>
            <w:r w:rsidRPr="005842F1">
              <w:rPr>
                <w:rFonts w:asciiTheme="majorHAnsi" w:hAnsiTheme="majorHAnsi" w:cstheme="majorHAnsi"/>
                <w:color w:val="000000"/>
                <w:sz w:val="20"/>
                <w:szCs w:val="20"/>
              </w:rPr>
              <w:t xml:space="preserve">Male </w:t>
            </w:r>
          </w:p>
        </w:tc>
        <w:tc>
          <w:tcPr>
            <w:tcW w:w="810" w:type="dxa"/>
            <w:vAlign w:val="center"/>
          </w:tcPr>
          <w:p w14:paraId="7FEBA594" w14:textId="77777777" w:rsidR="00BE2AAE" w:rsidRPr="005842F1" w:rsidRDefault="00BE2AAE" w:rsidP="00623EFA">
            <w:pPr>
              <w:spacing w:line="240" w:lineRule="auto"/>
              <w:jc w:val="right"/>
              <w:rPr>
                <w:rFonts w:asciiTheme="majorHAnsi" w:hAnsiTheme="majorHAnsi" w:cstheme="majorHAnsi"/>
                <w:color w:val="000000"/>
                <w:sz w:val="20"/>
                <w:szCs w:val="20"/>
              </w:rPr>
            </w:pPr>
            <w:r w:rsidRPr="005842F1">
              <w:rPr>
                <w:rFonts w:asciiTheme="majorHAnsi" w:hAnsiTheme="majorHAnsi" w:cstheme="majorHAnsi"/>
                <w:color w:val="000000"/>
                <w:sz w:val="20"/>
                <w:szCs w:val="20"/>
              </w:rPr>
              <w:t>36,446</w:t>
            </w:r>
          </w:p>
        </w:tc>
        <w:tc>
          <w:tcPr>
            <w:tcW w:w="990" w:type="dxa"/>
            <w:vAlign w:val="center"/>
          </w:tcPr>
          <w:p w14:paraId="0E3C25B7" w14:textId="77777777" w:rsidR="00BE2AAE" w:rsidRPr="005842F1" w:rsidRDefault="00BE2AAE" w:rsidP="00623EFA">
            <w:pPr>
              <w:spacing w:line="240" w:lineRule="auto"/>
              <w:jc w:val="right"/>
              <w:rPr>
                <w:rFonts w:asciiTheme="majorHAnsi" w:hAnsiTheme="majorHAnsi" w:cstheme="majorHAnsi"/>
                <w:color w:val="000000"/>
                <w:sz w:val="20"/>
                <w:szCs w:val="20"/>
              </w:rPr>
            </w:pPr>
            <w:r w:rsidRPr="005842F1">
              <w:rPr>
                <w:rFonts w:asciiTheme="majorHAnsi" w:hAnsiTheme="majorHAnsi" w:cstheme="majorHAnsi"/>
                <w:color w:val="000000"/>
                <w:sz w:val="20"/>
                <w:szCs w:val="20"/>
              </w:rPr>
              <w:t>40.62%</w:t>
            </w:r>
          </w:p>
        </w:tc>
        <w:tc>
          <w:tcPr>
            <w:tcW w:w="990" w:type="dxa"/>
            <w:vAlign w:val="center"/>
          </w:tcPr>
          <w:p w14:paraId="347F9634" w14:textId="77777777" w:rsidR="00BE2AAE" w:rsidRPr="005842F1" w:rsidRDefault="00BE2AAE" w:rsidP="00623EFA">
            <w:pPr>
              <w:spacing w:line="240" w:lineRule="auto"/>
              <w:jc w:val="right"/>
              <w:rPr>
                <w:rFonts w:asciiTheme="majorHAnsi" w:hAnsiTheme="majorHAnsi" w:cstheme="majorHAnsi"/>
                <w:color w:val="000000"/>
                <w:sz w:val="20"/>
                <w:szCs w:val="20"/>
              </w:rPr>
            </w:pPr>
            <w:r w:rsidRPr="005842F1">
              <w:rPr>
                <w:rFonts w:asciiTheme="majorHAnsi" w:hAnsiTheme="majorHAnsi" w:cstheme="majorHAnsi"/>
                <w:color w:val="000000"/>
                <w:sz w:val="20"/>
                <w:szCs w:val="20"/>
              </w:rPr>
              <w:t>33,501</w:t>
            </w:r>
          </w:p>
        </w:tc>
        <w:tc>
          <w:tcPr>
            <w:tcW w:w="900" w:type="dxa"/>
            <w:vAlign w:val="center"/>
          </w:tcPr>
          <w:p w14:paraId="1DB20FA0" w14:textId="77777777" w:rsidR="00BE2AAE" w:rsidRPr="005842F1" w:rsidRDefault="00BE2AAE" w:rsidP="00623EFA">
            <w:pPr>
              <w:spacing w:line="240" w:lineRule="auto"/>
              <w:jc w:val="right"/>
              <w:rPr>
                <w:rFonts w:asciiTheme="majorHAnsi" w:hAnsiTheme="majorHAnsi" w:cstheme="majorHAnsi"/>
                <w:color w:val="000000"/>
                <w:sz w:val="20"/>
                <w:szCs w:val="20"/>
              </w:rPr>
            </w:pPr>
            <w:r w:rsidRPr="005842F1">
              <w:rPr>
                <w:rFonts w:asciiTheme="majorHAnsi" w:hAnsiTheme="majorHAnsi" w:cstheme="majorHAnsi"/>
                <w:color w:val="000000"/>
                <w:sz w:val="20"/>
                <w:szCs w:val="20"/>
              </w:rPr>
              <w:t>40.0%</w:t>
            </w:r>
          </w:p>
        </w:tc>
        <w:tc>
          <w:tcPr>
            <w:tcW w:w="990" w:type="dxa"/>
            <w:shd w:val="clear" w:color="auto" w:fill="auto"/>
          </w:tcPr>
          <w:p w14:paraId="530E3295" w14:textId="77777777" w:rsidR="00BE2AAE" w:rsidRPr="005842F1" w:rsidRDefault="00BE2AAE" w:rsidP="00623EFA">
            <w:pPr>
              <w:spacing w:line="240" w:lineRule="auto"/>
              <w:jc w:val="right"/>
              <w:rPr>
                <w:rFonts w:asciiTheme="majorHAnsi" w:hAnsiTheme="majorHAnsi" w:cstheme="majorHAnsi"/>
                <w:color w:val="000000"/>
                <w:sz w:val="20"/>
                <w:szCs w:val="20"/>
              </w:rPr>
            </w:pPr>
            <w:r w:rsidRPr="00E74C94">
              <w:rPr>
                <w:rFonts w:asciiTheme="majorHAnsi" w:hAnsiTheme="majorHAnsi" w:cstheme="majorHAnsi"/>
                <w:color w:val="000000"/>
                <w:sz w:val="20"/>
                <w:szCs w:val="20"/>
              </w:rPr>
              <w:t>34,689</w:t>
            </w:r>
          </w:p>
        </w:tc>
        <w:tc>
          <w:tcPr>
            <w:tcW w:w="990" w:type="dxa"/>
            <w:shd w:val="clear" w:color="auto" w:fill="auto"/>
          </w:tcPr>
          <w:p w14:paraId="62B76694" w14:textId="77777777" w:rsidR="00BE2AAE" w:rsidRPr="005842F1" w:rsidRDefault="00BE2AAE" w:rsidP="00623EFA">
            <w:pPr>
              <w:spacing w:line="240" w:lineRule="auto"/>
              <w:jc w:val="right"/>
              <w:rPr>
                <w:rFonts w:asciiTheme="majorHAnsi" w:hAnsiTheme="majorHAnsi" w:cstheme="majorHAnsi"/>
                <w:color w:val="000000"/>
                <w:sz w:val="20"/>
                <w:szCs w:val="20"/>
              </w:rPr>
            </w:pPr>
            <w:r w:rsidRPr="00E74C94">
              <w:rPr>
                <w:rFonts w:asciiTheme="majorHAnsi" w:hAnsiTheme="majorHAnsi" w:cstheme="majorHAnsi"/>
                <w:color w:val="000000"/>
                <w:sz w:val="20"/>
                <w:szCs w:val="20"/>
              </w:rPr>
              <w:t>42.2%</w:t>
            </w:r>
          </w:p>
        </w:tc>
      </w:tr>
      <w:tr w:rsidR="00BE2AAE" w14:paraId="07F4497A" w14:textId="77777777" w:rsidTr="0096689E">
        <w:trPr>
          <w:cantSplit/>
        </w:trPr>
        <w:tc>
          <w:tcPr>
            <w:tcW w:w="4050" w:type="dxa"/>
            <w:shd w:val="clear" w:color="auto" w:fill="auto"/>
            <w:vAlign w:val="center"/>
          </w:tcPr>
          <w:p w14:paraId="2D655F46" w14:textId="6D401AE6" w:rsidR="00BE2AAE" w:rsidRPr="005842F1" w:rsidRDefault="00BE2AAE" w:rsidP="00607FAE">
            <w:pPr>
              <w:spacing w:line="240" w:lineRule="auto"/>
              <w:rPr>
                <w:rFonts w:asciiTheme="majorHAnsi" w:hAnsiTheme="majorHAnsi" w:cstheme="majorHAnsi"/>
                <w:color w:val="000000"/>
                <w:sz w:val="20"/>
                <w:szCs w:val="20"/>
              </w:rPr>
            </w:pPr>
            <w:r w:rsidRPr="005842F1">
              <w:rPr>
                <w:rFonts w:asciiTheme="majorHAnsi" w:hAnsiTheme="majorHAnsi" w:cstheme="majorHAnsi"/>
                <w:color w:val="000000"/>
                <w:sz w:val="20"/>
                <w:szCs w:val="20"/>
              </w:rPr>
              <w:t>Gender</w:t>
            </w:r>
            <w:r w:rsidR="005707AC">
              <w:rPr>
                <w:rFonts w:asciiTheme="majorHAnsi" w:hAnsiTheme="majorHAnsi" w:cstheme="majorHAnsi"/>
                <w:color w:val="000000"/>
                <w:sz w:val="20"/>
                <w:szCs w:val="20"/>
              </w:rPr>
              <w:t>:</w:t>
            </w:r>
            <w:r w:rsidRPr="005842F1">
              <w:rPr>
                <w:rFonts w:asciiTheme="majorHAnsi" w:hAnsiTheme="majorHAnsi" w:cstheme="majorHAnsi"/>
                <w:color w:val="000000"/>
                <w:sz w:val="20"/>
                <w:szCs w:val="20"/>
              </w:rPr>
              <w:t xml:space="preserve"> Female</w:t>
            </w:r>
            <w:r w:rsidRPr="005842F1">
              <w:rPr>
                <w:rStyle w:val="FootnoteReference"/>
                <w:rFonts w:asciiTheme="majorHAnsi" w:hAnsiTheme="majorHAnsi" w:cstheme="majorHAnsi"/>
                <w:color w:val="000000"/>
                <w:sz w:val="20"/>
                <w:szCs w:val="20"/>
              </w:rPr>
              <w:footnoteReference w:id="8"/>
            </w:r>
          </w:p>
        </w:tc>
        <w:tc>
          <w:tcPr>
            <w:tcW w:w="810" w:type="dxa"/>
            <w:vAlign w:val="center"/>
          </w:tcPr>
          <w:p w14:paraId="2504CAFC" w14:textId="77777777" w:rsidR="00BE2AAE" w:rsidRPr="005842F1" w:rsidRDefault="00BE2AAE" w:rsidP="00623EFA">
            <w:pPr>
              <w:spacing w:line="240" w:lineRule="auto"/>
              <w:jc w:val="right"/>
              <w:rPr>
                <w:rFonts w:asciiTheme="majorHAnsi" w:hAnsiTheme="majorHAnsi" w:cstheme="majorHAnsi"/>
                <w:color w:val="000000"/>
                <w:sz w:val="20"/>
                <w:szCs w:val="20"/>
              </w:rPr>
            </w:pPr>
            <w:r w:rsidRPr="005842F1">
              <w:rPr>
                <w:rFonts w:asciiTheme="majorHAnsi" w:hAnsiTheme="majorHAnsi" w:cstheme="majorHAnsi"/>
                <w:color w:val="000000"/>
                <w:sz w:val="20"/>
                <w:szCs w:val="20"/>
              </w:rPr>
              <w:t>53,285</w:t>
            </w:r>
          </w:p>
        </w:tc>
        <w:tc>
          <w:tcPr>
            <w:tcW w:w="990" w:type="dxa"/>
            <w:vAlign w:val="center"/>
          </w:tcPr>
          <w:p w14:paraId="43EBF51F" w14:textId="77777777" w:rsidR="00BE2AAE" w:rsidRPr="005842F1" w:rsidRDefault="00BE2AAE" w:rsidP="00623EFA">
            <w:pPr>
              <w:spacing w:line="240" w:lineRule="auto"/>
              <w:jc w:val="right"/>
              <w:rPr>
                <w:rFonts w:asciiTheme="majorHAnsi" w:hAnsiTheme="majorHAnsi" w:cstheme="majorHAnsi"/>
                <w:color w:val="000000"/>
                <w:sz w:val="20"/>
                <w:szCs w:val="20"/>
              </w:rPr>
            </w:pPr>
            <w:r w:rsidRPr="005842F1">
              <w:rPr>
                <w:rFonts w:asciiTheme="majorHAnsi" w:hAnsiTheme="majorHAnsi" w:cstheme="majorHAnsi"/>
                <w:color w:val="000000"/>
                <w:sz w:val="20"/>
                <w:szCs w:val="20"/>
              </w:rPr>
              <w:t>59.38%</w:t>
            </w:r>
          </w:p>
        </w:tc>
        <w:tc>
          <w:tcPr>
            <w:tcW w:w="990" w:type="dxa"/>
            <w:vAlign w:val="center"/>
          </w:tcPr>
          <w:p w14:paraId="4E277C5B" w14:textId="77777777" w:rsidR="00BE2AAE" w:rsidRPr="005842F1" w:rsidRDefault="00BE2AAE" w:rsidP="00623EFA">
            <w:pPr>
              <w:spacing w:line="240" w:lineRule="auto"/>
              <w:jc w:val="right"/>
              <w:rPr>
                <w:rFonts w:asciiTheme="majorHAnsi" w:hAnsiTheme="majorHAnsi" w:cstheme="majorHAnsi"/>
                <w:color w:val="000000"/>
                <w:sz w:val="20"/>
                <w:szCs w:val="20"/>
              </w:rPr>
            </w:pPr>
            <w:r w:rsidRPr="005842F1">
              <w:rPr>
                <w:rFonts w:asciiTheme="majorHAnsi" w:hAnsiTheme="majorHAnsi" w:cstheme="majorHAnsi"/>
                <w:color w:val="000000"/>
                <w:sz w:val="20"/>
                <w:szCs w:val="20"/>
              </w:rPr>
              <w:t>50,295</w:t>
            </w:r>
          </w:p>
        </w:tc>
        <w:tc>
          <w:tcPr>
            <w:tcW w:w="900" w:type="dxa"/>
            <w:vAlign w:val="center"/>
          </w:tcPr>
          <w:p w14:paraId="5BDA7D95" w14:textId="77777777" w:rsidR="00BE2AAE" w:rsidRPr="005842F1" w:rsidRDefault="00BE2AAE" w:rsidP="00623EFA">
            <w:pPr>
              <w:spacing w:line="240" w:lineRule="auto"/>
              <w:jc w:val="right"/>
              <w:rPr>
                <w:rFonts w:asciiTheme="majorHAnsi" w:hAnsiTheme="majorHAnsi" w:cstheme="majorHAnsi"/>
                <w:color w:val="000000"/>
                <w:sz w:val="20"/>
                <w:szCs w:val="20"/>
              </w:rPr>
            </w:pPr>
            <w:r w:rsidRPr="005842F1">
              <w:rPr>
                <w:rFonts w:asciiTheme="majorHAnsi" w:hAnsiTheme="majorHAnsi" w:cstheme="majorHAnsi"/>
                <w:color w:val="000000"/>
                <w:sz w:val="20"/>
                <w:szCs w:val="20"/>
              </w:rPr>
              <w:t>60.0%</w:t>
            </w:r>
          </w:p>
        </w:tc>
        <w:tc>
          <w:tcPr>
            <w:tcW w:w="990" w:type="dxa"/>
            <w:shd w:val="clear" w:color="auto" w:fill="auto"/>
          </w:tcPr>
          <w:p w14:paraId="6810A4C1" w14:textId="77777777" w:rsidR="00BE2AAE" w:rsidRPr="005842F1" w:rsidRDefault="00BE2AAE" w:rsidP="00623EFA">
            <w:pPr>
              <w:spacing w:line="240" w:lineRule="auto"/>
              <w:jc w:val="right"/>
              <w:rPr>
                <w:rFonts w:asciiTheme="majorHAnsi" w:hAnsiTheme="majorHAnsi" w:cstheme="majorHAnsi"/>
                <w:color w:val="000000"/>
                <w:sz w:val="20"/>
                <w:szCs w:val="20"/>
              </w:rPr>
            </w:pPr>
            <w:r w:rsidRPr="00E74C94">
              <w:rPr>
                <w:rFonts w:asciiTheme="majorHAnsi" w:hAnsiTheme="majorHAnsi" w:cstheme="majorHAnsi"/>
                <w:color w:val="000000"/>
                <w:sz w:val="20"/>
                <w:szCs w:val="20"/>
              </w:rPr>
              <w:t>47,502</w:t>
            </w:r>
          </w:p>
        </w:tc>
        <w:tc>
          <w:tcPr>
            <w:tcW w:w="990" w:type="dxa"/>
            <w:shd w:val="clear" w:color="auto" w:fill="auto"/>
          </w:tcPr>
          <w:p w14:paraId="618D61F8" w14:textId="77777777" w:rsidR="00BE2AAE" w:rsidRPr="005842F1" w:rsidRDefault="00BE2AAE" w:rsidP="00623EFA">
            <w:pPr>
              <w:spacing w:line="240" w:lineRule="auto"/>
              <w:jc w:val="right"/>
              <w:rPr>
                <w:rFonts w:asciiTheme="majorHAnsi" w:hAnsiTheme="majorHAnsi" w:cstheme="majorHAnsi"/>
                <w:color w:val="000000"/>
                <w:sz w:val="20"/>
                <w:szCs w:val="20"/>
              </w:rPr>
            </w:pPr>
            <w:r w:rsidRPr="00E74C94">
              <w:rPr>
                <w:rFonts w:asciiTheme="majorHAnsi" w:hAnsiTheme="majorHAnsi" w:cstheme="majorHAnsi"/>
                <w:color w:val="000000"/>
                <w:sz w:val="20"/>
                <w:szCs w:val="20"/>
              </w:rPr>
              <w:t>57.8%</w:t>
            </w:r>
          </w:p>
        </w:tc>
      </w:tr>
      <w:tr w:rsidR="00BE2AAE" w14:paraId="4AFBE0F5" w14:textId="77777777" w:rsidTr="0096689E">
        <w:trPr>
          <w:cantSplit/>
        </w:trPr>
        <w:tc>
          <w:tcPr>
            <w:tcW w:w="4050" w:type="dxa"/>
            <w:shd w:val="clear" w:color="auto" w:fill="auto"/>
            <w:vAlign w:val="center"/>
          </w:tcPr>
          <w:p w14:paraId="41B393C1" w14:textId="3AF0074A" w:rsidR="00BE2AAE" w:rsidRPr="005842F1" w:rsidRDefault="00BE2AAE" w:rsidP="00607FAE">
            <w:pPr>
              <w:spacing w:line="240" w:lineRule="auto"/>
              <w:rPr>
                <w:rFonts w:asciiTheme="majorHAnsi" w:hAnsiTheme="majorHAnsi" w:cstheme="majorHAnsi"/>
                <w:b/>
                <w:bCs/>
                <w:color w:val="000000"/>
                <w:sz w:val="20"/>
                <w:szCs w:val="20"/>
              </w:rPr>
            </w:pPr>
            <w:r w:rsidRPr="005842F1">
              <w:rPr>
                <w:rFonts w:asciiTheme="majorHAnsi" w:hAnsiTheme="majorHAnsi" w:cstheme="majorHAnsi"/>
                <w:color w:val="000000"/>
                <w:sz w:val="20"/>
                <w:szCs w:val="20"/>
              </w:rPr>
              <w:t>Race</w:t>
            </w:r>
            <w:r w:rsidR="005707AC">
              <w:rPr>
                <w:rFonts w:asciiTheme="majorHAnsi" w:hAnsiTheme="majorHAnsi" w:cstheme="majorHAnsi"/>
                <w:color w:val="000000"/>
                <w:sz w:val="20"/>
                <w:szCs w:val="20"/>
              </w:rPr>
              <w:t xml:space="preserve">: </w:t>
            </w:r>
            <w:r w:rsidRPr="005842F1">
              <w:rPr>
                <w:rFonts w:asciiTheme="majorHAnsi" w:hAnsiTheme="majorHAnsi" w:cstheme="majorHAnsi"/>
                <w:color w:val="000000"/>
                <w:sz w:val="20"/>
                <w:szCs w:val="20"/>
              </w:rPr>
              <w:t>White</w:t>
            </w:r>
          </w:p>
        </w:tc>
        <w:tc>
          <w:tcPr>
            <w:tcW w:w="810" w:type="dxa"/>
            <w:vAlign w:val="center"/>
          </w:tcPr>
          <w:p w14:paraId="21382310" w14:textId="77777777" w:rsidR="00BE2AAE" w:rsidRPr="005842F1" w:rsidRDefault="00BE2AAE" w:rsidP="00623EFA">
            <w:pPr>
              <w:spacing w:line="240" w:lineRule="auto"/>
              <w:jc w:val="right"/>
              <w:rPr>
                <w:rFonts w:asciiTheme="majorHAnsi" w:hAnsiTheme="majorHAnsi" w:cstheme="majorHAnsi"/>
                <w:color w:val="000000"/>
                <w:sz w:val="20"/>
                <w:szCs w:val="20"/>
              </w:rPr>
            </w:pPr>
            <w:r w:rsidRPr="005842F1">
              <w:rPr>
                <w:rFonts w:asciiTheme="majorHAnsi" w:hAnsiTheme="majorHAnsi" w:cstheme="majorHAnsi"/>
                <w:color w:val="000000"/>
                <w:sz w:val="20"/>
                <w:szCs w:val="20"/>
              </w:rPr>
              <w:t>77,891</w:t>
            </w:r>
          </w:p>
        </w:tc>
        <w:tc>
          <w:tcPr>
            <w:tcW w:w="990" w:type="dxa"/>
            <w:vAlign w:val="center"/>
          </w:tcPr>
          <w:p w14:paraId="01A5EF63" w14:textId="77777777" w:rsidR="00BE2AAE" w:rsidRPr="005842F1" w:rsidRDefault="00BE2AAE" w:rsidP="00623EFA">
            <w:pPr>
              <w:spacing w:line="240" w:lineRule="auto"/>
              <w:jc w:val="right"/>
              <w:rPr>
                <w:rFonts w:asciiTheme="majorHAnsi" w:hAnsiTheme="majorHAnsi" w:cstheme="majorHAnsi"/>
                <w:color w:val="000000"/>
                <w:sz w:val="20"/>
                <w:szCs w:val="20"/>
              </w:rPr>
            </w:pPr>
            <w:r w:rsidRPr="005842F1">
              <w:rPr>
                <w:rFonts w:asciiTheme="majorHAnsi" w:hAnsiTheme="majorHAnsi" w:cstheme="majorHAnsi"/>
                <w:color w:val="000000"/>
                <w:sz w:val="20"/>
                <w:szCs w:val="20"/>
              </w:rPr>
              <w:t>86.81%</w:t>
            </w:r>
          </w:p>
        </w:tc>
        <w:tc>
          <w:tcPr>
            <w:tcW w:w="990" w:type="dxa"/>
            <w:vAlign w:val="center"/>
          </w:tcPr>
          <w:p w14:paraId="55DD62E2" w14:textId="77777777" w:rsidR="00BE2AAE" w:rsidRPr="005842F1" w:rsidRDefault="00BE2AAE" w:rsidP="00623EFA">
            <w:pPr>
              <w:spacing w:line="240" w:lineRule="auto"/>
              <w:jc w:val="right"/>
              <w:rPr>
                <w:rFonts w:asciiTheme="majorHAnsi" w:hAnsiTheme="majorHAnsi" w:cstheme="majorHAnsi"/>
                <w:color w:val="000000"/>
                <w:sz w:val="20"/>
                <w:szCs w:val="20"/>
              </w:rPr>
            </w:pPr>
            <w:r w:rsidRPr="005842F1">
              <w:rPr>
                <w:rFonts w:asciiTheme="majorHAnsi" w:hAnsiTheme="majorHAnsi" w:cstheme="majorHAnsi"/>
                <w:color w:val="000000"/>
                <w:sz w:val="20"/>
                <w:szCs w:val="20"/>
              </w:rPr>
              <w:t>74,669</w:t>
            </w:r>
          </w:p>
        </w:tc>
        <w:tc>
          <w:tcPr>
            <w:tcW w:w="900" w:type="dxa"/>
            <w:vAlign w:val="center"/>
          </w:tcPr>
          <w:p w14:paraId="2927619A" w14:textId="77777777" w:rsidR="00BE2AAE" w:rsidRPr="005842F1" w:rsidRDefault="00BE2AAE" w:rsidP="00623EFA">
            <w:pPr>
              <w:spacing w:line="240" w:lineRule="auto"/>
              <w:jc w:val="right"/>
              <w:rPr>
                <w:rFonts w:asciiTheme="majorHAnsi" w:hAnsiTheme="majorHAnsi" w:cstheme="majorHAnsi"/>
                <w:color w:val="000000"/>
                <w:sz w:val="20"/>
                <w:szCs w:val="20"/>
              </w:rPr>
            </w:pPr>
            <w:r w:rsidRPr="005842F1">
              <w:rPr>
                <w:rFonts w:asciiTheme="majorHAnsi" w:hAnsiTheme="majorHAnsi" w:cstheme="majorHAnsi"/>
                <w:color w:val="000000"/>
                <w:sz w:val="20"/>
                <w:szCs w:val="20"/>
              </w:rPr>
              <w:t>89.1%</w:t>
            </w:r>
          </w:p>
        </w:tc>
        <w:tc>
          <w:tcPr>
            <w:tcW w:w="990" w:type="dxa"/>
            <w:shd w:val="clear" w:color="auto" w:fill="auto"/>
          </w:tcPr>
          <w:p w14:paraId="66D82CA8" w14:textId="77777777" w:rsidR="00BE2AAE" w:rsidRPr="005842F1" w:rsidRDefault="00BE2AAE" w:rsidP="00623EFA">
            <w:pPr>
              <w:spacing w:line="240" w:lineRule="auto"/>
              <w:jc w:val="right"/>
              <w:rPr>
                <w:rFonts w:asciiTheme="majorHAnsi" w:hAnsiTheme="majorHAnsi" w:cstheme="majorHAnsi"/>
                <w:color w:val="000000"/>
                <w:sz w:val="20"/>
                <w:szCs w:val="20"/>
              </w:rPr>
            </w:pPr>
            <w:r w:rsidRPr="00E74C94">
              <w:rPr>
                <w:rFonts w:asciiTheme="majorHAnsi" w:hAnsiTheme="majorHAnsi" w:cstheme="majorHAnsi"/>
                <w:color w:val="000000"/>
                <w:sz w:val="20"/>
                <w:szCs w:val="20"/>
              </w:rPr>
              <w:t>72,742</w:t>
            </w:r>
          </w:p>
        </w:tc>
        <w:tc>
          <w:tcPr>
            <w:tcW w:w="990" w:type="dxa"/>
            <w:shd w:val="clear" w:color="auto" w:fill="auto"/>
          </w:tcPr>
          <w:p w14:paraId="0E360F76" w14:textId="77777777" w:rsidR="00BE2AAE" w:rsidRPr="005842F1" w:rsidRDefault="00BE2AAE" w:rsidP="00623EFA">
            <w:pPr>
              <w:spacing w:line="240" w:lineRule="auto"/>
              <w:jc w:val="right"/>
              <w:rPr>
                <w:rFonts w:asciiTheme="majorHAnsi" w:hAnsiTheme="majorHAnsi" w:cstheme="majorHAnsi"/>
                <w:color w:val="000000"/>
                <w:sz w:val="20"/>
                <w:szCs w:val="20"/>
              </w:rPr>
            </w:pPr>
            <w:r w:rsidRPr="00E74C94">
              <w:rPr>
                <w:rFonts w:asciiTheme="majorHAnsi" w:hAnsiTheme="majorHAnsi" w:cstheme="majorHAnsi"/>
                <w:color w:val="000000"/>
                <w:sz w:val="20"/>
                <w:szCs w:val="20"/>
              </w:rPr>
              <w:t>88.5%</w:t>
            </w:r>
          </w:p>
        </w:tc>
      </w:tr>
      <w:tr w:rsidR="00BE2AAE" w14:paraId="64B64FDD" w14:textId="77777777" w:rsidTr="0096689E">
        <w:trPr>
          <w:cantSplit/>
        </w:trPr>
        <w:tc>
          <w:tcPr>
            <w:tcW w:w="4050" w:type="dxa"/>
            <w:shd w:val="clear" w:color="auto" w:fill="auto"/>
            <w:vAlign w:val="center"/>
          </w:tcPr>
          <w:p w14:paraId="3BF1EE98" w14:textId="2D516A3D" w:rsidR="00BE2AAE" w:rsidRPr="005842F1" w:rsidRDefault="00BE2AAE" w:rsidP="00607FAE">
            <w:pPr>
              <w:spacing w:line="240" w:lineRule="auto"/>
              <w:rPr>
                <w:rFonts w:asciiTheme="majorHAnsi" w:hAnsiTheme="majorHAnsi" w:cstheme="majorHAnsi"/>
                <w:color w:val="000000"/>
                <w:sz w:val="20"/>
                <w:szCs w:val="20"/>
              </w:rPr>
            </w:pPr>
            <w:r w:rsidRPr="005842F1">
              <w:rPr>
                <w:rFonts w:asciiTheme="majorHAnsi" w:hAnsiTheme="majorHAnsi" w:cstheme="majorHAnsi"/>
                <w:color w:val="000000"/>
                <w:sz w:val="20"/>
                <w:szCs w:val="20"/>
              </w:rPr>
              <w:t>Race</w:t>
            </w:r>
            <w:r w:rsidR="005707AC">
              <w:rPr>
                <w:rFonts w:asciiTheme="majorHAnsi" w:hAnsiTheme="majorHAnsi" w:cstheme="majorHAnsi"/>
                <w:color w:val="000000"/>
                <w:sz w:val="20"/>
                <w:szCs w:val="20"/>
              </w:rPr>
              <w:t xml:space="preserve">: </w:t>
            </w:r>
            <w:r w:rsidRPr="005842F1">
              <w:rPr>
                <w:rFonts w:asciiTheme="majorHAnsi" w:hAnsiTheme="majorHAnsi" w:cstheme="majorHAnsi"/>
                <w:color w:val="000000"/>
                <w:sz w:val="20"/>
                <w:szCs w:val="20"/>
              </w:rPr>
              <w:t>Black or African American</w:t>
            </w:r>
          </w:p>
        </w:tc>
        <w:tc>
          <w:tcPr>
            <w:tcW w:w="810" w:type="dxa"/>
            <w:vAlign w:val="center"/>
          </w:tcPr>
          <w:p w14:paraId="4B5B2405" w14:textId="77777777" w:rsidR="00BE2AAE" w:rsidRPr="005842F1" w:rsidRDefault="00BE2AAE" w:rsidP="00623EFA">
            <w:pPr>
              <w:spacing w:line="240" w:lineRule="auto"/>
              <w:jc w:val="right"/>
              <w:rPr>
                <w:rFonts w:asciiTheme="majorHAnsi" w:hAnsiTheme="majorHAnsi" w:cstheme="majorHAnsi"/>
                <w:color w:val="000000"/>
                <w:sz w:val="20"/>
                <w:szCs w:val="20"/>
              </w:rPr>
            </w:pPr>
            <w:r w:rsidRPr="005842F1">
              <w:rPr>
                <w:rFonts w:asciiTheme="majorHAnsi" w:hAnsiTheme="majorHAnsi" w:cstheme="majorHAnsi"/>
                <w:color w:val="000000"/>
                <w:sz w:val="20"/>
                <w:szCs w:val="20"/>
              </w:rPr>
              <w:t>1,759</w:t>
            </w:r>
          </w:p>
        </w:tc>
        <w:tc>
          <w:tcPr>
            <w:tcW w:w="990" w:type="dxa"/>
            <w:vAlign w:val="center"/>
          </w:tcPr>
          <w:p w14:paraId="0281B5C0" w14:textId="77777777" w:rsidR="00BE2AAE" w:rsidRPr="005842F1" w:rsidRDefault="00BE2AAE" w:rsidP="00623EFA">
            <w:pPr>
              <w:spacing w:line="240" w:lineRule="auto"/>
              <w:jc w:val="right"/>
              <w:rPr>
                <w:rFonts w:asciiTheme="majorHAnsi" w:hAnsiTheme="majorHAnsi" w:cstheme="majorHAnsi"/>
                <w:color w:val="000000"/>
                <w:sz w:val="20"/>
                <w:szCs w:val="20"/>
              </w:rPr>
            </w:pPr>
            <w:r w:rsidRPr="005842F1">
              <w:rPr>
                <w:rFonts w:asciiTheme="majorHAnsi" w:hAnsiTheme="majorHAnsi" w:cstheme="majorHAnsi"/>
                <w:color w:val="000000"/>
                <w:sz w:val="20"/>
                <w:szCs w:val="20"/>
              </w:rPr>
              <w:t>1.96%</w:t>
            </w:r>
          </w:p>
        </w:tc>
        <w:tc>
          <w:tcPr>
            <w:tcW w:w="990" w:type="dxa"/>
            <w:vAlign w:val="center"/>
          </w:tcPr>
          <w:p w14:paraId="452649BC" w14:textId="77777777" w:rsidR="00BE2AAE" w:rsidRPr="005842F1" w:rsidRDefault="00BE2AAE" w:rsidP="00623EFA">
            <w:pPr>
              <w:spacing w:line="240" w:lineRule="auto"/>
              <w:jc w:val="right"/>
              <w:rPr>
                <w:rFonts w:asciiTheme="majorHAnsi" w:hAnsiTheme="majorHAnsi" w:cstheme="majorHAnsi"/>
                <w:color w:val="000000"/>
                <w:sz w:val="20"/>
                <w:szCs w:val="20"/>
              </w:rPr>
            </w:pPr>
            <w:r w:rsidRPr="005842F1">
              <w:rPr>
                <w:rFonts w:asciiTheme="majorHAnsi" w:hAnsiTheme="majorHAnsi" w:cstheme="majorHAnsi"/>
                <w:color w:val="000000"/>
                <w:sz w:val="20"/>
                <w:szCs w:val="20"/>
              </w:rPr>
              <w:t>1,731</w:t>
            </w:r>
          </w:p>
        </w:tc>
        <w:tc>
          <w:tcPr>
            <w:tcW w:w="900" w:type="dxa"/>
            <w:vAlign w:val="center"/>
          </w:tcPr>
          <w:p w14:paraId="68E799F9" w14:textId="77777777" w:rsidR="00BE2AAE" w:rsidRPr="005842F1" w:rsidRDefault="00BE2AAE" w:rsidP="00623EFA">
            <w:pPr>
              <w:spacing w:line="240" w:lineRule="auto"/>
              <w:jc w:val="right"/>
              <w:rPr>
                <w:rFonts w:asciiTheme="majorHAnsi" w:hAnsiTheme="majorHAnsi" w:cstheme="majorHAnsi"/>
                <w:color w:val="000000"/>
                <w:sz w:val="20"/>
                <w:szCs w:val="20"/>
              </w:rPr>
            </w:pPr>
            <w:r w:rsidRPr="005842F1">
              <w:rPr>
                <w:rFonts w:asciiTheme="majorHAnsi" w:hAnsiTheme="majorHAnsi" w:cstheme="majorHAnsi"/>
                <w:color w:val="000000"/>
                <w:sz w:val="20"/>
                <w:szCs w:val="20"/>
              </w:rPr>
              <w:t>2.1%</w:t>
            </w:r>
          </w:p>
        </w:tc>
        <w:tc>
          <w:tcPr>
            <w:tcW w:w="990" w:type="dxa"/>
            <w:shd w:val="clear" w:color="auto" w:fill="auto"/>
          </w:tcPr>
          <w:p w14:paraId="180ACCC9" w14:textId="77777777" w:rsidR="00BE2AAE" w:rsidRPr="005842F1" w:rsidRDefault="00BE2AAE" w:rsidP="00623EFA">
            <w:pPr>
              <w:spacing w:line="240" w:lineRule="auto"/>
              <w:jc w:val="right"/>
              <w:rPr>
                <w:rFonts w:asciiTheme="majorHAnsi" w:hAnsiTheme="majorHAnsi" w:cstheme="majorHAnsi"/>
                <w:color w:val="000000"/>
                <w:sz w:val="20"/>
                <w:szCs w:val="20"/>
              </w:rPr>
            </w:pPr>
            <w:r w:rsidRPr="00E74C94">
              <w:rPr>
                <w:rFonts w:asciiTheme="majorHAnsi" w:hAnsiTheme="majorHAnsi" w:cstheme="majorHAnsi"/>
                <w:color w:val="000000"/>
                <w:sz w:val="20"/>
                <w:szCs w:val="20"/>
              </w:rPr>
              <w:t>1,904</w:t>
            </w:r>
          </w:p>
        </w:tc>
        <w:tc>
          <w:tcPr>
            <w:tcW w:w="990" w:type="dxa"/>
            <w:shd w:val="clear" w:color="auto" w:fill="auto"/>
          </w:tcPr>
          <w:p w14:paraId="715F0100" w14:textId="77777777" w:rsidR="00BE2AAE" w:rsidRPr="005842F1" w:rsidRDefault="00BE2AAE" w:rsidP="00623EFA">
            <w:pPr>
              <w:spacing w:line="240" w:lineRule="auto"/>
              <w:jc w:val="right"/>
              <w:rPr>
                <w:rFonts w:asciiTheme="majorHAnsi" w:hAnsiTheme="majorHAnsi" w:cstheme="majorHAnsi"/>
                <w:color w:val="000000"/>
                <w:sz w:val="20"/>
                <w:szCs w:val="20"/>
              </w:rPr>
            </w:pPr>
            <w:r w:rsidRPr="00E74C94">
              <w:rPr>
                <w:rFonts w:asciiTheme="majorHAnsi" w:hAnsiTheme="majorHAnsi" w:cstheme="majorHAnsi"/>
                <w:color w:val="000000"/>
                <w:sz w:val="20"/>
                <w:szCs w:val="20"/>
              </w:rPr>
              <w:t>2.3%</w:t>
            </w:r>
          </w:p>
        </w:tc>
      </w:tr>
      <w:tr w:rsidR="00BE2AAE" w14:paraId="378BFE68" w14:textId="77777777" w:rsidTr="0096689E">
        <w:trPr>
          <w:cantSplit/>
        </w:trPr>
        <w:tc>
          <w:tcPr>
            <w:tcW w:w="4050" w:type="dxa"/>
            <w:shd w:val="clear" w:color="auto" w:fill="auto"/>
            <w:vAlign w:val="center"/>
          </w:tcPr>
          <w:p w14:paraId="4122BCA8" w14:textId="28FA0BD0" w:rsidR="00BE2AAE" w:rsidRPr="005842F1" w:rsidRDefault="00BE2AAE" w:rsidP="00607FAE">
            <w:pPr>
              <w:spacing w:line="240" w:lineRule="auto"/>
              <w:rPr>
                <w:rFonts w:asciiTheme="majorHAnsi" w:hAnsiTheme="majorHAnsi" w:cstheme="majorHAnsi"/>
                <w:color w:val="000000"/>
                <w:sz w:val="20"/>
                <w:szCs w:val="20"/>
              </w:rPr>
            </w:pPr>
            <w:r w:rsidRPr="005842F1">
              <w:rPr>
                <w:rFonts w:asciiTheme="majorHAnsi" w:hAnsiTheme="majorHAnsi" w:cstheme="majorHAnsi"/>
                <w:color w:val="000000"/>
                <w:sz w:val="20"/>
                <w:szCs w:val="20"/>
              </w:rPr>
              <w:t>Race</w:t>
            </w:r>
            <w:r w:rsidR="005707AC">
              <w:rPr>
                <w:rFonts w:asciiTheme="majorHAnsi" w:hAnsiTheme="majorHAnsi" w:cstheme="majorHAnsi"/>
                <w:color w:val="000000"/>
                <w:sz w:val="20"/>
                <w:szCs w:val="20"/>
              </w:rPr>
              <w:t>:</w:t>
            </w:r>
            <w:r w:rsidRPr="005842F1">
              <w:rPr>
                <w:rFonts w:asciiTheme="majorHAnsi" w:hAnsiTheme="majorHAnsi" w:cstheme="majorHAnsi"/>
                <w:color w:val="000000"/>
                <w:sz w:val="20"/>
                <w:szCs w:val="20"/>
              </w:rPr>
              <w:t xml:space="preserve"> American Indian or Alaska Native</w:t>
            </w:r>
          </w:p>
        </w:tc>
        <w:tc>
          <w:tcPr>
            <w:tcW w:w="810" w:type="dxa"/>
            <w:vAlign w:val="center"/>
          </w:tcPr>
          <w:p w14:paraId="6CAC5E08" w14:textId="77777777" w:rsidR="00BE2AAE" w:rsidRPr="005842F1" w:rsidRDefault="00BE2AAE" w:rsidP="00623EFA">
            <w:pPr>
              <w:spacing w:line="240" w:lineRule="auto"/>
              <w:jc w:val="right"/>
              <w:rPr>
                <w:rFonts w:asciiTheme="majorHAnsi" w:hAnsiTheme="majorHAnsi" w:cstheme="majorHAnsi"/>
                <w:color w:val="000000"/>
                <w:sz w:val="20"/>
                <w:szCs w:val="20"/>
              </w:rPr>
            </w:pPr>
            <w:r w:rsidRPr="005842F1">
              <w:rPr>
                <w:rFonts w:asciiTheme="majorHAnsi" w:hAnsiTheme="majorHAnsi" w:cstheme="majorHAnsi"/>
                <w:color w:val="000000"/>
                <w:sz w:val="20"/>
                <w:szCs w:val="20"/>
              </w:rPr>
              <w:t>75</w:t>
            </w:r>
          </w:p>
        </w:tc>
        <w:tc>
          <w:tcPr>
            <w:tcW w:w="990" w:type="dxa"/>
            <w:vAlign w:val="center"/>
          </w:tcPr>
          <w:p w14:paraId="2BA0536A" w14:textId="77777777" w:rsidR="00BE2AAE" w:rsidRPr="005842F1" w:rsidRDefault="00BE2AAE" w:rsidP="00623EFA">
            <w:pPr>
              <w:spacing w:line="240" w:lineRule="auto"/>
              <w:jc w:val="right"/>
              <w:rPr>
                <w:rFonts w:asciiTheme="majorHAnsi" w:hAnsiTheme="majorHAnsi" w:cstheme="majorHAnsi"/>
                <w:color w:val="000000"/>
                <w:sz w:val="20"/>
                <w:szCs w:val="20"/>
              </w:rPr>
            </w:pPr>
            <w:r w:rsidRPr="005842F1">
              <w:rPr>
                <w:rFonts w:asciiTheme="majorHAnsi" w:hAnsiTheme="majorHAnsi" w:cstheme="majorHAnsi"/>
                <w:color w:val="000000"/>
                <w:sz w:val="20"/>
                <w:szCs w:val="20"/>
              </w:rPr>
              <w:t>0.08%</w:t>
            </w:r>
          </w:p>
        </w:tc>
        <w:tc>
          <w:tcPr>
            <w:tcW w:w="990" w:type="dxa"/>
            <w:vAlign w:val="center"/>
          </w:tcPr>
          <w:p w14:paraId="40ACE2BF" w14:textId="77777777" w:rsidR="00BE2AAE" w:rsidRPr="005842F1" w:rsidRDefault="00BE2AAE" w:rsidP="00623EFA">
            <w:pPr>
              <w:spacing w:line="240" w:lineRule="auto"/>
              <w:jc w:val="right"/>
              <w:rPr>
                <w:rFonts w:asciiTheme="majorHAnsi" w:hAnsiTheme="majorHAnsi" w:cstheme="majorHAnsi"/>
                <w:color w:val="000000"/>
                <w:sz w:val="20"/>
                <w:szCs w:val="20"/>
              </w:rPr>
            </w:pPr>
            <w:r w:rsidRPr="005842F1">
              <w:rPr>
                <w:rFonts w:asciiTheme="majorHAnsi" w:hAnsiTheme="majorHAnsi" w:cstheme="majorHAnsi"/>
                <w:color w:val="000000"/>
                <w:sz w:val="20"/>
                <w:szCs w:val="20"/>
              </w:rPr>
              <w:t>69</w:t>
            </w:r>
          </w:p>
        </w:tc>
        <w:tc>
          <w:tcPr>
            <w:tcW w:w="900" w:type="dxa"/>
            <w:vAlign w:val="center"/>
          </w:tcPr>
          <w:p w14:paraId="4383A00A" w14:textId="77777777" w:rsidR="00BE2AAE" w:rsidRPr="005842F1" w:rsidRDefault="00BE2AAE" w:rsidP="00623EFA">
            <w:pPr>
              <w:spacing w:line="240" w:lineRule="auto"/>
              <w:jc w:val="right"/>
              <w:rPr>
                <w:rFonts w:asciiTheme="majorHAnsi" w:hAnsiTheme="majorHAnsi" w:cstheme="majorHAnsi"/>
                <w:color w:val="000000"/>
                <w:sz w:val="20"/>
                <w:szCs w:val="20"/>
              </w:rPr>
            </w:pPr>
            <w:r w:rsidRPr="005842F1">
              <w:rPr>
                <w:rFonts w:asciiTheme="majorHAnsi" w:hAnsiTheme="majorHAnsi" w:cstheme="majorHAnsi"/>
                <w:color w:val="000000"/>
                <w:sz w:val="20"/>
                <w:szCs w:val="20"/>
              </w:rPr>
              <w:t>0.1%</w:t>
            </w:r>
          </w:p>
        </w:tc>
        <w:tc>
          <w:tcPr>
            <w:tcW w:w="990" w:type="dxa"/>
            <w:shd w:val="clear" w:color="auto" w:fill="auto"/>
          </w:tcPr>
          <w:p w14:paraId="2B9F73A1" w14:textId="77777777" w:rsidR="00BE2AAE" w:rsidRPr="005842F1" w:rsidRDefault="00BE2AAE" w:rsidP="00623EFA">
            <w:pPr>
              <w:spacing w:line="240" w:lineRule="auto"/>
              <w:jc w:val="right"/>
              <w:rPr>
                <w:rFonts w:asciiTheme="majorHAnsi" w:hAnsiTheme="majorHAnsi" w:cstheme="majorHAnsi"/>
                <w:color w:val="000000"/>
                <w:sz w:val="20"/>
                <w:szCs w:val="20"/>
              </w:rPr>
            </w:pPr>
            <w:r w:rsidRPr="00E74C94">
              <w:rPr>
                <w:rFonts w:asciiTheme="majorHAnsi" w:hAnsiTheme="majorHAnsi" w:cstheme="majorHAnsi"/>
                <w:color w:val="000000"/>
                <w:sz w:val="20"/>
                <w:szCs w:val="20"/>
              </w:rPr>
              <w:t>100</w:t>
            </w:r>
          </w:p>
        </w:tc>
        <w:tc>
          <w:tcPr>
            <w:tcW w:w="990" w:type="dxa"/>
            <w:shd w:val="clear" w:color="auto" w:fill="auto"/>
          </w:tcPr>
          <w:p w14:paraId="1F23B2B8" w14:textId="77777777" w:rsidR="00BE2AAE" w:rsidRPr="005842F1" w:rsidRDefault="00BE2AAE" w:rsidP="00623EFA">
            <w:pPr>
              <w:spacing w:line="240" w:lineRule="auto"/>
              <w:jc w:val="right"/>
              <w:rPr>
                <w:rFonts w:asciiTheme="majorHAnsi" w:hAnsiTheme="majorHAnsi" w:cstheme="majorHAnsi"/>
                <w:color w:val="000000"/>
                <w:sz w:val="20"/>
                <w:szCs w:val="20"/>
              </w:rPr>
            </w:pPr>
            <w:r w:rsidRPr="00E74C94">
              <w:rPr>
                <w:rFonts w:asciiTheme="majorHAnsi" w:hAnsiTheme="majorHAnsi" w:cstheme="majorHAnsi"/>
                <w:color w:val="000000"/>
                <w:sz w:val="20"/>
                <w:szCs w:val="20"/>
              </w:rPr>
              <w:t>0.1%</w:t>
            </w:r>
          </w:p>
        </w:tc>
      </w:tr>
      <w:tr w:rsidR="00BE2AAE" w14:paraId="4E8CD9FC" w14:textId="77777777" w:rsidTr="0096689E">
        <w:trPr>
          <w:cantSplit/>
        </w:trPr>
        <w:tc>
          <w:tcPr>
            <w:tcW w:w="4050" w:type="dxa"/>
            <w:shd w:val="clear" w:color="auto" w:fill="auto"/>
            <w:vAlign w:val="center"/>
          </w:tcPr>
          <w:p w14:paraId="10ABB327" w14:textId="00B2DE3E" w:rsidR="00BE2AAE" w:rsidRPr="005842F1" w:rsidRDefault="00BE2AAE" w:rsidP="00607FAE">
            <w:pPr>
              <w:spacing w:line="240" w:lineRule="auto"/>
              <w:rPr>
                <w:rFonts w:asciiTheme="majorHAnsi" w:hAnsiTheme="majorHAnsi" w:cstheme="majorHAnsi"/>
                <w:color w:val="000000"/>
                <w:sz w:val="20"/>
                <w:szCs w:val="20"/>
              </w:rPr>
            </w:pPr>
            <w:r w:rsidRPr="005842F1">
              <w:rPr>
                <w:rFonts w:asciiTheme="majorHAnsi" w:hAnsiTheme="majorHAnsi" w:cstheme="majorHAnsi"/>
                <w:color w:val="000000"/>
                <w:sz w:val="20"/>
                <w:szCs w:val="20"/>
              </w:rPr>
              <w:t>Race</w:t>
            </w:r>
            <w:r w:rsidR="005707AC">
              <w:rPr>
                <w:rFonts w:asciiTheme="majorHAnsi" w:hAnsiTheme="majorHAnsi" w:cstheme="majorHAnsi"/>
                <w:color w:val="000000"/>
                <w:sz w:val="20"/>
                <w:szCs w:val="20"/>
              </w:rPr>
              <w:t>:</w:t>
            </w:r>
            <w:r w:rsidRPr="005842F1">
              <w:rPr>
                <w:rFonts w:asciiTheme="majorHAnsi" w:hAnsiTheme="majorHAnsi" w:cstheme="majorHAnsi"/>
                <w:color w:val="000000"/>
                <w:sz w:val="20"/>
                <w:szCs w:val="20"/>
              </w:rPr>
              <w:t xml:space="preserve"> Asian</w:t>
            </w:r>
          </w:p>
        </w:tc>
        <w:tc>
          <w:tcPr>
            <w:tcW w:w="810" w:type="dxa"/>
            <w:vAlign w:val="center"/>
          </w:tcPr>
          <w:p w14:paraId="26048AB4" w14:textId="77777777" w:rsidR="00BE2AAE" w:rsidRPr="005842F1" w:rsidRDefault="00BE2AAE" w:rsidP="00623EFA">
            <w:pPr>
              <w:spacing w:line="240" w:lineRule="auto"/>
              <w:jc w:val="right"/>
              <w:rPr>
                <w:rFonts w:asciiTheme="majorHAnsi" w:hAnsiTheme="majorHAnsi" w:cstheme="majorHAnsi"/>
                <w:color w:val="000000"/>
                <w:sz w:val="20"/>
                <w:szCs w:val="20"/>
              </w:rPr>
            </w:pPr>
            <w:r w:rsidRPr="005842F1">
              <w:rPr>
                <w:rFonts w:asciiTheme="majorHAnsi" w:hAnsiTheme="majorHAnsi" w:cstheme="majorHAnsi"/>
                <w:color w:val="000000"/>
                <w:sz w:val="20"/>
                <w:szCs w:val="20"/>
              </w:rPr>
              <w:t>527</w:t>
            </w:r>
          </w:p>
        </w:tc>
        <w:tc>
          <w:tcPr>
            <w:tcW w:w="990" w:type="dxa"/>
            <w:vAlign w:val="center"/>
          </w:tcPr>
          <w:p w14:paraId="1749E353" w14:textId="77777777" w:rsidR="00BE2AAE" w:rsidRPr="005842F1" w:rsidRDefault="00BE2AAE" w:rsidP="00623EFA">
            <w:pPr>
              <w:spacing w:line="240" w:lineRule="auto"/>
              <w:jc w:val="right"/>
              <w:rPr>
                <w:rFonts w:asciiTheme="majorHAnsi" w:hAnsiTheme="majorHAnsi" w:cstheme="majorHAnsi"/>
                <w:color w:val="000000"/>
                <w:sz w:val="20"/>
                <w:szCs w:val="20"/>
              </w:rPr>
            </w:pPr>
            <w:r w:rsidRPr="005842F1">
              <w:rPr>
                <w:rFonts w:asciiTheme="majorHAnsi" w:hAnsiTheme="majorHAnsi" w:cstheme="majorHAnsi"/>
                <w:color w:val="000000"/>
                <w:sz w:val="20"/>
                <w:szCs w:val="20"/>
              </w:rPr>
              <w:t>0.59%</w:t>
            </w:r>
          </w:p>
        </w:tc>
        <w:tc>
          <w:tcPr>
            <w:tcW w:w="990" w:type="dxa"/>
            <w:vAlign w:val="center"/>
          </w:tcPr>
          <w:p w14:paraId="08A2A905" w14:textId="77777777" w:rsidR="00BE2AAE" w:rsidRPr="005842F1" w:rsidRDefault="00BE2AAE" w:rsidP="00623EFA">
            <w:pPr>
              <w:spacing w:line="240" w:lineRule="auto"/>
              <w:jc w:val="right"/>
              <w:rPr>
                <w:rFonts w:asciiTheme="majorHAnsi" w:hAnsiTheme="majorHAnsi" w:cstheme="majorHAnsi"/>
                <w:color w:val="000000"/>
                <w:sz w:val="20"/>
                <w:szCs w:val="20"/>
              </w:rPr>
            </w:pPr>
            <w:r w:rsidRPr="005842F1">
              <w:rPr>
                <w:rFonts w:asciiTheme="majorHAnsi" w:hAnsiTheme="majorHAnsi" w:cstheme="majorHAnsi"/>
                <w:color w:val="000000"/>
                <w:sz w:val="20"/>
                <w:szCs w:val="20"/>
              </w:rPr>
              <w:t>534</w:t>
            </w:r>
          </w:p>
        </w:tc>
        <w:tc>
          <w:tcPr>
            <w:tcW w:w="900" w:type="dxa"/>
            <w:vAlign w:val="center"/>
          </w:tcPr>
          <w:p w14:paraId="633ACB54" w14:textId="77777777" w:rsidR="00BE2AAE" w:rsidRPr="005842F1" w:rsidRDefault="00BE2AAE" w:rsidP="00623EFA">
            <w:pPr>
              <w:spacing w:line="240" w:lineRule="auto"/>
              <w:jc w:val="right"/>
              <w:rPr>
                <w:rFonts w:asciiTheme="majorHAnsi" w:hAnsiTheme="majorHAnsi" w:cstheme="majorHAnsi"/>
                <w:color w:val="000000"/>
                <w:sz w:val="20"/>
                <w:szCs w:val="20"/>
              </w:rPr>
            </w:pPr>
            <w:r w:rsidRPr="005842F1">
              <w:rPr>
                <w:rFonts w:asciiTheme="majorHAnsi" w:hAnsiTheme="majorHAnsi" w:cstheme="majorHAnsi"/>
                <w:color w:val="000000"/>
                <w:sz w:val="20"/>
                <w:szCs w:val="20"/>
              </w:rPr>
              <w:t>0.6%</w:t>
            </w:r>
          </w:p>
        </w:tc>
        <w:tc>
          <w:tcPr>
            <w:tcW w:w="990" w:type="dxa"/>
            <w:shd w:val="clear" w:color="auto" w:fill="auto"/>
          </w:tcPr>
          <w:p w14:paraId="61973D4A" w14:textId="77777777" w:rsidR="00BE2AAE" w:rsidRPr="005842F1" w:rsidRDefault="00BE2AAE" w:rsidP="00623EFA">
            <w:pPr>
              <w:spacing w:line="240" w:lineRule="auto"/>
              <w:jc w:val="right"/>
              <w:rPr>
                <w:rFonts w:asciiTheme="majorHAnsi" w:hAnsiTheme="majorHAnsi" w:cstheme="majorHAnsi"/>
                <w:color w:val="000000"/>
                <w:sz w:val="20"/>
                <w:szCs w:val="20"/>
              </w:rPr>
            </w:pPr>
            <w:r w:rsidRPr="00E74C94">
              <w:rPr>
                <w:rFonts w:asciiTheme="majorHAnsi" w:hAnsiTheme="majorHAnsi" w:cstheme="majorHAnsi"/>
                <w:color w:val="000000"/>
                <w:sz w:val="20"/>
                <w:szCs w:val="20"/>
              </w:rPr>
              <w:t>505</w:t>
            </w:r>
          </w:p>
        </w:tc>
        <w:tc>
          <w:tcPr>
            <w:tcW w:w="990" w:type="dxa"/>
            <w:shd w:val="clear" w:color="auto" w:fill="auto"/>
          </w:tcPr>
          <w:p w14:paraId="02172FAE" w14:textId="77777777" w:rsidR="00BE2AAE" w:rsidRPr="005842F1" w:rsidRDefault="00BE2AAE" w:rsidP="00623EFA">
            <w:pPr>
              <w:spacing w:line="240" w:lineRule="auto"/>
              <w:jc w:val="right"/>
              <w:rPr>
                <w:rFonts w:asciiTheme="majorHAnsi" w:hAnsiTheme="majorHAnsi" w:cstheme="majorHAnsi"/>
                <w:color w:val="000000"/>
                <w:sz w:val="20"/>
                <w:szCs w:val="20"/>
              </w:rPr>
            </w:pPr>
            <w:r w:rsidRPr="00E74C94">
              <w:rPr>
                <w:rFonts w:asciiTheme="majorHAnsi" w:hAnsiTheme="majorHAnsi" w:cstheme="majorHAnsi"/>
                <w:color w:val="000000"/>
                <w:sz w:val="20"/>
                <w:szCs w:val="20"/>
              </w:rPr>
              <w:t>0.6%</w:t>
            </w:r>
          </w:p>
        </w:tc>
      </w:tr>
      <w:tr w:rsidR="00BE2AAE" w14:paraId="25D232BA" w14:textId="77777777" w:rsidTr="0096689E">
        <w:trPr>
          <w:cantSplit/>
        </w:trPr>
        <w:tc>
          <w:tcPr>
            <w:tcW w:w="4050" w:type="dxa"/>
            <w:shd w:val="clear" w:color="auto" w:fill="auto"/>
            <w:vAlign w:val="center"/>
          </w:tcPr>
          <w:p w14:paraId="0C938619" w14:textId="77777777" w:rsidR="00BE2AAE" w:rsidRPr="005842F1" w:rsidRDefault="00BE2AAE" w:rsidP="00607FAE">
            <w:pPr>
              <w:spacing w:line="240" w:lineRule="auto"/>
              <w:rPr>
                <w:rFonts w:asciiTheme="majorHAnsi" w:hAnsiTheme="majorHAnsi" w:cstheme="majorHAnsi"/>
                <w:color w:val="000000"/>
                <w:sz w:val="20"/>
                <w:szCs w:val="20"/>
              </w:rPr>
            </w:pPr>
            <w:r w:rsidRPr="005842F1">
              <w:rPr>
                <w:rFonts w:asciiTheme="majorHAnsi" w:hAnsiTheme="majorHAnsi" w:cstheme="majorHAnsi"/>
                <w:color w:val="000000"/>
                <w:sz w:val="20"/>
                <w:szCs w:val="20"/>
              </w:rPr>
              <w:t>Race</w:t>
            </w:r>
            <w:r>
              <w:rPr>
                <w:rFonts w:asciiTheme="majorHAnsi" w:hAnsiTheme="majorHAnsi" w:cstheme="majorHAnsi"/>
                <w:color w:val="000000"/>
                <w:sz w:val="20"/>
                <w:szCs w:val="20"/>
              </w:rPr>
              <w:t xml:space="preserve">: </w:t>
            </w:r>
            <w:r w:rsidRPr="005842F1">
              <w:rPr>
                <w:rFonts w:asciiTheme="majorHAnsi" w:hAnsiTheme="majorHAnsi" w:cstheme="majorHAnsi"/>
                <w:color w:val="000000"/>
                <w:sz w:val="20"/>
                <w:szCs w:val="20"/>
              </w:rPr>
              <w:t xml:space="preserve">Native Hawaiian or Other Pacific Islander </w:t>
            </w:r>
          </w:p>
        </w:tc>
        <w:tc>
          <w:tcPr>
            <w:tcW w:w="810" w:type="dxa"/>
            <w:vAlign w:val="center"/>
          </w:tcPr>
          <w:p w14:paraId="128C26A1" w14:textId="77777777" w:rsidR="00BE2AAE" w:rsidRPr="005842F1" w:rsidRDefault="00BE2AAE" w:rsidP="00623EFA">
            <w:pPr>
              <w:spacing w:line="240" w:lineRule="auto"/>
              <w:jc w:val="right"/>
              <w:rPr>
                <w:rFonts w:asciiTheme="majorHAnsi" w:hAnsiTheme="majorHAnsi" w:cstheme="majorHAnsi"/>
                <w:color w:val="000000"/>
                <w:sz w:val="20"/>
                <w:szCs w:val="20"/>
              </w:rPr>
            </w:pPr>
            <w:r w:rsidRPr="005842F1">
              <w:rPr>
                <w:rFonts w:asciiTheme="majorHAnsi" w:hAnsiTheme="majorHAnsi" w:cstheme="majorHAnsi"/>
                <w:color w:val="000000"/>
                <w:sz w:val="20"/>
                <w:szCs w:val="20"/>
              </w:rPr>
              <w:t>32</w:t>
            </w:r>
          </w:p>
        </w:tc>
        <w:tc>
          <w:tcPr>
            <w:tcW w:w="990" w:type="dxa"/>
            <w:vAlign w:val="center"/>
          </w:tcPr>
          <w:p w14:paraId="25B2B526" w14:textId="77777777" w:rsidR="00BE2AAE" w:rsidRPr="005842F1" w:rsidRDefault="00BE2AAE" w:rsidP="00623EFA">
            <w:pPr>
              <w:spacing w:line="240" w:lineRule="auto"/>
              <w:jc w:val="right"/>
              <w:rPr>
                <w:rFonts w:asciiTheme="majorHAnsi" w:hAnsiTheme="majorHAnsi" w:cstheme="majorHAnsi"/>
                <w:color w:val="000000"/>
                <w:sz w:val="20"/>
                <w:szCs w:val="20"/>
              </w:rPr>
            </w:pPr>
            <w:r w:rsidRPr="005842F1">
              <w:rPr>
                <w:rFonts w:asciiTheme="majorHAnsi" w:hAnsiTheme="majorHAnsi" w:cstheme="majorHAnsi"/>
                <w:color w:val="000000"/>
                <w:sz w:val="20"/>
                <w:szCs w:val="20"/>
              </w:rPr>
              <w:t>0.04%</w:t>
            </w:r>
          </w:p>
        </w:tc>
        <w:tc>
          <w:tcPr>
            <w:tcW w:w="990" w:type="dxa"/>
            <w:vAlign w:val="center"/>
          </w:tcPr>
          <w:p w14:paraId="53DC314B" w14:textId="77777777" w:rsidR="00BE2AAE" w:rsidRPr="005842F1" w:rsidRDefault="00BE2AAE" w:rsidP="00623EFA">
            <w:pPr>
              <w:spacing w:line="240" w:lineRule="auto"/>
              <w:jc w:val="right"/>
              <w:rPr>
                <w:rFonts w:asciiTheme="majorHAnsi" w:hAnsiTheme="majorHAnsi" w:cstheme="majorHAnsi"/>
                <w:color w:val="000000"/>
                <w:sz w:val="20"/>
                <w:szCs w:val="20"/>
              </w:rPr>
            </w:pPr>
            <w:r w:rsidRPr="005842F1">
              <w:rPr>
                <w:rFonts w:asciiTheme="majorHAnsi" w:hAnsiTheme="majorHAnsi" w:cstheme="majorHAnsi"/>
                <w:color w:val="000000"/>
                <w:sz w:val="20"/>
                <w:szCs w:val="20"/>
              </w:rPr>
              <w:t>35</w:t>
            </w:r>
          </w:p>
        </w:tc>
        <w:tc>
          <w:tcPr>
            <w:tcW w:w="900" w:type="dxa"/>
            <w:vAlign w:val="center"/>
          </w:tcPr>
          <w:p w14:paraId="415BF6D1" w14:textId="77777777" w:rsidR="00BE2AAE" w:rsidRPr="005842F1" w:rsidRDefault="00BE2AAE" w:rsidP="00623EFA">
            <w:pPr>
              <w:spacing w:line="240" w:lineRule="auto"/>
              <w:jc w:val="right"/>
              <w:rPr>
                <w:rFonts w:asciiTheme="majorHAnsi" w:hAnsiTheme="majorHAnsi" w:cstheme="majorHAnsi"/>
                <w:color w:val="000000"/>
                <w:sz w:val="20"/>
                <w:szCs w:val="20"/>
              </w:rPr>
            </w:pPr>
            <w:r w:rsidRPr="005842F1">
              <w:rPr>
                <w:rFonts w:asciiTheme="majorHAnsi" w:hAnsiTheme="majorHAnsi" w:cstheme="majorHAnsi"/>
                <w:color w:val="000000"/>
                <w:sz w:val="20"/>
                <w:szCs w:val="20"/>
              </w:rPr>
              <w:t>0.0%</w:t>
            </w:r>
          </w:p>
        </w:tc>
        <w:tc>
          <w:tcPr>
            <w:tcW w:w="990" w:type="dxa"/>
            <w:shd w:val="clear" w:color="auto" w:fill="auto"/>
          </w:tcPr>
          <w:p w14:paraId="00189156" w14:textId="77777777" w:rsidR="00BE2AAE" w:rsidRPr="005842F1" w:rsidRDefault="00BE2AAE" w:rsidP="00623EFA">
            <w:pPr>
              <w:spacing w:line="240" w:lineRule="auto"/>
              <w:jc w:val="right"/>
              <w:rPr>
                <w:rFonts w:asciiTheme="majorHAnsi" w:hAnsiTheme="majorHAnsi" w:cstheme="majorHAnsi"/>
                <w:color w:val="000000"/>
                <w:sz w:val="20"/>
                <w:szCs w:val="20"/>
              </w:rPr>
            </w:pPr>
            <w:r w:rsidRPr="00E74C94">
              <w:rPr>
                <w:rFonts w:asciiTheme="majorHAnsi" w:hAnsiTheme="majorHAnsi" w:cstheme="majorHAnsi"/>
                <w:color w:val="000000"/>
                <w:sz w:val="20"/>
                <w:szCs w:val="20"/>
              </w:rPr>
              <w:t>36</w:t>
            </w:r>
          </w:p>
        </w:tc>
        <w:tc>
          <w:tcPr>
            <w:tcW w:w="990" w:type="dxa"/>
            <w:shd w:val="clear" w:color="auto" w:fill="auto"/>
          </w:tcPr>
          <w:p w14:paraId="498C48D0" w14:textId="77777777" w:rsidR="00BE2AAE" w:rsidRPr="005842F1" w:rsidRDefault="00BE2AAE" w:rsidP="00623EFA">
            <w:pPr>
              <w:spacing w:line="240" w:lineRule="auto"/>
              <w:jc w:val="right"/>
              <w:rPr>
                <w:rFonts w:asciiTheme="majorHAnsi" w:hAnsiTheme="majorHAnsi" w:cstheme="majorHAnsi"/>
                <w:color w:val="000000"/>
                <w:sz w:val="20"/>
                <w:szCs w:val="20"/>
              </w:rPr>
            </w:pPr>
            <w:r w:rsidRPr="00E74C94">
              <w:rPr>
                <w:rFonts w:asciiTheme="majorHAnsi" w:hAnsiTheme="majorHAnsi" w:cstheme="majorHAnsi"/>
                <w:color w:val="000000"/>
                <w:sz w:val="20"/>
                <w:szCs w:val="20"/>
              </w:rPr>
              <w:t>0.0%</w:t>
            </w:r>
          </w:p>
        </w:tc>
      </w:tr>
      <w:tr w:rsidR="00BE2AAE" w14:paraId="6E3FE5DA" w14:textId="77777777" w:rsidTr="0096689E">
        <w:trPr>
          <w:cantSplit/>
        </w:trPr>
        <w:tc>
          <w:tcPr>
            <w:tcW w:w="4050" w:type="dxa"/>
            <w:shd w:val="clear" w:color="auto" w:fill="auto"/>
            <w:vAlign w:val="center"/>
          </w:tcPr>
          <w:p w14:paraId="0BF0BE8C" w14:textId="3ACE50AF" w:rsidR="00BE2AAE" w:rsidRPr="005842F1" w:rsidRDefault="00BE2AAE" w:rsidP="00607FAE">
            <w:pPr>
              <w:spacing w:line="240" w:lineRule="auto"/>
              <w:rPr>
                <w:rFonts w:asciiTheme="majorHAnsi" w:hAnsiTheme="majorHAnsi" w:cstheme="majorHAnsi"/>
                <w:color w:val="000000"/>
                <w:sz w:val="20"/>
                <w:szCs w:val="20"/>
              </w:rPr>
            </w:pPr>
            <w:r w:rsidRPr="005842F1">
              <w:rPr>
                <w:rFonts w:asciiTheme="majorHAnsi" w:hAnsiTheme="majorHAnsi" w:cstheme="majorHAnsi"/>
                <w:color w:val="000000"/>
                <w:sz w:val="20"/>
                <w:szCs w:val="20"/>
              </w:rPr>
              <w:t>Race</w:t>
            </w:r>
            <w:r w:rsidR="005707AC">
              <w:rPr>
                <w:rFonts w:asciiTheme="majorHAnsi" w:hAnsiTheme="majorHAnsi" w:cstheme="majorHAnsi"/>
                <w:color w:val="000000"/>
                <w:sz w:val="20"/>
                <w:szCs w:val="20"/>
              </w:rPr>
              <w:t>:</w:t>
            </w:r>
            <w:r w:rsidRPr="005842F1">
              <w:rPr>
                <w:rFonts w:asciiTheme="majorHAnsi" w:hAnsiTheme="majorHAnsi" w:cstheme="majorHAnsi"/>
                <w:color w:val="000000"/>
                <w:sz w:val="20"/>
                <w:szCs w:val="20"/>
              </w:rPr>
              <w:t xml:space="preserve"> Other</w:t>
            </w:r>
            <w:r w:rsidRPr="005842F1">
              <w:rPr>
                <w:rStyle w:val="FootnoteReference"/>
                <w:rFonts w:asciiTheme="majorHAnsi" w:hAnsiTheme="majorHAnsi" w:cstheme="majorHAnsi"/>
                <w:color w:val="000000"/>
                <w:sz w:val="20"/>
                <w:szCs w:val="20"/>
              </w:rPr>
              <w:footnoteReference w:id="9"/>
            </w:r>
          </w:p>
        </w:tc>
        <w:tc>
          <w:tcPr>
            <w:tcW w:w="810" w:type="dxa"/>
            <w:vAlign w:val="center"/>
          </w:tcPr>
          <w:p w14:paraId="2DCAC472" w14:textId="77777777" w:rsidR="00BE2AAE" w:rsidRPr="005842F1" w:rsidRDefault="00BE2AAE" w:rsidP="00623EFA">
            <w:pPr>
              <w:spacing w:line="240" w:lineRule="auto"/>
              <w:jc w:val="right"/>
              <w:rPr>
                <w:rFonts w:asciiTheme="majorHAnsi" w:hAnsiTheme="majorHAnsi" w:cstheme="majorHAnsi"/>
                <w:color w:val="000000"/>
                <w:sz w:val="20"/>
                <w:szCs w:val="20"/>
              </w:rPr>
            </w:pPr>
            <w:r w:rsidRPr="005842F1">
              <w:rPr>
                <w:rFonts w:asciiTheme="majorHAnsi" w:hAnsiTheme="majorHAnsi" w:cstheme="majorHAnsi"/>
                <w:color w:val="000000"/>
                <w:sz w:val="20"/>
                <w:szCs w:val="20"/>
              </w:rPr>
              <w:t>967</w:t>
            </w:r>
          </w:p>
        </w:tc>
        <w:tc>
          <w:tcPr>
            <w:tcW w:w="990" w:type="dxa"/>
            <w:vAlign w:val="center"/>
          </w:tcPr>
          <w:p w14:paraId="56DF1D1C" w14:textId="77777777" w:rsidR="00BE2AAE" w:rsidRPr="005842F1" w:rsidRDefault="00BE2AAE" w:rsidP="00623EFA">
            <w:pPr>
              <w:spacing w:line="240" w:lineRule="auto"/>
              <w:jc w:val="right"/>
              <w:rPr>
                <w:rFonts w:asciiTheme="majorHAnsi" w:hAnsiTheme="majorHAnsi" w:cstheme="majorHAnsi"/>
                <w:color w:val="000000"/>
                <w:sz w:val="20"/>
                <w:szCs w:val="20"/>
              </w:rPr>
            </w:pPr>
            <w:r w:rsidRPr="005842F1">
              <w:rPr>
                <w:rFonts w:asciiTheme="majorHAnsi" w:hAnsiTheme="majorHAnsi" w:cstheme="majorHAnsi"/>
                <w:color w:val="000000"/>
                <w:sz w:val="20"/>
                <w:szCs w:val="20"/>
              </w:rPr>
              <w:t>1.08%</w:t>
            </w:r>
          </w:p>
        </w:tc>
        <w:tc>
          <w:tcPr>
            <w:tcW w:w="990" w:type="dxa"/>
            <w:vAlign w:val="center"/>
          </w:tcPr>
          <w:p w14:paraId="486C90E4" w14:textId="77777777" w:rsidR="00BE2AAE" w:rsidRPr="005842F1" w:rsidRDefault="00BE2AAE" w:rsidP="00623EFA">
            <w:pPr>
              <w:spacing w:line="240" w:lineRule="auto"/>
              <w:jc w:val="right"/>
              <w:rPr>
                <w:rFonts w:asciiTheme="majorHAnsi" w:hAnsiTheme="majorHAnsi" w:cstheme="majorHAnsi"/>
                <w:color w:val="000000"/>
                <w:sz w:val="20"/>
                <w:szCs w:val="20"/>
              </w:rPr>
            </w:pPr>
            <w:r w:rsidRPr="005842F1">
              <w:rPr>
                <w:rFonts w:asciiTheme="majorHAnsi" w:hAnsiTheme="majorHAnsi" w:cstheme="majorHAnsi"/>
                <w:color w:val="000000"/>
                <w:sz w:val="20"/>
                <w:szCs w:val="20"/>
              </w:rPr>
              <w:t>1,148</w:t>
            </w:r>
          </w:p>
        </w:tc>
        <w:tc>
          <w:tcPr>
            <w:tcW w:w="900" w:type="dxa"/>
            <w:vAlign w:val="center"/>
          </w:tcPr>
          <w:p w14:paraId="07FF4CE1" w14:textId="77777777" w:rsidR="00BE2AAE" w:rsidRPr="005842F1" w:rsidRDefault="00BE2AAE" w:rsidP="00623EFA">
            <w:pPr>
              <w:spacing w:line="240" w:lineRule="auto"/>
              <w:jc w:val="right"/>
              <w:rPr>
                <w:rFonts w:asciiTheme="majorHAnsi" w:hAnsiTheme="majorHAnsi" w:cstheme="majorHAnsi"/>
                <w:color w:val="000000"/>
                <w:sz w:val="20"/>
                <w:szCs w:val="20"/>
              </w:rPr>
            </w:pPr>
            <w:r w:rsidRPr="005842F1">
              <w:rPr>
                <w:rFonts w:asciiTheme="majorHAnsi" w:hAnsiTheme="majorHAnsi" w:cstheme="majorHAnsi"/>
                <w:color w:val="000000"/>
                <w:sz w:val="20"/>
                <w:szCs w:val="20"/>
              </w:rPr>
              <w:t>1.4%</w:t>
            </w:r>
          </w:p>
        </w:tc>
        <w:tc>
          <w:tcPr>
            <w:tcW w:w="990" w:type="dxa"/>
            <w:shd w:val="clear" w:color="auto" w:fill="auto"/>
          </w:tcPr>
          <w:p w14:paraId="6835033E" w14:textId="77777777" w:rsidR="00BE2AAE" w:rsidRPr="005842F1" w:rsidRDefault="00BE2AAE" w:rsidP="00623EFA">
            <w:pPr>
              <w:spacing w:line="240" w:lineRule="auto"/>
              <w:jc w:val="right"/>
              <w:rPr>
                <w:rFonts w:asciiTheme="majorHAnsi" w:hAnsiTheme="majorHAnsi" w:cstheme="majorHAnsi"/>
                <w:color w:val="000000"/>
                <w:sz w:val="20"/>
                <w:szCs w:val="20"/>
              </w:rPr>
            </w:pPr>
            <w:r w:rsidRPr="00E74C94">
              <w:rPr>
                <w:rFonts w:asciiTheme="majorHAnsi" w:hAnsiTheme="majorHAnsi" w:cstheme="majorHAnsi"/>
                <w:color w:val="000000"/>
                <w:sz w:val="20"/>
                <w:szCs w:val="20"/>
              </w:rPr>
              <w:t>1,379</w:t>
            </w:r>
          </w:p>
        </w:tc>
        <w:tc>
          <w:tcPr>
            <w:tcW w:w="990" w:type="dxa"/>
            <w:shd w:val="clear" w:color="auto" w:fill="auto"/>
          </w:tcPr>
          <w:p w14:paraId="54CA4181" w14:textId="77777777" w:rsidR="00BE2AAE" w:rsidRPr="005842F1" w:rsidRDefault="00BE2AAE" w:rsidP="00623EFA">
            <w:pPr>
              <w:spacing w:line="240" w:lineRule="auto"/>
              <w:jc w:val="right"/>
              <w:rPr>
                <w:rFonts w:asciiTheme="majorHAnsi" w:hAnsiTheme="majorHAnsi" w:cstheme="majorHAnsi"/>
                <w:color w:val="000000"/>
                <w:sz w:val="20"/>
                <w:szCs w:val="20"/>
              </w:rPr>
            </w:pPr>
            <w:r w:rsidRPr="00E74C94">
              <w:rPr>
                <w:rFonts w:asciiTheme="majorHAnsi" w:hAnsiTheme="majorHAnsi" w:cstheme="majorHAnsi"/>
                <w:color w:val="000000"/>
                <w:sz w:val="20"/>
                <w:szCs w:val="20"/>
              </w:rPr>
              <w:t>1.7%</w:t>
            </w:r>
          </w:p>
        </w:tc>
      </w:tr>
      <w:tr w:rsidR="00BE2AAE" w14:paraId="6757C839" w14:textId="77777777" w:rsidTr="0096689E">
        <w:trPr>
          <w:cantSplit/>
        </w:trPr>
        <w:tc>
          <w:tcPr>
            <w:tcW w:w="4050" w:type="dxa"/>
            <w:shd w:val="clear" w:color="auto" w:fill="auto"/>
            <w:vAlign w:val="center"/>
          </w:tcPr>
          <w:p w14:paraId="2461BCEE" w14:textId="3BAA037B" w:rsidR="00BE2AAE" w:rsidRPr="005842F1" w:rsidRDefault="00BE2AAE" w:rsidP="00607FAE">
            <w:pPr>
              <w:spacing w:line="240" w:lineRule="auto"/>
              <w:rPr>
                <w:rFonts w:asciiTheme="majorHAnsi" w:hAnsiTheme="majorHAnsi" w:cstheme="majorHAnsi"/>
                <w:color w:val="000000"/>
                <w:sz w:val="20"/>
                <w:szCs w:val="20"/>
              </w:rPr>
            </w:pPr>
            <w:r w:rsidRPr="005842F1">
              <w:rPr>
                <w:rFonts w:asciiTheme="majorHAnsi" w:hAnsiTheme="majorHAnsi" w:cstheme="majorHAnsi"/>
                <w:color w:val="000000"/>
                <w:sz w:val="20"/>
                <w:szCs w:val="20"/>
              </w:rPr>
              <w:t>Race</w:t>
            </w:r>
            <w:r w:rsidR="005707AC">
              <w:rPr>
                <w:rFonts w:asciiTheme="majorHAnsi" w:hAnsiTheme="majorHAnsi" w:cstheme="majorHAnsi"/>
                <w:color w:val="000000"/>
                <w:sz w:val="20"/>
                <w:szCs w:val="20"/>
              </w:rPr>
              <w:t>:</w:t>
            </w:r>
            <w:r w:rsidRPr="005842F1">
              <w:rPr>
                <w:rFonts w:asciiTheme="majorHAnsi" w:hAnsiTheme="majorHAnsi" w:cstheme="majorHAnsi"/>
                <w:color w:val="000000"/>
                <w:sz w:val="20"/>
                <w:szCs w:val="20"/>
              </w:rPr>
              <w:t xml:space="preserve"> Patient Declined</w:t>
            </w:r>
          </w:p>
        </w:tc>
        <w:tc>
          <w:tcPr>
            <w:tcW w:w="810" w:type="dxa"/>
            <w:vAlign w:val="center"/>
          </w:tcPr>
          <w:p w14:paraId="5499BD1E" w14:textId="77777777" w:rsidR="00BE2AAE" w:rsidRPr="005842F1" w:rsidRDefault="00BE2AAE" w:rsidP="00623EFA">
            <w:pPr>
              <w:spacing w:line="240" w:lineRule="auto"/>
              <w:jc w:val="right"/>
              <w:rPr>
                <w:rFonts w:asciiTheme="majorHAnsi" w:hAnsiTheme="majorHAnsi" w:cstheme="majorHAnsi"/>
                <w:color w:val="000000"/>
                <w:sz w:val="20"/>
                <w:szCs w:val="20"/>
              </w:rPr>
            </w:pPr>
            <w:r w:rsidRPr="005842F1">
              <w:rPr>
                <w:rFonts w:asciiTheme="majorHAnsi" w:hAnsiTheme="majorHAnsi" w:cstheme="majorHAnsi"/>
                <w:color w:val="000000"/>
                <w:sz w:val="20"/>
                <w:szCs w:val="20"/>
              </w:rPr>
              <w:t>8,480</w:t>
            </w:r>
          </w:p>
        </w:tc>
        <w:tc>
          <w:tcPr>
            <w:tcW w:w="990" w:type="dxa"/>
            <w:vAlign w:val="center"/>
          </w:tcPr>
          <w:p w14:paraId="28F90CC1" w14:textId="77777777" w:rsidR="00BE2AAE" w:rsidRPr="005842F1" w:rsidRDefault="00BE2AAE" w:rsidP="00623EFA">
            <w:pPr>
              <w:spacing w:line="240" w:lineRule="auto"/>
              <w:jc w:val="right"/>
              <w:rPr>
                <w:rFonts w:asciiTheme="majorHAnsi" w:hAnsiTheme="majorHAnsi" w:cstheme="majorHAnsi"/>
                <w:color w:val="000000"/>
                <w:sz w:val="20"/>
                <w:szCs w:val="20"/>
              </w:rPr>
            </w:pPr>
            <w:r w:rsidRPr="005842F1">
              <w:rPr>
                <w:rFonts w:asciiTheme="majorHAnsi" w:hAnsiTheme="majorHAnsi" w:cstheme="majorHAnsi"/>
                <w:color w:val="000000"/>
                <w:sz w:val="20"/>
                <w:szCs w:val="20"/>
              </w:rPr>
              <w:t>9.45%</w:t>
            </w:r>
          </w:p>
        </w:tc>
        <w:tc>
          <w:tcPr>
            <w:tcW w:w="990" w:type="dxa"/>
            <w:vAlign w:val="center"/>
          </w:tcPr>
          <w:p w14:paraId="756B0E51" w14:textId="77777777" w:rsidR="00BE2AAE" w:rsidRPr="005842F1" w:rsidRDefault="00BE2AAE" w:rsidP="00623EFA">
            <w:pPr>
              <w:spacing w:line="240" w:lineRule="auto"/>
              <w:jc w:val="right"/>
              <w:rPr>
                <w:rFonts w:asciiTheme="majorHAnsi" w:hAnsiTheme="majorHAnsi" w:cstheme="majorHAnsi"/>
                <w:color w:val="000000"/>
                <w:sz w:val="20"/>
                <w:szCs w:val="20"/>
              </w:rPr>
            </w:pPr>
            <w:r w:rsidRPr="005842F1">
              <w:rPr>
                <w:rFonts w:asciiTheme="majorHAnsi" w:hAnsiTheme="majorHAnsi" w:cstheme="majorHAnsi"/>
                <w:color w:val="000000"/>
                <w:sz w:val="20"/>
                <w:szCs w:val="20"/>
              </w:rPr>
              <w:t>5,610</w:t>
            </w:r>
          </w:p>
        </w:tc>
        <w:tc>
          <w:tcPr>
            <w:tcW w:w="900" w:type="dxa"/>
            <w:vAlign w:val="center"/>
          </w:tcPr>
          <w:p w14:paraId="27114133" w14:textId="77777777" w:rsidR="00BE2AAE" w:rsidRPr="005842F1" w:rsidRDefault="00BE2AAE" w:rsidP="00623EFA">
            <w:pPr>
              <w:spacing w:line="240" w:lineRule="auto"/>
              <w:jc w:val="right"/>
              <w:rPr>
                <w:rFonts w:asciiTheme="majorHAnsi" w:hAnsiTheme="majorHAnsi" w:cstheme="majorHAnsi"/>
                <w:color w:val="000000"/>
                <w:sz w:val="20"/>
                <w:szCs w:val="20"/>
              </w:rPr>
            </w:pPr>
            <w:r w:rsidRPr="005842F1">
              <w:rPr>
                <w:rFonts w:asciiTheme="majorHAnsi" w:hAnsiTheme="majorHAnsi" w:cstheme="majorHAnsi"/>
                <w:color w:val="000000"/>
                <w:sz w:val="20"/>
                <w:szCs w:val="20"/>
              </w:rPr>
              <w:t>6.7%</w:t>
            </w:r>
          </w:p>
        </w:tc>
        <w:tc>
          <w:tcPr>
            <w:tcW w:w="990" w:type="dxa"/>
            <w:shd w:val="clear" w:color="auto" w:fill="auto"/>
          </w:tcPr>
          <w:p w14:paraId="5BFEFA19" w14:textId="77777777" w:rsidR="00BE2AAE" w:rsidRPr="005842F1" w:rsidRDefault="00BE2AAE" w:rsidP="00623EFA">
            <w:pPr>
              <w:spacing w:line="240" w:lineRule="auto"/>
              <w:jc w:val="right"/>
              <w:rPr>
                <w:rFonts w:asciiTheme="majorHAnsi" w:hAnsiTheme="majorHAnsi" w:cstheme="majorHAnsi"/>
                <w:color w:val="000000"/>
                <w:sz w:val="20"/>
                <w:szCs w:val="20"/>
              </w:rPr>
            </w:pPr>
            <w:r w:rsidRPr="00E74C94">
              <w:rPr>
                <w:rFonts w:asciiTheme="majorHAnsi" w:hAnsiTheme="majorHAnsi" w:cstheme="majorHAnsi"/>
                <w:color w:val="000000"/>
                <w:sz w:val="20"/>
                <w:szCs w:val="20"/>
              </w:rPr>
              <w:t>5,525</w:t>
            </w:r>
          </w:p>
        </w:tc>
        <w:tc>
          <w:tcPr>
            <w:tcW w:w="990" w:type="dxa"/>
            <w:shd w:val="clear" w:color="auto" w:fill="auto"/>
          </w:tcPr>
          <w:p w14:paraId="5FCD703D" w14:textId="77777777" w:rsidR="00BE2AAE" w:rsidRPr="005842F1" w:rsidRDefault="00BE2AAE" w:rsidP="00623EFA">
            <w:pPr>
              <w:spacing w:line="240" w:lineRule="auto"/>
              <w:jc w:val="right"/>
              <w:rPr>
                <w:rFonts w:asciiTheme="majorHAnsi" w:hAnsiTheme="majorHAnsi" w:cstheme="majorHAnsi"/>
                <w:color w:val="000000"/>
                <w:sz w:val="20"/>
                <w:szCs w:val="20"/>
              </w:rPr>
            </w:pPr>
            <w:r w:rsidRPr="00E74C94">
              <w:rPr>
                <w:rFonts w:asciiTheme="majorHAnsi" w:hAnsiTheme="majorHAnsi" w:cstheme="majorHAnsi"/>
                <w:color w:val="000000"/>
                <w:sz w:val="20"/>
                <w:szCs w:val="20"/>
              </w:rPr>
              <w:t>6.7%</w:t>
            </w:r>
          </w:p>
        </w:tc>
      </w:tr>
      <w:tr w:rsidR="00BE2AAE" w14:paraId="34015FAA" w14:textId="77777777" w:rsidTr="0096689E">
        <w:trPr>
          <w:cantSplit/>
        </w:trPr>
        <w:tc>
          <w:tcPr>
            <w:tcW w:w="4050" w:type="dxa"/>
            <w:shd w:val="clear" w:color="auto" w:fill="auto"/>
            <w:vAlign w:val="center"/>
          </w:tcPr>
          <w:p w14:paraId="2DA91A69" w14:textId="0F69FFCC" w:rsidR="00BE2AAE" w:rsidRPr="005842F1" w:rsidRDefault="00BE2AAE" w:rsidP="00607FAE">
            <w:pPr>
              <w:spacing w:line="240" w:lineRule="auto"/>
              <w:rPr>
                <w:rFonts w:asciiTheme="majorHAnsi" w:hAnsiTheme="majorHAnsi" w:cstheme="majorHAnsi"/>
                <w:b/>
                <w:bCs/>
                <w:color w:val="000000"/>
                <w:sz w:val="20"/>
                <w:szCs w:val="20"/>
              </w:rPr>
            </w:pPr>
            <w:r w:rsidRPr="005842F1">
              <w:rPr>
                <w:rFonts w:asciiTheme="majorHAnsi" w:hAnsiTheme="majorHAnsi" w:cstheme="majorHAnsi"/>
                <w:color w:val="000000"/>
                <w:sz w:val="20"/>
                <w:szCs w:val="20"/>
              </w:rPr>
              <w:t>Ethnicity</w:t>
            </w:r>
            <w:r w:rsidR="005707AC">
              <w:rPr>
                <w:rFonts w:asciiTheme="majorHAnsi" w:hAnsiTheme="majorHAnsi" w:cstheme="majorHAnsi"/>
                <w:color w:val="000000"/>
                <w:sz w:val="20"/>
                <w:szCs w:val="20"/>
              </w:rPr>
              <w:t>:</w:t>
            </w:r>
            <w:r w:rsidRPr="005842F1">
              <w:rPr>
                <w:rFonts w:asciiTheme="majorHAnsi" w:hAnsiTheme="majorHAnsi" w:cstheme="majorHAnsi"/>
                <w:color w:val="000000"/>
                <w:sz w:val="20"/>
                <w:szCs w:val="20"/>
              </w:rPr>
              <w:t xml:space="preserve"> Hispanic/Latino</w:t>
            </w:r>
          </w:p>
        </w:tc>
        <w:tc>
          <w:tcPr>
            <w:tcW w:w="810" w:type="dxa"/>
            <w:vAlign w:val="center"/>
          </w:tcPr>
          <w:p w14:paraId="4B66F09B" w14:textId="77777777" w:rsidR="00BE2AAE" w:rsidRPr="005842F1" w:rsidRDefault="00BE2AAE" w:rsidP="00623EFA">
            <w:pPr>
              <w:spacing w:line="240" w:lineRule="auto"/>
              <w:jc w:val="right"/>
              <w:rPr>
                <w:rFonts w:asciiTheme="majorHAnsi" w:hAnsiTheme="majorHAnsi" w:cstheme="majorHAnsi"/>
                <w:color w:val="000000"/>
                <w:sz w:val="20"/>
                <w:szCs w:val="20"/>
              </w:rPr>
            </w:pPr>
            <w:r w:rsidRPr="005842F1">
              <w:rPr>
                <w:rFonts w:asciiTheme="majorHAnsi" w:hAnsiTheme="majorHAnsi" w:cstheme="majorHAnsi"/>
                <w:color w:val="000000"/>
                <w:sz w:val="20"/>
                <w:szCs w:val="20"/>
              </w:rPr>
              <w:t>562</w:t>
            </w:r>
          </w:p>
        </w:tc>
        <w:tc>
          <w:tcPr>
            <w:tcW w:w="990" w:type="dxa"/>
            <w:vAlign w:val="center"/>
          </w:tcPr>
          <w:p w14:paraId="47294891" w14:textId="77777777" w:rsidR="00BE2AAE" w:rsidRPr="005842F1" w:rsidRDefault="00BE2AAE" w:rsidP="00623EFA">
            <w:pPr>
              <w:spacing w:line="240" w:lineRule="auto"/>
              <w:jc w:val="right"/>
              <w:rPr>
                <w:rFonts w:asciiTheme="majorHAnsi" w:hAnsiTheme="majorHAnsi" w:cstheme="majorHAnsi"/>
                <w:color w:val="000000"/>
                <w:sz w:val="20"/>
                <w:szCs w:val="20"/>
              </w:rPr>
            </w:pPr>
            <w:r w:rsidRPr="005842F1">
              <w:rPr>
                <w:rFonts w:asciiTheme="majorHAnsi" w:hAnsiTheme="majorHAnsi" w:cstheme="majorHAnsi"/>
                <w:color w:val="000000"/>
                <w:sz w:val="20"/>
                <w:szCs w:val="20"/>
              </w:rPr>
              <w:t>0.63%</w:t>
            </w:r>
          </w:p>
        </w:tc>
        <w:tc>
          <w:tcPr>
            <w:tcW w:w="990" w:type="dxa"/>
            <w:vAlign w:val="center"/>
          </w:tcPr>
          <w:p w14:paraId="15D1CFD9" w14:textId="77777777" w:rsidR="00BE2AAE" w:rsidRPr="005842F1" w:rsidRDefault="00BE2AAE" w:rsidP="00623EFA">
            <w:pPr>
              <w:spacing w:line="240" w:lineRule="auto"/>
              <w:jc w:val="right"/>
              <w:rPr>
                <w:rFonts w:asciiTheme="majorHAnsi" w:hAnsiTheme="majorHAnsi" w:cstheme="majorHAnsi"/>
                <w:color w:val="000000"/>
                <w:sz w:val="20"/>
                <w:szCs w:val="20"/>
              </w:rPr>
            </w:pPr>
            <w:r w:rsidRPr="005842F1">
              <w:rPr>
                <w:rFonts w:asciiTheme="majorHAnsi" w:hAnsiTheme="majorHAnsi" w:cstheme="majorHAnsi"/>
                <w:color w:val="000000"/>
                <w:sz w:val="20"/>
                <w:szCs w:val="20"/>
              </w:rPr>
              <w:t>1,364</w:t>
            </w:r>
          </w:p>
        </w:tc>
        <w:tc>
          <w:tcPr>
            <w:tcW w:w="900" w:type="dxa"/>
            <w:vAlign w:val="center"/>
          </w:tcPr>
          <w:p w14:paraId="2D1F8443" w14:textId="77777777" w:rsidR="00BE2AAE" w:rsidRPr="005842F1" w:rsidRDefault="00BE2AAE" w:rsidP="00623EFA">
            <w:pPr>
              <w:spacing w:line="240" w:lineRule="auto"/>
              <w:jc w:val="right"/>
              <w:rPr>
                <w:rFonts w:asciiTheme="majorHAnsi" w:hAnsiTheme="majorHAnsi" w:cstheme="majorHAnsi"/>
                <w:color w:val="000000"/>
                <w:sz w:val="20"/>
                <w:szCs w:val="20"/>
              </w:rPr>
            </w:pPr>
            <w:r w:rsidRPr="005842F1">
              <w:rPr>
                <w:rFonts w:asciiTheme="majorHAnsi" w:hAnsiTheme="majorHAnsi" w:cstheme="majorHAnsi"/>
                <w:color w:val="000000"/>
                <w:sz w:val="20"/>
                <w:szCs w:val="20"/>
              </w:rPr>
              <w:t>1.49%</w:t>
            </w:r>
          </w:p>
        </w:tc>
        <w:tc>
          <w:tcPr>
            <w:tcW w:w="990" w:type="dxa"/>
            <w:shd w:val="clear" w:color="auto" w:fill="auto"/>
          </w:tcPr>
          <w:p w14:paraId="2D21BC4F" w14:textId="77777777" w:rsidR="00BE2AAE" w:rsidRPr="005842F1" w:rsidRDefault="00BE2AAE" w:rsidP="00623EFA">
            <w:pPr>
              <w:spacing w:line="240" w:lineRule="auto"/>
              <w:jc w:val="right"/>
              <w:rPr>
                <w:rFonts w:asciiTheme="majorHAnsi" w:hAnsiTheme="majorHAnsi" w:cstheme="majorHAnsi"/>
                <w:color w:val="000000"/>
                <w:sz w:val="20"/>
                <w:szCs w:val="20"/>
              </w:rPr>
            </w:pPr>
            <w:r w:rsidRPr="00E74C94">
              <w:rPr>
                <w:rFonts w:asciiTheme="majorHAnsi" w:hAnsiTheme="majorHAnsi" w:cstheme="majorHAnsi"/>
                <w:color w:val="000000"/>
                <w:sz w:val="20"/>
                <w:szCs w:val="20"/>
              </w:rPr>
              <w:t>1,600</w:t>
            </w:r>
          </w:p>
        </w:tc>
        <w:tc>
          <w:tcPr>
            <w:tcW w:w="990" w:type="dxa"/>
            <w:shd w:val="clear" w:color="auto" w:fill="auto"/>
          </w:tcPr>
          <w:p w14:paraId="0241DE7F" w14:textId="77777777" w:rsidR="00BE2AAE" w:rsidRPr="005842F1" w:rsidRDefault="00BE2AAE" w:rsidP="00623EFA">
            <w:pPr>
              <w:spacing w:line="240" w:lineRule="auto"/>
              <w:jc w:val="right"/>
              <w:rPr>
                <w:rFonts w:asciiTheme="majorHAnsi" w:hAnsiTheme="majorHAnsi" w:cstheme="majorHAnsi"/>
                <w:color w:val="000000"/>
                <w:sz w:val="20"/>
                <w:szCs w:val="20"/>
              </w:rPr>
            </w:pPr>
            <w:r w:rsidRPr="00E74C94">
              <w:rPr>
                <w:rFonts w:asciiTheme="majorHAnsi" w:hAnsiTheme="majorHAnsi" w:cstheme="majorHAnsi"/>
                <w:color w:val="000000"/>
                <w:sz w:val="20"/>
                <w:szCs w:val="20"/>
              </w:rPr>
              <w:t>1.88%</w:t>
            </w:r>
          </w:p>
        </w:tc>
      </w:tr>
      <w:tr w:rsidR="00BE2AAE" w14:paraId="4E9422BA" w14:textId="77777777" w:rsidTr="0096689E">
        <w:trPr>
          <w:cantSplit/>
        </w:trPr>
        <w:tc>
          <w:tcPr>
            <w:tcW w:w="4050" w:type="dxa"/>
            <w:shd w:val="clear" w:color="auto" w:fill="auto"/>
            <w:vAlign w:val="center"/>
          </w:tcPr>
          <w:p w14:paraId="33BFD913" w14:textId="5E6BBB47" w:rsidR="00BE2AAE" w:rsidRPr="005842F1" w:rsidRDefault="00BE2AAE" w:rsidP="00607FAE">
            <w:pPr>
              <w:spacing w:line="240" w:lineRule="auto"/>
              <w:rPr>
                <w:rFonts w:asciiTheme="majorHAnsi" w:hAnsiTheme="majorHAnsi" w:cstheme="majorHAnsi"/>
                <w:color w:val="000000"/>
                <w:sz w:val="20"/>
                <w:szCs w:val="20"/>
              </w:rPr>
            </w:pPr>
            <w:r w:rsidRPr="005842F1">
              <w:rPr>
                <w:rFonts w:asciiTheme="majorHAnsi" w:hAnsiTheme="majorHAnsi" w:cstheme="majorHAnsi"/>
                <w:color w:val="000000"/>
                <w:sz w:val="20"/>
                <w:szCs w:val="20"/>
              </w:rPr>
              <w:t>Ethnicity</w:t>
            </w:r>
            <w:r w:rsidR="005707AC">
              <w:rPr>
                <w:rFonts w:asciiTheme="majorHAnsi" w:hAnsiTheme="majorHAnsi" w:cstheme="majorHAnsi"/>
                <w:color w:val="000000"/>
                <w:sz w:val="20"/>
                <w:szCs w:val="20"/>
              </w:rPr>
              <w:t>:</w:t>
            </w:r>
            <w:r w:rsidRPr="005842F1">
              <w:rPr>
                <w:rFonts w:asciiTheme="majorHAnsi" w:hAnsiTheme="majorHAnsi" w:cstheme="majorHAnsi"/>
                <w:color w:val="000000"/>
                <w:sz w:val="20"/>
                <w:szCs w:val="20"/>
              </w:rPr>
              <w:t xml:space="preserve"> Not Hispanic/Latino</w:t>
            </w:r>
          </w:p>
        </w:tc>
        <w:tc>
          <w:tcPr>
            <w:tcW w:w="810" w:type="dxa"/>
            <w:vAlign w:val="center"/>
          </w:tcPr>
          <w:p w14:paraId="61F76FFD" w14:textId="77777777" w:rsidR="00BE2AAE" w:rsidRPr="005842F1" w:rsidRDefault="00BE2AAE" w:rsidP="00623EFA">
            <w:pPr>
              <w:spacing w:line="240" w:lineRule="auto"/>
              <w:jc w:val="right"/>
              <w:rPr>
                <w:rFonts w:asciiTheme="majorHAnsi" w:hAnsiTheme="majorHAnsi" w:cstheme="majorHAnsi"/>
                <w:color w:val="000000"/>
                <w:sz w:val="20"/>
                <w:szCs w:val="20"/>
              </w:rPr>
            </w:pPr>
            <w:r w:rsidRPr="005842F1">
              <w:rPr>
                <w:rFonts w:asciiTheme="majorHAnsi" w:hAnsiTheme="majorHAnsi" w:cstheme="majorHAnsi"/>
                <w:color w:val="000000"/>
                <w:sz w:val="20"/>
                <w:szCs w:val="20"/>
              </w:rPr>
              <w:t>26,713</w:t>
            </w:r>
          </w:p>
        </w:tc>
        <w:tc>
          <w:tcPr>
            <w:tcW w:w="990" w:type="dxa"/>
            <w:vAlign w:val="center"/>
          </w:tcPr>
          <w:p w14:paraId="6C901EB0" w14:textId="77777777" w:rsidR="00BE2AAE" w:rsidRPr="005842F1" w:rsidRDefault="00BE2AAE" w:rsidP="00623EFA">
            <w:pPr>
              <w:spacing w:line="240" w:lineRule="auto"/>
              <w:jc w:val="right"/>
              <w:rPr>
                <w:rFonts w:asciiTheme="majorHAnsi" w:hAnsiTheme="majorHAnsi" w:cstheme="majorHAnsi"/>
                <w:color w:val="000000"/>
                <w:sz w:val="20"/>
                <w:szCs w:val="20"/>
              </w:rPr>
            </w:pPr>
            <w:r w:rsidRPr="005842F1">
              <w:rPr>
                <w:rFonts w:asciiTheme="majorHAnsi" w:hAnsiTheme="majorHAnsi" w:cstheme="majorHAnsi"/>
                <w:color w:val="000000"/>
                <w:sz w:val="20"/>
                <w:szCs w:val="20"/>
              </w:rPr>
              <w:t>29.77%</w:t>
            </w:r>
          </w:p>
        </w:tc>
        <w:tc>
          <w:tcPr>
            <w:tcW w:w="990" w:type="dxa"/>
            <w:vAlign w:val="center"/>
          </w:tcPr>
          <w:p w14:paraId="6FF647B6" w14:textId="77777777" w:rsidR="00BE2AAE" w:rsidRPr="005842F1" w:rsidRDefault="00BE2AAE" w:rsidP="00623EFA">
            <w:pPr>
              <w:spacing w:line="240" w:lineRule="auto"/>
              <w:jc w:val="right"/>
              <w:rPr>
                <w:rFonts w:asciiTheme="majorHAnsi" w:hAnsiTheme="majorHAnsi" w:cstheme="majorHAnsi"/>
                <w:color w:val="000000"/>
                <w:sz w:val="20"/>
                <w:szCs w:val="20"/>
              </w:rPr>
            </w:pPr>
            <w:r w:rsidRPr="005842F1">
              <w:rPr>
                <w:rFonts w:asciiTheme="majorHAnsi" w:hAnsiTheme="majorHAnsi" w:cstheme="majorHAnsi"/>
                <w:color w:val="000000"/>
                <w:sz w:val="20"/>
                <w:szCs w:val="20"/>
              </w:rPr>
              <w:t>68,765</w:t>
            </w:r>
          </w:p>
        </w:tc>
        <w:tc>
          <w:tcPr>
            <w:tcW w:w="900" w:type="dxa"/>
            <w:vAlign w:val="center"/>
          </w:tcPr>
          <w:p w14:paraId="562A0208" w14:textId="77777777" w:rsidR="00BE2AAE" w:rsidRPr="005842F1" w:rsidRDefault="00BE2AAE" w:rsidP="00623EFA">
            <w:pPr>
              <w:spacing w:line="240" w:lineRule="auto"/>
              <w:jc w:val="right"/>
              <w:rPr>
                <w:rFonts w:asciiTheme="majorHAnsi" w:hAnsiTheme="majorHAnsi" w:cstheme="majorHAnsi"/>
                <w:color w:val="000000"/>
                <w:sz w:val="20"/>
                <w:szCs w:val="20"/>
              </w:rPr>
            </w:pPr>
            <w:r w:rsidRPr="005842F1">
              <w:rPr>
                <w:rFonts w:asciiTheme="majorHAnsi" w:hAnsiTheme="majorHAnsi" w:cstheme="majorHAnsi"/>
                <w:color w:val="000000"/>
                <w:sz w:val="20"/>
                <w:szCs w:val="20"/>
              </w:rPr>
              <w:t>75.35%</w:t>
            </w:r>
          </w:p>
        </w:tc>
        <w:tc>
          <w:tcPr>
            <w:tcW w:w="990" w:type="dxa"/>
            <w:shd w:val="clear" w:color="auto" w:fill="auto"/>
          </w:tcPr>
          <w:p w14:paraId="249CE2EC" w14:textId="77777777" w:rsidR="00BE2AAE" w:rsidRPr="005842F1" w:rsidRDefault="00BE2AAE" w:rsidP="00623EFA">
            <w:pPr>
              <w:spacing w:line="240" w:lineRule="auto"/>
              <w:jc w:val="right"/>
              <w:rPr>
                <w:rFonts w:asciiTheme="majorHAnsi" w:hAnsiTheme="majorHAnsi" w:cstheme="majorHAnsi"/>
                <w:color w:val="000000"/>
                <w:sz w:val="20"/>
                <w:szCs w:val="20"/>
              </w:rPr>
            </w:pPr>
            <w:r w:rsidRPr="00E74C94">
              <w:rPr>
                <w:rFonts w:asciiTheme="majorHAnsi" w:hAnsiTheme="majorHAnsi" w:cstheme="majorHAnsi"/>
                <w:color w:val="000000"/>
                <w:sz w:val="20"/>
                <w:szCs w:val="20"/>
              </w:rPr>
              <w:t>74,061</w:t>
            </w:r>
          </w:p>
        </w:tc>
        <w:tc>
          <w:tcPr>
            <w:tcW w:w="990" w:type="dxa"/>
            <w:shd w:val="clear" w:color="auto" w:fill="auto"/>
          </w:tcPr>
          <w:p w14:paraId="31BA2E6F" w14:textId="77777777" w:rsidR="00BE2AAE" w:rsidRPr="005842F1" w:rsidRDefault="00BE2AAE" w:rsidP="00623EFA">
            <w:pPr>
              <w:spacing w:line="240" w:lineRule="auto"/>
              <w:jc w:val="right"/>
              <w:rPr>
                <w:rFonts w:asciiTheme="majorHAnsi" w:hAnsiTheme="majorHAnsi" w:cstheme="majorHAnsi"/>
                <w:color w:val="000000"/>
                <w:sz w:val="20"/>
                <w:szCs w:val="20"/>
              </w:rPr>
            </w:pPr>
            <w:r w:rsidRPr="00E74C94">
              <w:rPr>
                <w:rFonts w:asciiTheme="majorHAnsi" w:hAnsiTheme="majorHAnsi" w:cstheme="majorHAnsi"/>
                <w:color w:val="000000"/>
                <w:sz w:val="20"/>
                <w:szCs w:val="20"/>
              </w:rPr>
              <w:t>87.10%</w:t>
            </w:r>
          </w:p>
        </w:tc>
      </w:tr>
      <w:tr w:rsidR="00BE2AAE" w14:paraId="5CAF6518" w14:textId="77777777" w:rsidTr="0096689E">
        <w:trPr>
          <w:cantSplit/>
        </w:trPr>
        <w:tc>
          <w:tcPr>
            <w:tcW w:w="4050" w:type="dxa"/>
            <w:shd w:val="clear" w:color="auto" w:fill="auto"/>
            <w:vAlign w:val="center"/>
          </w:tcPr>
          <w:p w14:paraId="24052193" w14:textId="48935997" w:rsidR="00BE2AAE" w:rsidRPr="005842F1" w:rsidRDefault="00BE2AAE" w:rsidP="00607FAE">
            <w:pPr>
              <w:spacing w:line="240" w:lineRule="auto"/>
              <w:rPr>
                <w:rFonts w:asciiTheme="majorHAnsi" w:hAnsiTheme="majorHAnsi" w:cstheme="majorHAnsi"/>
                <w:color w:val="000000"/>
                <w:sz w:val="20"/>
                <w:szCs w:val="20"/>
              </w:rPr>
            </w:pPr>
            <w:r w:rsidRPr="005842F1">
              <w:rPr>
                <w:rFonts w:asciiTheme="majorHAnsi" w:hAnsiTheme="majorHAnsi" w:cstheme="majorHAnsi"/>
                <w:color w:val="000000"/>
                <w:sz w:val="20"/>
                <w:szCs w:val="20"/>
              </w:rPr>
              <w:t>Ethnicity</w:t>
            </w:r>
            <w:r w:rsidR="005707AC">
              <w:rPr>
                <w:rFonts w:asciiTheme="majorHAnsi" w:hAnsiTheme="majorHAnsi" w:cstheme="majorHAnsi"/>
                <w:color w:val="000000"/>
                <w:sz w:val="20"/>
                <w:szCs w:val="20"/>
              </w:rPr>
              <w:t>:</w:t>
            </w:r>
            <w:r w:rsidRPr="005842F1">
              <w:rPr>
                <w:rFonts w:asciiTheme="majorHAnsi" w:hAnsiTheme="majorHAnsi" w:cstheme="majorHAnsi"/>
                <w:color w:val="000000"/>
                <w:sz w:val="20"/>
                <w:szCs w:val="20"/>
              </w:rPr>
              <w:t xml:space="preserve"> Unknown</w:t>
            </w:r>
            <w:r w:rsidRPr="005842F1">
              <w:rPr>
                <w:rStyle w:val="FootnoteReference"/>
                <w:rFonts w:asciiTheme="majorHAnsi" w:hAnsiTheme="majorHAnsi" w:cstheme="majorHAnsi"/>
                <w:color w:val="000000"/>
                <w:sz w:val="20"/>
                <w:szCs w:val="20"/>
              </w:rPr>
              <w:footnoteReference w:id="10"/>
            </w:r>
          </w:p>
        </w:tc>
        <w:tc>
          <w:tcPr>
            <w:tcW w:w="810" w:type="dxa"/>
            <w:vAlign w:val="center"/>
          </w:tcPr>
          <w:p w14:paraId="73E5BC5F" w14:textId="77777777" w:rsidR="00BE2AAE" w:rsidRPr="005842F1" w:rsidRDefault="00BE2AAE" w:rsidP="00623EFA">
            <w:pPr>
              <w:spacing w:line="240" w:lineRule="auto"/>
              <w:jc w:val="right"/>
              <w:rPr>
                <w:rFonts w:asciiTheme="majorHAnsi" w:hAnsiTheme="majorHAnsi" w:cstheme="majorHAnsi"/>
                <w:color w:val="000000"/>
                <w:sz w:val="20"/>
                <w:szCs w:val="20"/>
              </w:rPr>
            </w:pPr>
            <w:r w:rsidRPr="005842F1">
              <w:rPr>
                <w:rFonts w:asciiTheme="majorHAnsi" w:hAnsiTheme="majorHAnsi" w:cstheme="majorHAnsi"/>
                <w:color w:val="000000"/>
                <w:sz w:val="20"/>
                <w:szCs w:val="20"/>
              </w:rPr>
              <w:t>62,482</w:t>
            </w:r>
          </w:p>
        </w:tc>
        <w:tc>
          <w:tcPr>
            <w:tcW w:w="990" w:type="dxa"/>
            <w:vAlign w:val="center"/>
          </w:tcPr>
          <w:p w14:paraId="4F787CA6" w14:textId="77777777" w:rsidR="00BE2AAE" w:rsidRPr="005842F1" w:rsidRDefault="00BE2AAE" w:rsidP="00623EFA">
            <w:pPr>
              <w:spacing w:line="240" w:lineRule="auto"/>
              <w:jc w:val="right"/>
              <w:rPr>
                <w:rFonts w:asciiTheme="majorHAnsi" w:hAnsiTheme="majorHAnsi" w:cstheme="majorHAnsi"/>
                <w:color w:val="000000"/>
                <w:sz w:val="20"/>
                <w:szCs w:val="20"/>
              </w:rPr>
            </w:pPr>
            <w:r w:rsidRPr="005842F1">
              <w:rPr>
                <w:rFonts w:asciiTheme="majorHAnsi" w:hAnsiTheme="majorHAnsi" w:cstheme="majorHAnsi"/>
                <w:color w:val="000000"/>
                <w:sz w:val="20"/>
                <w:szCs w:val="20"/>
              </w:rPr>
              <w:t>69.63%</w:t>
            </w:r>
          </w:p>
        </w:tc>
        <w:tc>
          <w:tcPr>
            <w:tcW w:w="990" w:type="dxa"/>
            <w:vAlign w:val="center"/>
          </w:tcPr>
          <w:p w14:paraId="5C52DB1F" w14:textId="77777777" w:rsidR="00BE2AAE" w:rsidRPr="005842F1" w:rsidRDefault="00BE2AAE" w:rsidP="00623EFA">
            <w:pPr>
              <w:spacing w:line="240" w:lineRule="auto"/>
              <w:jc w:val="right"/>
              <w:rPr>
                <w:rFonts w:asciiTheme="majorHAnsi" w:hAnsiTheme="majorHAnsi" w:cstheme="majorHAnsi"/>
                <w:color w:val="000000"/>
                <w:sz w:val="20"/>
                <w:szCs w:val="20"/>
              </w:rPr>
            </w:pPr>
            <w:r w:rsidRPr="005842F1">
              <w:rPr>
                <w:rFonts w:asciiTheme="majorHAnsi" w:hAnsiTheme="majorHAnsi" w:cstheme="majorHAnsi"/>
                <w:color w:val="000000"/>
                <w:sz w:val="20"/>
                <w:szCs w:val="20"/>
              </w:rPr>
              <w:t>21,128</w:t>
            </w:r>
          </w:p>
        </w:tc>
        <w:tc>
          <w:tcPr>
            <w:tcW w:w="900" w:type="dxa"/>
            <w:vAlign w:val="center"/>
          </w:tcPr>
          <w:p w14:paraId="71AD26E6" w14:textId="77777777" w:rsidR="00BE2AAE" w:rsidRPr="005842F1" w:rsidRDefault="00BE2AAE" w:rsidP="00623EFA">
            <w:pPr>
              <w:spacing w:line="240" w:lineRule="auto"/>
              <w:jc w:val="right"/>
              <w:rPr>
                <w:rFonts w:asciiTheme="majorHAnsi" w:hAnsiTheme="majorHAnsi" w:cstheme="majorHAnsi"/>
                <w:color w:val="000000"/>
                <w:sz w:val="20"/>
                <w:szCs w:val="20"/>
              </w:rPr>
            </w:pPr>
            <w:r w:rsidRPr="005842F1">
              <w:rPr>
                <w:rFonts w:asciiTheme="majorHAnsi" w:hAnsiTheme="majorHAnsi" w:cstheme="majorHAnsi"/>
                <w:color w:val="000000"/>
                <w:sz w:val="20"/>
                <w:szCs w:val="20"/>
              </w:rPr>
              <w:t>23.15%</w:t>
            </w:r>
          </w:p>
        </w:tc>
        <w:tc>
          <w:tcPr>
            <w:tcW w:w="990" w:type="dxa"/>
            <w:shd w:val="clear" w:color="auto" w:fill="auto"/>
          </w:tcPr>
          <w:p w14:paraId="1ABA4250" w14:textId="77777777" w:rsidR="00BE2AAE" w:rsidRPr="005842F1" w:rsidRDefault="00BE2AAE" w:rsidP="00623EFA">
            <w:pPr>
              <w:spacing w:line="240" w:lineRule="auto"/>
              <w:jc w:val="right"/>
              <w:rPr>
                <w:rFonts w:asciiTheme="majorHAnsi" w:hAnsiTheme="majorHAnsi" w:cstheme="majorHAnsi"/>
                <w:color w:val="000000"/>
                <w:sz w:val="20"/>
                <w:szCs w:val="20"/>
              </w:rPr>
            </w:pPr>
            <w:r w:rsidRPr="00E74C94">
              <w:rPr>
                <w:rFonts w:asciiTheme="majorHAnsi" w:hAnsiTheme="majorHAnsi" w:cstheme="majorHAnsi"/>
                <w:color w:val="000000"/>
                <w:sz w:val="20"/>
                <w:szCs w:val="20"/>
              </w:rPr>
              <w:t>9,374</w:t>
            </w:r>
          </w:p>
        </w:tc>
        <w:tc>
          <w:tcPr>
            <w:tcW w:w="990" w:type="dxa"/>
            <w:shd w:val="clear" w:color="auto" w:fill="auto"/>
          </w:tcPr>
          <w:p w14:paraId="768EBB2B" w14:textId="77777777" w:rsidR="00BE2AAE" w:rsidRPr="005842F1" w:rsidRDefault="00BE2AAE" w:rsidP="00623EFA">
            <w:pPr>
              <w:spacing w:line="240" w:lineRule="auto"/>
              <w:jc w:val="right"/>
              <w:rPr>
                <w:rFonts w:asciiTheme="majorHAnsi" w:hAnsiTheme="majorHAnsi" w:cstheme="majorHAnsi"/>
                <w:color w:val="000000"/>
                <w:sz w:val="20"/>
                <w:szCs w:val="20"/>
              </w:rPr>
            </w:pPr>
            <w:r w:rsidRPr="00E74C94">
              <w:rPr>
                <w:rFonts w:asciiTheme="majorHAnsi" w:hAnsiTheme="majorHAnsi" w:cstheme="majorHAnsi"/>
                <w:color w:val="000000"/>
                <w:sz w:val="20"/>
                <w:szCs w:val="20"/>
              </w:rPr>
              <w:t>11.02%</w:t>
            </w:r>
          </w:p>
        </w:tc>
      </w:tr>
      <w:tr w:rsidR="00BE2AAE" w14:paraId="491068D3" w14:textId="77777777" w:rsidTr="0096689E">
        <w:trPr>
          <w:cantSplit/>
        </w:trPr>
        <w:tc>
          <w:tcPr>
            <w:tcW w:w="4050" w:type="dxa"/>
            <w:shd w:val="clear" w:color="auto" w:fill="auto"/>
            <w:vAlign w:val="center"/>
          </w:tcPr>
          <w:p w14:paraId="4FC628F4" w14:textId="6D843CD9" w:rsidR="00BE2AAE" w:rsidRPr="005842F1" w:rsidRDefault="00BE2AAE" w:rsidP="00607FAE">
            <w:pPr>
              <w:spacing w:line="240" w:lineRule="auto"/>
              <w:rPr>
                <w:rFonts w:asciiTheme="majorHAnsi" w:hAnsiTheme="majorHAnsi" w:cstheme="majorHAnsi"/>
                <w:b/>
                <w:bCs/>
                <w:color w:val="000000"/>
                <w:sz w:val="20"/>
                <w:szCs w:val="20"/>
              </w:rPr>
            </w:pPr>
            <w:r w:rsidRPr="005842F1">
              <w:rPr>
                <w:rFonts w:asciiTheme="majorHAnsi" w:hAnsiTheme="majorHAnsi" w:cstheme="majorHAnsi"/>
                <w:color w:val="000000"/>
                <w:sz w:val="20"/>
                <w:szCs w:val="20"/>
              </w:rPr>
              <w:t>Payer Mi</w:t>
            </w:r>
            <w:r w:rsidR="005707AC">
              <w:rPr>
                <w:rFonts w:asciiTheme="majorHAnsi" w:hAnsiTheme="majorHAnsi" w:cstheme="majorHAnsi"/>
                <w:color w:val="000000"/>
                <w:sz w:val="20"/>
                <w:szCs w:val="20"/>
              </w:rPr>
              <w:t>x:</w:t>
            </w:r>
            <w:r w:rsidRPr="005842F1">
              <w:rPr>
                <w:rFonts w:asciiTheme="majorHAnsi" w:hAnsiTheme="majorHAnsi" w:cstheme="majorHAnsi"/>
                <w:color w:val="000000"/>
                <w:sz w:val="20"/>
                <w:szCs w:val="20"/>
              </w:rPr>
              <w:t xml:space="preserve"> Commercial</w:t>
            </w:r>
          </w:p>
        </w:tc>
        <w:tc>
          <w:tcPr>
            <w:tcW w:w="810" w:type="dxa"/>
          </w:tcPr>
          <w:p w14:paraId="001DED50" w14:textId="77777777" w:rsidR="00BE2AAE" w:rsidRPr="005842F1" w:rsidRDefault="00BE2AAE" w:rsidP="00623EFA">
            <w:pPr>
              <w:spacing w:line="240" w:lineRule="auto"/>
              <w:jc w:val="right"/>
              <w:rPr>
                <w:rFonts w:asciiTheme="majorHAnsi" w:hAnsiTheme="majorHAnsi" w:cstheme="majorHAnsi"/>
                <w:color w:val="000000"/>
                <w:sz w:val="20"/>
                <w:szCs w:val="20"/>
              </w:rPr>
            </w:pPr>
            <w:r w:rsidRPr="005842F1">
              <w:rPr>
                <w:rFonts w:asciiTheme="majorHAnsi" w:hAnsiTheme="majorHAnsi" w:cstheme="majorHAnsi"/>
                <w:sz w:val="20"/>
                <w:szCs w:val="20"/>
              </w:rPr>
              <w:t>36,290</w:t>
            </w:r>
          </w:p>
        </w:tc>
        <w:tc>
          <w:tcPr>
            <w:tcW w:w="990" w:type="dxa"/>
          </w:tcPr>
          <w:p w14:paraId="1725D348" w14:textId="77777777" w:rsidR="00BE2AAE" w:rsidRPr="005842F1" w:rsidRDefault="00BE2AAE" w:rsidP="00623EFA">
            <w:pPr>
              <w:spacing w:line="240" w:lineRule="auto"/>
              <w:jc w:val="right"/>
              <w:rPr>
                <w:rFonts w:asciiTheme="majorHAnsi" w:hAnsiTheme="majorHAnsi" w:cstheme="majorHAnsi"/>
                <w:color w:val="000000"/>
                <w:sz w:val="20"/>
                <w:szCs w:val="20"/>
              </w:rPr>
            </w:pPr>
            <w:r w:rsidRPr="005842F1">
              <w:rPr>
                <w:rFonts w:asciiTheme="majorHAnsi" w:hAnsiTheme="majorHAnsi" w:cstheme="majorHAnsi"/>
                <w:sz w:val="20"/>
                <w:szCs w:val="20"/>
              </w:rPr>
              <w:t>40.5%</w:t>
            </w:r>
          </w:p>
        </w:tc>
        <w:tc>
          <w:tcPr>
            <w:tcW w:w="990" w:type="dxa"/>
          </w:tcPr>
          <w:p w14:paraId="212733FF" w14:textId="77777777" w:rsidR="00BE2AAE" w:rsidRPr="005842F1" w:rsidRDefault="00BE2AAE" w:rsidP="00623EFA">
            <w:pPr>
              <w:spacing w:line="240" w:lineRule="auto"/>
              <w:jc w:val="right"/>
              <w:rPr>
                <w:rFonts w:asciiTheme="majorHAnsi" w:hAnsiTheme="majorHAnsi" w:cstheme="majorHAnsi"/>
                <w:color w:val="000000"/>
                <w:sz w:val="20"/>
                <w:szCs w:val="20"/>
              </w:rPr>
            </w:pPr>
            <w:r w:rsidRPr="005842F1">
              <w:rPr>
                <w:rFonts w:asciiTheme="majorHAnsi" w:hAnsiTheme="majorHAnsi" w:cstheme="majorHAnsi"/>
                <w:sz w:val="20"/>
                <w:szCs w:val="20"/>
              </w:rPr>
              <w:t>34,186</w:t>
            </w:r>
          </w:p>
        </w:tc>
        <w:tc>
          <w:tcPr>
            <w:tcW w:w="900" w:type="dxa"/>
          </w:tcPr>
          <w:p w14:paraId="78028060" w14:textId="77777777" w:rsidR="00BE2AAE" w:rsidRPr="005842F1" w:rsidRDefault="00BE2AAE" w:rsidP="00623EFA">
            <w:pPr>
              <w:spacing w:line="240" w:lineRule="auto"/>
              <w:jc w:val="right"/>
              <w:rPr>
                <w:rFonts w:asciiTheme="majorHAnsi" w:hAnsiTheme="majorHAnsi" w:cstheme="majorHAnsi"/>
                <w:color w:val="000000"/>
                <w:sz w:val="20"/>
                <w:szCs w:val="20"/>
              </w:rPr>
            </w:pPr>
            <w:r w:rsidRPr="005842F1">
              <w:rPr>
                <w:rFonts w:asciiTheme="majorHAnsi" w:hAnsiTheme="majorHAnsi" w:cstheme="majorHAnsi"/>
                <w:sz w:val="20"/>
                <w:szCs w:val="20"/>
              </w:rPr>
              <w:t>38.1%</w:t>
            </w:r>
          </w:p>
        </w:tc>
        <w:tc>
          <w:tcPr>
            <w:tcW w:w="990" w:type="dxa"/>
            <w:shd w:val="clear" w:color="auto" w:fill="auto"/>
          </w:tcPr>
          <w:p w14:paraId="1303E4E1" w14:textId="77777777" w:rsidR="00BE2AAE" w:rsidRPr="005842F1" w:rsidRDefault="00BE2AAE" w:rsidP="00623EFA">
            <w:pPr>
              <w:spacing w:line="240" w:lineRule="auto"/>
              <w:jc w:val="right"/>
              <w:rPr>
                <w:rFonts w:asciiTheme="majorHAnsi" w:hAnsiTheme="majorHAnsi" w:cstheme="majorHAnsi"/>
                <w:color w:val="000000"/>
                <w:sz w:val="20"/>
                <w:szCs w:val="20"/>
              </w:rPr>
            </w:pPr>
            <w:r w:rsidRPr="00E74C94">
              <w:rPr>
                <w:rFonts w:asciiTheme="majorHAnsi" w:hAnsiTheme="majorHAnsi" w:cstheme="majorHAnsi"/>
                <w:color w:val="000000"/>
                <w:sz w:val="20"/>
                <w:szCs w:val="20"/>
              </w:rPr>
              <w:t>33,117</w:t>
            </w:r>
          </w:p>
        </w:tc>
        <w:tc>
          <w:tcPr>
            <w:tcW w:w="990" w:type="dxa"/>
            <w:shd w:val="clear" w:color="auto" w:fill="auto"/>
          </w:tcPr>
          <w:p w14:paraId="177044E9" w14:textId="77777777" w:rsidR="00BE2AAE" w:rsidRPr="005842F1" w:rsidRDefault="00BE2AAE" w:rsidP="00623EFA">
            <w:pPr>
              <w:spacing w:line="240" w:lineRule="auto"/>
              <w:jc w:val="right"/>
              <w:rPr>
                <w:rFonts w:asciiTheme="majorHAnsi" w:hAnsiTheme="majorHAnsi" w:cstheme="majorHAnsi"/>
                <w:color w:val="000000"/>
                <w:sz w:val="20"/>
                <w:szCs w:val="20"/>
              </w:rPr>
            </w:pPr>
            <w:r w:rsidRPr="00E74C94">
              <w:rPr>
                <w:rFonts w:asciiTheme="majorHAnsi" w:hAnsiTheme="majorHAnsi" w:cstheme="majorHAnsi"/>
                <w:color w:val="000000"/>
                <w:sz w:val="20"/>
                <w:szCs w:val="20"/>
              </w:rPr>
              <w:t>40.3%</w:t>
            </w:r>
          </w:p>
        </w:tc>
      </w:tr>
      <w:tr w:rsidR="00BE2AAE" w14:paraId="3899F88E" w14:textId="77777777" w:rsidTr="0096689E">
        <w:trPr>
          <w:cantSplit/>
        </w:trPr>
        <w:tc>
          <w:tcPr>
            <w:tcW w:w="4050" w:type="dxa"/>
            <w:shd w:val="clear" w:color="auto" w:fill="auto"/>
            <w:vAlign w:val="center"/>
          </w:tcPr>
          <w:p w14:paraId="159239C0" w14:textId="6E62D194" w:rsidR="00BE2AAE" w:rsidRPr="005842F1" w:rsidRDefault="00BE2AAE" w:rsidP="00607FAE">
            <w:pPr>
              <w:spacing w:line="240" w:lineRule="auto"/>
              <w:rPr>
                <w:rFonts w:asciiTheme="majorHAnsi" w:hAnsiTheme="majorHAnsi" w:cstheme="majorHAnsi"/>
                <w:color w:val="000000"/>
                <w:sz w:val="20"/>
                <w:szCs w:val="20"/>
              </w:rPr>
            </w:pPr>
            <w:r w:rsidRPr="005842F1">
              <w:rPr>
                <w:rFonts w:asciiTheme="majorHAnsi" w:hAnsiTheme="majorHAnsi" w:cstheme="majorHAnsi"/>
                <w:color w:val="000000"/>
                <w:sz w:val="20"/>
                <w:szCs w:val="20"/>
              </w:rPr>
              <w:t>Payer Mi</w:t>
            </w:r>
            <w:r w:rsidR="005707AC">
              <w:rPr>
                <w:rFonts w:asciiTheme="majorHAnsi" w:hAnsiTheme="majorHAnsi" w:cstheme="majorHAnsi"/>
                <w:color w:val="000000"/>
                <w:sz w:val="20"/>
                <w:szCs w:val="20"/>
              </w:rPr>
              <w:t>x:</w:t>
            </w:r>
            <w:r w:rsidRPr="005842F1">
              <w:rPr>
                <w:rFonts w:asciiTheme="majorHAnsi" w:hAnsiTheme="majorHAnsi" w:cstheme="majorHAnsi"/>
                <w:color w:val="000000"/>
                <w:sz w:val="20"/>
                <w:szCs w:val="20"/>
              </w:rPr>
              <w:t xml:space="preserve"> Medicaid</w:t>
            </w:r>
          </w:p>
        </w:tc>
        <w:tc>
          <w:tcPr>
            <w:tcW w:w="810" w:type="dxa"/>
          </w:tcPr>
          <w:p w14:paraId="25BE3F16" w14:textId="77777777" w:rsidR="00BE2AAE" w:rsidRPr="005842F1" w:rsidRDefault="00BE2AAE" w:rsidP="00623EFA">
            <w:pPr>
              <w:spacing w:line="240" w:lineRule="auto"/>
              <w:jc w:val="right"/>
              <w:rPr>
                <w:rFonts w:asciiTheme="majorHAnsi" w:hAnsiTheme="majorHAnsi" w:cstheme="majorHAnsi"/>
                <w:sz w:val="20"/>
                <w:szCs w:val="20"/>
              </w:rPr>
            </w:pPr>
            <w:r w:rsidRPr="005842F1">
              <w:rPr>
                <w:rFonts w:asciiTheme="majorHAnsi" w:hAnsiTheme="majorHAnsi" w:cstheme="majorHAnsi"/>
                <w:sz w:val="20"/>
                <w:szCs w:val="20"/>
              </w:rPr>
              <w:t>15,655</w:t>
            </w:r>
          </w:p>
        </w:tc>
        <w:tc>
          <w:tcPr>
            <w:tcW w:w="990" w:type="dxa"/>
          </w:tcPr>
          <w:p w14:paraId="0E86FBA6" w14:textId="77777777" w:rsidR="00BE2AAE" w:rsidRPr="005842F1" w:rsidRDefault="00BE2AAE" w:rsidP="00623EFA">
            <w:pPr>
              <w:spacing w:line="240" w:lineRule="auto"/>
              <w:jc w:val="right"/>
              <w:rPr>
                <w:rFonts w:asciiTheme="majorHAnsi" w:hAnsiTheme="majorHAnsi" w:cstheme="majorHAnsi"/>
                <w:sz w:val="20"/>
                <w:szCs w:val="20"/>
              </w:rPr>
            </w:pPr>
            <w:r w:rsidRPr="005842F1">
              <w:rPr>
                <w:rFonts w:asciiTheme="majorHAnsi" w:hAnsiTheme="majorHAnsi" w:cstheme="majorHAnsi"/>
                <w:sz w:val="20"/>
                <w:szCs w:val="20"/>
              </w:rPr>
              <w:t>17.5%</w:t>
            </w:r>
          </w:p>
        </w:tc>
        <w:tc>
          <w:tcPr>
            <w:tcW w:w="990" w:type="dxa"/>
          </w:tcPr>
          <w:p w14:paraId="6B70BBCF" w14:textId="77777777" w:rsidR="00BE2AAE" w:rsidRPr="005842F1" w:rsidRDefault="00BE2AAE" w:rsidP="00623EFA">
            <w:pPr>
              <w:spacing w:line="240" w:lineRule="auto"/>
              <w:jc w:val="right"/>
              <w:rPr>
                <w:rFonts w:asciiTheme="majorHAnsi" w:hAnsiTheme="majorHAnsi" w:cstheme="majorHAnsi"/>
                <w:sz w:val="20"/>
                <w:szCs w:val="20"/>
              </w:rPr>
            </w:pPr>
            <w:r w:rsidRPr="005842F1">
              <w:rPr>
                <w:rFonts w:asciiTheme="majorHAnsi" w:hAnsiTheme="majorHAnsi" w:cstheme="majorHAnsi"/>
                <w:sz w:val="20"/>
                <w:szCs w:val="20"/>
              </w:rPr>
              <w:t>15,329</w:t>
            </w:r>
          </w:p>
        </w:tc>
        <w:tc>
          <w:tcPr>
            <w:tcW w:w="900" w:type="dxa"/>
          </w:tcPr>
          <w:p w14:paraId="5EE1F05B" w14:textId="77777777" w:rsidR="00BE2AAE" w:rsidRPr="005842F1" w:rsidRDefault="00BE2AAE" w:rsidP="00623EFA">
            <w:pPr>
              <w:spacing w:line="240" w:lineRule="auto"/>
              <w:jc w:val="right"/>
              <w:rPr>
                <w:rFonts w:asciiTheme="majorHAnsi" w:hAnsiTheme="majorHAnsi" w:cstheme="majorHAnsi"/>
                <w:sz w:val="20"/>
                <w:szCs w:val="20"/>
              </w:rPr>
            </w:pPr>
            <w:r w:rsidRPr="005842F1">
              <w:rPr>
                <w:rFonts w:asciiTheme="majorHAnsi" w:hAnsiTheme="majorHAnsi" w:cstheme="majorHAnsi"/>
                <w:sz w:val="20"/>
                <w:szCs w:val="20"/>
              </w:rPr>
              <w:t>17.1%</w:t>
            </w:r>
          </w:p>
        </w:tc>
        <w:tc>
          <w:tcPr>
            <w:tcW w:w="990" w:type="dxa"/>
            <w:shd w:val="clear" w:color="auto" w:fill="auto"/>
          </w:tcPr>
          <w:p w14:paraId="1CCEAC27" w14:textId="77777777" w:rsidR="00BE2AAE" w:rsidRPr="00E74C94" w:rsidRDefault="00BE2AAE" w:rsidP="00623EFA">
            <w:pPr>
              <w:spacing w:line="240" w:lineRule="auto"/>
              <w:jc w:val="right"/>
              <w:rPr>
                <w:rFonts w:asciiTheme="majorHAnsi" w:hAnsiTheme="majorHAnsi" w:cstheme="majorHAnsi"/>
                <w:color w:val="000000"/>
                <w:sz w:val="20"/>
                <w:szCs w:val="20"/>
              </w:rPr>
            </w:pPr>
            <w:r w:rsidRPr="00E74C94">
              <w:rPr>
                <w:rFonts w:asciiTheme="majorHAnsi" w:hAnsiTheme="majorHAnsi" w:cstheme="majorHAnsi"/>
                <w:color w:val="000000"/>
                <w:sz w:val="20"/>
                <w:szCs w:val="20"/>
              </w:rPr>
              <w:t>14,560</w:t>
            </w:r>
          </w:p>
        </w:tc>
        <w:tc>
          <w:tcPr>
            <w:tcW w:w="990" w:type="dxa"/>
            <w:shd w:val="clear" w:color="auto" w:fill="auto"/>
          </w:tcPr>
          <w:p w14:paraId="3FAF0685" w14:textId="77777777" w:rsidR="00BE2AAE" w:rsidRPr="00E74C94" w:rsidRDefault="00BE2AAE" w:rsidP="00623EFA">
            <w:pPr>
              <w:spacing w:line="240" w:lineRule="auto"/>
              <w:jc w:val="right"/>
              <w:rPr>
                <w:rFonts w:asciiTheme="majorHAnsi" w:hAnsiTheme="majorHAnsi" w:cstheme="majorHAnsi"/>
                <w:color w:val="000000"/>
                <w:sz w:val="20"/>
                <w:szCs w:val="20"/>
              </w:rPr>
            </w:pPr>
            <w:r w:rsidRPr="00E74C94">
              <w:rPr>
                <w:rFonts w:asciiTheme="majorHAnsi" w:hAnsiTheme="majorHAnsi" w:cstheme="majorHAnsi"/>
                <w:color w:val="000000"/>
                <w:sz w:val="20"/>
                <w:szCs w:val="20"/>
              </w:rPr>
              <w:t>17.7%</w:t>
            </w:r>
          </w:p>
        </w:tc>
      </w:tr>
      <w:tr w:rsidR="00BE2AAE" w14:paraId="66150D1C" w14:textId="77777777" w:rsidTr="0096689E">
        <w:trPr>
          <w:cantSplit/>
        </w:trPr>
        <w:tc>
          <w:tcPr>
            <w:tcW w:w="4050" w:type="dxa"/>
            <w:shd w:val="clear" w:color="auto" w:fill="auto"/>
            <w:vAlign w:val="center"/>
          </w:tcPr>
          <w:p w14:paraId="05E12A12" w14:textId="1122C8C6" w:rsidR="00BE2AAE" w:rsidRPr="005842F1" w:rsidRDefault="00BE2AAE" w:rsidP="00607FAE">
            <w:pPr>
              <w:spacing w:line="240" w:lineRule="auto"/>
              <w:rPr>
                <w:rFonts w:asciiTheme="majorHAnsi" w:hAnsiTheme="majorHAnsi" w:cstheme="majorHAnsi"/>
                <w:color w:val="000000"/>
                <w:sz w:val="20"/>
                <w:szCs w:val="20"/>
              </w:rPr>
            </w:pPr>
            <w:r w:rsidRPr="005842F1">
              <w:rPr>
                <w:rFonts w:asciiTheme="majorHAnsi" w:hAnsiTheme="majorHAnsi" w:cstheme="majorHAnsi"/>
                <w:color w:val="000000"/>
                <w:sz w:val="20"/>
                <w:szCs w:val="20"/>
              </w:rPr>
              <w:t>Payer Mix</w:t>
            </w:r>
            <w:r w:rsidR="005707AC">
              <w:rPr>
                <w:rFonts w:asciiTheme="majorHAnsi" w:hAnsiTheme="majorHAnsi" w:cstheme="majorHAnsi"/>
                <w:color w:val="000000"/>
                <w:sz w:val="20"/>
                <w:szCs w:val="20"/>
              </w:rPr>
              <w:t>:</w:t>
            </w:r>
            <w:r w:rsidRPr="005842F1">
              <w:rPr>
                <w:rFonts w:asciiTheme="majorHAnsi" w:hAnsiTheme="majorHAnsi" w:cstheme="majorHAnsi"/>
                <w:color w:val="000000"/>
                <w:sz w:val="20"/>
                <w:szCs w:val="20"/>
              </w:rPr>
              <w:t xml:space="preserve"> Medicare</w:t>
            </w:r>
          </w:p>
        </w:tc>
        <w:tc>
          <w:tcPr>
            <w:tcW w:w="810" w:type="dxa"/>
          </w:tcPr>
          <w:p w14:paraId="2A1796C8" w14:textId="77777777" w:rsidR="00BE2AAE" w:rsidRPr="005842F1" w:rsidRDefault="00BE2AAE" w:rsidP="00623EFA">
            <w:pPr>
              <w:spacing w:line="240" w:lineRule="auto"/>
              <w:jc w:val="right"/>
              <w:rPr>
                <w:rFonts w:asciiTheme="majorHAnsi" w:hAnsiTheme="majorHAnsi" w:cstheme="majorHAnsi"/>
                <w:sz w:val="20"/>
                <w:szCs w:val="20"/>
              </w:rPr>
            </w:pPr>
            <w:r w:rsidRPr="005842F1">
              <w:rPr>
                <w:rFonts w:asciiTheme="majorHAnsi" w:hAnsiTheme="majorHAnsi" w:cstheme="majorHAnsi"/>
                <w:sz w:val="20"/>
                <w:szCs w:val="20"/>
              </w:rPr>
              <w:t>27,550</w:t>
            </w:r>
          </w:p>
        </w:tc>
        <w:tc>
          <w:tcPr>
            <w:tcW w:w="990" w:type="dxa"/>
          </w:tcPr>
          <w:p w14:paraId="660050DE" w14:textId="77777777" w:rsidR="00BE2AAE" w:rsidRPr="005842F1" w:rsidRDefault="00BE2AAE" w:rsidP="00623EFA">
            <w:pPr>
              <w:spacing w:line="240" w:lineRule="auto"/>
              <w:jc w:val="right"/>
              <w:rPr>
                <w:rFonts w:asciiTheme="majorHAnsi" w:hAnsiTheme="majorHAnsi" w:cstheme="majorHAnsi"/>
                <w:sz w:val="20"/>
                <w:szCs w:val="20"/>
              </w:rPr>
            </w:pPr>
            <w:r w:rsidRPr="005842F1">
              <w:rPr>
                <w:rFonts w:asciiTheme="majorHAnsi" w:hAnsiTheme="majorHAnsi" w:cstheme="majorHAnsi"/>
                <w:sz w:val="20"/>
                <w:szCs w:val="20"/>
              </w:rPr>
              <w:t>30.7%</w:t>
            </w:r>
          </w:p>
        </w:tc>
        <w:tc>
          <w:tcPr>
            <w:tcW w:w="990" w:type="dxa"/>
          </w:tcPr>
          <w:p w14:paraId="352B492A" w14:textId="77777777" w:rsidR="00BE2AAE" w:rsidRPr="005842F1" w:rsidRDefault="00BE2AAE" w:rsidP="00623EFA">
            <w:pPr>
              <w:spacing w:line="240" w:lineRule="auto"/>
              <w:jc w:val="right"/>
              <w:rPr>
                <w:rFonts w:asciiTheme="majorHAnsi" w:hAnsiTheme="majorHAnsi" w:cstheme="majorHAnsi"/>
                <w:sz w:val="20"/>
                <w:szCs w:val="20"/>
              </w:rPr>
            </w:pPr>
            <w:r w:rsidRPr="005842F1">
              <w:rPr>
                <w:rFonts w:asciiTheme="majorHAnsi" w:hAnsiTheme="majorHAnsi" w:cstheme="majorHAnsi"/>
                <w:sz w:val="20"/>
                <w:szCs w:val="20"/>
              </w:rPr>
              <w:t>28,114</w:t>
            </w:r>
          </w:p>
        </w:tc>
        <w:tc>
          <w:tcPr>
            <w:tcW w:w="900" w:type="dxa"/>
          </w:tcPr>
          <w:p w14:paraId="58A2950A" w14:textId="77777777" w:rsidR="00BE2AAE" w:rsidRPr="005842F1" w:rsidRDefault="00BE2AAE" w:rsidP="00623EFA">
            <w:pPr>
              <w:spacing w:line="240" w:lineRule="auto"/>
              <w:jc w:val="right"/>
              <w:rPr>
                <w:rFonts w:asciiTheme="majorHAnsi" w:hAnsiTheme="majorHAnsi" w:cstheme="majorHAnsi"/>
                <w:sz w:val="20"/>
                <w:szCs w:val="20"/>
              </w:rPr>
            </w:pPr>
            <w:r w:rsidRPr="005842F1">
              <w:rPr>
                <w:rFonts w:asciiTheme="majorHAnsi" w:hAnsiTheme="majorHAnsi" w:cstheme="majorHAnsi"/>
                <w:sz w:val="20"/>
                <w:szCs w:val="20"/>
              </w:rPr>
              <w:t>31.3%</w:t>
            </w:r>
          </w:p>
        </w:tc>
        <w:tc>
          <w:tcPr>
            <w:tcW w:w="990" w:type="dxa"/>
            <w:shd w:val="clear" w:color="auto" w:fill="auto"/>
          </w:tcPr>
          <w:p w14:paraId="703C9718" w14:textId="77777777" w:rsidR="00BE2AAE" w:rsidRPr="00E74C94" w:rsidRDefault="00BE2AAE" w:rsidP="00623EFA">
            <w:pPr>
              <w:spacing w:line="240" w:lineRule="auto"/>
              <w:jc w:val="right"/>
              <w:rPr>
                <w:rFonts w:asciiTheme="majorHAnsi" w:hAnsiTheme="majorHAnsi" w:cstheme="majorHAnsi"/>
                <w:color w:val="000000"/>
                <w:sz w:val="20"/>
                <w:szCs w:val="20"/>
              </w:rPr>
            </w:pPr>
            <w:r w:rsidRPr="00E74C94">
              <w:rPr>
                <w:rFonts w:asciiTheme="majorHAnsi" w:hAnsiTheme="majorHAnsi" w:cstheme="majorHAnsi"/>
                <w:color w:val="000000"/>
                <w:sz w:val="20"/>
                <w:szCs w:val="20"/>
              </w:rPr>
              <w:t>27,996</w:t>
            </w:r>
          </w:p>
        </w:tc>
        <w:tc>
          <w:tcPr>
            <w:tcW w:w="990" w:type="dxa"/>
            <w:shd w:val="clear" w:color="auto" w:fill="auto"/>
          </w:tcPr>
          <w:p w14:paraId="5F7D543A" w14:textId="77777777" w:rsidR="00BE2AAE" w:rsidRPr="00E74C94" w:rsidRDefault="00BE2AAE" w:rsidP="00623EFA">
            <w:pPr>
              <w:spacing w:line="240" w:lineRule="auto"/>
              <w:jc w:val="right"/>
              <w:rPr>
                <w:rFonts w:asciiTheme="majorHAnsi" w:hAnsiTheme="majorHAnsi" w:cstheme="majorHAnsi"/>
                <w:color w:val="000000"/>
                <w:sz w:val="20"/>
                <w:szCs w:val="20"/>
              </w:rPr>
            </w:pPr>
            <w:r w:rsidRPr="00E74C94">
              <w:rPr>
                <w:rFonts w:asciiTheme="majorHAnsi" w:hAnsiTheme="majorHAnsi" w:cstheme="majorHAnsi"/>
                <w:color w:val="000000"/>
                <w:sz w:val="20"/>
                <w:szCs w:val="20"/>
              </w:rPr>
              <w:t>34.1%</w:t>
            </w:r>
          </w:p>
        </w:tc>
      </w:tr>
      <w:tr w:rsidR="00BE2AAE" w14:paraId="5FB60597" w14:textId="77777777" w:rsidTr="0096689E">
        <w:trPr>
          <w:cantSplit/>
        </w:trPr>
        <w:tc>
          <w:tcPr>
            <w:tcW w:w="4050" w:type="dxa"/>
            <w:shd w:val="clear" w:color="auto" w:fill="auto"/>
            <w:vAlign w:val="center"/>
          </w:tcPr>
          <w:p w14:paraId="50A4D56B" w14:textId="1E6A4D11" w:rsidR="00BE2AAE" w:rsidRPr="005842F1" w:rsidRDefault="00BE2AAE" w:rsidP="00607FAE">
            <w:pPr>
              <w:spacing w:line="240" w:lineRule="auto"/>
              <w:rPr>
                <w:rFonts w:asciiTheme="majorHAnsi" w:hAnsiTheme="majorHAnsi" w:cstheme="majorHAnsi"/>
                <w:color w:val="000000"/>
                <w:sz w:val="20"/>
                <w:szCs w:val="20"/>
              </w:rPr>
            </w:pPr>
            <w:r w:rsidRPr="005842F1">
              <w:rPr>
                <w:rFonts w:asciiTheme="majorHAnsi" w:hAnsiTheme="majorHAnsi" w:cstheme="majorHAnsi"/>
                <w:color w:val="000000"/>
                <w:sz w:val="20"/>
                <w:szCs w:val="20"/>
              </w:rPr>
              <w:t>Payer Mix</w:t>
            </w:r>
            <w:r w:rsidR="005707AC">
              <w:rPr>
                <w:rFonts w:asciiTheme="majorHAnsi" w:hAnsiTheme="majorHAnsi" w:cstheme="majorHAnsi"/>
                <w:color w:val="000000"/>
                <w:sz w:val="20"/>
                <w:szCs w:val="20"/>
              </w:rPr>
              <w:t>:</w:t>
            </w:r>
            <w:r w:rsidRPr="005842F1">
              <w:rPr>
                <w:rFonts w:asciiTheme="majorHAnsi" w:hAnsiTheme="majorHAnsi" w:cstheme="majorHAnsi"/>
                <w:color w:val="000000"/>
                <w:sz w:val="20"/>
                <w:szCs w:val="20"/>
              </w:rPr>
              <w:t xml:space="preserve"> Other</w:t>
            </w:r>
            <w:r w:rsidRPr="005842F1">
              <w:rPr>
                <w:rStyle w:val="FootnoteReference"/>
                <w:rFonts w:asciiTheme="majorHAnsi" w:hAnsiTheme="majorHAnsi" w:cstheme="majorHAnsi"/>
                <w:color w:val="000000"/>
                <w:sz w:val="20"/>
                <w:szCs w:val="20"/>
              </w:rPr>
              <w:footnoteReference w:id="11"/>
            </w:r>
          </w:p>
        </w:tc>
        <w:tc>
          <w:tcPr>
            <w:tcW w:w="810" w:type="dxa"/>
          </w:tcPr>
          <w:p w14:paraId="5E9C5970" w14:textId="77777777" w:rsidR="00BE2AAE" w:rsidRPr="005842F1" w:rsidRDefault="00BE2AAE" w:rsidP="00623EFA">
            <w:pPr>
              <w:spacing w:line="240" w:lineRule="auto"/>
              <w:jc w:val="right"/>
              <w:rPr>
                <w:rFonts w:asciiTheme="majorHAnsi" w:hAnsiTheme="majorHAnsi" w:cstheme="majorHAnsi"/>
                <w:sz w:val="20"/>
                <w:szCs w:val="20"/>
              </w:rPr>
            </w:pPr>
            <w:r w:rsidRPr="005842F1">
              <w:rPr>
                <w:rFonts w:asciiTheme="majorHAnsi" w:hAnsiTheme="majorHAnsi" w:cstheme="majorHAnsi"/>
                <w:sz w:val="20"/>
                <w:szCs w:val="20"/>
              </w:rPr>
              <w:t>9,741</w:t>
            </w:r>
          </w:p>
        </w:tc>
        <w:tc>
          <w:tcPr>
            <w:tcW w:w="990" w:type="dxa"/>
          </w:tcPr>
          <w:p w14:paraId="2F200949" w14:textId="77777777" w:rsidR="00BE2AAE" w:rsidRPr="005842F1" w:rsidRDefault="00BE2AAE" w:rsidP="00623EFA">
            <w:pPr>
              <w:spacing w:line="240" w:lineRule="auto"/>
              <w:jc w:val="right"/>
              <w:rPr>
                <w:rFonts w:asciiTheme="majorHAnsi" w:hAnsiTheme="majorHAnsi" w:cstheme="majorHAnsi"/>
                <w:sz w:val="20"/>
                <w:szCs w:val="20"/>
              </w:rPr>
            </w:pPr>
            <w:r w:rsidRPr="005842F1">
              <w:rPr>
                <w:rFonts w:asciiTheme="majorHAnsi" w:hAnsiTheme="majorHAnsi" w:cstheme="majorHAnsi"/>
                <w:sz w:val="20"/>
                <w:szCs w:val="20"/>
              </w:rPr>
              <w:t>10.9%</w:t>
            </w:r>
          </w:p>
        </w:tc>
        <w:tc>
          <w:tcPr>
            <w:tcW w:w="990" w:type="dxa"/>
          </w:tcPr>
          <w:p w14:paraId="7B110910" w14:textId="77777777" w:rsidR="00BE2AAE" w:rsidRPr="005842F1" w:rsidRDefault="00BE2AAE" w:rsidP="00623EFA">
            <w:pPr>
              <w:spacing w:line="240" w:lineRule="auto"/>
              <w:jc w:val="right"/>
              <w:rPr>
                <w:rFonts w:asciiTheme="majorHAnsi" w:hAnsiTheme="majorHAnsi" w:cstheme="majorHAnsi"/>
                <w:sz w:val="20"/>
                <w:szCs w:val="20"/>
              </w:rPr>
            </w:pPr>
            <w:r w:rsidRPr="005842F1">
              <w:rPr>
                <w:rFonts w:asciiTheme="majorHAnsi" w:hAnsiTheme="majorHAnsi" w:cstheme="majorHAnsi"/>
                <w:sz w:val="20"/>
                <w:szCs w:val="20"/>
              </w:rPr>
              <w:t>6,053</w:t>
            </w:r>
          </w:p>
        </w:tc>
        <w:tc>
          <w:tcPr>
            <w:tcW w:w="900" w:type="dxa"/>
          </w:tcPr>
          <w:p w14:paraId="579598F5" w14:textId="77777777" w:rsidR="00BE2AAE" w:rsidRPr="005842F1" w:rsidRDefault="00BE2AAE" w:rsidP="00623EFA">
            <w:pPr>
              <w:spacing w:line="240" w:lineRule="auto"/>
              <w:jc w:val="right"/>
              <w:rPr>
                <w:rFonts w:asciiTheme="majorHAnsi" w:hAnsiTheme="majorHAnsi" w:cstheme="majorHAnsi"/>
                <w:sz w:val="20"/>
                <w:szCs w:val="20"/>
              </w:rPr>
            </w:pPr>
            <w:r w:rsidRPr="005842F1">
              <w:rPr>
                <w:rFonts w:asciiTheme="majorHAnsi" w:hAnsiTheme="majorHAnsi" w:cstheme="majorHAnsi"/>
                <w:sz w:val="20"/>
                <w:szCs w:val="20"/>
              </w:rPr>
              <w:t>13.4%</w:t>
            </w:r>
          </w:p>
        </w:tc>
        <w:tc>
          <w:tcPr>
            <w:tcW w:w="990" w:type="dxa"/>
            <w:shd w:val="clear" w:color="auto" w:fill="auto"/>
          </w:tcPr>
          <w:p w14:paraId="2119C972" w14:textId="77777777" w:rsidR="00BE2AAE" w:rsidRPr="00E74C94" w:rsidRDefault="00BE2AAE" w:rsidP="00623EFA">
            <w:pPr>
              <w:spacing w:line="240" w:lineRule="auto"/>
              <w:jc w:val="right"/>
              <w:rPr>
                <w:rFonts w:asciiTheme="majorHAnsi" w:hAnsiTheme="majorHAnsi" w:cstheme="majorHAnsi"/>
                <w:color w:val="000000"/>
                <w:sz w:val="20"/>
                <w:szCs w:val="20"/>
              </w:rPr>
            </w:pPr>
            <w:r w:rsidRPr="00E74C94">
              <w:rPr>
                <w:rFonts w:asciiTheme="majorHAnsi" w:hAnsiTheme="majorHAnsi" w:cstheme="majorHAnsi"/>
                <w:color w:val="000000"/>
                <w:sz w:val="20"/>
                <w:szCs w:val="20"/>
              </w:rPr>
              <w:t>6,469</w:t>
            </w:r>
          </w:p>
        </w:tc>
        <w:tc>
          <w:tcPr>
            <w:tcW w:w="990" w:type="dxa"/>
            <w:shd w:val="clear" w:color="auto" w:fill="auto"/>
          </w:tcPr>
          <w:p w14:paraId="7551D71A" w14:textId="77777777" w:rsidR="00BE2AAE" w:rsidRPr="00E74C94" w:rsidRDefault="00BE2AAE" w:rsidP="00623EFA">
            <w:pPr>
              <w:spacing w:line="240" w:lineRule="auto"/>
              <w:jc w:val="right"/>
              <w:rPr>
                <w:rFonts w:asciiTheme="majorHAnsi" w:hAnsiTheme="majorHAnsi" w:cstheme="majorHAnsi"/>
                <w:color w:val="000000"/>
                <w:sz w:val="20"/>
                <w:szCs w:val="20"/>
              </w:rPr>
            </w:pPr>
            <w:r w:rsidRPr="00E74C94">
              <w:rPr>
                <w:rFonts w:asciiTheme="majorHAnsi" w:hAnsiTheme="majorHAnsi" w:cstheme="majorHAnsi"/>
                <w:color w:val="000000"/>
                <w:sz w:val="20"/>
                <w:szCs w:val="20"/>
              </w:rPr>
              <w:t>7.9%</w:t>
            </w:r>
          </w:p>
        </w:tc>
      </w:tr>
      <w:tr w:rsidR="00BE2AAE" w14:paraId="0E96A6DC" w14:textId="77777777" w:rsidTr="0096689E">
        <w:trPr>
          <w:cantSplit/>
        </w:trPr>
        <w:tc>
          <w:tcPr>
            <w:tcW w:w="4050" w:type="dxa"/>
            <w:shd w:val="clear" w:color="auto" w:fill="auto"/>
            <w:vAlign w:val="center"/>
          </w:tcPr>
          <w:p w14:paraId="65016984" w14:textId="76C5FBB1" w:rsidR="00BE2AAE" w:rsidRPr="005842F1" w:rsidRDefault="00BE2AAE" w:rsidP="00607FAE">
            <w:pPr>
              <w:spacing w:line="240" w:lineRule="auto"/>
              <w:rPr>
                <w:rFonts w:asciiTheme="majorHAnsi" w:hAnsiTheme="majorHAnsi" w:cstheme="majorHAnsi"/>
                <w:color w:val="000000"/>
                <w:sz w:val="20"/>
                <w:szCs w:val="20"/>
              </w:rPr>
            </w:pPr>
            <w:r w:rsidRPr="005842F1">
              <w:rPr>
                <w:rFonts w:asciiTheme="majorHAnsi" w:hAnsiTheme="majorHAnsi" w:cstheme="majorHAnsi"/>
                <w:color w:val="000000"/>
                <w:sz w:val="20"/>
                <w:szCs w:val="20"/>
              </w:rPr>
              <w:t>Payer Mix</w:t>
            </w:r>
            <w:r w:rsidR="005707AC">
              <w:rPr>
                <w:rFonts w:asciiTheme="majorHAnsi" w:hAnsiTheme="majorHAnsi" w:cstheme="majorHAnsi"/>
                <w:color w:val="000000"/>
                <w:sz w:val="20"/>
                <w:szCs w:val="20"/>
              </w:rPr>
              <w:t>:</w:t>
            </w:r>
            <w:r w:rsidRPr="005842F1">
              <w:rPr>
                <w:rFonts w:asciiTheme="majorHAnsi" w:hAnsiTheme="majorHAnsi" w:cstheme="majorHAnsi"/>
                <w:color w:val="000000"/>
                <w:sz w:val="20"/>
                <w:szCs w:val="20"/>
              </w:rPr>
              <w:t xml:space="preserve"> Unknown</w:t>
            </w:r>
          </w:p>
        </w:tc>
        <w:tc>
          <w:tcPr>
            <w:tcW w:w="810" w:type="dxa"/>
          </w:tcPr>
          <w:p w14:paraId="0239C9DE" w14:textId="77777777" w:rsidR="00BE2AAE" w:rsidRPr="005842F1" w:rsidRDefault="00BE2AAE" w:rsidP="00623EFA">
            <w:pPr>
              <w:spacing w:line="240" w:lineRule="auto"/>
              <w:jc w:val="right"/>
              <w:rPr>
                <w:rFonts w:asciiTheme="majorHAnsi" w:hAnsiTheme="majorHAnsi" w:cstheme="majorHAnsi"/>
                <w:sz w:val="20"/>
                <w:szCs w:val="20"/>
              </w:rPr>
            </w:pPr>
            <w:r w:rsidRPr="005842F1">
              <w:rPr>
                <w:rFonts w:asciiTheme="majorHAnsi" w:hAnsiTheme="majorHAnsi" w:cstheme="majorHAnsi"/>
                <w:sz w:val="20"/>
                <w:szCs w:val="20"/>
              </w:rPr>
              <w:t>431</w:t>
            </w:r>
          </w:p>
        </w:tc>
        <w:tc>
          <w:tcPr>
            <w:tcW w:w="990" w:type="dxa"/>
          </w:tcPr>
          <w:p w14:paraId="7E02061D" w14:textId="77777777" w:rsidR="00BE2AAE" w:rsidRPr="005842F1" w:rsidRDefault="00BE2AAE" w:rsidP="00623EFA">
            <w:pPr>
              <w:spacing w:line="240" w:lineRule="auto"/>
              <w:jc w:val="right"/>
              <w:rPr>
                <w:rFonts w:asciiTheme="majorHAnsi" w:hAnsiTheme="majorHAnsi" w:cstheme="majorHAnsi"/>
                <w:sz w:val="20"/>
                <w:szCs w:val="20"/>
              </w:rPr>
            </w:pPr>
            <w:r w:rsidRPr="005842F1">
              <w:rPr>
                <w:rFonts w:asciiTheme="majorHAnsi" w:hAnsiTheme="majorHAnsi" w:cstheme="majorHAnsi"/>
                <w:sz w:val="20"/>
                <w:szCs w:val="20"/>
              </w:rPr>
              <w:t>0.5%</w:t>
            </w:r>
          </w:p>
        </w:tc>
        <w:tc>
          <w:tcPr>
            <w:tcW w:w="990" w:type="dxa"/>
          </w:tcPr>
          <w:p w14:paraId="2EB176C8" w14:textId="77777777" w:rsidR="00BE2AAE" w:rsidRPr="005842F1" w:rsidRDefault="00BE2AAE" w:rsidP="00623EFA">
            <w:pPr>
              <w:spacing w:line="240" w:lineRule="auto"/>
              <w:jc w:val="right"/>
              <w:rPr>
                <w:rFonts w:asciiTheme="majorHAnsi" w:hAnsiTheme="majorHAnsi" w:cstheme="majorHAnsi"/>
                <w:sz w:val="20"/>
                <w:szCs w:val="20"/>
              </w:rPr>
            </w:pPr>
            <w:r w:rsidRPr="005842F1">
              <w:rPr>
                <w:rFonts w:asciiTheme="majorHAnsi" w:hAnsiTheme="majorHAnsi" w:cstheme="majorHAnsi"/>
                <w:color w:val="000000"/>
                <w:sz w:val="20"/>
                <w:szCs w:val="20"/>
              </w:rPr>
              <w:t>114</w:t>
            </w:r>
          </w:p>
        </w:tc>
        <w:tc>
          <w:tcPr>
            <w:tcW w:w="900" w:type="dxa"/>
          </w:tcPr>
          <w:p w14:paraId="6926A4F4" w14:textId="77777777" w:rsidR="00BE2AAE" w:rsidRPr="005842F1" w:rsidRDefault="00BE2AAE" w:rsidP="00623EFA">
            <w:pPr>
              <w:spacing w:line="240" w:lineRule="auto"/>
              <w:jc w:val="right"/>
              <w:rPr>
                <w:rFonts w:asciiTheme="majorHAnsi" w:hAnsiTheme="majorHAnsi" w:cstheme="majorHAnsi"/>
                <w:sz w:val="20"/>
                <w:szCs w:val="20"/>
              </w:rPr>
            </w:pPr>
            <w:r w:rsidRPr="005842F1">
              <w:rPr>
                <w:rFonts w:asciiTheme="majorHAnsi" w:hAnsiTheme="majorHAnsi" w:cstheme="majorHAnsi"/>
                <w:color w:val="000000"/>
                <w:sz w:val="20"/>
                <w:szCs w:val="20"/>
              </w:rPr>
              <w:t>0.1%</w:t>
            </w:r>
          </w:p>
        </w:tc>
        <w:tc>
          <w:tcPr>
            <w:tcW w:w="990" w:type="dxa"/>
            <w:shd w:val="clear" w:color="auto" w:fill="auto"/>
          </w:tcPr>
          <w:p w14:paraId="0A931DBA" w14:textId="77777777" w:rsidR="00BE2AAE" w:rsidRPr="00E74C94" w:rsidRDefault="00BE2AAE" w:rsidP="00623EFA">
            <w:pPr>
              <w:spacing w:line="240" w:lineRule="auto"/>
              <w:jc w:val="right"/>
              <w:rPr>
                <w:rFonts w:asciiTheme="majorHAnsi" w:hAnsiTheme="majorHAnsi" w:cstheme="majorHAnsi"/>
                <w:color w:val="000000"/>
                <w:sz w:val="20"/>
                <w:szCs w:val="20"/>
              </w:rPr>
            </w:pPr>
            <w:r w:rsidRPr="00E74C94">
              <w:rPr>
                <w:rFonts w:asciiTheme="majorHAnsi" w:hAnsiTheme="majorHAnsi" w:cstheme="majorHAnsi"/>
                <w:color w:val="000000"/>
                <w:sz w:val="20"/>
                <w:szCs w:val="20"/>
              </w:rPr>
              <w:t>49</w:t>
            </w:r>
          </w:p>
        </w:tc>
        <w:tc>
          <w:tcPr>
            <w:tcW w:w="990" w:type="dxa"/>
            <w:shd w:val="clear" w:color="auto" w:fill="auto"/>
          </w:tcPr>
          <w:p w14:paraId="48E8306D" w14:textId="77777777" w:rsidR="00BE2AAE" w:rsidRPr="00E74C94" w:rsidRDefault="00BE2AAE" w:rsidP="00623EFA">
            <w:pPr>
              <w:spacing w:line="240" w:lineRule="auto"/>
              <w:jc w:val="right"/>
              <w:rPr>
                <w:rFonts w:asciiTheme="majorHAnsi" w:hAnsiTheme="majorHAnsi" w:cstheme="majorHAnsi"/>
                <w:color w:val="000000"/>
                <w:sz w:val="20"/>
                <w:szCs w:val="20"/>
              </w:rPr>
            </w:pPr>
            <w:r w:rsidRPr="00E74C94">
              <w:rPr>
                <w:rFonts w:asciiTheme="majorHAnsi" w:hAnsiTheme="majorHAnsi" w:cstheme="majorHAnsi"/>
                <w:color w:val="000000"/>
                <w:sz w:val="20"/>
                <w:szCs w:val="20"/>
              </w:rPr>
              <w:t>0.1%</w:t>
            </w:r>
          </w:p>
        </w:tc>
      </w:tr>
    </w:tbl>
    <w:p w14:paraId="448BF08E" w14:textId="77777777" w:rsidR="00BE2AAE" w:rsidRDefault="00BE2AAE" w:rsidP="00BE2AAE">
      <w:pPr>
        <w:spacing w:after="120" w:line="240" w:lineRule="auto"/>
        <w:jc w:val="both"/>
        <w:rPr>
          <w:rFonts w:ascii="Arial" w:hAnsi="Arial" w:cs="Arial"/>
          <w:sz w:val="20"/>
          <w:szCs w:val="20"/>
        </w:rPr>
        <w:sectPr w:rsidR="00BE2AAE" w:rsidSect="00607FAE">
          <w:type w:val="continuous"/>
          <w:pgSz w:w="12240" w:h="15840"/>
          <w:pgMar w:top="1440" w:right="1440" w:bottom="1440" w:left="1440" w:header="720" w:footer="720" w:gutter="0"/>
          <w:cols w:space="720"/>
          <w:docGrid w:linePitch="360"/>
        </w:sectPr>
      </w:pPr>
    </w:p>
    <w:p w14:paraId="47985EFD" w14:textId="2FDFABF2" w:rsidR="00BE2AAE" w:rsidRPr="00DA304F" w:rsidRDefault="00BE2AAE" w:rsidP="00BE2AAE">
      <w:pPr>
        <w:pStyle w:val="ListParagraph"/>
        <w:numPr>
          <w:ilvl w:val="0"/>
          <w:numId w:val="3"/>
        </w:numPr>
        <w:spacing w:after="120" w:line="240" w:lineRule="auto"/>
        <w:ind w:left="450" w:hanging="450"/>
        <w:jc w:val="both"/>
        <w:rPr>
          <w:rFonts w:ascii="Arial" w:hAnsi="Arial" w:cs="Arial"/>
          <w:sz w:val="20"/>
          <w:szCs w:val="20"/>
          <w:u w:val="single"/>
        </w:rPr>
      </w:pPr>
      <w:r w:rsidRPr="007F7330">
        <w:rPr>
          <w:rFonts w:ascii="Arial" w:hAnsi="Arial" w:cs="Arial"/>
          <w:sz w:val="20"/>
          <w:szCs w:val="20"/>
          <w:u w:val="single"/>
        </w:rPr>
        <w:lastRenderedPageBreak/>
        <w:t xml:space="preserve">Beth Israel </w:t>
      </w:r>
      <w:r w:rsidRPr="00DA304F">
        <w:rPr>
          <w:rFonts w:ascii="Arial" w:hAnsi="Arial" w:cs="Arial"/>
          <w:sz w:val="20"/>
          <w:szCs w:val="20"/>
          <w:u w:val="single"/>
        </w:rPr>
        <w:t xml:space="preserve">Deaconess Hospital – </w:t>
      </w:r>
      <w:r w:rsidR="00231A56" w:rsidRPr="00DA304F">
        <w:rPr>
          <w:rFonts w:ascii="Arial" w:hAnsi="Arial" w:cs="Arial"/>
          <w:sz w:val="20"/>
          <w:szCs w:val="20"/>
          <w:u w:val="single"/>
        </w:rPr>
        <w:t>Plymouth</w:t>
      </w:r>
      <w:r w:rsidRPr="00DA304F">
        <w:rPr>
          <w:rFonts w:ascii="Arial" w:hAnsi="Arial" w:cs="Arial"/>
          <w:sz w:val="20"/>
          <w:szCs w:val="20"/>
          <w:u w:val="single"/>
        </w:rPr>
        <w:t xml:space="preserve"> Emergency Department </w:t>
      </w:r>
    </w:p>
    <w:p w14:paraId="59A5D2AA" w14:textId="41135503" w:rsidR="00BE2AAE" w:rsidRPr="00623EFA" w:rsidRDefault="00BE2AAE" w:rsidP="00051903">
      <w:pPr>
        <w:spacing w:after="120" w:line="240" w:lineRule="auto"/>
        <w:rPr>
          <w:rFonts w:ascii="Arial" w:hAnsi="Arial" w:cs="Arial"/>
          <w:sz w:val="20"/>
          <w:szCs w:val="20"/>
        </w:rPr>
      </w:pPr>
      <w:r w:rsidRPr="00DA304F">
        <w:rPr>
          <w:rFonts w:ascii="Arial" w:hAnsi="Arial" w:cs="Arial"/>
          <w:sz w:val="20"/>
          <w:szCs w:val="20"/>
        </w:rPr>
        <w:t xml:space="preserve">In FY23, </w:t>
      </w:r>
      <w:r w:rsidR="00F73E8D" w:rsidRPr="00DA304F">
        <w:rPr>
          <w:rFonts w:ascii="Arial" w:hAnsi="Arial" w:cs="Arial"/>
          <w:sz w:val="20"/>
          <w:szCs w:val="20"/>
        </w:rPr>
        <w:t>BID-</w:t>
      </w:r>
      <w:r w:rsidR="00231A56" w:rsidRPr="00DA304F">
        <w:rPr>
          <w:rFonts w:ascii="Arial" w:hAnsi="Arial" w:cs="Arial"/>
          <w:sz w:val="20"/>
          <w:szCs w:val="20"/>
        </w:rPr>
        <w:t>Plymouth</w:t>
      </w:r>
      <w:r w:rsidRPr="00DA304F">
        <w:rPr>
          <w:rFonts w:ascii="Arial" w:hAnsi="Arial" w:cs="Arial"/>
          <w:sz w:val="20"/>
          <w:szCs w:val="20"/>
        </w:rPr>
        <w:t>’s ED saw 29,253 unique patients.</w:t>
      </w:r>
      <w:r w:rsidR="00A26116" w:rsidRPr="00DA304F">
        <w:rPr>
          <w:rFonts w:ascii="Arial" w:hAnsi="Arial" w:cs="Arial"/>
          <w:sz w:val="20"/>
          <w:szCs w:val="20"/>
        </w:rPr>
        <w:t xml:space="preserve"> </w:t>
      </w:r>
      <w:r w:rsidRPr="00DA304F">
        <w:rPr>
          <w:rFonts w:ascii="Arial" w:hAnsi="Arial" w:cs="Arial"/>
          <w:sz w:val="20"/>
          <w:szCs w:val="20"/>
        </w:rPr>
        <w:t>More</w:t>
      </w:r>
      <w:r>
        <w:rPr>
          <w:rFonts w:ascii="Arial" w:hAnsi="Arial" w:cs="Arial"/>
          <w:sz w:val="20"/>
          <w:szCs w:val="20"/>
        </w:rPr>
        <w:t xml:space="preserve"> than half of ED patients (59.3%) were over the age of 46. 52.2% of patients were female and 47.8% were male. </w:t>
      </w:r>
    </w:p>
    <w:tbl>
      <w:tblPr>
        <w:tblStyle w:val="TableGrid"/>
        <w:tblW w:w="9810" w:type="dxa"/>
        <w:tblInd w:w="-5" w:type="dxa"/>
        <w:tblLook w:val="04A0" w:firstRow="1" w:lastRow="0" w:firstColumn="1" w:lastColumn="0" w:noHBand="0" w:noVBand="1"/>
      </w:tblPr>
      <w:tblGrid>
        <w:gridCol w:w="4140"/>
        <w:gridCol w:w="810"/>
        <w:gridCol w:w="990"/>
        <w:gridCol w:w="990"/>
        <w:gridCol w:w="990"/>
        <w:gridCol w:w="900"/>
        <w:gridCol w:w="990"/>
      </w:tblGrid>
      <w:tr w:rsidR="00BE2AAE" w14:paraId="7EC5115D" w14:textId="77777777" w:rsidTr="0096689E">
        <w:trPr>
          <w:cantSplit/>
          <w:tblHeader/>
        </w:trPr>
        <w:tc>
          <w:tcPr>
            <w:tcW w:w="4140" w:type="dxa"/>
            <w:shd w:val="clear" w:color="auto" w:fill="B4C6E7" w:themeFill="accent1" w:themeFillTint="66"/>
          </w:tcPr>
          <w:p w14:paraId="498FAF6E" w14:textId="5C4FD09F" w:rsidR="00BE2AAE" w:rsidRPr="00623EFA" w:rsidRDefault="00623EFA" w:rsidP="00607FAE">
            <w:pPr>
              <w:spacing w:line="240" w:lineRule="auto"/>
              <w:rPr>
                <w:rFonts w:asciiTheme="majorHAnsi" w:hAnsiTheme="majorHAnsi" w:cstheme="majorHAnsi"/>
                <w:b/>
                <w:bCs/>
                <w:sz w:val="20"/>
                <w:szCs w:val="20"/>
              </w:rPr>
            </w:pPr>
            <w:r w:rsidRPr="00623EFA">
              <w:rPr>
                <w:rFonts w:asciiTheme="majorHAnsi" w:hAnsiTheme="majorHAnsi" w:cstheme="majorHAnsi"/>
                <w:b/>
                <w:bCs/>
                <w:sz w:val="20"/>
                <w:szCs w:val="20"/>
              </w:rPr>
              <w:t>Table 3: BID</w:t>
            </w:r>
            <w:r w:rsidR="00CB37D4">
              <w:rPr>
                <w:rFonts w:asciiTheme="majorHAnsi" w:hAnsiTheme="majorHAnsi" w:cstheme="majorHAnsi"/>
                <w:b/>
                <w:bCs/>
                <w:sz w:val="20"/>
                <w:szCs w:val="20"/>
              </w:rPr>
              <w:t>-</w:t>
            </w:r>
            <w:r w:rsidRPr="00623EFA">
              <w:rPr>
                <w:rFonts w:asciiTheme="majorHAnsi" w:hAnsiTheme="majorHAnsi" w:cstheme="majorHAnsi"/>
                <w:b/>
                <w:bCs/>
                <w:sz w:val="20"/>
                <w:szCs w:val="20"/>
              </w:rPr>
              <w:t xml:space="preserve">Plymouth Emergency Department Patient Demographics  </w:t>
            </w:r>
          </w:p>
        </w:tc>
        <w:tc>
          <w:tcPr>
            <w:tcW w:w="810" w:type="dxa"/>
            <w:shd w:val="clear" w:color="auto" w:fill="B4C6E7" w:themeFill="accent1" w:themeFillTint="66"/>
            <w:vAlign w:val="center"/>
          </w:tcPr>
          <w:p w14:paraId="2849E97A" w14:textId="77777777" w:rsidR="00BE2AAE" w:rsidRPr="00E124A0" w:rsidRDefault="00BE2AAE" w:rsidP="00607FAE">
            <w:pPr>
              <w:spacing w:line="240" w:lineRule="auto"/>
              <w:jc w:val="center"/>
              <w:rPr>
                <w:rFonts w:asciiTheme="majorHAnsi" w:eastAsia="Times New Roman" w:hAnsiTheme="majorHAnsi" w:cstheme="majorHAnsi"/>
                <w:b/>
                <w:bCs/>
                <w:color w:val="000000"/>
                <w:sz w:val="20"/>
                <w:szCs w:val="20"/>
              </w:rPr>
            </w:pPr>
            <w:r w:rsidRPr="00E124A0">
              <w:rPr>
                <w:rFonts w:asciiTheme="majorHAnsi" w:eastAsia="Times New Roman" w:hAnsiTheme="majorHAnsi" w:cstheme="majorHAnsi"/>
                <w:b/>
                <w:bCs/>
                <w:color w:val="000000"/>
                <w:sz w:val="20"/>
                <w:szCs w:val="20"/>
              </w:rPr>
              <w:t>FY2021</w:t>
            </w:r>
          </w:p>
          <w:p w14:paraId="368EB0FB" w14:textId="77777777" w:rsidR="00BE2AAE" w:rsidRPr="00E124A0" w:rsidRDefault="00BE2AAE" w:rsidP="00607FAE">
            <w:pPr>
              <w:spacing w:line="240" w:lineRule="auto"/>
              <w:jc w:val="center"/>
              <w:rPr>
                <w:rFonts w:asciiTheme="majorHAnsi" w:hAnsiTheme="majorHAnsi" w:cstheme="majorHAnsi"/>
                <w:b/>
                <w:bCs/>
                <w:sz w:val="20"/>
                <w:szCs w:val="20"/>
              </w:rPr>
            </w:pPr>
            <w:r w:rsidRPr="00E124A0">
              <w:rPr>
                <w:rFonts w:asciiTheme="majorHAnsi" w:eastAsia="Times New Roman" w:hAnsiTheme="majorHAnsi" w:cstheme="majorHAnsi"/>
                <w:b/>
                <w:bCs/>
                <w:color w:val="000000"/>
                <w:sz w:val="20"/>
                <w:szCs w:val="20"/>
              </w:rPr>
              <w:t>Count</w:t>
            </w:r>
          </w:p>
        </w:tc>
        <w:tc>
          <w:tcPr>
            <w:tcW w:w="990" w:type="dxa"/>
            <w:shd w:val="clear" w:color="auto" w:fill="B4C6E7" w:themeFill="accent1" w:themeFillTint="66"/>
            <w:vAlign w:val="center"/>
          </w:tcPr>
          <w:p w14:paraId="1B2867D9" w14:textId="77777777" w:rsidR="00BE2AAE" w:rsidRPr="00E124A0" w:rsidRDefault="00BE2AAE" w:rsidP="00607FAE">
            <w:pPr>
              <w:spacing w:line="240" w:lineRule="auto"/>
              <w:jc w:val="center"/>
              <w:rPr>
                <w:rFonts w:asciiTheme="majorHAnsi" w:eastAsia="Times New Roman" w:hAnsiTheme="majorHAnsi" w:cstheme="majorHAnsi"/>
                <w:b/>
                <w:bCs/>
                <w:color w:val="000000"/>
                <w:sz w:val="20"/>
                <w:szCs w:val="20"/>
              </w:rPr>
            </w:pPr>
            <w:r w:rsidRPr="00E124A0">
              <w:rPr>
                <w:rFonts w:asciiTheme="majorHAnsi" w:eastAsia="Times New Roman" w:hAnsiTheme="majorHAnsi" w:cstheme="majorHAnsi"/>
                <w:b/>
                <w:bCs/>
                <w:color w:val="000000"/>
                <w:sz w:val="20"/>
                <w:szCs w:val="20"/>
              </w:rPr>
              <w:t>FY2021</w:t>
            </w:r>
          </w:p>
          <w:p w14:paraId="7824C16D" w14:textId="77777777" w:rsidR="00BE2AAE" w:rsidRPr="00E124A0" w:rsidRDefault="00BE2AAE" w:rsidP="00607FAE">
            <w:pPr>
              <w:spacing w:line="240" w:lineRule="auto"/>
              <w:jc w:val="center"/>
              <w:rPr>
                <w:rFonts w:asciiTheme="majorHAnsi" w:hAnsiTheme="majorHAnsi" w:cstheme="majorHAnsi"/>
                <w:b/>
                <w:bCs/>
                <w:sz w:val="20"/>
                <w:szCs w:val="20"/>
              </w:rPr>
            </w:pPr>
            <w:r w:rsidRPr="00E124A0">
              <w:rPr>
                <w:rFonts w:asciiTheme="majorHAnsi" w:eastAsia="Times New Roman" w:hAnsiTheme="majorHAnsi" w:cstheme="majorHAnsi"/>
                <w:b/>
                <w:bCs/>
                <w:color w:val="000000"/>
                <w:sz w:val="20"/>
                <w:szCs w:val="20"/>
              </w:rPr>
              <w:t>Percent</w:t>
            </w:r>
          </w:p>
        </w:tc>
        <w:tc>
          <w:tcPr>
            <w:tcW w:w="990" w:type="dxa"/>
            <w:shd w:val="clear" w:color="auto" w:fill="B4C6E7" w:themeFill="accent1" w:themeFillTint="66"/>
            <w:vAlign w:val="center"/>
          </w:tcPr>
          <w:p w14:paraId="351D6B62" w14:textId="77777777" w:rsidR="00BE2AAE" w:rsidRPr="00E124A0" w:rsidRDefault="00BE2AAE" w:rsidP="00607FAE">
            <w:pPr>
              <w:spacing w:line="240" w:lineRule="auto"/>
              <w:jc w:val="center"/>
              <w:rPr>
                <w:rFonts w:asciiTheme="majorHAnsi" w:eastAsia="Times New Roman" w:hAnsiTheme="majorHAnsi" w:cstheme="majorHAnsi"/>
                <w:b/>
                <w:bCs/>
                <w:color w:val="000000"/>
                <w:sz w:val="20"/>
                <w:szCs w:val="20"/>
              </w:rPr>
            </w:pPr>
            <w:r w:rsidRPr="00E124A0">
              <w:rPr>
                <w:rFonts w:asciiTheme="majorHAnsi" w:eastAsia="Times New Roman" w:hAnsiTheme="majorHAnsi" w:cstheme="majorHAnsi"/>
                <w:b/>
                <w:bCs/>
                <w:color w:val="000000"/>
                <w:sz w:val="20"/>
                <w:szCs w:val="20"/>
              </w:rPr>
              <w:t>FY2022</w:t>
            </w:r>
          </w:p>
          <w:p w14:paraId="44AD60F3" w14:textId="77777777" w:rsidR="00BE2AAE" w:rsidRPr="00E124A0" w:rsidRDefault="00BE2AAE" w:rsidP="00607FAE">
            <w:pPr>
              <w:spacing w:line="240" w:lineRule="auto"/>
              <w:jc w:val="center"/>
              <w:rPr>
                <w:rFonts w:asciiTheme="majorHAnsi" w:hAnsiTheme="majorHAnsi" w:cstheme="majorHAnsi"/>
                <w:b/>
                <w:bCs/>
                <w:sz w:val="20"/>
                <w:szCs w:val="20"/>
              </w:rPr>
            </w:pPr>
            <w:r w:rsidRPr="00E124A0">
              <w:rPr>
                <w:rFonts w:asciiTheme="majorHAnsi" w:eastAsia="Times New Roman" w:hAnsiTheme="majorHAnsi" w:cstheme="majorHAnsi"/>
                <w:b/>
                <w:bCs/>
                <w:color w:val="000000"/>
                <w:sz w:val="20"/>
                <w:szCs w:val="20"/>
              </w:rPr>
              <w:t>Count</w:t>
            </w:r>
          </w:p>
        </w:tc>
        <w:tc>
          <w:tcPr>
            <w:tcW w:w="990" w:type="dxa"/>
            <w:shd w:val="clear" w:color="auto" w:fill="B4C6E7" w:themeFill="accent1" w:themeFillTint="66"/>
            <w:vAlign w:val="center"/>
          </w:tcPr>
          <w:p w14:paraId="4A6D15A8" w14:textId="77777777" w:rsidR="00BE2AAE" w:rsidRPr="00E124A0" w:rsidRDefault="00BE2AAE" w:rsidP="00607FAE">
            <w:pPr>
              <w:spacing w:line="240" w:lineRule="auto"/>
              <w:jc w:val="center"/>
              <w:rPr>
                <w:rFonts w:asciiTheme="majorHAnsi" w:eastAsia="Times New Roman" w:hAnsiTheme="majorHAnsi" w:cstheme="majorHAnsi"/>
                <w:b/>
                <w:bCs/>
                <w:color w:val="000000"/>
                <w:sz w:val="20"/>
                <w:szCs w:val="20"/>
              </w:rPr>
            </w:pPr>
            <w:r w:rsidRPr="00E124A0">
              <w:rPr>
                <w:rFonts w:asciiTheme="majorHAnsi" w:eastAsia="Times New Roman" w:hAnsiTheme="majorHAnsi" w:cstheme="majorHAnsi"/>
                <w:b/>
                <w:bCs/>
                <w:color w:val="000000"/>
                <w:sz w:val="20"/>
                <w:szCs w:val="20"/>
              </w:rPr>
              <w:t>FY2022</w:t>
            </w:r>
          </w:p>
          <w:p w14:paraId="55E49D87" w14:textId="77777777" w:rsidR="00BE2AAE" w:rsidRPr="00E124A0" w:rsidRDefault="00BE2AAE" w:rsidP="00607FAE">
            <w:pPr>
              <w:spacing w:line="240" w:lineRule="auto"/>
              <w:jc w:val="center"/>
              <w:rPr>
                <w:rFonts w:asciiTheme="majorHAnsi" w:hAnsiTheme="majorHAnsi" w:cstheme="majorHAnsi"/>
                <w:b/>
                <w:bCs/>
                <w:sz w:val="20"/>
                <w:szCs w:val="20"/>
              </w:rPr>
            </w:pPr>
            <w:r w:rsidRPr="00E124A0">
              <w:rPr>
                <w:rFonts w:asciiTheme="majorHAnsi" w:eastAsia="Times New Roman" w:hAnsiTheme="majorHAnsi" w:cstheme="majorHAnsi"/>
                <w:b/>
                <w:bCs/>
                <w:color w:val="000000"/>
                <w:sz w:val="20"/>
                <w:szCs w:val="20"/>
              </w:rPr>
              <w:t>Percent</w:t>
            </w:r>
          </w:p>
        </w:tc>
        <w:tc>
          <w:tcPr>
            <w:tcW w:w="900" w:type="dxa"/>
            <w:shd w:val="clear" w:color="auto" w:fill="B4C6E7" w:themeFill="accent1" w:themeFillTint="66"/>
            <w:vAlign w:val="center"/>
          </w:tcPr>
          <w:p w14:paraId="3E7C3988" w14:textId="77777777" w:rsidR="00BE2AAE" w:rsidRPr="00E124A0" w:rsidRDefault="00BE2AAE" w:rsidP="00607FAE">
            <w:pPr>
              <w:spacing w:line="240" w:lineRule="auto"/>
              <w:jc w:val="center"/>
              <w:rPr>
                <w:rFonts w:asciiTheme="majorHAnsi" w:eastAsia="Times New Roman" w:hAnsiTheme="majorHAnsi" w:cstheme="majorHAnsi"/>
                <w:b/>
                <w:bCs/>
                <w:color w:val="000000"/>
                <w:sz w:val="20"/>
                <w:szCs w:val="20"/>
              </w:rPr>
            </w:pPr>
            <w:r w:rsidRPr="00E124A0">
              <w:rPr>
                <w:rFonts w:asciiTheme="majorHAnsi" w:eastAsia="Times New Roman" w:hAnsiTheme="majorHAnsi" w:cstheme="majorHAnsi"/>
                <w:b/>
                <w:bCs/>
                <w:color w:val="000000"/>
                <w:sz w:val="20"/>
                <w:szCs w:val="20"/>
              </w:rPr>
              <w:t>FY2023</w:t>
            </w:r>
          </w:p>
          <w:p w14:paraId="3EB7E90D" w14:textId="77777777" w:rsidR="00BE2AAE" w:rsidRPr="00E124A0" w:rsidRDefault="00BE2AAE" w:rsidP="00607FAE">
            <w:pPr>
              <w:spacing w:line="240" w:lineRule="auto"/>
              <w:jc w:val="center"/>
              <w:rPr>
                <w:rFonts w:asciiTheme="majorHAnsi" w:hAnsiTheme="majorHAnsi" w:cstheme="majorHAnsi"/>
                <w:b/>
                <w:bCs/>
                <w:sz w:val="20"/>
                <w:szCs w:val="20"/>
              </w:rPr>
            </w:pPr>
            <w:r w:rsidRPr="00E124A0">
              <w:rPr>
                <w:rFonts w:asciiTheme="majorHAnsi" w:eastAsia="Times New Roman" w:hAnsiTheme="majorHAnsi" w:cstheme="majorHAnsi"/>
                <w:b/>
                <w:bCs/>
                <w:color w:val="000000"/>
                <w:sz w:val="20"/>
                <w:szCs w:val="20"/>
              </w:rPr>
              <w:t>Count</w:t>
            </w:r>
          </w:p>
        </w:tc>
        <w:tc>
          <w:tcPr>
            <w:tcW w:w="990" w:type="dxa"/>
            <w:shd w:val="clear" w:color="auto" w:fill="B4C6E7" w:themeFill="accent1" w:themeFillTint="66"/>
            <w:vAlign w:val="center"/>
          </w:tcPr>
          <w:p w14:paraId="30747EFA" w14:textId="77777777" w:rsidR="00BE2AAE" w:rsidRPr="00E124A0" w:rsidRDefault="00BE2AAE" w:rsidP="00607FAE">
            <w:pPr>
              <w:spacing w:line="240" w:lineRule="auto"/>
              <w:jc w:val="center"/>
              <w:rPr>
                <w:rFonts w:asciiTheme="majorHAnsi" w:eastAsia="Times New Roman" w:hAnsiTheme="majorHAnsi" w:cstheme="majorHAnsi"/>
                <w:b/>
                <w:bCs/>
                <w:color w:val="000000"/>
                <w:sz w:val="20"/>
                <w:szCs w:val="20"/>
              </w:rPr>
            </w:pPr>
            <w:r w:rsidRPr="00E124A0">
              <w:rPr>
                <w:rFonts w:asciiTheme="majorHAnsi" w:eastAsia="Times New Roman" w:hAnsiTheme="majorHAnsi" w:cstheme="majorHAnsi"/>
                <w:b/>
                <w:bCs/>
                <w:color w:val="000000"/>
                <w:sz w:val="20"/>
                <w:szCs w:val="20"/>
              </w:rPr>
              <w:t>FY2023</w:t>
            </w:r>
          </w:p>
          <w:p w14:paraId="0037FBD7" w14:textId="77777777" w:rsidR="00BE2AAE" w:rsidRPr="00E124A0" w:rsidRDefault="00BE2AAE" w:rsidP="00607FAE">
            <w:pPr>
              <w:spacing w:line="240" w:lineRule="auto"/>
              <w:jc w:val="center"/>
              <w:rPr>
                <w:rFonts w:asciiTheme="majorHAnsi" w:hAnsiTheme="majorHAnsi" w:cstheme="majorHAnsi"/>
                <w:b/>
                <w:bCs/>
                <w:sz w:val="20"/>
                <w:szCs w:val="20"/>
              </w:rPr>
            </w:pPr>
            <w:r w:rsidRPr="00E124A0">
              <w:rPr>
                <w:rFonts w:asciiTheme="majorHAnsi" w:eastAsia="Times New Roman" w:hAnsiTheme="majorHAnsi" w:cstheme="majorHAnsi"/>
                <w:b/>
                <w:bCs/>
                <w:color w:val="000000"/>
                <w:sz w:val="20"/>
                <w:szCs w:val="20"/>
              </w:rPr>
              <w:t>Percent</w:t>
            </w:r>
          </w:p>
        </w:tc>
      </w:tr>
      <w:tr w:rsidR="00BE2AAE" w14:paraId="553DA8CF" w14:textId="77777777" w:rsidTr="0096689E">
        <w:trPr>
          <w:cantSplit/>
        </w:trPr>
        <w:tc>
          <w:tcPr>
            <w:tcW w:w="4140" w:type="dxa"/>
            <w:shd w:val="clear" w:color="auto" w:fill="D9E2F3" w:themeFill="accent1" w:themeFillTint="33"/>
            <w:vAlign w:val="center"/>
          </w:tcPr>
          <w:p w14:paraId="693807B5" w14:textId="77777777" w:rsidR="00BE2AAE" w:rsidRPr="00E124A0" w:rsidRDefault="00BE2AAE" w:rsidP="00607FAE">
            <w:pPr>
              <w:spacing w:line="240" w:lineRule="auto"/>
              <w:rPr>
                <w:rFonts w:asciiTheme="majorHAnsi" w:hAnsiTheme="majorHAnsi" w:cstheme="majorHAnsi"/>
                <w:b/>
                <w:bCs/>
                <w:sz w:val="20"/>
                <w:szCs w:val="20"/>
              </w:rPr>
            </w:pPr>
            <w:r w:rsidRPr="00E124A0">
              <w:rPr>
                <w:rFonts w:asciiTheme="majorHAnsi" w:eastAsia="Times New Roman" w:hAnsiTheme="majorHAnsi" w:cstheme="majorHAnsi"/>
                <w:b/>
                <w:bCs/>
                <w:color w:val="000000"/>
                <w:sz w:val="20"/>
                <w:szCs w:val="20"/>
              </w:rPr>
              <w:t>Total</w:t>
            </w:r>
          </w:p>
        </w:tc>
        <w:tc>
          <w:tcPr>
            <w:tcW w:w="810" w:type="dxa"/>
            <w:shd w:val="clear" w:color="auto" w:fill="D9E2F3" w:themeFill="accent1" w:themeFillTint="33"/>
            <w:vAlign w:val="center"/>
          </w:tcPr>
          <w:p w14:paraId="258C9AC6" w14:textId="77777777" w:rsidR="00BE2AAE" w:rsidRPr="00E124A0" w:rsidRDefault="00BE2AAE" w:rsidP="00623EFA">
            <w:pPr>
              <w:spacing w:line="240" w:lineRule="auto"/>
              <w:jc w:val="right"/>
              <w:rPr>
                <w:rFonts w:asciiTheme="majorHAnsi" w:hAnsiTheme="majorHAnsi" w:cstheme="majorHAnsi"/>
                <w:b/>
                <w:bCs/>
                <w:sz w:val="20"/>
                <w:szCs w:val="20"/>
              </w:rPr>
            </w:pPr>
            <w:r w:rsidRPr="00E124A0">
              <w:rPr>
                <w:rFonts w:asciiTheme="majorHAnsi" w:hAnsiTheme="majorHAnsi" w:cstheme="majorHAnsi"/>
                <w:b/>
                <w:bCs/>
                <w:sz w:val="20"/>
                <w:szCs w:val="20"/>
              </w:rPr>
              <w:t>27,010</w:t>
            </w:r>
          </w:p>
        </w:tc>
        <w:tc>
          <w:tcPr>
            <w:tcW w:w="990" w:type="dxa"/>
            <w:shd w:val="clear" w:color="auto" w:fill="D9E2F3" w:themeFill="accent1" w:themeFillTint="33"/>
            <w:vAlign w:val="center"/>
          </w:tcPr>
          <w:p w14:paraId="1E1A669D" w14:textId="77777777" w:rsidR="00BE2AAE" w:rsidRPr="00E124A0" w:rsidRDefault="00BE2AAE" w:rsidP="00623EFA">
            <w:pPr>
              <w:spacing w:line="240" w:lineRule="auto"/>
              <w:jc w:val="right"/>
              <w:rPr>
                <w:rFonts w:asciiTheme="majorHAnsi" w:hAnsiTheme="majorHAnsi" w:cstheme="majorHAnsi"/>
                <w:b/>
                <w:bCs/>
                <w:sz w:val="20"/>
                <w:szCs w:val="20"/>
              </w:rPr>
            </w:pPr>
            <w:r w:rsidRPr="00E124A0">
              <w:rPr>
                <w:rFonts w:asciiTheme="majorHAnsi" w:hAnsiTheme="majorHAnsi" w:cstheme="majorHAnsi"/>
                <w:b/>
                <w:bCs/>
                <w:sz w:val="20"/>
                <w:szCs w:val="20"/>
              </w:rPr>
              <w:t>100%</w:t>
            </w:r>
          </w:p>
        </w:tc>
        <w:tc>
          <w:tcPr>
            <w:tcW w:w="990" w:type="dxa"/>
            <w:shd w:val="clear" w:color="auto" w:fill="D9E2F3" w:themeFill="accent1" w:themeFillTint="33"/>
            <w:vAlign w:val="center"/>
          </w:tcPr>
          <w:p w14:paraId="75DF4FDA" w14:textId="77777777" w:rsidR="00BE2AAE" w:rsidRPr="00E124A0" w:rsidRDefault="00BE2AAE" w:rsidP="00623EFA">
            <w:pPr>
              <w:spacing w:line="240" w:lineRule="auto"/>
              <w:jc w:val="right"/>
              <w:rPr>
                <w:rFonts w:asciiTheme="majorHAnsi" w:hAnsiTheme="majorHAnsi" w:cstheme="majorHAnsi"/>
                <w:b/>
                <w:bCs/>
                <w:sz w:val="20"/>
                <w:szCs w:val="20"/>
              </w:rPr>
            </w:pPr>
            <w:r w:rsidRPr="00E124A0">
              <w:rPr>
                <w:rFonts w:asciiTheme="majorHAnsi" w:hAnsiTheme="majorHAnsi" w:cstheme="majorHAnsi"/>
                <w:b/>
                <w:bCs/>
                <w:sz w:val="20"/>
                <w:szCs w:val="20"/>
              </w:rPr>
              <w:t>28,387</w:t>
            </w:r>
          </w:p>
        </w:tc>
        <w:tc>
          <w:tcPr>
            <w:tcW w:w="990" w:type="dxa"/>
            <w:shd w:val="clear" w:color="auto" w:fill="D9E2F3" w:themeFill="accent1" w:themeFillTint="33"/>
            <w:vAlign w:val="center"/>
          </w:tcPr>
          <w:p w14:paraId="13074E97" w14:textId="77777777" w:rsidR="00BE2AAE" w:rsidRPr="00E124A0" w:rsidRDefault="00BE2AAE" w:rsidP="00623EFA">
            <w:pPr>
              <w:spacing w:line="240" w:lineRule="auto"/>
              <w:jc w:val="right"/>
              <w:rPr>
                <w:rFonts w:asciiTheme="majorHAnsi" w:hAnsiTheme="majorHAnsi" w:cstheme="majorHAnsi"/>
                <w:b/>
                <w:bCs/>
                <w:sz w:val="20"/>
                <w:szCs w:val="20"/>
              </w:rPr>
            </w:pPr>
            <w:r w:rsidRPr="00E124A0">
              <w:rPr>
                <w:rFonts w:asciiTheme="majorHAnsi" w:hAnsiTheme="majorHAnsi" w:cstheme="majorHAnsi"/>
                <w:b/>
                <w:bCs/>
                <w:sz w:val="20"/>
                <w:szCs w:val="20"/>
              </w:rPr>
              <w:t>100%</w:t>
            </w:r>
          </w:p>
        </w:tc>
        <w:tc>
          <w:tcPr>
            <w:tcW w:w="900" w:type="dxa"/>
            <w:shd w:val="clear" w:color="auto" w:fill="D9E2F3" w:themeFill="accent1" w:themeFillTint="33"/>
            <w:vAlign w:val="center"/>
          </w:tcPr>
          <w:p w14:paraId="1A5EBC04" w14:textId="77777777" w:rsidR="00BE2AAE" w:rsidRPr="00E124A0" w:rsidRDefault="00BE2AAE" w:rsidP="00623EFA">
            <w:pPr>
              <w:spacing w:line="240" w:lineRule="auto"/>
              <w:jc w:val="right"/>
              <w:rPr>
                <w:rFonts w:asciiTheme="majorHAnsi" w:hAnsiTheme="majorHAnsi" w:cstheme="majorHAnsi"/>
                <w:b/>
                <w:bCs/>
                <w:sz w:val="20"/>
                <w:szCs w:val="20"/>
              </w:rPr>
            </w:pPr>
            <w:r w:rsidRPr="00E124A0">
              <w:rPr>
                <w:rFonts w:asciiTheme="majorHAnsi" w:hAnsiTheme="majorHAnsi" w:cstheme="majorHAnsi"/>
                <w:b/>
                <w:bCs/>
                <w:sz w:val="20"/>
                <w:szCs w:val="20"/>
              </w:rPr>
              <w:t>29,253</w:t>
            </w:r>
          </w:p>
        </w:tc>
        <w:tc>
          <w:tcPr>
            <w:tcW w:w="990" w:type="dxa"/>
            <w:shd w:val="clear" w:color="auto" w:fill="D9E2F3" w:themeFill="accent1" w:themeFillTint="33"/>
            <w:vAlign w:val="center"/>
          </w:tcPr>
          <w:p w14:paraId="3F5FB208" w14:textId="77777777" w:rsidR="00BE2AAE" w:rsidRPr="00E124A0" w:rsidRDefault="00BE2AAE" w:rsidP="00623EFA">
            <w:pPr>
              <w:spacing w:line="240" w:lineRule="auto"/>
              <w:jc w:val="right"/>
              <w:rPr>
                <w:rFonts w:asciiTheme="majorHAnsi" w:hAnsiTheme="majorHAnsi" w:cstheme="majorHAnsi"/>
                <w:b/>
                <w:bCs/>
                <w:sz w:val="20"/>
                <w:szCs w:val="20"/>
              </w:rPr>
            </w:pPr>
            <w:r w:rsidRPr="00E124A0">
              <w:rPr>
                <w:rFonts w:asciiTheme="majorHAnsi" w:hAnsiTheme="majorHAnsi" w:cstheme="majorHAnsi"/>
                <w:b/>
                <w:bCs/>
                <w:sz w:val="20"/>
                <w:szCs w:val="20"/>
              </w:rPr>
              <w:t>100%</w:t>
            </w:r>
          </w:p>
        </w:tc>
      </w:tr>
      <w:tr w:rsidR="00BE2AAE" w14:paraId="11F3E427" w14:textId="77777777" w:rsidTr="0096689E">
        <w:trPr>
          <w:cantSplit/>
        </w:trPr>
        <w:tc>
          <w:tcPr>
            <w:tcW w:w="4140" w:type="dxa"/>
            <w:shd w:val="clear" w:color="auto" w:fill="auto"/>
            <w:vAlign w:val="center"/>
          </w:tcPr>
          <w:p w14:paraId="3981E71D" w14:textId="66F6F219" w:rsidR="00BE2AAE" w:rsidRPr="00E124A0" w:rsidRDefault="00BE2AAE" w:rsidP="00607FAE">
            <w:pPr>
              <w:spacing w:line="240" w:lineRule="auto"/>
              <w:rPr>
                <w:rFonts w:asciiTheme="majorHAnsi" w:hAnsiTheme="majorHAnsi" w:cstheme="majorHAnsi"/>
                <w:b/>
                <w:bCs/>
                <w:sz w:val="20"/>
                <w:szCs w:val="20"/>
              </w:rPr>
            </w:pPr>
            <w:r w:rsidRPr="00E124A0">
              <w:rPr>
                <w:rFonts w:asciiTheme="majorHAnsi" w:eastAsia="Times New Roman" w:hAnsiTheme="majorHAnsi" w:cstheme="majorHAnsi"/>
                <w:color w:val="000000"/>
                <w:sz w:val="20"/>
                <w:szCs w:val="20"/>
              </w:rPr>
              <w:t>Age</w:t>
            </w:r>
            <w:r w:rsidR="005707AC">
              <w:rPr>
                <w:rFonts w:asciiTheme="majorHAnsi" w:eastAsia="Times New Roman" w:hAnsiTheme="majorHAnsi" w:cstheme="majorHAnsi"/>
                <w:color w:val="000000"/>
                <w:sz w:val="20"/>
                <w:szCs w:val="20"/>
              </w:rPr>
              <w:t xml:space="preserve">: </w:t>
            </w:r>
            <w:r w:rsidRPr="00E124A0">
              <w:rPr>
                <w:rFonts w:asciiTheme="majorHAnsi" w:eastAsia="Times New Roman" w:hAnsiTheme="majorHAnsi" w:cstheme="majorHAnsi"/>
                <w:color w:val="000000"/>
                <w:sz w:val="20"/>
                <w:szCs w:val="20"/>
              </w:rPr>
              <w:t>0 to 17</w:t>
            </w:r>
          </w:p>
        </w:tc>
        <w:tc>
          <w:tcPr>
            <w:tcW w:w="810" w:type="dxa"/>
            <w:shd w:val="clear" w:color="auto" w:fill="auto"/>
            <w:vAlign w:val="center"/>
          </w:tcPr>
          <w:p w14:paraId="478C1C2D" w14:textId="77777777" w:rsidR="00BE2AAE" w:rsidRPr="00E124A0" w:rsidRDefault="00BE2AAE" w:rsidP="00623EFA">
            <w:pPr>
              <w:spacing w:line="240" w:lineRule="auto"/>
              <w:jc w:val="right"/>
              <w:rPr>
                <w:rFonts w:asciiTheme="majorHAnsi" w:hAnsiTheme="majorHAnsi" w:cstheme="majorHAnsi"/>
                <w:bCs/>
                <w:sz w:val="20"/>
                <w:szCs w:val="20"/>
              </w:rPr>
            </w:pPr>
            <w:r w:rsidRPr="00E124A0">
              <w:rPr>
                <w:rFonts w:asciiTheme="majorHAnsi" w:hAnsiTheme="majorHAnsi" w:cstheme="majorHAnsi"/>
                <w:bCs/>
                <w:sz w:val="20"/>
                <w:szCs w:val="20"/>
              </w:rPr>
              <w:t>2,574</w:t>
            </w:r>
          </w:p>
        </w:tc>
        <w:tc>
          <w:tcPr>
            <w:tcW w:w="990" w:type="dxa"/>
            <w:shd w:val="clear" w:color="auto" w:fill="auto"/>
            <w:vAlign w:val="center"/>
          </w:tcPr>
          <w:p w14:paraId="6521BF9D" w14:textId="77777777" w:rsidR="00BE2AAE" w:rsidRPr="00E124A0" w:rsidRDefault="00BE2AAE" w:rsidP="00623EFA">
            <w:pPr>
              <w:spacing w:line="240" w:lineRule="auto"/>
              <w:jc w:val="right"/>
              <w:rPr>
                <w:rFonts w:asciiTheme="majorHAnsi" w:hAnsiTheme="majorHAnsi" w:cstheme="majorHAnsi"/>
                <w:bCs/>
                <w:sz w:val="20"/>
                <w:szCs w:val="20"/>
              </w:rPr>
            </w:pPr>
            <w:r w:rsidRPr="00E124A0">
              <w:rPr>
                <w:rFonts w:asciiTheme="majorHAnsi" w:hAnsiTheme="majorHAnsi" w:cstheme="majorHAnsi"/>
                <w:bCs/>
                <w:sz w:val="20"/>
                <w:szCs w:val="20"/>
              </w:rPr>
              <w:t>9.5%</w:t>
            </w:r>
          </w:p>
        </w:tc>
        <w:tc>
          <w:tcPr>
            <w:tcW w:w="990" w:type="dxa"/>
            <w:shd w:val="clear" w:color="auto" w:fill="auto"/>
            <w:vAlign w:val="center"/>
          </w:tcPr>
          <w:p w14:paraId="5AC0DEFF" w14:textId="77777777" w:rsidR="00BE2AAE" w:rsidRPr="00E124A0" w:rsidRDefault="00BE2AAE" w:rsidP="00623EFA">
            <w:pPr>
              <w:spacing w:line="240" w:lineRule="auto"/>
              <w:jc w:val="right"/>
              <w:rPr>
                <w:rFonts w:asciiTheme="majorHAnsi" w:hAnsiTheme="majorHAnsi" w:cstheme="majorHAnsi"/>
                <w:bCs/>
                <w:sz w:val="20"/>
                <w:szCs w:val="20"/>
              </w:rPr>
            </w:pPr>
            <w:r w:rsidRPr="00E124A0">
              <w:rPr>
                <w:rFonts w:asciiTheme="majorHAnsi" w:hAnsiTheme="majorHAnsi" w:cstheme="majorHAnsi"/>
                <w:bCs/>
                <w:sz w:val="20"/>
                <w:szCs w:val="20"/>
              </w:rPr>
              <w:t>3,044</w:t>
            </w:r>
          </w:p>
        </w:tc>
        <w:tc>
          <w:tcPr>
            <w:tcW w:w="990" w:type="dxa"/>
            <w:shd w:val="clear" w:color="auto" w:fill="auto"/>
            <w:vAlign w:val="center"/>
          </w:tcPr>
          <w:p w14:paraId="3437CB3B" w14:textId="77777777" w:rsidR="00BE2AAE" w:rsidRPr="00E124A0" w:rsidRDefault="00BE2AAE" w:rsidP="00623EFA">
            <w:pPr>
              <w:spacing w:line="240" w:lineRule="auto"/>
              <w:jc w:val="right"/>
              <w:rPr>
                <w:rFonts w:asciiTheme="majorHAnsi" w:hAnsiTheme="majorHAnsi" w:cstheme="majorHAnsi"/>
                <w:bCs/>
                <w:sz w:val="20"/>
                <w:szCs w:val="20"/>
              </w:rPr>
            </w:pPr>
            <w:r w:rsidRPr="00E124A0">
              <w:rPr>
                <w:rFonts w:asciiTheme="majorHAnsi" w:hAnsiTheme="majorHAnsi" w:cstheme="majorHAnsi"/>
                <w:bCs/>
                <w:sz w:val="20"/>
                <w:szCs w:val="20"/>
              </w:rPr>
              <w:t>10.7%</w:t>
            </w:r>
          </w:p>
        </w:tc>
        <w:tc>
          <w:tcPr>
            <w:tcW w:w="900" w:type="dxa"/>
            <w:shd w:val="clear" w:color="auto" w:fill="auto"/>
            <w:vAlign w:val="center"/>
          </w:tcPr>
          <w:p w14:paraId="5B7C742B" w14:textId="77777777" w:rsidR="00BE2AAE" w:rsidRPr="00E124A0" w:rsidRDefault="00BE2AAE" w:rsidP="00623EFA">
            <w:pPr>
              <w:spacing w:line="240" w:lineRule="auto"/>
              <w:jc w:val="right"/>
              <w:rPr>
                <w:rFonts w:asciiTheme="majorHAnsi" w:hAnsiTheme="majorHAnsi" w:cstheme="majorHAnsi"/>
                <w:bCs/>
                <w:sz w:val="20"/>
                <w:szCs w:val="20"/>
              </w:rPr>
            </w:pPr>
            <w:r w:rsidRPr="00E124A0">
              <w:rPr>
                <w:rFonts w:asciiTheme="majorHAnsi" w:hAnsiTheme="majorHAnsi" w:cstheme="majorHAnsi"/>
                <w:bCs/>
                <w:sz w:val="20"/>
                <w:szCs w:val="20"/>
              </w:rPr>
              <w:t>3,074</w:t>
            </w:r>
          </w:p>
        </w:tc>
        <w:tc>
          <w:tcPr>
            <w:tcW w:w="990" w:type="dxa"/>
            <w:shd w:val="clear" w:color="auto" w:fill="auto"/>
            <w:vAlign w:val="center"/>
          </w:tcPr>
          <w:p w14:paraId="50817860" w14:textId="77777777" w:rsidR="00BE2AAE" w:rsidRPr="00E124A0" w:rsidRDefault="00BE2AAE" w:rsidP="00623EFA">
            <w:pPr>
              <w:spacing w:line="240" w:lineRule="auto"/>
              <w:jc w:val="right"/>
              <w:rPr>
                <w:rFonts w:asciiTheme="majorHAnsi" w:hAnsiTheme="majorHAnsi" w:cstheme="majorHAnsi"/>
                <w:bCs/>
                <w:sz w:val="20"/>
                <w:szCs w:val="20"/>
              </w:rPr>
            </w:pPr>
            <w:r w:rsidRPr="00E124A0">
              <w:rPr>
                <w:rFonts w:asciiTheme="majorHAnsi" w:hAnsiTheme="majorHAnsi" w:cstheme="majorHAnsi"/>
                <w:bCs/>
                <w:sz w:val="20"/>
                <w:szCs w:val="20"/>
              </w:rPr>
              <w:t>10.5%</w:t>
            </w:r>
          </w:p>
        </w:tc>
      </w:tr>
      <w:tr w:rsidR="00BE2AAE" w14:paraId="387F8C9B" w14:textId="77777777" w:rsidTr="0096689E">
        <w:trPr>
          <w:cantSplit/>
        </w:trPr>
        <w:tc>
          <w:tcPr>
            <w:tcW w:w="4140" w:type="dxa"/>
            <w:shd w:val="clear" w:color="auto" w:fill="auto"/>
            <w:vAlign w:val="center"/>
          </w:tcPr>
          <w:p w14:paraId="54846783" w14:textId="0D9029D6" w:rsidR="00BE2AAE" w:rsidRPr="00E124A0" w:rsidRDefault="00BE2AAE" w:rsidP="00607FAE">
            <w:pPr>
              <w:spacing w:line="240" w:lineRule="auto"/>
              <w:rPr>
                <w:rFonts w:asciiTheme="majorHAnsi" w:hAnsiTheme="majorHAnsi" w:cstheme="majorHAnsi"/>
                <w:b/>
                <w:bCs/>
                <w:sz w:val="20"/>
                <w:szCs w:val="20"/>
              </w:rPr>
            </w:pPr>
            <w:r w:rsidRPr="00E124A0">
              <w:rPr>
                <w:rFonts w:asciiTheme="majorHAnsi" w:eastAsia="Times New Roman" w:hAnsiTheme="majorHAnsi" w:cstheme="majorHAnsi"/>
                <w:color w:val="000000"/>
                <w:sz w:val="20"/>
                <w:szCs w:val="20"/>
              </w:rPr>
              <w:t>Age</w:t>
            </w:r>
            <w:r w:rsidR="005707AC">
              <w:rPr>
                <w:rFonts w:asciiTheme="majorHAnsi" w:eastAsia="Times New Roman" w:hAnsiTheme="majorHAnsi" w:cstheme="majorHAnsi"/>
                <w:color w:val="000000"/>
                <w:sz w:val="20"/>
                <w:szCs w:val="20"/>
              </w:rPr>
              <w:t>:</w:t>
            </w:r>
            <w:r w:rsidRPr="00E124A0">
              <w:rPr>
                <w:rFonts w:asciiTheme="majorHAnsi" w:eastAsia="Times New Roman" w:hAnsiTheme="majorHAnsi" w:cstheme="majorHAnsi"/>
                <w:color w:val="000000"/>
                <w:sz w:val="20"/>
                <w:szCs w:val="20"/>
              </w:rPr>
              <w:t xml:space="preserve"> 18 to 25</w:t>
            </w:r>
          </w:p>
        </w:tc>
        <w:tc>
          <w:tcPr>
            <w:tcW w:w="810" w:type="dxa"/>
            <w:shd w:val="clear" w:color="auto" w:fill="auto"/>
            <w:vAlign w:val="center"/>
          </w:tcPr>
          <w:p w14:paraId="7683E108" w14:textId="77777777" w:rsidR="00BE2AAE" w:rsidRPr="00E124A0" w:rsidRDefault="00BE2AAE" w:rsidP="00623EFA">
            <w:pPr>
              <w:spacing w:line="240" w:lineRule="auto"/>
              <w:jc w:val="right"/>
              <w:rPr>
                <w:rFonts w:asciiTheme="majorHAnsi" w:hAnsiTheme="majorHAnsi" w:cstheme="majorHAnsi"/>
                <w:bCs/>
                <w:sz w:val="20"/>
                <w:szCs w:val="20"/>
              </w:rPr>
            </w:pPr>
            <w:r w:rsidRPr="00E124A0">
              <w:rPr>
                <w:rFonts w:asciiTheme="majorHAnsi" w:hAnsiTheme="majorHAnsi" w:cstheme="majorHAnsi"/>
                <w:bCs/>
                <w:sz w:val="20"/>
                <w:szCs w:val="20"/>
              </w:rPr>
              <w:t>2,312</w:t>
            </w:r>
          </w:p>
        </w:tc>
        <w:tc>
          <w:tcPr>
            <w:tcW w:w="990" w:type="dxa"/>
            <w:shd w:val="clear" w:color="auto" w:fill="auto"/>
            <w:vAlign w:val="center"/>
          </w:tcPr>
          <w:p w14:paraId="3C5CE4F2" w14:textId="77777777" w:rsidR="00BE2AAE" w:rsidRPr="00E124A0" w:rsidRDefault="00BE2AAE" w:rsidP="00623EFA">
            <w:pPr>
              <w:spacing w:line="240" w:lineRule="auto"/>
              <w:jc w:val="right"/>
              <w:rPr>
                <w:rFonts w:asciiTheme="majorHAnsi" w:hAnsiTheme="majorHAnsi" w:cstheme="majorHAnsi"/>
                <w:bCs/>
                <w:sz w:val="20"/>
                <w:szCs w:val="20"/>
              </w:rPr>
            </w:pPr>
            <w:r w:rsidRPr="00E124A0">
              <w:rPr>
                <w:rFonts w:asciiTheme="majorHAnsi" w:hAnsiTheme="majorHAnsi" w:cstheme="majorHAnsi"/>
                <w:bCs/>
                <w:sz w:val="20"/>
                <w:szCs w:val="20"/>
              </w:rPr>
              <w:t>8.6%</w:t>
            </w:r>
          </w:p>
        </w:tc>
        <w:tc>
          <w:tcPr>
            <w:tcW w:w="990" w:type="dxa"/>
            <w:shd w:val="clear" w:color="auto" w:fill="auto"/>
            <w:vAlign w:val="center"/>
          </w:tcPr>
          <w:p w14:paraId="52C7E743" w14:textId="77777777" w:rsidR="00BE2AAE" w:rsidRPr="00E124A0" w:rsidRDefault="00BE2AAE" w:rsidP="00623EFA">
            <w:pPr>
              <w:spacing w:line="240" w:lineRule="auto"/>
              <w:jc w:val="right"/>
              <w:rPr>
                <w:rFonts w:asciiTheme="majorHAnsi" w:hAnsiTheme="majorHAnsi" w:cstheme="majorHAnsi"/>
                <w:bCs/>
                <w:sz w:val="20"/>
                <w:szCs w:val="20"/>
              </w:rPr>
            </w:pPr>
            <w:r w:rsidRPr="00E124A0">
              <w:rPr>
                <w:rFonts w:asciiTheme="majorHAnsi" w:hAnsiTheme="majorHAnsi" w:cstheme="majorHAnsi"/>
                <w:bCs/>
                <w:sz w:val="20"/>
                <w:szCs w:val="20"/>
              </w:rPr>
              <w:t>2,303</w:t>
            </w:r>
          </w:p>
        </w:tc>
        <w:tc>
          <w:tcPr>
            <w:tcW w:w="990" w:type="dxa"/>
            <w:shd w:val="clear" w:color="auto" w:fill="auto"/>
            <w:vAlign w:val="center"/>
          </w:tcPr>
          <w:p w14:paraId="59FFDCE4" w14:textId="77777777" w:rsidR="00BE2AAE" w:rsidRPr="00E124A0" w:rsidRDefault="00BE2AAE" w:rsidP="00623EFA">
            <w:pPr>
              <w:spacing w:line="240" w:lineRule="auto"/>
              <w:jc w:val="right"/>
              <w:rPr>
                <w:rFonts w:asciiTheme="majorHAnsi" w:hAnsiTheme="majorHAnsi" w:cstheme="majorHAnsi"/>
                <w:bCs/>
                <w:sz w:val="20"/>
                <w:szCs w:val="20"/>
              </w:rPr>
            </w:pPr>
            <w:r w:rsidRPr="00E124A0">
              <w:rPr>
                <w:rFonts w:asciiTheme="majorHAnsi" w:hAnsiTheme="majorHAnsi" w:cstheme="majorHAnsi"/>
                <w:bCs/>
                <w:sz w:val="20"/>
                <w:szCs w:val="20"/>
              </w:rPr>
              <w:t>8.1%</w:t>
            </w:r>
          </w:p>
        </w:tc>
        <w:tc>
          <w:tcPr>
            <w:tcW w:w="900" w:type="dxa"/>
            <w:shd w:val="clear" w:color="auto" w:fill="auto"/>
            <w:vAlign w:val="center"/>
          </w:tcPr>
          <w:p w14:paraId="47C9F1B7" w14:textId="77777777" w:rsidR="00BE2AAE" w:rsidRPr="00E124A0" w:rsidRDefault="00BE2AAE" w:rsidP="00623EFA">
            <w:pPr>
              <w:spacing w:line="240" w:lineRule="auto"/>
              <w:jc w:val="right"/>
              <w:rPr>
                <w:rFonts w:asciiTheme="majorHAnsi" w:hAnsiTheme="majorHAnsi" w:cstheme="majorHAnsi"/>
                <w:bCs/>
                <w:sz w:val="20"/>
                <w:szCs w:val="20"/>
              </w:rPr>
            </w:pPr>
            <w:r w:rsidRPr="00E124A0">
              <w:rPr>
                <w:rFonts w:asciiTheme="majorHAnsi" w:hAnsiTheme="majorHAnsi" w:cstheme="majorHAnsi"/>
                <w:bCs/>
                <w:sz w:val="20"/>
                <w:szCs w:val="20"/>
              </w:rPr>
              <w:t>2,231</w:t>
            </w:r>
          </w:p>
        </w:tc>
        <w:tc>
          <w:tcPr>
            <w:tcW w:w="990" w:type="dxa"/>
            <w:shd w:val="clear" w:color="auto" w:fill="auto"/>
            <w:vAlign w:val="center"/>
          </w:tcPr>
          <w:p w14:paraId="294ADFFC" w14:textId="77777777" w:rsidR="00BE2AAE" w:rsidRPr="00E124A0" w:rsidRDefault="00BE2AAE" w:rsidP="00623EFA">
            <w:pPr>
              <w:spacing w:line="240" w:lineRule="auto"/>
              <w:jc w:val="right"/>
              <w:rPr>
                <w:rFonts w:asciiTheme="majorHAnsi" w:hAnsiTheme="majorHAnsi" w:cstheme="majorHAnsi"/>
                <w:bCs/>
                <w:sz w:val="20"/>
                <w:szCs w:val="20"/>
              </w:rPr>
            </w:pPr>
            <w:r w:rsidRPr="00E124A0">
              <w:rPr>
                <w:rFonts w:asciiTheme="majorHAnsi" w:hAnsiTheme="majorHAnsi" w:cstheme="majorHAnsi"/>
                <w:bCs/>
                <w:sz w:val="20"/>
                <w:szCs w:val="20"/>
              </w:rPr>
              <w:t>7.6%</w:t>
            </w:r>
          </w:p>
        </w:tc>
      </w:tr>
      <w:tr w:rsidR="00BE2AAE" w14:paraId="4540300F" w14:textId="77777777" w:rsidTr="0096689E">
        <w:trPr>
          <w:cantSplit/>
        </w:trPr>
        <w:tc>
          <w:tcPr>
            <w:tcW w:w="4140" w:type="dxa"/>
            <w:shd w:val="clear" w:color="auto" w:fill="auto"/>
            <w:vAlign w:val="center"/>
          </w:tcPr>
          <w:p w14:paraId="1041E9C8" w14:textId="2B488E6E" w:rsidR="00BE2AAE" w:rsidRPr="00E124A0" w:rsidRDefault="00BE2AAE" w:rsidP="00607FAE">
            <w:pPr>
              <w:spacing w:line="240" w:lineRule="auto"/>
              <w:rPr>
                <w:rFonts w:asciiTheme="majorHAnsi" w:hAnsiTheme="majorHAnsi" w:cstheme="majorHAnsi"/>
                <w:b/>
                <w:bCs/>
                <w:sz w:val="20"/>
                <w:szCs w:val="20"/>
              </w:rPr>
            </w:pPr>
            <w:r w:rsidRPr="00E124A0">
              <w:rPr>
                <w:rFonts w:asciiTheme="majorHAnsi" w:eastAsia="Times New Roman" w:hAnsiTheme="majorHAnsi" w:cstheme="majorHAnsi"/>
                <w:color w:val="000000"/>
                <w:sz w:val="20"/>
                <w:szCs w:val="20"/>
              </w:rPr>
              <w:t>Age</w:t>
            </w:r>
            <w:r w:rsidR="005707AC">
              <w:rPr>
                <w:rFonts w:asciiTheme="majorHAnsi" w:eastAsia="Times New Roman" w:hAnsiTheme="majorHAnsi" w:cstheme="majorHAnsi"/>
                <w:color w:val="000000"/>
                <w:sz w:val="20"/>
                <w:szCs w:val="20"/>
              </w:rPr>
              <w:t>:</w:t>
            </w:r>
            <w:r w:rsidRPr="00E124A0">
              <w:rPr>
                <w:rFonts w:asciiTheme="majorHAnsi" w:eastAsia="Times New Roman" w:hAnsiTheme="majorHAnsi" w:cstheme="majorHAnsi"/>
                <w:color w:val="000000"/>
                <w:sz w:val="20"/>
                <w:szCs w:val="20"/>
              </w:rPr>
              <w:t xml:space="preserve"> 26-45</w:t>
            </w:r>
          </w:p>
        </w:tc>
        <w:tc>
          <w:tcPr>
            <w:tcW w:w="810" w:type="dxa"/>
            <w:shd w:val="clear" w:color="auto" w:fill="auto"/>
            <w:vAlign w:val="center"/>
          </w:tcPr>
          <w:p w14:paraId="4BB25E78" w14:textId="77777777" w:rsidR="00BE2AAE" w:rsidRPr="00E124A0" w:rsidRDefault="00BE2AAE" w:rsidP="00623EFA">
            <w:pPr>
              <w:spacing w:line="240" w:lineRule="auto"/>
              <w:jc w:val="right"/>
              <w:rPr>
                <w:rFonts w:asciiTheme="majorHAnsi" w:hAnsiTheme="majorHAnsi" w:cstheme="majorHAnsi"/>
                <w:bCs/>
                <w:sz w:val="20"/>
                <w:szCs w:val="20"/>
              </w:rPr>
            </w:pPr>
            <w:r w:rsidRPr="00E124A0">
              <w:rPr>
                <w:rFonts w:asciiTheme="majorHAnsi" w:hAnsiTheme="majorHAnsi" w:cstheme="majorHAnsi"/>
                <w:bCs/>
                <w:sz w:val="20"/>
                <w:szCs w:val="20"/>
              </w:rPr>
              <w:t>6,300</w:t>
            </w:r>
          </w:p>
        </w:tc>
        <w:tc>
          <w:tcPr>
            <w:tcW w:w="990" w:type="dxa"/>
            <w:shd w:val="clear" w:color="auto" w:fill="auto"/>
            <w:vAlign w:val="center"/>
          </w:tcPr>
          <w:p w14:paraId="14DF0002" w14:textId="77777777" w:rsidR="00BE2AAE" w:rsidRPr="00E124A0" w:rsidRDefault="00BE2AAE" w:rsidP="00623EFA">
            <w:pPr>
              <w:spacing w:line="240" w:lineRule="auto"/>
              <w:jc w:val="right"/>
              <w:rPr>
                <w:rFonts w:asciiTheme="majorHAnsi" w:hAnsiTheme="majorHAnsi" w:cstheme="majorHAnsi"/>
                <w:bCs/>
                <w:sz w:val="20"/>
                <w:szCs w:val="20"/>
              </w:rPr>
            </w:pPr>
            <w:r w:rsidRPr="00E124A0">
              <w:rPr>
                <w:rFonts w:asciiTheme="majorHAnsi" w:hAnsiTheme="majorHAnsi" w:cstheme="majorHAnsi"/>
                <w:bCs/>
                <w:sz w:val="20"/>
                <w:szCs w:val="20"/>
              </w:rPr>
              <w:t>23.3%</w:t>
            </w:r>
          </w:p>
        </w:tc>
        <w:tc>
          <w:tcPr>
            <w:tcW w:w="990" w:type="dxa"/>
            <w:shd w:val="clear" w:color="auto" w:fill="auto"/>
            <w:vAlign w:val="center"/>
          </w:tcPr>
          <w:p w14:paraId="4A0FFB1B" w14:textId="77777777" w:rsidR="00BE2AAE" w:rsidRPr="00E124A0" w:rsidRDefault="00BE2AAE" w:rsidP="00623EFA">
            <w:pPr>
              <w:spacing w:line="240" w:lineRule="auto"/>
              <w:jc w:val="right"/>
              <w:rPr>
                <w:rFonts w:asciiTheme="majorHAnsi" w:hAnsiTheme="majorHAnsi" w:cstheme="majorHAnsi"/>
                <w:bCs/>
                <w:sz w:val="20"/>
                <w:szCs w:val="20"/>
              </w:rPr>
            </w:pPr>
            <w:r w:rsidRPr="00E124A0">
              <w:rPr>
                <w:rFonts w:asciiTheme="majorHAnsi" w:hAnsiTheme="majorHAnsi" w:cstheme="majorHAnsi"/>
                <w:bCs/>
                <w:sz w:val="20"/>
                <w:szCs w:val="20"/>
              </w:rPr>
              <w:t>6,385</w:t>
            </w:r>
          </w:p>
        </w:tc>
        <w:tc>
          <w:tcPr>
            <w:tcW w:w="990" w:type="dxa"/>
            <w:shd w:val="clear" w:color="auto" w:fill="auto"/>
            <w:vAlign w:val="center"/>
          </w:tcPr>
          <w:p w14:paraId="6221255B" w14:textId="77777777" w:rsidR="00BE2AAE" w:rsidRPr="00E124A0" w:rsidRDefault="00BE2AAE" w:rsidP="00623EFA">
            <w:pPr>
              <w:spacing w:line="240" w:lineRule="auto"/>
              <w:jc w:val="right"/>
              <w:rPr>
                <w:rFonts w:asciiTheme="majorHAnsi" w:hAnsiTheme="majorHAnsi" w:cstheme="majorHAnsi"/>
                <w:bCs/>
                <w:sz w:val="20"/>
                <w:szCs w:val="20"/>
              </w:rPr>
            </w:pPr>
            <w:r w:rsidRPr="00E124A0">
              <w:rPr>
                <w:rFonts w:asciiTheme="majorHAnsi" w:hAnsiTheme="majorHAnsi" w:cstheme="majorHAnsi"/>
                <w:bCs/>
                <w:sz w:val="20"/>
                <w:szCs w:val="20"/>
              </w:rPr>
              <w:t>22.5%</w:t>
            </w:r>
          </w:p>
        </w:tc>
        <w:tc>
          <w:tcPr>
            <w:tcW w:w="900" w:type="dxa"/>
            <w:shd w:val="clear" w:color="auto" w:fill="auto"/>
            <w:vAlign w:val="center"/>
          </w:tcPr>
          <w:p w14:paraId="2CA2F923" w14:textId="77777777" w:rsidR="00BE2AAE" w:rsidRPr="00E124A0" w:rsidRDefault="00BE2AAE" w:rsidP="00623EFA">
            <w:pPr>
              <w:spacing w:line="240" w:lineRule="auto"/>
              <w:jc w:val="right"/>
              <w:rPr>
                <w:rFonts w:asciiTheme="majorHAnsi" w:hAnsiTheme="majorHAnsi" w:cstheme="majorHAnsi"/>
                <w:bCs/>
                <w:sz w:val="20"/>
                <w:szCs w:val="20"/>
              </w:rPr>
            </w:pPr>
            <w:r w:rsidRPr="00E124A0">
              <w:rPr>
                <w:rFonts w:asciiTheme="majorHAnsi" w:hAnsiTheme="majorHAnsi" w:cstheme="majorHAnsi"/>
                <w:bCs/>
                <w:sz w:val="20"/>
                <w:szCs w:val="20"/>
              </w:rPr>
              <w:t>6,592</w:t>
            </w:r>
          </w:p>
        </w:tc>
        <w:tc>
          <w:tcPr>
            <w:tcW w:w="990" w:type="dxa"/>
            <w:shd w:val="clear" w:color="auto" w:fill="auto"/>
            <w:vAlign w:val="center"/>
          </w:tcPr>
          <w:p w14:paraId="033C8ED5" w14:textId="77777777" w:rsidR="00BE2AAE" w:rsidRPr="00E124A0" w:rsidRDefault="00BE2AAE" w:rsidP="00623EFA">
            <w:pPr>
              <w:spacing w:line="240" w:lineRule="auto"/>
              <w:jc w:val="right"/>
              <w:rPr>
                <w:rFonts w:asciiTheme="majorHAnsi" w:hAnsiTheme="majorHAnsi" w:cstheme="majorHAnsi"/>
                <w:bCs/>
                <w:sz w:val="20"/>
                <w:szCs w:val="20"/>
              </w:rPr>
            </w:pPr>
            <w:r w:rsidRPr="00E124A0">
              <w:rPr>
                <w:rFonts w:asciiTheme="majorHAnsi" w:hAnsiTheme="majorHAnsi" w:cstheme="majorHAnsi"/>
                <w:bCs/>
                <w:sz w:val="20"/>
                <w:szCs w:val="20"/>
              </w:rPr>
              <w:t>22.5%</w:t>
            </w:r>
          </w:p>
        </w:tc>
      </w:tr>
      <w:tr w:rsidR="00BE2AAE" w14:paraId="0FD0C684" w14:textId="77777777" w:rsidTr="0096689E">
        <w:trPr>
          <w:cantSplit/>
        </w:trPr>
        <w:tc>
          <w:tcPr>
            <w:tcW w:w="4140" w:type="dxa"/>
            <w:shd w:val="clear" w:color="auto" w:fill="auto"/>
            <w:vAlign w:val="center"/>
          </w:tcPr>
          <w:p w14:paraId="4A808F82" w14:textId="54A33E31" w:rsidR="00BE2AAE" w:rsidRPr="00E124A0" w:rsidRDefault="00BE2AAE" w:rsidP="00607FAE">
            <w:pPr>
              <w:spacing w:line="240" w:lineRule="auto"/>
              <w:rPr>
                <w:rFonts w:asciiTheme="majorHAnsi" w:hAnsiTheme="majorHAnsi" w:cstheme="majorHAnsi"/>
                <w:b/>
                <w:bCs/>
                <w:sz w:val="20"/>
                <w:szCs w:val="20"/>
              </w:rPr>
            </w:pPr>
            <w:r w:rsidRPr="00E124A0">
              <w:rPr>
                <w:rFonts w:asciiTheme="majorHAnsi" w:eastAsia="Times New Roman" w:hAnsiTheme="majorHAnsi" w:cstheme="majorHAnsi"/>
                <w:color w:val="000000"/>
                <w:sz w:val="20"/>
                <w:szCs w:val="20"/>
              </w:rPr>
              <w:t>Age</w:t>
            </w:r>
            <w:r w:rsidR="005707AC">
              <w:rPr>
                <w:rFonts w:asciiTheme="majorHAnsi" w:eastAsia="Times New Roman" w:hAnsiTheme="majorHAnsi" w:cstheme="majorHAnsi"/>
                <w:color w:val="000000"/>
                <w:sz w:val="20"/>
                <w:szCs w:val="20"/>
              </w:rPr>
              <w:t>:</w:t>
            </w:r>
            <w:r w:rsidRPr="00E124A0">
              <w:rPr>
                <w:rFonts w:asciiTheme="majorHAnsi" w:eastAsia="Times New Roman" w:hAnsiTheme="majorHAnsi" w:cstheme="majorHAnsi"/>
                <w:color w:val="000000"/>
                <w:sz w:val="20"/>
                <w:szCs w:val="20"/>
              </w:rPr>
              <w:t xml:space="preserve"> 46-64</w:t>
            </w:r>
          </w:p>
        </w:tc>
        <w:tc>
          <w:tcPr>
            <w:tcW w:w="810" w:type="dxa"/>
            <w:shd w:val="clear" w:color="auto" w:fill="auto"/>
            <w:vAlign w:val="center"/>
          </w:tcPr>
          <w:p w14:paraId="410E59D3" w14:textId="77777777" w:rsidR="00BE2AAE" w:rsidRPr="00E124A0" w:rsidRDefault="00BE2AAE" w:rsidP="00623EFA">
            <w:pPr>
              <w:spacing w:line="240" w:lineRule="auto"/>
              <w:jc w:val="right"/>
              <w:rPr>
                <w:rFonts w:asciiTheme="majorHAnsi" w:hAnsiTheme="majorHAnsi" w:cstheme="majorHAnsi"/>
                <w:bCs/>
                <w:sz w:val="20"/>
                <w:szCs w:val="20"/>
              </w:rPr>
            </w:pPr>
            <w:r w:rsidRPr="00E124A0">
              <w:rPr>
                <w:rFonts w:asciiTheme="majorHAnsi" w:hAnsiTheme="majorHAnsi" w:cstheme="majorHAnsi"/>
                <w:bCs/>
                <w:sz w:val="20"/>
                <w:szCs w:val="20"/>
              </w:rPr>
              <w:t>7,053</w:t>
            </w:r>
          </w:p>
        </w:tc>
        <w:tc>
          <w:tcPr>
            <w:tcW w:w="990" w:type="dxa"/>
            <w:shd w:val="clear" w:color="auto" w:fill="auto"/>
            <w:vAlign w:val="center"/>
          </w:tcPr>
          <w:p w14:paraId="5E98C732" w14:textId="77777777" w:rsidR="00BE2AAE" w:rsidRPr="00E124A0" w:rsidRDefault="00BE2AAE" w:rsidP="00623EFA">
            <w:pPr>
              <w:spacing w:line="240" w:lineRule="auto"/>
              <w:jc w:val="right"/>
              <w:rPr>
                <w:rFonts w:asciiTheme="majorHAnsi" w:hAnsiTheme="majorHAnsi" w:cstheme="majorHAnsi"/>
                <w:bCs/>
                <w:sz w:val="20"/>
                <w:szCs w:val="20"/>
              </w:rPr>
            </w:pPr>
            <w:r w:rsidRPr="00E124A0">
              <w:rPr>
                <w:rFonts w:asciiTheme="majorHAnsi" w:hAnsiTheme="majorHAnsi" w:cstheme="majorHAnsi"/>
                <w:bCs/>
                <w:sz w:val="20"/>
                <w:szCs w:val="20"/>
              </w:rPr>
              <w:t>26.1%</w:t>
            </w:r>
          </w:p>
        </w:tc>
        <w:tc>
          <w:tcPr>
            <w:tcW w:w="990" w:type="dxa"/>
            <w:shd w:val="clear" w:color="auto" w:fill="auto"/>
            <w:vAlign w:val="center"/>
          </w:tcPr>
          <w:p w14:paraId="261EB750" w14:textId="77777777" w:rsidR="00BE2AAE" w:rsidRPr="00E124A0" w:rsidRDefault="00BE2AAE" w:rsidP="00623EFA">
            <w:pPr>
              <w:spacing w:line="240" w:lineRule="auto"/>
              <w:jc w:val="right"/>
              <w:rPr>
                <w:rFonts w:asciiTheme="majorHAnsi" w:hAnsiTheme="majorHAnsi" w:cstheme="majorHAnsi"/>
                <w:bCs/>
                <w:sz w:val="20"/>
                <w:szCs w:val="20"/>
              </w:rPr>
            </w:pPr>
            <w:r w:rsidRPr="00E124A0">
              <w:rPr>
                <w:rFonts w:asciiTheme="majorHAnsi" w:hAnsiTheme="majorHAnsi" w:cstheme="majorHAnsi"/>
                <w:bCs/>
                <w:sz w:val="20"/>
                <w:szCs w:val="20"/>
              </w:rPr>
              <w:t>7,069</w:t>
            </w:r>
          </w:p>
        </w:tc>
        <w:tc>
          <w:tcPr>
            <w:tcW w:w="990" w:type="dxa"/>
            <w:shd w:val="clear" w:color="auto" w:fill="auto"/>
            <w:vAlign w:val="center"/>
          </w:tcPr>
          <w:p w14:paraId="036B2BFE" w14:textId="77777777" w:rsidR="00BE2AAE" w:rsidRPr="00E124A0" w:rsidRDefault="00BE2AAE" w:rsidP="00623EFA">
            <w:pPr>
              <w:spacing w:line="240" w:lineRule="auto"/>
              <w:jc w:val="right"/>
              <w:rPr>
                <w:rFonts w:asciiTheme="majorHAnsi" w:hAnsiTheme="majorHAnsi" w:cstheme="majorHAnsi"/>
                <w:bCs/>
                <w:sz w:val="20"/>
                <w:szCs w:val="20"/>
              </w:rPr>
            </w:pPr>
            <w:r w:rsidRPr="00E124A0">
              <w:rPr>
                <w:rFonts w:asciiTheme="majorHAnsi" w:hAnsiTheme="majorHAnsi" w:cstheme="majorHAnsi"/>
                <w:bCs/>
                <w:sz w:val="20"/>
                <w:szCs w:val="20"/>
              </w:rPr>
              <w:t>24.9%</w:t>
            </w:r>
          </w:p>
        </w:tc>
        <w:tc>
          <w:tcPr>
            <w:tcW w:w="900" w:type="dxa"/>
            <w:shd w:val="clear" w:color="auto" w:fill="auto"/>
            <w:vAlign w:val="center"/>
          </w:tcPr>
          <w:p w14:paraId="41835E07" w14:textId="77777777" w:rsidR="00BE2AAE" w:rsidRPr="00E124A0" w:rsidRDefault="00BE2AAE" w:rsidP="00623EFA">
            <w:pPr>
              <w:spacing w:line="240" w:lineRule="auto"/>
              <w:jc w:val="right"/>
              <w:rPr>
                <w:rFonts w:asciiTheme="majorHAnsi" w:hAnsiTheme="majorHAnsi" w:cstheme="majorHAnsi"/>
                <w:bCs/>
                <w:sz w:val="20"/>
                <w:szCs w:val="20"/>
              </w:rPr>
            </w:pPr>
            <w:r w:rsidRPr="00E124A0">
              <w:rPr>
                <w:rFonts w:asciiTheme="majorHAnsi" w:hAnsiTheme="majorHAnsi" w:cstheme="majorHAnsi"/>
                <w:bCs/>
                <w:sz w:val="20"/>
                <w:szCs w:val="20"/>
              </w:rPr>
              <w:t>7,079</w:t>
            </w:r>
          </w:p>
        </w:tc>
        <w:tc>
          <w:tcPr>
            <w:tcW w:w="990" w:type="dxa"/>
            <w:shd w:val="clear" w:color="auto" w:fill="auto"/>
            <w:vAlign w:val="center"/>
          </w:tcPr>
          <w:p w14:paraId="67BB1991" w14:textId="77777777" w:rsidR="00BE2AAE" w:rsidRPr="00E124A0" w:rsidRDefault="00BE2AAE" w:rsidP="00623EFA">
            <w:pPr>
              <w:spacing w:line="240" w:lineRule="auto"/>
              <w:jc w:val="right"/>
              <w:rPr>
                <w:rFonts w:asciiTheme="majorHAnsi" w:hAnsiTheme="majorHAnsi" w:cstheme="majorHAnsi"/>
                <w:bCs/>
                <w:sz w:val="20"/>
                <w:szCs w:val="20"/>
              </w:rPr>
            </w:pPr>
            <w:r w:rsidRPr="00E124A0">
              <w:rPr>
                <w:rFonts w:asciiTheme="majorHAnsi" w:hAnsiTheme="majorHAnsi" w:cstheme="majorHAnsi"/>
                <w:bCs/>
                <w:sz w:val="20"/>
                <w:szCs w:val="20"/>
              </w:rPr>
              <w:t>24.2%</w:t>
            </w:r>
          </w:p>
        </w:tc>
      </w:tr>
      <w:tr w:rsidR="00BE2AAE" w14:paraId="2EA02433" w14:textId="77777777" w:rsidTr="0096689E">
        <w:trPr>
          <w:cantSplit/>
        </w:trPr>
        <w:tc>
          <w:tcPr>
            <w:tcW w:w="4140" w:type="dxa"/>
            <w:shd w:val="clear" w:color="auto" w:fill="auto"/>
            <w:vAlign w:val="center"/>
          </w:tcPr>
          <w:p w14:paraId="575C6C93" w14:textId="1250B964" w:rsidR="00BE2AAE" w:rsidRPr="00E124A0" w:rsidRDefault="00BE2AAE" w:rsidP="00607FAE">
            <w:pPr>
              <w:spacing w:line="240" w:lineRule="auto"/>
              <w:rPr>
                <w:rFonts w:asciiTheme="majorHAnsi" w:hAnsiTheme="majorHAnsi" w:cstheme="majorHAnsi"/>
                <w:b/>
                <w:bCs/>
                <w:sz w:val="20"/>
                <w:szCs w:val="20"/>
              </w:rPr>
            </w:pPr>
            <w:r w:rsidRPr="00E124A0">
              <w:rPr>
                <w:rFonts w:asciiTheme="majorHAnsi" w:eastAsia="Times New Roman" w:hAnsiTheme="majorHAnsi" w:cstheme="majorHAnsi"/>
                <w:color w:val="000000"/>
                <w:sz w:val="20"/>
                <w:szCs w:val="20"/>
              </w:rPr>
              <w:t>Age</w:t>
            </w:r>
            <w:r w:rsidR="005707AC">
              <w:rPr>
                <w:rFonts w:asciiTheme="majorHAnsi" w:eastAsia="Times New Roman" w:hAnsiTheme="majorHAnsi" w:cstheme="majorHAnsi"/>
                <w:color w:val="000000"/>
                <w:sz w:val="20"/>
                <w:szCs w:val="20"/>
              </w:rPr>
              <w:t>:</w:t>
            </w:r>
            <w:r w:rsidRPr="00E124A0">
              <w:rPr>
                <w:rFonts w:asciiTheme="majorHAnsi" w:eastAsia="Times New Roman" w:hAnsiTheme="majorHAnsi" w:cstheme="majorHAnsi"/>
                <w:color w:val="000000"/>
                <w:sz w:val="20"/>
                <w:szCs w:val="20"/>
              </w:rPr>
              <w:t xml:space="preserve"> 65+</w:t>
            </w:r>
          </w:p>
        </w:tc>
        <w:tc>
          <w:tcPr>
            <w:tcW w:w="810" w:type="dxa"/>
            <w:shd w:val="clear" w:color="auto" w:fill="auto"/>
            <w:vAlign w:val="center"/>
          </w:tcPr>
          <w:p w14:paraId="0FBE2D34" w14:textId="77777777" w:rsidR="00BE2AAE" w:rsidRPr="00E124A0" w:rsidRDefault="00BE2AAE" w:rsidP="00623EFA">
            <w:pPr>
              <w:spacing w:line="240" w:lineRule="auto"/>
              <w:jc w:val="right"/>
              <w:rPr>
                <w:rFonts w:asciiTheme="majorHAnsi" w:hAnsiTheme="majorHAnsi" w:cstheme="majorHAnsi"/>
                <w:bCs/>
                <w:sz w:val="20"/>
                <w:szCs w:val="20"/>
              </w:rPr>
            </w:pPr>
            <w:r w:rsidRPr="00E124A0">
              <w:rPr>
                <w:rFonts w:asciiTheme="majorHAnsi" w:hAnsiTheme="majorHAnsi" w:cstheme="majorHAnsi"/>
                <w:bCs/>
                <w:sz w:val="20"/>
                <w:szCs w:val="20"/>
              </w:rPr>
              <w:t>8,771</w:t>
            </w:r>
          </w:p>
        </w:tc>
        <w:tc>
          <w:tcPr>
            <w:tcW w:w="990" w:type="dxa"/>
            <w:shd w:val="clear" w:color="auto" w:fill="auto"/>
            <w:vAlign w:val="center"/>
          </w:tcPr>
          <w:p w14:paraId="0DD8E9A7" w14:textId="77777777" w:rsidR="00BE2AAE" w:rsidRPr="00E124A0" w:rsidRDefault="00BE2AAE" w:rsidP="00623EFA">
            <w:pPr>
              <w:spacing w:line="240" w:lineRule="auto"/>
              <w:jc w:val="right"/>
              <w:rPr>
                <w:rFonts w:asciiTheme="majorHAnsi" w:hAnsiTheme="majorHAnsi" w:cstheme="majorHAnsi"/>
                <w:bCs/>
                <w:sz w:val="20"/>
                <w:szCs w:val="20"/>
              </w:rPr>
            </w:pPr>
            <w:r w:rsidRPr="00E124A0">
              <w:rPr>
                <w:rFonts w:asciiTheme="majorHAnsi" w:hAnsiTheme="majorHAnsi" w:cstheme="majorHAnsi"/>
                <w:bCs/>
                <w:sz w:val="20"/>
                <w:szCs w:val="20"/>
              </w:rPr>
              <w:t>32.5%</w:t>
            </w:r>
          </w:p>
        </w:tc>
        <w:tc>
          <w:tcPr>
            <w:tcW w:w="990" w:type="dxa"/>
            <w:shd w:val="clear" w:color="auto" w:fill="auto"/>
            <w:vAlign w:val="center"/>
          </w:tcPr>
          <w:p w14:paraId="55886344" w14:textId="77777777" w:rsidR="00BE2AAE" w:rsidRPr="00E124A0" w:rsidRDefault="00BE2AAE" w:rsidP="00623EFA">
            <w:pPr>
              <w:spacing w:line="240" w:lineRule="auto"/>
              <w:jc w:val="right"/>
              <w:rPr>
                <w:rFonts w:asciiTheme="majorHAnsi" w:hAnsiTheme="majorHAnsi" w:cstheme="majorHAnsi"/>
                <w:bCs/>
                <w:sz w:val="20"/>
                <w:szCs w:val="20"/>
              </w:rPr>
            </w:pPr>
            <w:r w:rsidRPr="00E124A0">
              <w:rPr>
                <w:rFonts w:asciiTheme="majorHAnsi" w:hAnsiTheme="majorHAnsi" w:cstheme="majorHAnsi"/>
                <w:bCs/>
                <w:sz w:val="20"/>
                <w:szCs w:val="20"/>
              </w:rPr>
              <w:t>9,586</w:t>
            </w:r>
          </w:p>
        </w:tc>
        <w:tc>
          <w:tcPr>
            <w:tcW w:w="990" w:type="dxa"/>
            <w:shd w:val="clear" w:color="auto" w:fill="auto"/>
            <w:vAlign w:val="center"/>
          </w:tcPr>
          <w:p w14:paraId="6C54F8FF" w14:textId="77777777" w:rsidR="00BE2AAE" w:rsidRPr="00E124A0" w:rsidRDefault="00BE2AAE" w:rsidP="00623EFA">
            <w:pPr>
              <w:spacing w:line="240" w:lineRule="auto"/>
              <w:jc w:val="right"/>
              <w:rPr>
                <w:rFonts w:asciiTheme="majorHAnsi" w:hAnsiTheme="majorHAnsi" w:cstheme="majorHAnsi"/>
                <w:bCs/>
                <w:sz w:val="20"/>
                <w:szCs w:val="20"/>
              </w:rPr>
            </w:pPr>
            <w:r w:rsidRPr="00E124A0">
              <w:rPr>
                <w:rFonts w:asciiTheme="majorHAnsi" w:hAnsiTheme="majorHAnsi" w:cstheme="majorHAnsi"/>
                <w:bCs/>
                <w:sz w:val="20"/>
                <w:szCs w:val="20"/>
              </w:rPr>
              <w:t>33.8%</w:t>
            </w:r>
          </w:p>
        </w:tc>
        <w:tc>
          <w:tcPr>
            <w:tcW w:w="900" w:type="dxa"/>
            <w:shd w:val="clear" w:color="auto" w:fill="auto"/>
            <w:vAlign w:val="center"/>
          </w:tcPr>
          <w:p w14:paraId="12E151EA" w14:textId="77777777" w:rsidR="00BE2AAE" w:rsidRPr="00E124A0" w:rsidRDefault="00BE2AAE" w:rsidP="00623EFA">
            <w:pPr>
              <w:spacing w:line="240" w:lineRule="auto"/>
              <w:jc w:val="right"/>
              <w:rPr>
                <w:rFonts w:asciiTheme="majorHAnsi" w:hAnsiTheme="majorHAnsi" w:cstheme="majorHAnsi"/>
                <w:bCs/>
                <w:sz w:val="20"/>
                <w:szCs w:val="20"/>
              </w:rPr>
            </w:pPr>
            <w:r w:rsidRPr="00E124A0">
              <w:rPr>
                <w:rFonts w:asciiTheme="majorHAnsi" w:hAnsiTheme="majorHAnsi" w:cstheme="majorHAnsi"/>
                <w:bCs/>
                <w:sz w:val="20"/>
                <w:szCs w:val="20"/>
              </w:rPr>
              <w:t>10,277</w:t>
            </w:r>
          </w:p>
        </w:tc>
        <w:tc>
          <w:tcPr>
            <w:tcW w:w="990" w:type="dxa"/>
            <w:shd w:val="clear" w:color="auto" w:fill="auto"/>
            <w:vAlign w:val="center"/>
          </w:tcPr>
          <w:p w14:paraId="69103A79" w14:textId="77777777" w:rsidR="00BE2AAE" w:rsidRPr="00E124A0" w:rsidRDefault="00BE2AAE" w:rsidP="00623EFA">
            <w:pPr>
              <w:spacing w:line="240" w:lineRule="auto"/>
              <w:jc w:val="right"/>
              <w:rPr>
                <w:rFonts w:asciiTheme="majorHAnsi" w:hAnsiTheme="majorHAnsi" w:cstheme="majorHAnsi"/>
                <w:bCs/>
                <w:sz w:val="20"/>
                <w:szCs w:val="20"/>
              </w:rPr>
            </w:pPr>
            <w:r w:rsidRPr="00E124A0">
              <w:rPr>
                <w:rFonts w:asciiTheme="majorHAnsi" w:hAnsiTheme="majorHAnsi" w:cstheme="majorHAnsi"/>
                <w:bCs/>
                <w:sz w:val="20"/>
                <w:szCs w:val="20"/>
              </w:rPr>
              <w:t>35.1%</w:t>
            </w:r>
          </w:p>
        </w:tc>
      </w:tr>
      <w:tr w:rsidR="00BE2AAE" w14:paraId="40C3F746" w14:textId="77777777" w:rsidTr="0096689E">
        <w:trPr>
          <w:cantSplit/>
        </w:trPr>
        <w:tc>
          <w:tcPr>
            <w:tcW w:w="4140" w:type="dxa"/>
            <w:shd w:val="clear" w:color="auto" w:fill="auto"/>
            <w:vAlign w:val="center"/>
          </w:tcPr>
          <w:p w14:paraId="5099961D" w14:textId="21567F52" w:rsidR="00BE2AAE" w:rsidRPr="00E124A0" w:rsidRDefault="00BE2AAE" w:rsidP="00607FAE">
            <w:pPr>
              <w:spacing w:line="240" w:lineRule="auto"/>
              <w:rPr>
                <w:rFonts w:asciiTheme="majorHAnsi" w:hAnsiTheme="majorHAnsi" w:cstheme="majorHAnsi"/>
                <w:b/>
                <w:bCs/>
                <w:sz w:val="20"/>
                <w:szCs w:val="20"/>
              </w:rPr>
            </w:pPr>
            <w:r w:rsidRPr="00E124A0">
              <w:rPr>
                <w:rFonts w:asciiTheme="majorHAnsi" w:eastAsia="Times New Roman" w:hAnsiTheme="majorHAnsi" w:cstheme="majorHAnsi"/>
                <w:color w:val="000000"/>
                <w:sz w:val="20"/>
                <w:szCs w:val="20"/>
              </w:rPr>
              <w:t>Gender</w:t>
            </w:r>
            <w:r w:rsidR="005707AC">
              <w:rPr>
                <w:rFonts w:asciiTheme="majorHAnsi" w:eastAsia="Times New Roman" w:hAnsiTheme="majorHAnsi" w:cstheme="majorHAnsi"/>
                <w:color w:val="000000"/>
                <w:sz w:val="20"/>
                <w:szCs w:val="20"/>
              </w:rPr>
              <w:t>:</w:t>
            </w:r>
            <w:r w:rsidRPr="00E124A0">
              <w:rPr>
                <w:rFonts w:asciiTheme="majorHAnsi" w:eastAsia="Times New Roman" w:hAnsiTheme="majorHAnsi" w:cstheme="majorHAnsi"/>
                <w:color w:val="000000"/>
                <w:sz w:val="20"/>
                <w:szCs w:val="20"/>
              </w:rPr>
              <w:t xml:space="preserve"> Male</w:t>
            </w:r>
          </w:p>
        </w:tc>
        <w:tc>
          <w:tcPr>
            <w:tcW w:w="810" w:type="dxa"/>
            <w:shd w:val="clear" w:color="auto" w:fill="auto"/>
            <w:vAlign w:val="center"/>
          </w:tcPr>
          <w:p w14:paraId="2F20AB5B" w14:textId="77777777" w:rsidR="00BE2AAE" w:rsidRPr="00E124A0" w:rsidRDefault="00BE2AAE" w:rsidP="00623EFA">
            <w:pPr>
              <w:spacing w:line="240" w:lineRule="auto"/>
              <w:jc w:val="right"/>
              <w:rPr>
                <w:rFonts w:asciiTheme="majorHAnsi" w:hAnsiTheme="majorHAnsi" w:cstheme="majorHAnsi"/>
                <w:bCs/>
                <w:sz w:val="20"/>
                <w:szCs w:val="20"/>
              </w:rPr>
            </w:pPr>
            <w:r w:rsidRPr="00E124A0">
              <w:rPr>
                <w:rFonts w:asciiTheme="majorHAnsi" w:hAnsiTheme="majorHAnsi" w:cstheme="majorHAnsi"/>
                <w:bCs/>
                <w:sz w:val="20"/>
                <w:szCs w:val="20"/>
              </w:rPr>
              <w:t>13,042</w:t>
            </w:r>
          </w:p>
        </w:tc>
        <w:tc>
          <w:tcPr>
            <w:tcW w:w="990" w:type="dxa"/>
            <w:shd w:val="clear" w:color="auto" w:fill="auto"/>
            <w:vAlign w:val="center"/>
          </w:tcPr>
          <w:p w14:paraId="135A8D37" w14:textId="77777777" w:rsidR="00BE2AAE" w:rsidRPr="00E124A0" w:rsidRDefault="00BE2AAE" w:rsidP="00623EFA">
            <w:pPr>
              <w:spacing w:line="240" w:lineRule="auto"/>
              <w:jc w:val="right"/>
              <w:rPr>
                <w:rFonts w:asciiTheme="majorHAnsi" w:hAnsiTheme="majorHAnsi" w:cstheme="majorHAnsi"/>
                <w:bCs/>
                <w:sz w:val="20"/>
                <w:szCs w:val="20"/>
              </w:rPr>
            </w:pPr>
            <w:r w:rsidRPr="00E124A0">
              <w:rPr>
                <w:rFonts w:asciiTheme="majorHAnsi" w:hAnsiTheme="majorHAnsi" w:cstheme="majorHAnsi"/>
                <w:bCs/>
                <w:sz w:val="20"/>
                <w:szCs w:val="20"/>
              </w:rPr>
              <w:t>48.3%</w:t>
            </w:r>
          </w:p>
        </w:tc>
        <w:tc>
          <w:tcPr>
            <w:tcW w:w="990" w:type="dxa"/>
            <w:shd w:val="clear" w:color="auto" w:fill="auto"/>
            <w:vAlign w:val="center"/>
          </w:tcPr>
          <w:p w14:paraId="13E83194" w14:textId="77777777" w:rsidR="00BE2AAE" w:rsidRPr="00E124A0" w:rsidRDefault="00BE2AAE" w:rsidP="00623EFA">
            <w:pPr>
              <w:spacing w:line="240" w:lineRule="auto"/>
              <w:jc w:val="right"/>
              <w:rPr>
                <w:rFonts w:asciiTheme="majorHAnsi" w:hAnsiTheme="majorHAnsi" w:cstheme="majorHAnsi"/>
                <w:bCs/>
                <w:sz w:val="20"/>
                <w:szCs w:val="20"/>
              </w:rPr>
            </w:pPr>
            <w:r w:rsidRPr="00E124A0">
              <w:rPr>
                <w:rFonts w:asciiTheme="majorHAnsi" w:hAnsiTheme="majorHAnsi" w:cstheme="majorHAnsi"/>
                <w:bCs/>
                <w:sz w:val="20"/>
                <w:szCs w:val="20"/>
              </w:rPr>
              <w:t>13,633</w:t>
            </w:r>
          </w:p>
        </w:tc>
        <w:tc>
          <w:tcPr>
            <w:tcW w:w="990" w:type="dxa"/>
            <w:shd w:val="clear" w:color="auto" w:fill="auto"/>
            <w:vAlign w:val="center"/>
          </w:tcPr>
          <w:p w14:paraId="4DC2AFE4" w14:textId="77777777" w:rsidR="00BE2AAE" w:rsidRPr="00E124A0" w:rsidRDefault="00BE2AAE" w:rsidP="00623EFA">
            <w:pPr>
              <w:spacing w:line="240" w:lineRule="auto"/>
              <w:jc w:val="right"/>
              <w:rPr>
                <w:rFonts w:asciiTheme="majorHAnsi" w:hAnsiTheme="majorHAnsi" w:cstheme="majorHAnsi"/>
                <w:bCs/>
                <w:sz w:val="20"/>
                <w:szCs w:val="20"/>
              </w:rPr>
            </w:pPr>
            <w:r w:rsidRPr="00E124A0">
              <w:rPr>
                <w:rFonts w:asciiTheme="majorHAnsi" w:hAnsiTheme="majorHAnsi" w:cstheme="majorHAnsi"/>
                <w:bCs/>
                <w:sz w:val="20"/>
                <w:szCs w:val="20"/>
              </w:rPr>
              <w:t>48.0%</w:t>
            </w:r>
          </w:p>
        </w:tc>
        <w:tc>
          <w:tcPr>
            <w:tcW w:w="900" w:type="dxa"/>
            <w:shd w:val="clear" w:color="auto" w:fill="auto"/>
            <w:vAlign w:val="center"/>
          </w:tcPr>
          <w:p w14:paraId="40E28F5A" w14:textId="77777777" w:rsidR="00BE2AAE" w:rsidRPr="00E124A0" w:rsidRDefault="00BE2AAE" w:rsidP="00623EFA">
            <w:pPr>
              <w:spacing w:line="240" w:lineRule="auto"/>
              <w:jc w:val="right"/>
              <w:rPr>
                <w:rFonts w:asciiTheme="majorHAnsi" w:hAnsiTheme="majorHAnsi" w:cstheme="majorHAnsi"/>
                <w:bCs/>
                <w:sz w:val="20"/>
                <w:szCs w:val="20"/>
              </w:rPr>
            </w:pPr>
            <w:r w:rsidRPr="00E124A0">
              <w:rPr>
                <w:rFonts w:asciiTheme="majorHAnsi" w:hAnsiTheme="majorHAnsi" w:cstheme="majorHAnsi"/>
                <w:bCs/>
                <w:sz w:val="20"/>
                <w:szCs w:val="20"/>
              </w:rPr>
              <w:t>13,986</w:t>
            </w:r>
          </w:p>
        </w:tc>
        <w:tc>
          <w:tcPr>
            <w:tcW w:w="990" w:type="dxa"/>
            <w:shd w:val="clear" w:color="auto" w:fill="auto"/>
            <w:vAlign w:val="center"/>
          </w:tcPr>
          <w:p w14:paraId="4EA23B26" w14:textId="77777777" w:rsidR="00BE2AAE" w:rsidRPr="00E124A0" w:rsidRDefault="00BE2AAE" w:rsidP="00623EFA">
            <w:pPr>
              <w:spacing w:line="240" w:lineRule="auto"/>
              <w:jc w:val="right"/>
              <w:rPr>
                <w:rFonts w:asciiTheme="majorHAnsi" w:hAnsiTheme="majorHAnsi" w:cstheme="majorHAnsi"/>
                <w:bCs/>
                <w:sz w:val="20"/>
                <w:szCs w:val="20"/>
              </w:rPr>
            </w:pPr>
            <w:r w:rsidRPr="00E124A0">
              <w:rPr>
                <w:rFonts w:asciiTheme="majorHAnsi" w:hAnsiTheme="majorHAnsi" w:cstheme="majorHAnsi"/>
                <w:bCs/>
                <w:sz w:val="20"/>
                <w:szCs w:val="20"/>
              </w:rPr>
              <w:t>47.8%</w:t>
            </w:r>
          </w:p>
        </w:tc>
      </w:tr>
      <w:tr w:rsidR="00BE2AAE" w14:paraId="6167D9B2" w14:textId="77777777" w:rsidTr="0096689E">
        <w:trPr>
          <w:cantSplit/>
        </w:trPr>
        <w:tc>
          <w:tcPr>
            <w:tcW w:w="4140" w:type="dxa"/>
            <w:shd w:val="clear" w:color="auto" w:fill="auto"/>
            <w:vAlign w:val="center"/>
          </w:tcPr>
          <w:p w14:paraId="38F2036F" w14:textId="6B21D2BC" w:rsidR="00BE2AAE" w:rsidRPr="00E124A0" w:rsidRDefault="00BE2AAE" w:rsidP="00607FAE">
            <w:pPr>
              <w:spacing w:line="240" w:lineRule="auto"/>
              <w:rPr>
                <w:rFonts w:asciiTheme="majorHAnsi" w:eastAsia="Times New Roman" w:hAnsiTheme="majorHAnsi" w:cstheme="majorHAnsi"/>
                <w:color w:val="000000"/>
                <w:sz w:val="20"/>
                <w:szCs w:val="20"/>
              </w:rPr>
            </w:pPr>
            <w:r w:rsidRPr="00E124A0">
              <w:rPr>
                <w:rFonts w:asciiTheme="majorHAnsi" w:eastAsia="Times New Roman" w:hAnsiTheme="majorHAnsi" w:cstheme="majorHAnsi"/>
                <w:color w:val="000000"/>
                <w:sz w:val="20"/>
                <w:szCs w:val="20"/>
              </w:rPr>
              <w:t>Gender</w:t>
            </w:r>
            <w:r w:rsidR="005707AC">
              <w:rPr>
                <w:rFonts w:asciiTheme="majorHAnsi" w:eastAsia="Times New Roman" w:hAnsiTheme="majorHAnsi" w:cstheme="majorHAnsi"/>
                <w:color w:val="000000"/>
                <w:sz w:val="20"/>
                <w:szCs w:val="20"/>
              </w:rPr>
              <w:t>:</w:t>
            </w:r>
            <w:r w:rsidRPr="00E124A0">
              <w:rPr>
                <w:rFonts w:asciiTheme="majorHAnsi" w:eastAsia="Times New Roman" w:hAnsiTheme="majorHAnsi" w:cstheme="majorHAnsi"/>
                <w:color w:val="000000"/>
                <w:sz w:val="20"/>
                <w:szCs w:val="20"/>
              </w:rPr>
              <w:t xml:space="preserve"> Female</w:t>
            </w:r>
            <w:r w:rsidRPr="00E124A0">
              <w:rPr>
                <w:rStyle w:val="FootnoteReference"/>
                <w:rFonts w:asciiTheme="majorHAnsi" w:eastAsia="Times New Roman" w:hAnsiTheme="majorHAnsi" w:cstheme="majorHAnsi"/>
                <w:color w:val="000000"/>
                <w:sz w:val="20"/>
                <w:szCs w:val="20"/>
              </w:rPr>
              <w:footnoteReference w:id="12"/>
            </w:r>
          </w:p>
        </w:tc>
        <w:tc>
          <w:tcPr>
            <w:tcW w:w="810" w:type="dxa"/>
            <w:shd w:val="clear" w:color="auto" w:fill="auto"/>
            <w:vAlign w:val="center"/>
          </w:tcPr>
          <w:p w14:paraId="377A8C58" w14:textId="77777777" w:rsidR="00BE2AAE" w:rsidRPr="00E124A0" w:rsidRDefault="00BE2AAE" w:rsidP="00623EFA">
            <w:pPr>
              <w:spacing w:line="240" w:lineRule="auto"/>
              <w:jc w:val="right"/>
              <w:rPr>
                <w:rFonts w:asciiTheme="majorHAnsi" w:eastAsia="Times New Roman" w:hAnsiTheme="majorHAnsi" w:cstheme="majorHAnsi"/>
                <w:color w:val="000000"/>
                <w:sz w:val="20"/>
                <w:szCs w:val="20"/>
              </w:rPr>
            </w:pPr>
            <w:r w:rsidRPr="00E124A0">
              <w:rPr>
                <w:rFonts w:asciiTheme="majorHAnsi" w:eastAsia="Times New Roman" w:hAnsiTheme="majorHAnsi" w:cstheme="majorHAnsi"/>
                <w:color w:val="000000"/>
                <w:sz w:val="20"/>
                <w:szCs w:val="20"/>
              </w:rPr>
              <w:t>13,968</w:t>
            </w:r>
          </w:p>
        </w:tc>
        <w:tc>
          <w:tcPr>
            <w:tcW w:w="990" w:type="dxa"/>
            <w:shd w:val="clear" w:color="auto" w:fill="auto"/>
            <w:vAlign w:val="center"/>
          </w:tcPr>
          <w:p w14:paraId="7366EFB2" w14:textId="77777777" w:rsidR="00BE2AAE" w:rsidRPr="00E124A0" w:rsidRDefault="00BE2AAE" w:rsidP="00623EFA">
            <w:pPr>
              <w:spacing w:line="240" w:lineRule="auto"/>
              <w:jc w:val="right"/>
              <w:rPr>
                <w:rFonts w:asciiTheme="majorHAnsi" w:eastAsia="Times New Roman" w:hAnsiTheme="majorHAnsi" w:cstheme="majorHAnsi"/>
                <w:color w:val="000000"/>
                <w:sz w:val="20"/>
                <w:szCs w:val="20"/>
              </w:rPr>
            </w:pPr>
            <w:r w:rsidRPr="00E124A0">
              <w:rPr>
                <w:rFonts w:asciiTheme="majorHAnsi" w:eastAsia="Times New Roman" w:hAnsiTheme="majorHAnsi" w:cstheme="majorHAnsi"/>
                <w:color w:val="000000"/>
                <w:sz w:val="20"/>
                <w:szCs w:val="20"/>
              </w:rPr>
              <w:t>51.7%</w:t>
            </w:r>
          </w:p>
        </w:tc>
        <w:tc>
          <w:tcPr>
            <w:tcW w:w="990" w:type="dxa"/>
            <w:shd w:val="clear" w:color="auto" w:fill="auto"/>
            <w:vAlign w:val="center"/>
          </w:tcPr>
          <w:p w14:paraId="4F0676CD" w14:textId="77777777" w:rsidR="00BE2AAE" w:rsidRPr="00E124A0" w:rsidRDefault="00BE2AAE" w:rsidP="00623EFA">
            <w:pPr>
              <w:spacing w:line="240" w:lineRule="auto"/>
              <w:jc w:val="right"/>
              <w:rPr>
                <w:rFonts w:asciiTheme="majorHAnsi" w:eastAsia="Times New Roman" w:hAnsiTheme="majorHAnsi" w:cstheme="majorHAnsi"/>
                <w:color w:val="000000"/>
                <w:sz w:val="20"/>
                <w:szCs w:val="20"/>
              </w:rPr>
            </w:pPr>
            <w:r w:rsidRPr="00E124A0">
              <w:rPr>
                <w:rFonts w:asciiTheme="majorHAnsi" w:eastAsia="Times New Roman" w:hAnsiTheme="majorHAnsi" w:cstheme="majorHAnsi"/>
                <w:color w:val="000000"/>
                <w:sz w:val="20"/>
                <w:szCs w:val="20"/>
              </w:rPr>
              <w:t>14,754</w:t>
            </w:r>
          </w:p>
        </w:tc>
        <w:tc>
          <w:tcPr>
            <w:tcW w:w="990" w:type="dxa"/>
            <w:shd w:val="clear" w:color="auto" w:fill="auto"/>
            <w:vAlign w:val="center"/>
          </w:tcPr>
          <w:p w14:paraId="4608691E" w14:textId="77777777" w:rsidR="00BE2AAE" w:rsidRPr="00E124A0" w:rsidRDefault="00BE2AAE" w:rsidP="00623EFA">
            <w:pPr>
              <w:spacing w:line="240" w:lineRule="auto"/>
              <w:jc w:val="right"/>
              <w:rPr>
                <w:rFonts w:asciiTheme="majorHAnsi" w:eastAsia="Times New Roman" w:hAnsiTheme="majorHAnsi" w:cstheme="majorHAnsi"/>
                <w:color w:val="000000"/>
                <w:sz w:val="20"/>
                <w:szCs w:val="20"/>
              </w:rPr>
            </w:pPr>
            <w:r w:rsidRPr="00E124A0">
              <w:rPr>
                <w:rFonts w:asciiTheme="majorHAnsi" w:eastAsia="Times New Roman" w:hAnsiTheme="majorHAnsi" w:cstheme="majorHAnsi"/>
                <w:color w:val="000000"/>
                <w:sz w:val="20"/>
                <w:szCs w:val="20"/>
              </w:rPr>
              <w:t>52.0%</w:t>
            </w:r>
          </w:p>
        </w:tc>
        <w:tc>
          <w:tcPr>
            <w:tcW w:w="900" w:type="dxa"/>
            <w:shd w:val="clear" w:color="auto" w:fill="auto"/>
            <w:vAlign w:val="center"/>
          </w:tcPr>
          <w:p w14:paraId="4BB58B26" w14:textId="77777777" w:rsidR="00BE2AAE" w:rsidRPr="00E124A0" w:rsidRDefault="00BE2AAE" w:rsidP="00623EFA">
            <w:pPr>
              <w:spacing w:line="240" w:lineRule="auto"/>
              <w:jc w:val="right"/>
              <w:rPr>
                <w:rFonts w:asciiTheme="majorHAnsi" w:eastAsia="Times New Roman" w:hAnsiTheme="majorHAnsi" w:cstheme="majorHAnsi"/>
                <w:color w:val="000000"/>
                <w:sz w:val="20"/>
                <w:szCs w:val="20"/>
              </w:rPr>
            </w:pPr>
            <w:r w:rsidRPr="00E124A0">
              <w:rPr>
                <w:rFonts w:asciiTheme="majorHAnsi" w:eastAsia="Times New Roman" w:hAnsiTheme="majorHAnsi" w:cstheme="majorHAnsi"/>
                <w:color w:val="000000"/>
                <w:sz w:val="20"/>
                <w:szCs w:val="20"/>
              </w:rPr>
              <w:t>15,267</w:t>
            </w:r>
          </w:p>
        </w:tc>
        <w:tc>
          <w:tcPr>
            <w:tcW w:w="990" w:type="dxa"/>
            <w:shd w:val="clear" w:color="auto" w:fill="auto"/>
            <w:vAlign w:val="center"/>
          </w:tcPr>
          <w:p w14:paraId="0EA81630" w14:textId="77777777" w:rsidR="00BE2AAE" w:rsidRPr="00E124A0" w:rsidRDefault="00BE2AAE" w:rsidP="00623EFA">
            <w:pPr>
              <w:spacing w:line="240" w:lineRule="auto"/>
              <w:jc w:val="right"/>
              <w:rPr>
                <w:rFonts w:asciiTheme="majorHAnsi" w:eastAsia="Times New Roman" w:hAnsiTheme="majorHAnsi" w:cstheme="majorHAnsi"/>
                <w:color w:val="000000"/>
                <w:sz w:val="20"/>
                <w:szCs w:val="20"/>
              </w:rPr>
            </w:pPr>
            <w:r w:rsidRPr="00E124A0">
              <w:rPr>
                <w:rFonts w:asciiTheme="majorHAnsi" w:eastAsia="Times New Roman" w:hAnsiTheme="majorHAnsi" w:cstheme="majorHAnsi"/>
                <w:color w:val="000000"/>
                <w:sz w:val="20"/>
                <w:szCs w:val="20"/>
              </w:rPr>
              <w:t>52.2%</w:t>
            </w:r>
          </w:p>
        </w:tc>
      </w:tr>
      <w:tr w:rsidR="00BE2AAE" w14:paraId="5C8D8074" w14:textId="77777777" w:rsidTr="0096689E">
        <w:trPr>
          <w:cantSplit/>
        </w:trPr>
        <w:tc>
          <w:tcPr>
            <w:tcW w:w="4140" w:type="dxa"/>
            <w:shd w:val="clear" w:color="auto" w:fill="auto"/>
            <w:vAlign w:val="center"/>
          </w:tcPr>
          <w:p w14:paraId="68176C96" w14:textId="1551E1A4" w:rsidR="00BE2AAE" w:rsidRPr="00E124A0" w:rsidRDefault="00BE2AAE" w:rsidP="00607FAE">
            <w:pPr>
              <w:spacing w:line="240" w:lineRule="auto"/>
              <w:rPr>
                <w:rFonts w:asciiTheme="majorHAnsi" w:eastAsia="Times New Roman" w:hAnsiTheme="majorHAnsi" w:cstheme="majorHAnsi"/>
                <w:color w:val="000000"/>
                <w:sz w:val="20"/>
                <w:szCs w:val="20"/>
              </w:rPr>
            </w:pPr>
            <w:r w:rsidRPr="00E124A0">
              <w:rPr>
                <w:rFonts w:asciiTheme="majorHAnsi" w:eastAsia="Times New Roman" w:hAnsiTheme="majorHAnsi" w:cstheme="majorHAnsi"/>
                <w:color w:val="000000"/>
                <w:sz w:val="20"/>
                <w:szCs w:val="20"/>
              </w:rPr>
              <w:t>Race</w:t>
            </w:r>
            <w:r w:rsidR="005707AC">
              <w:rPr>
                <w:rFonts w:asciiTheme="majorHAnsi" w:eastAsia="Times New Roman" w:hAnsiTheme="majorHAnsi" w:cstheme="majorHAnsi"/>
                <w:color w:val="000000"/>
                <w:sz w:val="20"/>
                <w:szCs w:val="20"/>
              </w:rPr>
              <w:t xml:space="preserve">: </w:t>
            </w:r>
            <w:r w:rsidRPr="00E124A0">
              <w:rPr>
                <w:rFonts w:asciiTheme="majorHAnsi" w:eastAsia="Times New Roman" w:hAnsiTheme="majorHAnsi" w:cstheme="majorHAnsi"/>
                <w:color w:val="000000"/>
                <w:sz w:val="20"/>
                <w:szCs w:val="20"/>
              </w:rPr>
              <w:t>White</w:t>
            </w:r>
          </w:p>
        </w:tc>
        <w:tc>
          <w:tcPr>
            <w:tcW w:w="810" w:type="dxa"/>
            <w:shd w:val="clear" w:color="auto" w:fill="auto"/>
            <w:vAlign w:val="center"/>
          </w:tcPr>
          <w:p w14:paraId="65AD980C" w14:textId="77777777" w:rsidR="00BE2AAE" w:rsidRPr="00E124A0" w:rsidRDefault="00BE2AAE" w:rsidP="00623EFA">
            <w:pPr>
              <w:spacing w:line="240" w:lineRule="auto"/>
              <w:jc w:val="right"/>
              <w:rPr>
                <w:rFonts w:asciiTheme="majorHAnsi" w:eastAsia="Times New Roman" w:hAnsiTheme="majorHAnsi" w:cstheme="majorHAnsi"/>
                <w:color w:val="000000"/>
                <w:sz w:val="20"/>
                <w:szCs w:val="20"/>
              </w:rPr>
            </w:pPr>
            <w:r w:rsidRPr="00E124A0">
              <w:rPr>
                <w:rFonts w:asciiTheme="majorHAnsi" w:eastAsia="Times New Roman" w:hAnsiTheme="majorHAnsi" w:cstheme="majorHAnsi"/>
                <w:color w:val="000000"/>
                <w:sz w:val="20"/>
                <w:szCs w:val="20"/>
              </w:rPr>
              <w:t>25,428</w:t>
            </w:r>
          </w:p>
        </w:tc>
        <w:tc>
          <w:tcPr>
            <w:tcW w:w="990" w:type="dxa"/>
            <w:shd w:val="clear" w:color="auto" w:fill="auto"/>
            <w:vAlign w:val="center"/>
          </w:tcPr>
          <w:p w14:paraId="4FAEF13B" w14:textId="77777777" w:rsidR="00BE2AAE" w:rsidRPr="00E124A0" w:rsidRDefault="00BE2AAE" w:rsidP="00623EFA">
            <w:pPr>
              <w:spacing w:line="240" w:lineRule="auto"/>
              <w:jc w:val="right"/>
              <w:rPr>
                <w:rFonts w:asciiTheme="majorHAnsi" w:eastAsia="Times New Roman" w:hAnsiTheme="majorHAnsi" w:cstheme="majorHAnsi"/>
                <w:color w:val="000000"/>
                <w:sz w:val="20"/>
                <w:szCs w:val="20"/>
              </w:rPr>
            </w:pPr>
            <w:r w:rsidRPr="00E124A0">
              <w:rPr>
                <w:rFonts w:asciiTheme="majorHAnsi" w:eastAsia="Times New Roman" w:hAnsiTheme="majorHAnsi" w:cstheme="majorHAnsi"/>
                <w:color w:val="000000"/>
                <w:sz w:val="20"/>
                <w:szCs w:val="20"/>
              </w:rPr>
              <w:t>94.1%</w:t>
            </w:r>
          </w:p>
        </w:tc>
        <w:tc>
          <w:tcPr>
            <w:tcW w:w="990" w:type="dxa"/>
            <w:shd w:val="clear" w:color="auto" w:fill="auto"/>
            <w:vAlign w:val="center"/>
          </w:tcPr>
          <w:p w14:paraId="05693B5B" w14:textId="77777777" w:rsidR="00BE2AAE" w:rsidRPr="00E124A0" w:rsidRDefault="00BE2AAE" w:rsidP="00623EFA">
            <w:pPr>
              <w:spacing w:line="240" w:lineRule="auto"/>
              <w:jc w:val="right"/>
              <w:rPr>
                <w:rFonts w:asciiTheme="majorHAnsi" w:eastAsia="Times New Roman" w:hAnsiTheme="majorHAnsi" w:cstheme="majorHAnsi"/>
                <w:color w:val="000000"/>
                <w:sz w:val="20"/>
                <w:szCs w:val="20"/>
              </w:rPr>
            </w:pPr>
            <w:r w:rsidRPr="00E124A0">
              <w:rPr>
                <w:rFonts w:asciiTheme="majorHAnsi" w:eastAsia="Times New Roman" w:hAnsiTheme="majorHAnsi" w:cstheme="majorHAnsi"/>
                <w:color w:val="000000"/>
                <w:sz w:val="20"/>
                <w:szCs w:val="20"/>
              </w:rPr>
              <w:t>26,389</w:t>
            </w:r>
          </w:p>
        </w:tc>
        <w:tc>
          <w:tcPr>
            <w:tcW w:w="990" w:type="dxa"/>
            <w:shd w:val="clear" w:color="auto" w:fill="auto"/>
            <w:vAlign w:val="center"/>
          </w:tcPr>
          <w:p w14:paraId="3116BA25" w14:textId="77777777" w:rsidR="00BE2AAE" w:rsidRPr="00E124A0" w:rsidRDefault="00BE2AAE" w:rsidP="00623EFA">
            <w:pPr>
              <w:spacing w:line="240" w:lineRule="auto"/>
              <w:jc w:val="right"/>
              <w:rPr>
                <w:rFonts w:asciiTheme="majorHAnsi" w:eastAsia="Times New Roman" w:hAnsiTheme="majorHAnsi" w:cstheme="majorHAnsi"/>
                <w:color w:val="000000"/>
                <w:sz w:val="20"/>
                <w:szCs w:val="20"/>
              </w:rPr>
            </w:pPr>
            <w:r w:rsidRPr="00E124A0">
              <w:rPr>
                <w:rFonts w:asciiTheme="majorHAnsi" w:eastAsia="Times New Roman" w:hAnsiTheme="majorHAnsi" w:cstheme="majorHAnsi"/>
                <w:color w:val="000000"/>
                <w:sz w:val="20"/>
                <w:szCs w:val="20"/>
              </w:rPr>
              <w:t>93.0%</w:t>
            </w:r>
          </w:p>
        </w:tc>
        <w:tc>
          <w:tcPr>
            <w:tcW w:w="900" w:type="dxa"/>
            <w:shd w:val="clear" w:color="auto" w:fill="auto"/>
            <w:vAlign w:val="center"/>
          </w:tcPr>
          <w:p w14:paraId="4FEFFE19" w14:textId="77777777" w:rsidR="00BE2AAE" w:rsidRPr="00E124A0" w:rsidRDefault="00BE2AAE" w:rsidP="00623EFA">
            <w:pPr>
              <w:spacing w:line="240" w:lineRule="auto"/>
              <w:jc w:val="right"/>
              <w:rPr>
                <w:rFonts w:asciiTheme="majorHAnsi" w:eastAsia="Times New Roman" w:hAnsiTheme="majorHAnsi" w:cstheme="majorHAnsi"/>
                <w:color w:val="000000"/>
                <w:sz w:val="20"/>
                <w:szCs w:val="20"/>
              </w:rPr>
            </w:pPr>
            <w:r w:rsidRPr="00E124A0">
              <w:rPr>
                <w:rFonts w:asciiTheme="majorHAnsi" w:eastAsia="Times New Roman" w:hAnsiTheme="majorHAnsi" w:cstheme="majorHAnsi"/>
                <w:color w:val="000000"/>
                <w:sz w:val="20"/>
                <w:szCs w:val="20"/>
              </w:rPr>
              <w:t>26,941</w:t>
            </w:r>
          </w:p>
        </w:tc>
        <w:tc>
          <w:tcPr>
            <w:tcW w:w="990" w:type="dxa"/>
            <w:shd w:val="clear" w:color="auto" w:fill="auto"/>
            <w:vAlign w:val="center"/>
          </w:tcPr>
          <w:p w14:paraId="44F3EB0F" w14:textId="77777777" w:rsidR="00BE2AAE" w:rsidRPr="00E124A0" w:rsidRDefault="00BE2AAE" w:rsidP="00623EFA">
            <w:pPr>
              <w:spacing w:line="240" w:lineRule="auto"/>
              <w:jc w:val="right"/>
              <w:rPr>
                <w:rFonts w:asciiTheme="majorHAnsi" w:eastAsia="Times New Roman" w:hAnsiTheme="majorHAnsi" w:cstheme="majorHAnsi"/>
                <w:color w:val="000000"/>
                <w:sz w:val="20"/>
                <w:szCs w:val="20"/>
              </w:rPr>
            </w:pPr>
            <w:r w:rsidRPr="00E124A0">
              <w:rPr>
                <w:rFonts w:asciiTheme="majorHAnsi" w:eastAsia="Times New Roman" w:hAnsiTheme="majorHAnsi" w:cstheme="majorHAnsi"/>
                <w:color w:val="000000"/>
                <w:sz w:val="20"/>
                <w:szCs w:val="20"/>
              </w:rPr>
              <w:t>92.1%</w:t>
            </w:r>
          </w:p>
        </w:tc>
      </w:tr>
      <w:tr w:rsidR="00BE2AAE" w14:paraId="27C9B2EE" w14:textId="77777777" w:rsidTr="0096689E">
        <w:trPr>
          <w:cantSplit/>
        </w:trPr>
        <w:tc>
          <w:tcPr>
            <w:tcW w:w="4140" w:type="dxa"/>
            <w:shd w:val="clear" w:color="auto" w:fill="auto"/>
            <w:vAlign w:val="center"/>
          </w:tcPr>
          <w:p w14:paraId="3B85D275" w14:textId="5647DEAD" w:rsidR="00BE2AAE" w:rsidRPr="00E124A0" w:rsidRDefault="00BE2AAE" w:rsidP="00607FAE">
            <w:pPr>
              <w:spacing w:line="240" w:lineRule="auto"/>
              <w:rPr>
                <w:rFonts w:asciiTheme="majorHAnsi" w:eastAsia="Times New Roman" w:hAnsiTheme="majorHAnsi" w:cstheme="majorHAnsi"/>
                <w:color w:val="000000"/>
                <w:sz w:val="20"/>
                <w:szCs w:val="20"/>
              </w:rPr>
            </w:pPr>
            <w:r w:rsidRPr="00E124A0">
              <w:rPr>
                <w:rFonts w:asciiTheme="majorHAnsi" w:eastAsia="Times New Roman" w:hAnsiTheme="majorHAnsi" w:cstheme="majorHAnsi"/>
                <w:color w:val="000000"/>
                <w:sz w:val="20"/>
                <w:szCs w:val="20"/>
              </w:rPr>
              <w:t>Race</w:t>
            </w:r>
            <w:r w:rsidR="005707AC">
              <w:rPr>
                <w:rFonts w:asciiTheme="majorHAnsi" w:eastAsia="Times New Roman" w:hAnsiTheme="majorHAnsi" w:cstheme="majorHAnsi"/>
                <w:color w:val="000000"/>
                <w:sz w:val="20"/>
                <w:szCs w:val="20"/>
              </w:rPr>
              <w:t>:</w:t>
            </w:r>
            <w:r w:rsidRPr="00E124A0">
              <w:rPr>
                <w:rFonts w:asciiTheme="majorHAnsi" w:eastAsia="Times New Roman" w:hAnsiTheme="majorHAnsi" w:cstheme="majorHAnsi"/>
                <w:color w:val="000000"/>
                <w:sz w:val="20"/>
                <w:szCs w:val="20"/>
              </w:rPr>
              <w:t xml:space="preserve"> Black or African American</w:t>
            </w:r>
          </w:p>
        </w:tc>
        <w:tc>
          <w:tcPr>
            <w:tcW w:w="810" w:type="dxa"/>
            <w:shd w:val="clear" w:color="auto" w:fill="auto"/>
            <w:vAlign w:val="center"/>
          </w:tcPr>
          <w:p w14:paraId="17E7B70F" w14:textId="77777777" w:rsidR="00BE2AAE" w:rsidRPr="00E124A0" w:rsidRDefault="00BE2AAE" w:rsidP="00623EFA">
            <w:pPr>
              <w:spacing w:line="240" w:lineRule="auto"/>
              <w:jc w:val="right"/>
              <w:rPr>
                <w:rFonts w:asciiTheme="majorHAnsi" w:eastAsia="Times New Roman" w:hAnsiTheme="majorHAnsi" w:cstheme="majorHAnsi"/>
                <w:color w:val="000000"/>
                <w:sz w:val="20"/>
                <w:szCs w:val="20"/>
              </w:rPr>
            </w:pPr>
            <w:r w:rsidRPr="00E124A0">
              <w:rPr>
                <w:rFonts w:asciiTheme="majorHAnsi" w:eastAsia="Times New Roman" w:hAnsiTheme="majorHAnsi" w:cstheme="majorHAnsi"/>
                <w:color w:val="000000"/>
                <w:sz w:val="20"/>
                <w:szCs w:val="20"/>
              </w:rPr>
              <w:t>882</w:t>
            </w:r>
          </w:p>
        </w:tc>
        <w:tc>
          <w:tcPr>
            <w:tcW w:w="990" w:type="dxa"/>
            <w:shd w:val="clear" w:color="auto" w:fill="auto"/>
            <w:vAlign w:val="center"/>
          </w:tcPr>
          <w:p w14:paraId="2F668B26" w14:textId="77777777" w:rsidR="00BE2AAE" w:rsidRPr="00E124A0" w:rsidRDefault="00BE2AAE" w:rsidP="00623EFA">
            <w:pPr>
              <w:spacing w:line="240" w:lineRule="auto"/>
              <w:jc w:val="right"/>
              <w:rPr>
                <w:rFonts w:asciiTheme="majorHAnsi" w:eastAsia="Times New Roman" w:hAnsiTheme="majorHAnsi" w:cstheme="majorHAnsi"/>
                <w:color w:val="000000"/>
                <w:sz w:val="20"/>
                <w:szCs w:val="20"/>
              </w:rPr>
            </w:pPr>
            <w:r w:rsidRPr="00E124A0">
              <w:rPr>
                <w:rFonts w:asciiTheme="majorHAnsi" w:eastAsia="Times New Roman" w:hAnsiTheme="majorHAnsi" w:cstheme="majorHAnsi"/>
                <w:color w:val="000000"/>
                <w:sz w:val="20"/>
                <w:szCs w:val="20"/>
              </w:rPr>
              <w:t>3.3%</w:t>
            </w:r>
          </w:p>
        </w:tc>
        <w:tc>
          <w:tcPr>
            <w:tcW w:w="990" w:type="dxa"/>
            <w:shd w:val="clear" w:color="auto" w:fill="auto"/>
            <w:vAlign w:val="center"/>
          </w:tcPr>
          <w:p w14:paraId="0BF4FC56" w14:textId="77777777" w:rsidR="00BE2AAE" w:rsidRPr="00E124A0" w:rsidRDefault="00BE2AAE" w:rsidP="00623EFA">
            <w:pPr>
              <w:spacing w:line="240" w:lineRule="auto"/>
              <w:jc w:val="right"/>
              <w:rPr>
                <w:rFonts w:asciiTheme="majorHAnsi" w:eastAsia="Times New Roman" w:hAnsiTheme="majorHAnsi" w:cstheme="majorHAnsi"/>
                <w:color w:val="000000"/>
                <w:sz w:val="20"/>
                <w:szCs w:val="20"/>
              </w:rPr>
            </w:pPr>
            <w:r w:rsidRPr="00E124A0">
              <w:rPr>
                <w:rFonts w:asciiTheme="majorHAnsi" w:eastAsia="Times New Roman" w:hAnsiTheme="majorHAnsi" w:cstheme="majorHAnsi"/>
                <w:color w:val="000000"/>
                <w:sz w:val="20"/>
                <w:szCs w:val="20"/>
              </w:rPr>
              <w:t>960</w:t>
            </w:r>
          </w:p>
        </w:tc>
        <w:tc>
          <w:tcPr>
            <w:tcW w:w="990" w:type="dxa"/>
            <w:shd w:val="clear" w:color="auto" w:fill="auto"/>
            <w:vAlign w:val="center"/>
          </w:tcPr>
          <w:p w14:paraId="50812650" w14:textId="77777777" w:rsidR="00BE2AAE" w:rsidRPr="00E124A0" w:rsidRDefault="00BE2AAE" w:rsidP="00623EFA">
            <w:pPr>
              <w:spacing w:line="240" w:lineRule="auto"/>
              <w:jc w:val="right"/>
              <w:rPr>
                <w:rFonts w:asciiTheme="majorHAnsi" w:eastAsia="Times New Roman" w:hAnsiTheme="majorHAnsi" w:cstheme="majorHAnsi"/>
                <w:color w:val="000000"/>
                <w:sz w:val="20"/>
                <w:szCs w:val="20"/>
              </w:rPr>
            </w:pPr>
            <w:r w:rsidRPr="00E124A0">
              <w:rPr>
                <w:rFonts w:asciiTheme="majorHAnsi" w:eastAsia="Times New Roman" w:hAnsiTheme="majorHAnsi" w:cstheme="majorHAnsi"/>
                <w:color w:val="000000"/>
                <w:sz w:val="20"/>
                <w:szCs w:val="20"/>
              </w:rPr>
              <w:t>3.4%</w:t>
            </w:r>
          </w:p>
        </w:tc>
        <w:tc>
          <w:tcPr>
            <w:tcW w:w="900" w:type="dxa"/>
            <w:shd w:val="clear" w:color="auto" w:fill="auto"/>
            <w:vAlign w:val="center"/>
          </w:tcPr>
          <w:p w14:paraId="05A7B850" w14:textId="77777777" w:rsidR="00BE2AAE" w:rsidRPr="00E124A0" w:rsidRDefault="00BE2AAE" w:rsidP="00623EFA">
            <w:pPr>
              <w:spacing w:line="240" w:lineRule="auto"/>
              <w:jc w:val="right"/>
              <w:rPr>
                <w:rFonts w:asciiTheme="majorHAnsi" w:eastAsia="Times New Roman" w:hAnsiTheme="majorHAnsi" w:cstheme="majorHAnsi"/>
                <w:color w:val="000000"/>
                <w:sz w:val="20"/>
                <w:szCs w:val="20"/>
              </w:rPr>
            </w:pPr>
            <w:r w:rsidRPr="00E124A0">
              <w:rPr>
                <w:rFonts w:asciiTheme="majorHAnsi" w:eastAsia="Times New Roman" w:hAnsiTheme="majorHAnsi" w:cstheme="majorHAnsi"/>
                <w:color w:val="000000"/>
                <w:sz w:val="20"/>
                <w:szCs w:val="20"/>
              </w:rPr>
              <w:t>1,072</w:t>
            </w:r>
          </w:p>
        </w:tc>
        <w:tc>
          <w:tcPr>
            <w:tcW w:w="990" w:type="dxa"/>
            <w:shd w:val="clear" w:color="auto" w:fill="auto"/>
            <w:vAlign w:val="center"/>
          </w:tcPr>
          <w:p w14:paraId="0E568219" w14:textId="77777777" w:rsidR="00BE2AAE" w:rsidRPr="00E124A0" w:rsidRDefault="00BE2AAE" w:rsidP="00623EFA">
            <w:pPr>
              <w:spacing w:line="240" w:lineRule="auto"/>
              <w:jc w:val="right"/>
              <w:rPr>
                <w:rFonts w:asciiTheme="majorHAnsi" w:eastAsia="Times New Roman" w:hAnsiTheme="majorHAnsi" w:cstheme="majorHAnsi"/>
                <w:color w:val="000000"/>
                <w:sz w:val="20"/>
                <w:szCs w:val="20"/>
              </w:rPr>
            </w:pPr>
            <w:r w:rsidRPr="00E124A0">
              <w:rPr>
                <w:rFonts w:asciiTheme="majorHAnsi" w:eastAsia="Times New Roman" w:hAnsiTheme="majorHAnsi" w:cstheme="majorHAnsi"/>
                <w:color w:val="000000"/>
                <w:sz w:val="20"/>
                <w:szCs w:val="20"/>
              </w:rPr>
              <w:t>3.7%</w:t>
            </w:r>
          </w:p>
        </w:tc>
      </w:tr>
      <w:tr w:rsidR="00BE2AAE" w14:paraId="13D4C4FD" w14:textId="77777777" w:rsidTr="0096689E">
        <w:trPr>
          <w:cantSplit/>
        </w:trPr>
        <w:tc>
          <w:tcPr>
            <w:tcW w:w="4140" w:type="dxa"/>
            <w:shd w:val="clear" w:color="auto" w:fill="auto"/>
            <w:vAlign w:val="center"/>
          </w:tcPr>
          <w:p w14:paraId="7FE210A0" w14:textId="67038C5D" w:rsidR="00BE2AAE" w:rsidRPr="00E124A0" w:rsidRDefault="00BE2AAE" w:rsidP="00607FAE">
            <w:pPr>
              <w:spacing w:line="240" w:lineRule="auto"/>
              <w:rPr>
                <w:rFonts w:asciiTheme="majorHAnsi" w:eastAsia="Times New Roman" w:hAnsiTheme="majorHAnsi" w:cstheme="majorHAnsi"/>
                <w:color w:val="000000"/>
                <w:sz w:val="20"/>
                <w:szCs w:val="20"/>
              </w:rPr>
            </w:pPr>
            <w:r w:rsidRPr="00E124A0">
              <w:rPr>
                <w:rFonts w:asciiTheme="majorHAnsi" w:eastAsia="Times New Roman" w:hAnsiTheme="majorHAnsi" w:cstheme="majorHAnsi"/>
                <w:color w:val="000000"/>
                <w:sz w:val="20"/>
                <w:szCs w:val="20"/>
              </w:rPr>
              <w:t>Race</w:t>
            </w:r>
            <w:r w:rsidR="005707AC">
              <w:rPr>
                <w:rFonts w:asciiTheme="majorHAnsi" w:eastAsia="Times New Roman" w:hAnsiTheme="majorHAnsi" w:cstheme="majorHAnsi"/>
                <w:color w:val="000000"/>
                <w:sz w:val="20"/>
                <w:szCs w:val="20"/>
              </w:rPr>
              <w:t>:</w:t>
            </w:r>
            <w:r w:rsidRPr="00E124A0">
              <w:rPr>
                <w:rFonts w:asciiTheme="majorHAnsi" w:eastAsia="Times New Roman" w:hAnsiTheme="majorHAnsi" w:cstheme="majorHAnsi"/>
                <w:color w:val="000000"/>
                <w:sz w:val="20"/>
                <w:szCs w:val="20"/>
              </w:rPr>
              <w:t xml:space="preserve"> American Indian or Alaska Native</w:t>
            </w:r>
          </w:p>
        </w:tc>
        <w:tc>
          <w:tcPr>
            <w:tcW w:w="810" w:type="dxa"/>
            <w:shd w:val="clear" w:color="auto" w:fill="auto"/>
            <w:vAlign w:val="center"/>
          </w:tcPr>
          <w:p w14:paraId="1EA4C4DC" w14:textId="77777777" w:rsidR="00BE2AAE" w:rsidRPr="00E124A0" w:rsidRDefault="00BE2AAE" w:rsidP="00623EFA">
            <w:pPr>
              <w:spacing w:line="240" w:lineRule="auto"/>
              <w:jc w:val="right"/>
              <w:rPr>
                <w:rFonts w:asciiTheme="majorHAnsi" w:eastAsia="Times New Roman" w:hAnsiTheme="majorHAnsi" w:cstheme="majorHAnsi"/>
                <w:color w:val="000000"/>
                <w:sz w:val="20"/>
                <w:szCs w:val="20"/>
              </w:rPr>
            </w:pPr>
            <w:r w:rsidRPr="00E124A0">
              <w:rPr>
                <w:rFonts w:asciiTheme="majorHAnsi" w:eastAsia="Times New Roman" w:hAnsiTheme="majorHAnsi" w:cstheme="majorHAnsi"/>
                <w:color w:val="000000"/>
                <w:sz w:val="20"/>
                <w:szCs w:val="20"/>
              </w:rPr>
              <w:t>32</w:t>
            </w:r>
          </w:p>
        </w:tc>
        <w:tc>
          <w:tcPr>
            <w:tcW w:w="990" w:type="dxa"/>
            <w:shd w:val="clear" w:color="auto" w:fill="auto"/>
            <w:vAlign w:val="center"/>
          </w:tcPr>
          <w:p w14:paraId="3220F3C7" w14:textId="77777777" w:rsidR="00BE2AAE" w:rsidRPr="00E124A0" w:rsidRDefault="00BE2AAE" w:rsidP="00623EFA">
            <w:pPr>
              <w:spacing w:line="240" w:lineRule="auto"/>
              <w:jc w:val="right"/>
              <w:rPr>
                <w:rFonts w:asciiTheme="majorHAnsi" w:eastAsia="Times New Roman" w:hAnsiTheme="majorHAnsi" w:cstheme="majorHAnsi"/>
                <w:color w:val="000000"/>
                <w:sz w:val="20"/>
                <w:szCs w:val="20"/>
              </w:rPr>
            </w:pPr>
            <w:r w:rsidRPr="00E124A0">
              <w:rPr>
                <w:rFonts w:asciiTheme="majorHAnsi" w:eastAsia="Times New Roman" w:hAnsiTheme="majorHAnsi" w:cstheme="majorHAnsi"/>
                <w:color w:val="000000"/>
                <w:sz w:val="20"/>
                <w:szCs w:val="20"/>
              </w:rPr>
              <w:t>0.1%</w:t>
            </w:r>
          </w:p>
        </w:tc>
        <w:tc>
          <w:tcPr>
            <w:tcW w:w="990" w:type="dxa"/>
            <w:shd w:val="clear" w:color="auto" w:fill="auto"/>
            <w:vAlign w:val="center"/>
          </w:tcPr>
          <w:p w14:paraId="3534FA8D" w14:textId="77777777" w:rsidR="00BE2AAE" w:rsidRPr="00E124A0" w:rsidRDefault="00BE2AAE" w:rsidP="00623EFA">
            <w:pPr>
              <w:spacing w:line="240" w:lineRule="auto"/>
              <w:jc w:val="right"/>
              <w:rPr>
                <w:rFonts w:asciiTheme="majorHAnsi" w:eastAsia="Times New Roman" w:hAnsiTheme="majorHAnsi" w:cstheme="majorHAnsi"/>
                <w:color w:val="000000"/>
                <w:sz w:val="20"/>
                <w:szCs w:val="20"/>
              </w:rPr>
            </w:pPr>
            <w:r w:rsidRPr="00E124A0">
              <w:rPr>
                <w:rFonts w:asciiTheme="majorHAnsi" w:eastAsia="Times New Roman" w:hAnsiTheme="majorHAnsi" w:cstheme="majorHAnsi"/>
                <w:color w:val="000000"/>
                <w:sz w:val="20"/>
                <w:szCs w:val="20"/>
              </w:rPr>
              <w:t>30</w:t>
            </w:r>
          </w:p>
        </w:tc>
        <w:tc>
          <w:tcPr>
            <w:tcW w:w="990" w:type="dxa"/>
            <w:shd w:val="clear" w:color="auto" w:fill="auto"/>
            <w:vAlign w:val="center"/>
          </w:tcPr>
          <w:p w14:paraId="4C7CC438" w14:textId="77777777" w:rsidR="00BE2AAE" w:rsidRPr="00E124A0" w:rsidRDefault="00BE2AAE" w:rsidP="00623EFA">
            <w:pPr>
              <w:spacing w:line="240" w:lineRule="auto"/>
              <w:jc w:val="right"/>
              <w:rPr>
                <w:rFonts w:asciiTheme="majorHAnsi" w:eastAsia="Times New Roman" w:hAnsiTheme="majorHAnsi" w:cstheme="majorHAnsi"/>
                <w:color w:val="000000"/>
                <w:sz w:val="20"/>
                <w:szCs w:val="20"/>
              </w:rPr>
            </w:pPr>
            <w:r w:rsidRPr="00E124A0">
              <w:rPr>
                <w:rFonts w:asciiTheme="majorHAnsi" w:eastAsia="Times New Roman" w:hAnsiTheme="majorHAnsi" w:cstheme="majorHAnsi"/>
                <w:color w:val="000000"/>
                <w:sz w:val="20"/>
                <w:szCs w:val="20"/>
              </w:rPr>
              <w:t>0.1%</w:t>
            </w:r>
          </w:p>
        </w:tc>
        <w:tc>
          <w:tcPr>
            <w:tcW w:w="900" w:type="dxa"/>
            <w:shd w:val="clear" w:color="auto" w:fill="auto"/>
            <w:vAlign w:val="center"/>
          </w:tcPr>
          <w:p w14:paraId="69807FBE" w14:textId="77777777" w:rsidR="00BE2AAE" w:rsidRPr="00E124A0" w:rsidRDefault="00BE2AAE" w:rsidP="00623EFA">
            <w:pPr>
              <w:spacing w:line="240" w:lineRule="auto"/>
              <w:jc w:val="right"/>
              <w:rPr>
                <w:rFonts w:asciiTheme="majorHAnsi" w:eastAsia="Times New Roman" w:hAnsiTheme="majorHAnsi" w:cstheme="majorHAnsi"/>
                <w:color w:val="000000"/>
                <w:sz w:val="20"/>
                <w:szCs w:val="20"/>
              </w:rPr>
            </w:pPr>
            <w:r w:rsidRPr="00E124A0">
              <w:rPr>
                <w:rFonts w:asciiTheme="majorHAnsi" w:eastAsia="Times New Roman" w:hAnsiTheme="majorHAnsi" w:cstheme="majorHAnsi"/>
                <w:color w:val="000000"/>
                <w:sz w:val="20"/>
                <w:szCs w:val="20"/>
              </w:rPr>
              <w:t>41</w:t>
            </w:r>
          </w:p>
        </w:tc>
        <w:tc>
          <w:tcPr>
            <w:tcW w:w="990" w:type="dxa"/>
            <w:shd w:val="clear" w:color="auto" w:fill="auto"/>
            <w:vAlign w:val="center"/>
          </w:tcPr>
          <w:p w14:paraId="01B18F58" w14:textId="77777777" w:rsidR="00BE2AAE" w:rsidRPr="00E124A0" w:rsidRDefault="00BE2AAE" w:rsidP="00623EFA">
            <w:pPr>
              <w:spacing w:line="240" w:lineRule="auto"/>
              <w:jc w:val="right"/>
              <w:rPr>
                <w:rFonts w:asciiTheme="majorHAnsi" w:eastAsia="Times New Roman" w:hAnsiTheme="majorHAnsi" w:cstheme="majorHAnsi"/>
                <w:color w:val="000000"/>
                <w:sz w:val="20"/>
                <w:szCs w:val="20"/>
              </w:rPr>
            </w:pPr>
            <w:r w:rsidRPr="00E124A0">
              <w:rPr>
                <w:rFonts w:asciiTheme="majorHAnsi" w:eastAsia="Times New Roman" w:hAnsiTheme="majorHAnsi" w:cstheme="majorHAnsi"/>
                <w:color w:val="000000"/>
                <w:sz w:val="20"/>
                <w:szCs w:val="20"/>
              </w:rPr>
              <w:t>0.1%</w:t>
            </w:r>
          </w:p>
        </w:tc>
      </w:tr>
      <w:tr w:rsidR="00BE2AAE" w14:paraId="44CD1AA5" w14:textId="77777777" w:rsidTr="0096689E">
        <w:trPr>
          <w:cantSplit/>
        </w:trPr>
        <w:tc>
          <w:tcPr>
            <w:tcW w:w="4140" w:type="dxa"/>
            <w:shd w:val="clear" w:color="auto" w:fill="auto"/>
            <w:vAlign w:val="center"/>
          </w:tcPr>
          <w:p w14:paraId="6495E338" w14:textId="01EA5495" w:rsidR="00BE2AAE" w:rsidRPr="00E124A0" w:rsidRDefault="00BE2AAE" w:rsidP="00607FAE">
            <w:pPr>
              <w:spacing w:line="240" w:lineRule="auto"/>
              <w:rPr>
                <w:rFonts w:asciiTheme="majorHAnsi" w:eastAsia="Times New Roman" w:hAnsiTheme="majorHAnsi" w:cstheme="majorHAnsi"/>
                <w:color w:val="000000"/>
                <w:sz w:val="20"/>
                <w:szCs w:val="20"/>
              </w:rPr>
            </w:pPr>
            <w:r w:rsidRPr="00E124A0">
              <w:rPr>
                <w:rFonts w:asciiTheme="majorHAnsi" w:eastAsia="Times New Roman" w:hAnsiTheme="majorHAnsi" w:cstheme="majorHAnsi"/>
                <w:color w:val="000000"/>
                <w:sz w:val="20"/>
                <w:szCs w:val="20"/>
              </w:rPr>
              <w:t>Race</w:t>
            </w:r>
            <w:r w:rsidR="005707AC">
              <w:rPr>
                <w:rFonts w:asciiTheme="majorHAnsi" w:eastAsia="Times New Roman" w:hAnsiTheme="majorHAnsi" w:cstheme="majorHAnsi"/>
                <w:color w:val="000000"/>
                <w:sz w:val="20"/>
                <w:szCs w:val="20"/>
              </w:rPr>
              <w:t>:</w:t>
            </w:r>
            <w:r w:rsidRPr="00E124A0">
              <w:rPr>
                <w:rFonts w:asciiTheme="majorHAnsi" w:eastAsia="Times New Roman" w:hAnsiTheme="majorHAnsi" w:cstheme="majorHAnsi"/>
                <w:color w:val="000000"/>
                <w:sz w:val="20"/>
                <w:szCs w:val="20"/>
              </w:rPr>
              <w:t xml:space="preserve"> Asian</w:t>
            </w:r>
          </w:p>
        </w:tc>
        <w:tc>
          <w:tcPr>
            <w:tcW w:w="810" w:type="dxa"/>
            <w:shd w:val="clear" w:color="auto" w:fill="auto"/>
            <w:vAlign w:val="center"/>
          </w:tcPr>
          <w:p w14:paraId="653ACCDC" w14:textId="77777777" w:rsidR="00BE2AAE" w:rsidRPr="00E124A0" w:rsidRDefault="00BE2AAE" w:rsidP="00623EFA">
            <w:pPr>
              <w:spacing w:line="240" w:lineRule="auto"/>
              <w:jc w:val="right"/>
              <w:rPr>
                <w:rFonts w:asciiTheme="majorHAnsi" w:eastAsia="Times New Roman" w:hAnsiTheme="majorHAnsi" w:cstheme="majorHAnsi"/>
                <w:color w:val="000000"/>
                <w:sz w:val="20"/>
                <w:szCs w:val="20"/>
              </w:rPr>
            </w:pPr>
            <w:r w:rsidRPr="00E124A0">
              <w:rPr>
                <w:rFonts w:asciiTheme="majorHAnsi" w:eastAsia="Times New Roman" w:hAnsiTheme="majorHAnsi" w:cstheme="majorHAnsi"/>
                <w:color w:val="000000"/>
                <w:sz w:val="20"/>
                <w:szCs w:val="20"/>
              </w:rPr>
              <w:t>99</w:t>
            </w:r>
          </w:p>
        </w:tc>
        <w:tc>
          <w:tcPr>
            <w:tcW w:w="990" w:type="dxa"/>
            <w:shd w:val="clear" w:color="auto" w:fill="auto"/>
            <w:vAlign w:val="center"/>
          </w:tcPr>
          <w:p w14:paraId="1BD1F4E2" w14:textId="77777777" w:rsidR="00BE2AAE" w:rsidRPr="00E124A0" w:rsidRDefault="00BE2AAE" w:rsidP="00623EFA">
            <w:pPr>
              <w:spacing w:line="240" w:lineRule="auto"/>
              <w:jc w:val="right"/>
              <w:rPr>
                <w:rFonts w:asciiTheme="majorHAnsi" w:eastAsia="Times New Roman" w:hAnsiTheme="majorHAnsi" w:cstheme="majorHAnsi"/>
                <w:color w:val="000000"/>
                <w:sz w:val="20"/>
                <w:szCs w:val="20"/>
              </w:rPr>
            </w:pPr>
            <w:r w:rsidRPr="00E124A0">
              <w:rPr>
                <w:rFonts w:asciiTheme="majorHAnsi" w:eastAsia="Times New Roman" w:hAnsiTheme="majorHAnsi" w:cstheme="majorHAnsi"/>
                <w:color w:val="000000"/>
                <w:sz w:val="20"/>
                <w:szCs w:val="20"/>
              </w:rPr>
              <w:t>0.4%</w:t>
            </w:r>
          </w:p>
        </w:tc>
        <w:tc>
          <w:tcPr>
            <w:tcW w:w="990" w:type="dxa"/>
            <w:shd w:val="clear" w:color="auto" w:fill="auto"/>
            <w:vAlign w:val="center"/>
          </w:tcPr>
          <w:p w14:paraId="60AC3739" w14:textId="77777777" w:rsidR="00BE2AAE" w:rsidRPr="00E124A0" w:rsidRDefault="00BE2AAE" w:rsidP="00623EFA">
            <w:pPr>
              <w:spacing w:line="240" w:lineRule="auto"/>
              <w:jc w:val="right"/>
              <w:rPr>
                <w:rFonts w:asciiTheme="majorHAnsi" w:eastAsia="Times New Roman" w:hAnsiTheme="majorHAnsi" w:cstheme="majorHAnsi"/>
                <w:color w:val="000000"/>
                <w:sz w:val="20"/>
                <w:szCs w:val="20"/>
              </w:rPr>
            </w:pPr>
            <w:r w:rsidRPr="00E124A0">
              <w:rPr>
                <w:rFonts w:asciiTheme="majorHAnsi" w:eastAsia="Times New Roman" w:hAnsiTheme="majorHAnsi" w:cstheme="majorHAnsi"/>
                <w:color w:val="000000"/>
                <w:sz w:val="20"/>
                <w:szCs w:val="20"/>
              </w:rPr>
              <w:t>137</w:t>
            </w:r>
          </w:p>
        </w:tc>
        <w:tc>
          <w:tcPr>
            <w:tcW w:w="990" w:type="dxa"/>
            <w:shd w:val="clear" w:color="auto" w:fill="auto"/>
            <w:vAlign w:val="center"/>
          </w:tcPr>
          <w:p w14:paraId="49CF7D98" w14:textId="77777777" w:rsidR="00BE2AAE" w:rsidRPr="00E124A0" w:rsidRDefault="00BE2AAE" w:rsidP="00623EFA">
            <w:pPr>
              <w:spacing w:line="240" w:lineRule="auto"/>
              <w:jc w:val="right"/>
              <w:rPr>
                <w:rFonts w:asciiTheme="majorHAnsi" w:eastAsia="Times New Roman" w:hAnsiTheme="majorHAnsi" w:cstheme="majorHAnsi"/>
                <w:color w:val="000000"/>
                <w:sz w:val="20"/>
                <w:szCs w:val="20"/>
              </w:rPr>
            </w:pPr>
            <w:r w:rsidRPr="00E124A0">
              <w:rPr>
                <w:rFonts w:asciiTheme="majorHAnsi" w:eastAsia="Times New Roman" w:hAnsiTheme="majorHAnsi" w:cstheme="majorHAnsi"/>
                <w:color w:val="000000"/>
                <w:sz w:val="20"/>
                <w:szCs w:val="20"/>
              </w:rPr>
              <w:t>0.5%</w:t>
            </w:r>
          </w:p>
        </w:tc>
        <w:tc>
          <w:tcPr>
            <w:tcW w:w="900" w:type="dxa"/>
            <w:shd w:val="clear" w:color="auto" w:fill="auto"/>
            <w:vAlign w:val="center"/>
          </w:tcPr>
          <w:p w14:paraId="3811FBAC" w14:textId="77777777" w:rsidR="00BE2AAE" w:rsidRPr="00E124A0" w:rsidRDefault="00BE2AAE" w:rsidP="00623EFA">
            <w:pPr>
              <w:spacing w:line="240" w:lineRule="auto"/>
              <w:jc w:val="right"/>
              <w:rPr>
                <w:rFonts w:asciiTheme="majorHAnsi" w:eastAsia="Times New Roman" w:hAnsiTheme="majorHAnsi" w:cstheme="majorHAnsi"/>
                <w:color w:val="000000"/>
                <w:sz w:val="20"/>
                <w:szCs w:val="20"/>
              </w:rPr>
            </w:pPr>
            <w:r w:rsidRPr="00E124A0">
              <w:rPr>
                <w:rFonts w:asciiTheme="majorHAnsi" w:eastAsia="Times New Roman" w:hAnsiTheme="majorHAnsi" w:cstheme="majorHAnsi"/>
                <w:color w:val="000000"/>
                <w:sz w:val="20"/>
                <w:szCs w:val="20"/>
              </w:rPr>
              <w:t>143</w:t>
            </w:r>
          </w:p>
        </w:tc>
        <w:tc>
          <w:tcPr>
            <w:tcW w:w="990" w:type="dxa"/>
            <w:shd w:val="clear" w:color="auto" w:fill="auto"/>
            <w:vAlign w:val="center"/>
          </w:tcPr>
          <w:p w14:paraId="24F0CBF4" w14:textId="77777777" w:rsidR="00BE2AAE" w:rsidRPr="00E124A0" w:rsidRDefault="00BE2AAE" w:rsidP="00623EFA">
            <w:pPr>
              <w:spacing w:line="240" w:lineRule="auto"/>
              <w:jc w:val="right"/>
              <w:rPr>
                <w:rFonts w:asciiTheme="majorHAnsi" w:eastAsia="Times New Roman" w:hAnsiTheme="majorHAnsi" w:cstheme="majorHAnsi"/>
                <w:color w:val="000000"/>
                <w:sz w:val="20"/>
                <w:szCs w:val="20"/>
              </w:rPr>
            </w:pPr>
            <w:r w:rsidRPr="00E124A0">
              <w:rPr>
                <w:rFonts w:asciiTheme="majorHAnsi" w:eastAsia="Times New Roman" w:hAnsiTheme="majorHAnsi" w:cstheme="majorHAnsi"/>
                <w:color w:val="000000"/>
                <w:sz w:val="20"/>
                <w:szCs w:val="20"/>
              </w:rPr>
              <w:t>0.5%</w:t>
            </w:r>
          </w:p>
        </w:tc>
      </w:tr>
      <w:tr w:rsidR="00BE2AAE" w14:paraId="46FAE6F6" w14:textId="77777777" w:rsidTr="0096689E">
        <w:trPr>
          <w:cantSplit/>
        </w:trPr>
        <w:tc>
          <w:tcPr>
            <w:tcW w:w="4140" w:type="dxa"/>
            <w:shd w:val="clear" w:color="auto" w:fill="auto"/>
            <w:vAlign w:val="center"/>
          </w:tcPr>
          <w:p w14:paraId="0B83FEF7" w14:textId="330CA3EC" w:rsidR="00BE2AAE" w:rsidRPr="00E124A0" w:rsidRDefault="00BE2AAE" w:rsidP="00607FAE">
            <w:pPr>
              <w:spacing w:line="240" w:lineRule="auto"/>
              <w:rPr>
                <w:rFonts w:asciiTheme="majorHAnsi" w:eastAsia="Times New Roman" w:hAnsiTheme="majorHAnsi" w:cstheme="majorHAnsi"/>
                <w:color w:val="000000"/>
                <w:sz w:val="20"/>
                <w:szCs w:val="20"/>
              </w:rPr>
            </w:pPr>
            <w:r w:rsidRPr="00E124A0">
              <w:rPr>
                <w:rFonts w:asciiTheme="majorHAnsi" w:eastAsia="Times New Roman" w:hAnsiTheme="majorHAnsi" w:cstheme="majorHAnsi"/>
                <w:color w:val="000000"/>
                <w:sz w:val="20"/>
                <w:szCs w:val="20"/>
              </w:rPr>
              <w:t>Race</w:t>
            </w:r>
            <w:r w:rsidR="005707AC">
              <w:rPr>
                <w:rFonts w:asciiTheme="majorHAnsi" w:eastAsia="Times New Roman" w:hAnsiTheme="majorHAnsi" w:cstheme="majorHAnsi"/>
                <w:color w:val="000000"/>
                <w:sz w:val="20"/>
                <w:szCs w:val="20"/>
              </w:rPr>
              <w:t>:</w:t>
            </w:r>
            <w:r w:rsidRPr="00E124A0">
              <w:rPr>
                <w:rFonts w:asciiTheme="majorHAnsi" w:eastAsia="Times New Roman" w:hAnsiTheme="majorHAnsi" w:cstheme="majorHAnsi"/>
                <w:color w:val="000000"/>
                <w:sz w:val="20"/>
                <w:szCs w:val="20"/>
              </w:rPr>
              <w:t xml:space="preserve"> Native Hawaiian or Other Pacific Islander</w:t>
            </w:r>
          </w:p>
        </w:tc>
        <w:tc>
          <w:tcPr>
            <w:tcW w:w="810" w:type="dxa"/>
            <w:shd w:val="clear" w:color="auto" w:fill="auto"/>
            <w:vAlign w:val="center"/>
          </w:tcPr>
          <w:p w14:paraId="61D90718" w14:textId="4768F519" w:rsidR="00BE2AAE" w:rsidRPr="00E124A0" w:rsidRDefault="00F6094E" w:rsidP="00623EFA">
            <w:pPr>
              <w:spacing w:line="240" w:lineRule="auto"/>
              <w:jc w:val="right"/>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&gt;11</w:t>
            </w:r>
          </w:p>
        </w:tc>
        <w:tc>
          <w:tcPr>
            <w:tcW w:w="990" w:type="dxa"/>
            <w:shd w:val="clear" w:color="auto" w:fill="auto"/>
            <w:vAlign w:val="center"/>
          </w:tcPr>
          <w:p w14:paraId="5DF21ADA" w14:textId="77777777" w:rsidR="00BE2AAE" w:rsidRPr="00E124A0" w:rsidRDefault="00BE2AAE" w:rsidP="00623EFA">
            <w:pPr>
              <w:spacing w:line="240" w:lineRule="auto"/>
              <w:jc w:val="right"/>
              <w:rPr>
                <w:rFonts w:asciiTheme="majorHAnsi" w:eastAsia="Times New Roman" w:hAnsiTheme="majorHAnsi" w:cstheme="majorHAnsi"/>
                <w:color w:val="000000"/>
                <w:sz w:val="20"/>
                <w:szCs w:val="20"/>
              </w:rPr>
            </w:pPr>
            <w:r w:rsidRPr="00E124A0">
              <w:rPr>
                <w:rFonts w:asciiTheme="majorHAnsi" w:eastAsia="Times New Roman" w:hAnsiTheme="majorHAnsi" w:cstheme="majorHAnsi"/>
                <w:color w:val="000000"/>
                <w:sz w:val="20"/>
                <w:szCs w:val="20"/>
              </w:rPr>
              <w:t>0.0%</w:t>
            </w:r>
          </w:p>
        </w:tc>
        <w:tc>
          <w:tcPr>
            <w:tcW w:w="990" w:type="dxa"/>
            <w:shd w:val="clear" w:color="auto" w:fill="auto"/>
            <w:vAlign w:val="center"/>
          </w:tcPr>
          <w:p w14:paraId="2BFD160E" w14:textId="77777777" w:rsidR="00BE2AAE" w:rsidRPr="00E124A0" w:rsidRDefault="00BE2AAE" w:rsidP="00623EFA">
            <w:pPr>
              <w:spacing w:line="240" w:lineRule="auto"/>
              <w:jc w:val="right"/>
              <w:rPr>
                <w:rFonts w:asciiTheme="majorHAnsi" w:eastAsia="Times New Roman" w:hAnsiTheme="majorHAnsi" w:cstheme="majorHAnsi"/>
                <w:color w:val="000000"/>
                <w:sz w:val="20"/>
                <w:szCs w:val="20"/>
              </w:rPr>
            </w:pPr>
            <w:r w:rsidRPr="00E124A0">
              <w:rPr>
                <w:rFonts w:asciiTheme="majorHAnsi" w:eastAsia="Times New Roman" w:hAnsiTheme="majorHAnsi" w:cstheme="majorHAnsi"/>
                <w:color w:val="000000"/>
                <w:sz w:val="20"/>
                <w:szCs w:val="20"/>
              </w:rPr>
              <w:t>18</w:t>
            </w:r>
          </w:p>
        </w:tc>
        <w:tc>
          <w:tcPr>
            <w:tcW w:w="990" w:type="dxa"/>
            <w:shd w:val="clear" w:color="auto" w:fill="auto"/>
            <w:vAlign w:val="center"/>
          </w:tcPr>
          <w:p w14:paraId="2743F067" w14:textId="77777777" w:rsidR="00BE2AAE" w:rsidRPr="00E124A0" w:rsidRDefault="00BE2AAE" w:rsidP="00623EFA">
            <w:pPr>
              <w:spacing w:line="240" w:lineRule="auto"/>
              <w:jc w:val="right"/>
              <w:rPr>
                <w:rFonts w:asciiTheme="majorHAnsi" w:eastAsia="Times New Roman" w:hAnsiTheme="majorHAnsi" w:cstheme="majorHAnsi"/>
                <w:color w:val="000000"/>
                <w:sz w:val="20"/>
                <w:szCs w:val="20"/>
              </w:rPr>
            </w:pPr>
            <w:r w:rsidRPr="00E124A0">
              <w:rPr>
                <w:rFonts w:asciiTheme="majorHAnsi" w:eastAsia="Times New Roman" w:hAnsiTheme="majorHAnsi" w:cstheme="majorHAnsi"/>
                <w:color w:val="000000"/>
                <w:sz w:val="20"/>
                <w:szCs w:val="20"/>
              </w:rPr>
              <w:t>0.1%</w:t>
            </w:r>
          </w:p>
        </w:tc>
        <w:tc>
          <w:tcPr>
            <w:tcW w:w="900" w:type="dxa"/>
            <w:shd w:val="clear" w:color="auto" w:fill="auto"/>
            <w:vAlign w:val="center"/>
          </w:tcPr>
          <w:p w14:paraId="746A66AC" w14:textId="77777777" w:rsidR="00BE2AAE" w:rsidRPr="00E124A0" w:rsidRDefault="00BE2AAE" w:rsidP="00623EFA">
            <w:pPr>
              <w:spacing w:line="240" w:lineRule="auto"/>
              <w:jc w:val="right"/>
              <w:rPr>
                <w:rFonts w:asciiTheme="majorHAnsi" w:eastAsia="Times New Roman" w:hAnsiTheme="majorHAnsi" w:cstheme="majorHAnsi"/>
                <w:color w:val="000000"/>
                <w:sz w:val="20"/>
                <w:szCs w:val="20"/>
              </w:rPr>
            </w:pPr>
            <w:r w:rsidRPr="00E124A0">
              <w:rPr>
                <w:rFonts w:asciiTheme="majorHAnsi" w:eastAsia="Times New Roman" w:hAnsiTheme="majorHAnsi" w:cstheme="majorHAnsi"/>
                <w:color w:val="000000"/>
                <w:sz w:val="20"/>
                <w:szCs w:val="20"/>
              </w:rPr>
              <w:t>22</w:t>
            </w:r>
          </w:p>
        </w:tc>
        <w:tc>
          <w:tcPr>
            <w:tcW w:w="990" w:type="dxa"/>
            <w:shd w:val="clear" w:color="auto" w:fill="auto"/>
            <w:vAlign w:val="center"/>
          </w:tcPr>
          <w:p w14:paraId="30F1CAB9" w14:textId="77777777" w:rsidR="00BE2AAE" w:rsidRPr="00E124A0" w:rsidRDefault="00BE2AAE" w:rsidP="00623EFA">
            <w:pPr>
              <w:spacing w:line="240" w:lineRule="auto"/>
              <w:jc w:val="right"/>
              <w:rPr>
                <w:rFonts w:asciiTheme="majorHAnsi" w:eastAsia="Times New Roman" w:hAnsiTheme="majorHAnsi" w:cstheme="majorHAnsi"/>
                <w:color w:val="000000"/>
                <w:sz w:val="20"/>
                <w:szCs w:val="20"/>
              </w:rPr>
            </w:pPr>
            <w:r w:rsidRPr="00E124A0">
              <w:rPr>
                <w:rFonts w:asciiTheme="majorHAnsi" w:eastAsia="Times New Roman" w:hAnsiTheme="majorHAnsi" w:cstheme="majorHAnsi"/>
                <w:color w:val="000000"/>
                <w:sz w:val="20"/>
                <w:szCs w:val="20"/>
              </w:rPr>
              <w:t>0.1%</w:t>
            </w:r>
          </w:p>
        </w:tc>
      </w:tr>
      <w:tr w:rsidR="00BE2AAE" w14:paraId="6E2112E8" w14:textId="77777777" w:rsidTr="0096689E">
        <w:trPr>
          <w:cantSplit/>
        </w:trPr>
        <w:tc>
          <w:tcPr>
            <w:tcW w:w="4140" w:type="dxa"/>
            <w:shd w:val="clear" w:color="auto" w:fill="auto"/>
            <w:vAlign w:val="center"/>
          </w:tcPr>
          <w:p w14:paraId="227B3759" w14:textId="35568134" w:rsidR="00BE2AAE" w:rsidRPr="00E124A0" w:rsidRDefault="00BE2AAE" w:rsidP="00607FAE">
            <w:pPr>
              <w:spacing w:line="240" w:lineRule="auto"/>
              <w:rPr>
                <w:rFonts w:asciiTheme="majorHAnsi" w:eastAsia="Times New Roman" w:hAnsiTheme="majorHAnsi" w:cstheme="majorHAnsi"/>
                <w:color w:val="000000"/>
                <w:sz w:val="20"/>
                <w:szCs w:val="20"/>
              </w:rPr>
            </w:pPr>
            <w:r w:rsidRPr="00E124A0">
              <w:rPr>
                <w:rFonts w:asciiTheme="majorHAnsi" w:eastAsia="Times New Roman" w:hAnsiTheme="majorHAnsi" w:cstheme="majorHAnsi"/>
                <w:color w:val="000000"/>
                <w:sz w:val="20"/>
                <w:szCs w:val="20"/>
              </w:rPr>
              <w:t>Race</w:t>
            </w:r>
            <w:r w:rsidR="005707AC">
              <w:rPr>
                <w:rFonts w:asciiTheme="majorHAnsi" w:eastAsia="Times New Roman" w:hAnsiTheme="majorHAnsi" w:cstheme="majorHAnsi"/>
                <w:color w:val="000000"/>
                <w:sz w:val="20"/>
                <w:szCs w:val="20"/>
              </w:rPr>
              <w:t>:</w:t>
            </w:r>
            <w:r w:rsidRPr="00E124A0">
              <w:rPr>
                <w:rFonts w:asciiTheme="majorHAnsi" w:eastAsia="Times New Roman" w:hAnsiTheme="majorHAnsi" w:cstheme="majorHAnsi"/>
                <w:color w:val="000000"/>
                <w:sz w:val="20"/>
                <w:szCs w:val="20"/>
              </w:rPr>
              <w:t xml:space="preserve"> Other</w:t>
            </w:r>
            <w:r w:rsidRPr="00E124A0">
              <w:rPr>
                <w:rStyle w:val="FootnoteReference"/>
                <w:rFonts w:asciiTheme="majorHAnsi" w:eastAsia="Times New Roman" w:hAnsiTheme="majorHAnsi" w:cstheme="majorHAnsi"/>
                <w:color w:val="000000"/>
                <w:sz w:val="20"/>
                <w:szCs w:val="20"/>
              </w:rPr>
              <w:footnoteReference w:id="13"/>
            </w:r>
          </w:p>
        </w:tc>
        <w:tc>
          <w:tcPr>
            <w:tcW w:w="810" w:type="dxa"/>
            <w:shd w:val="clear" w:color="auto" w:fill="auto"/>
            <w:vAlign w:val="center"/>
          </w:tcPr>
          <w:p w14:paraId="6C070BD9" w14:textId="33576259" w:rsidR="00BE2AAE" w:rsidRPr="00E124A0" w:rsidRDefault="00BE2AAE" w:rsidP="00623EFA">
            <w:pPr>
              <w:spacing w:line="240" w:lineRule="auto"/>
              <w:jc w:val="right"/>
              <w:rPr>
                <w:rFonts w:asciiTheme="majorHAnsi" w:eastAsia="Times New Roman" w:hAnsiTheme="majorHAnsi" w:cstheme="majorHAnsi"/>
                <w:color w:val="000000"/>
                <w:sz w:val="20"/>
                <w:szCs w:val="20"/>
              </w:rPr>
            </w:pPr>
            <w:r w:rsidRPr="00E124A0">
              <w:rPr>
                <w:rFonts w:asciiTheme="majorHAnsi" w:eastAsia="Times New Roman" w:hAnsiTheme="majorHAnsi" w:cstheme="majorHAnsi"/>
                <w:color w:val="000000"/>
                <w:sz w:val="20"/>
                <w:szCs w:val="20"/>
              </w:rPr>
              <w:t>4</w:t>
            </w:r>
            <w:r w:rsidR="00F6094E">
              <w:rPr>
                <w:rFonts w:asciiTheme="majorHAnsi" w:eastAsia="Times New Roman" w:hAnsiTheme="majorHAnsi" w:cstheme="majorHAnsi"/>
                <w:color w:val="000000"/>
                <w:sz w:val="20"/>
                <w:szCs w:val="20"/>
              </w:rPr>
              <w:t>27</w:t>
            </w:r>
          </w:p>
        </w:tc>
        <w:tc>
          <w:tcPr>
            <w:tcW w:w="990" w:type="dxa"/>
            <w:shd w:val="clear" w:color="auto" w:fill="auto"/>
            <w:vAlign w:val="center"/>
          </w:tcPr>
          <w:p w14:paraId="655E7EB6" w14:textId="77777777" w:rsidR="00BE2AAE" w:rsidRPr="00E124A0" w:rsidRDefault="00BE2AAE" w:rsidP="00623EFA">
            <w:pPr>
              <w:spacing w:line="240" w:lineRule="auto"/>
              <w:jc w:val="right"/>
              <w:rPr>
                <w:rFonts w:asciiTheme="majorHAnsi" w:eastAsia="Times New Roman" w:hAnsiTheme="majorHAnsi" w:cstheme="majorHAnsi"/>
                <w:color w:val="000000"/>
                <w:sz w:val="20"/>
                <w:szCs w:val="20"/>
              </w:rPr>
            </w:pPr>
            <w:r w:rsidRPr="00E124A0">
              <w:rPr>
                <w:rFonts w:asciiTheme="majorHAnsi" w:eastAsia="Times New Roman" w:hAnsiTheme="majorHAnsi" w:cstheme="majorHAnsi"/>
                <w:color w:val="000000"/>
                <w:sz w:val="20"/>
                <w:szCs w:val="20"/>
              </w:rPr>
              <w:t>1.6%</w:t>
            </w:r>
          </w:p>
        </w:tc>
        <w:tc>
          <w:tcPr>
            <w:tcW w:w="990" w:type="dxa"/>
            <w:shd w:val="clear" w:color="auto" w:fill="auto"/>
            <w:vAlign w:val="center"/>
          </w:tcPr>
          <w:p w14:paraId="7530081F" w14:textId="77777777" w:rsidR="00BE2AAE" w:rsidRPr="00E124A0" w:rsidRDefault="00BE2AAE" w:rsidP="00623EFA">
            <w:pPr>
              <w:spacing w:line="240" w:lineRule="auto"/>
              <w:jc w:val="right"/>
              <w:rPr>
                <w:rFonts w:asciiTheme="majorHAnsi" w:eastAsia="Times New Roman" w:hAnsiTheme="majorHAnsi" w:cstheme="majorHAnsi"/>
                <w:color w:val="000000"/>
                <w:sz w:val="20"/>
                <w:szCs w:val="20"/>
              </w:rPr>
            </w:pPr>
            <w:r w:rsidRPr="00E124A0">
              <w:rPr>
                <w:rFonts w:asciiTheme="majorHAnsi" w:eastAsia="Times New Roman" w:hAnsiTheme="majorHAnsi" w:cstheme="majorHAnsi"/>
                <w:color w:val="000000"/>
                <w:sz w:val="20"/>
                <w:szCs w:val="20"/>
              </w:rPr>
              <w:t>661</w:t>
            </w:r>
          </w:p>
        </w:tc>
        <w:tc>
          <w:tcPr>
            <w:tcW w:w="990" w:type="dxa"/>
            <w:shd w:val="clear" w:color="auto" w:fill="auto"/>
            <w:vAlign w:val="center"/>
          </w:tcPr>
          <w:p w14:paraId="4EB47EB4" w14:textId="77777777" w:rsidR="00BE2AAE" w:rsidRPr="00E124A0" w:rsidRDefault="00BE2AAE" w:rsidP="00623EFA">
            <w:pPr>
              <w:spacing w:line="240" w:lineRule="auto"/>
              <w:jc w:val="right"/>
              <w:rPr>
                <w:rFonts w:asciiTheme="majorHAnsi" w:eastAsia="Times New Roman" w:hAnsiTheme="majorHAnsi" w:cstheme="majorHAnsi"/>
                <w:color w:val="000000"/>
                <w:sz w:val="20"/>
                <w:szCs w:val="20"/>
              </w:rPr>
            </w:pPr>
            <w:r w:rsidRPr="00E124A0">
              <w:rPr>
                <w:rFonts w:asciiTheme="majorHAnsi" w:eastAsia="Times New Roman" w:hAnsiTheme="majorHAnsi" w:cstheme="majorHAnsi"/>
                <w:color w:val="000000"/>
                <w:sz w:val="20"/>
                <w:szCs w:val="20"/>
              </w:rPr>
              <w:t>2.3%</w:t>
            </w:r>
          </w:p>
        </w:tc>
        <w:tc>
          <w:tcPr>
            <w:tcW w:w="900" w:type="dxa"/>
            <w:shd w:val="clear" w:color="auto" w:fill="auto"/>
            <w:vAlign w:val="center"/>
          </w:tcPr>
          <w:p w14:paraId="7D6D9987" w14:textId="77777777" w:rsidR="00BE2AAE" w:rsidRPr="00E124A0" w:rsidRDefault="00BE2AAE" w:rsidP="00623EFA">
            <w:pPr>
              <w:spacing w:line="240" w:lineRule="auto"/>
              <w:jc w:val="right"/>
              <w:rPr>
                <w:rFonts w:asciiTheme="majorHAnsi" w:eastAsia="Times New Roman" w:hAnsiTheme="majorHAnsi" w:cstheme="majorHAnsi"/>
                <w:color w:val="000000"/>
                <w:sz w:val="20"/>
                <w:szCs w:val="20"/>
              </w:rPr>
            </w:pPr>
            <w:r w:rsidRPr="00E124A0">
              <w:rPr>
                <w:rFonts w:asciiTheme="majorHAnsi" w:eastAsia="Times New Roman" w:hAnsiTheme="majorHAnsi" w:cstheme="majorHAnsi"/>
                <w:color w:val="000000"/>
                <w:sz w:val="20"/>
                <w:szCs w:val="20"/>
              </w:rPr>
              <w:t>813</w:t>
            </w:r>
          </w:p>
        </w:tc>
        <w:tc>
          <w:tcPr>
            <w:tcW w:w="990" w:type="dxa"/>
            <w:shd w:val="clear" w:color="auto" w:fill="auto"/>
            <w:vAlign w:val="center"/>
          </w:tcPr>
          <w:p w14:paraId="70A7BD96" w14:textId="77777777" w:rsidR="00BE2AAE" w:rsidRPr="00E124A0" w:rsidRDefault="00BE2AAE" w:rsidP="00623EFA">
            <w:pPr>
              <w:spacing w:line="240" w:lineRule="auto"/>
              <w:jc w:val="right"/>
              <w:rPr>
                <w:rFonts w:asciiTheme="majorHAnsi" w:eastAsia="Times New Roman" w:hAnsiTheme="majorHAnsi" w:cstheme="majorHAnsi"/>
                <w:color w:val="000000"/>
                <w:sz w:val="20"/>
                <w:szCs w:val="20"/>
              </w:rPr>
            </w:pPr>
            <w:r w:rsidRPr="00E124A0">
              <w:rPr>
                <w:rFonts w:asciiTheme="majorHAnsi" w:eastAsia="Times New Roman" w:hAnsiTheme="majorHAnsi" w:cstheme="majorHAnsi"/>
                <w:color w:val="000000"/>
                <w:sz w:val="20"/>
                <w:szCs w:val="20"/>
              </w:rPr>
              <w:t>2.8%</w:t>
            </w:r>
          </w:p>
        </w:tc>
      </w:tr>
      <w:tr w:rsidR="00BE2AAE" w14:paraId="16303A09" w14:textId="77777777" w:rsidTr="0096689E">
        <w:trPr>
          <w:cantSplit/>
        </w:trPr>
        <w:tc>
          <w:tcPr>
            <w:tcW w:w="4140" w:type="dxa"/>
            <w:shd w:val="clear" w:color="auto" w:fill="auto"/>
            <w:vAlign w:val="center"/>
          </w:tcPr>
          <w:p w14:paraId="05DF5262" w14:textId="67F49E2B" w:rsidR="00BE2AAE" w:rsidRPr="00E124A0" w:rsidRDefault="00BE2AAE" w:rsidP="00607FAE">
            <w:pPr>
              <w:spacing w:line="240" w:lineRule="auto"/>
              <w:rPr>
                <w:rFonts w:asciiTheme="majorHAnsi" w:eastAsia="Times New Roman" w:hAnsiTheme="majorHAnsi" w:cstheme="majorHAnsi"/>
                <w:color w:val="000000"/>
                <w:sz w:val="20"/>
                <w:szCs w:val="20"/>
              </w:rPr>
            </w:pPr>
            <w:r w:rsidRPr="00E124A0">
              <w:rPr>
                <w:rFonts w:asciiTheme="majorHAnsi" w:eastAsia="Times New Roman" w:hAnsiTheme="majorHAnsi" w:cstheme="majorHAnsi"/>
                <w:color w:val="000000"/>
                <w:sz w:val="20"/>
                <w:szCs w:val="20"/>
              </w:rPr>
              <w:t>Race</w:t>
            </w:r>
            <w:r w:rsidR="005707AC">
              <w:rPr>
                <w:rFonts w:asciiTheme="majorHAnsi" w:eastAsia="Times New Roman" w:hAnsiTheme="majorHAnsi" w:cstheme="majorHAnsi"/>
                <w:color w:val="000000"/>
                <w:sz w:val="20"/>
                <w:szCs w:val="20"/>
              </w:rPr>
              <w:t>:</w:t>
            </w:r>
            <w:r w:rsidRPr="00E124A0">
              <w:rPr>
                <w:rFonts w:asciiTheme="majorHAnsi" w:eastAsia="Times New Roman" w:hAnsiTheme="majorHAnsi" w:cstheme="majorHAnsi"/>
                <w:color w:val="000000"/>
                <w:sz w:val="20"/>
                <w:szCs w:val="20"/>
              </w:rPr>
              <w:t xml:space="preserve"> Patient Declined</w:t>
            </w:r>
          </w:p>
        </w:tc>
        <w:tc>
          <w:tcPr>
            <w:tcW w:w="810" w:type="dxa"/>
            <w:shd w:val="clear" w:color="auto" w:fill="auto"/>
            <w:vAlign w:val="center"/>
          </w:tcPr>
          <w:p w14:paraId="63683611" w14:textId="77777777" w:rsidR="00BE2AAE" w:rsidRPr="00E124A0" w:rsidRDefault="00BE2AAE" w:rsidP="00623EFA">
            <w:pPr>
              <w:spacing w:line="240" w:lineRule="auto"/>
              <w:jc w:val="right"/>
              <w:rPr>
                <w:rFonts w:asciiTheme="majorHAnsi" w:eastAsia="Times New Roman" w:hAnsiTheme="majorHAnsi" w:cstheme="majorHAnsi"/>
                <w:color w:val="000000"/>
                <w:sz w:val="20"/>
                <w:szCs w:val="20"/>
              </w:rPr>
            </w:pPr>
            <w:r w:rsidRPr="00E124A0">
              <w:rPr>
                <w:rFonts w:asciiTheme="majorHAnsi" w:eastAsia="Times New Roman" w:hAnsiTheme="majorHAnsi" w:cstheme="majorHAnsi"/>
                <w:color w:val="000000"/>
                <w:sz w:val="20"/>
                <w:szCs w:val="20"/>
              </w:rPr>
              <w:t>142</w:t>
            </w:r>
          </w:p>
        </w:tc>
        <w:tc>
          <w:tcPr>
            <w:tcW w:w="990" w:type="dxa"/>
            <w:shd w:val="clear" w:color="auto" w:fill="auto"/>
            <w:vAlign w:val="center"/>
          </w:tcPr>
          <w:p w14:paraId="2FEF1A6B" w14:textId="77777777" w:rsidR="00BE2AAE" w:rsidRPr="00E124A0" w:rsidRDefault="00BE2AAE" w:rsidP="00623EFA">
            <w:pPr>
              <w:spacing w:line="240" w:lineRule="auto"/>
              <w:jc w:val="right"/>
              <w:rPr>
                <w:rFonts w:asciiTheme="majorHAnsi" w:eastAsia="Times New Roman" w:hAnsiTheme="majorHAnsi" w:cstheme="majorHAnsi"/>
                <w:color w:val="000000"/>
                <w:sz w:val="20"/>
                <w:szCs w:val="20"/>
              </w:rPr>
            </w:pPr>
            <w:r w:rsidRPr="00E124A0">
              <w:rPr>
                <w:rFonts w:asciiTheme="majorHAnsi" w:eastAsia="Times New Roman" w:hAnsiTheme="majorHAnsi" w:cstheme="majorHAnsi"/>
                <w:color w:val="000000"/>
                <w:sz w:val="20"/>
                <w:szCs w:val="20"/>
              </w:rPr>
              <w:t>0.5%</w:t>
            </w:r>
          </w:p>
        </w:tc>
        <w:tc>
          <w:tcPr>
            <w:tcW w:w="990" w:type="dxa"/>
            <w:shd w:val="clear" w:color="auto" w:fill="auto"/>
            <w:vAlign w:val="center"/>
          </w:tcPr>
          <w:p w14:paraId="02D55876" w14:textId="77777777" w:rsidR="00BE2AAE" w:rsidRPr="00E124A0" w:rsidRDefault="00BE2AAE" w:rsidP="00623EFA">
            <w:pPr>
              <w:spacing w:line="240" w:lineRule="auto"/>
              <w:jc w:val="right"/>
              <w:rPr>
                <w:rFonts w:asciiTheme="majorHAnsi" w:eastAsia="Times New Roman" w:hAnsiTheme="majorHAnsi" w:cstheme="majorHAnsi"/>
                <w:color w:val="000000"/>
                <w:sz w:val="20"/>
                <w:szCs w:val="20"/>
              </w:rPr>
            </w:pPr>
            <w:r w:rsidRPr="00E124A0">
              <w:rPr>
                <w:rFonts w:asciiTheme="majorHAnsi" w:eastAsia="Times New Roman" w:hAnsiTheme="majorHAnsi" w:cstheme="majorHAnsi"/>
                <w:color w:val="000000"/>
                <w:sz w:val="20"/>
                <w:szCs w:val="20"/>
              </w:rPr>
              <w:t>192</w:t>
            </w:r>
          </w:p>
        </w:tc>
        <w:tc>
          <w:tcPr>
            <w:tcW w:w="990" w:type="dxa"/>
            <w:shd w:val="clear" w:color="auto" w:fill="auto"/>
            <w:vAlign w:val="center"/>
          </w:tcPr>
          <w:p w14:paraId="4DAF5552" w14:textId="77777777" w:rsidR="00BE2AAE" w:rsidRPr="00E124A0" w:rsidRDefault="00BE2AAE" w:rsidP="00623EFA">
            <w:pPr>
              <w:spacing w:line="240" w:lineRule="auto"/>
              <w:jc w:val="right"/>
              <w:rPr>
                <w:rFonts w:asciiTheme="majorHAnsi" w:eastAsia="Times New Roman" w:hAnsiTheme="majorHAnsi" w:cstheme="majorHAnsi"/>
                <w:color w:val="000000"/>
                <w:sz w:val="20"/>
                <w:szCs w:val="20"/>
              </w:rPr>
            </w:pPr>
            <w:r w:rsidRPr="00E124A0">
              <w:rPr>
                <w:rFonts w:asciiTheme="majorHAnsi" w:eastAsia="Times New Roman" w:hAnsiTheme="majorHAnsi" w:cstheme="majorHAnsi"/>
                <w:color w:val="000000"/>
                <w:sz w:val="20"/>
                <w:szCs w:val="20"/>
              </w:rPr>
              <w:t>0.7%</w:t>
            </w:r>
          </w:p>
        </w:tc>
        <w:tc>
          <w:tcPr>
            <w:tcW w:w="900" w:type="dxa"/>
            <w:shd w:val="clear" w:color="auto" w:fill="auto"/>
            <w:vAlign w:val="center"/>
          </w:tcPr>
          <w:p w14:paraId="5A691C4E" w14:textId="77777777" w:rsidR="00BE2AAE" w:rsidRPr="00E124A0" w:rsidRDefault="00BE2AAE" w:rsidP="00623EFA">
            <w:pPr>
              <w:spacing w:line="240" w:lineRule="auto"/>
              <w:jc w:val="right"/>
              <w:rPr>
                <w:rFonts w:asciiTheme="majorHAnsi" w:eastAsia="Times New Roman" w:hAnsiTheme="majorHAnsi" w:cstheme="majorHAnsi"/>
                <w:color w:val="000000"/>
                <w:sz w:val="20"/>
                <w:szCs w:val="20"/>
              </w:rPr>
            </w:pPr>
            <w:r w:rsidRPr="00E124A0">
              <w:rPr>
                <w:rFonts w:asciiTheme="majorHAnsi" w:eastAsia="Times New Roman" w:hAnsiTheme="majorHAnsi" w:cstheme="majorHAnsi"/>
                <w:color w:val="000000"/>
                <w:sz w:val="20"/>
                <w:szCs w:val="20"/>
              </w:rPr>
              <w:t>221</w:t>
            </w:r>
          </w:p>
        </w:tc>
        <w:tc>
          <w:tcPr>
            <w:tcW w:w="990" w:type="dxa"/>
            <w:shd w:val="clear" w:color="auto" w:fill="auto"/>
            <w:vAlign w:val="center"/>
          </w:tcPr>
          <w:p w14:paraId="0D6FD44D" w14:textId="77777777" w:rsidR="00BE2AAE" w:rsidRPr="00E124A0" w:rsidRDefault="00BE2AAE" w:rsidP="00623EFA">
            <w:pPr>
              <w:spacing w:line="240" w:lineRule="auto"/>
              <w:jc w:val="right"/>
              <w:rPr>
                <w:rFonts w:asciiTheme="majorHAnsi" w:eastAsia="Times New Roman" w:hAnsiTheme="majorHAnsi" w:cstheme="majorHAnsi"/>
                <w:color w:val="000000"/>
                <w:sz w:val="20"/>
                <w:szCs w:val="20"/>
              </w:rPr>
            </w:pPr>
            <w:r w:rsidRPr="00E124A0">
              <w:rPr>
                <w:rFonts w:asciiTheme="majorHAnsi" w:eastAsia="Times New Roman" w:hAnsiTheme="majorHAnsi" w:cstheme="majorHAnsi"/>
                <w:color w:val="000000"/>
                <w:sz w:val="20"/>
                <w:szCs w:val="20"/>
              </w:rPr>
              <w:t>0.8%</w:t>
            </w:r>
          </w:p>
        </w:tc>
      </w:tr>
      <w:tr w:rsidR="00BE2AAE" w14:paraId="5BAB17C3" w14:textId="77777777" w:rsidTr="0096689E">
        <w:trPr>
          <w:cantSplit/>
        </w:trPr>
        <w:tc>
          <w:tcPr>
            <w:tcW w:w="4140" w:type="dxa"/>
            <w:shd w:val="clear" w:color="auto" w:fill="auto"/>
            <w:vAlign w:val="center"/>
          </w:tcPr>
          <w:p w14:paraId="532F1740" w14:textId="0F2AC3EB" w:rsidR="00BE2AAE" w:rsidRPr="00E124A0" w:rsidRDefault="00BE2AAE" w:rsidP="00607FAE">
            <w:pPr>
              <w:spacing w:line="240" w:lineRule="auto"/>
              <w:rPr>
                <w:rFonts w:asciiTheme="majorHAnsi" w:eastAsia="Times New Roman" w:hAnsiTheme="majorHAnsi" w:cstheme="majorHAnsi"/>
                <w:color w:val="000000"/>
                <w:sz w:val="20"/>
                <w:szCs w:val="20"/>
              </w:rPr>
            </w:pPr>
            <w:r w:rsidRPr="00E124A0">
              <w:rPr>
                <w:rFonts w:asciiTheme="majorHAnsi" w:eastAsia="Times New Roman" w:hAnsiTheme="majorHAnsi" w:cstheme="majorHAnsi"/>
                <w:color w:val="000000"/>
                <w:sz w:val="20"/>
                <w:szCs w:val="20"/>
              </w:rPr>
              <w:t>Ethnicity</w:t>
            </w:r>
            <w:r w:rsidR="005707AC">
              <w:rPr>
                <w:rFonts w:asciiTheme="majorHAnsi" w:eastAsia="Times New Roman" w:hAnsiTheme="majorHAnsi" w:cstheme="majorHAnsi"/>
                <w:color w:val="000000"/>
                <w:sz w:val="20"/>
                <w:szCs w:val="20"/>
              </w:rPr>
              <w:t>:</w:t>
            </w:r>
            <w:r w:rsidRPr="00E124A0">
              <w:rPr>
                <w:rFonts w:asciiTheme="majorHAnsi" w:eastAsia="Times New Roman" w:hAnsiTheme="majorHAnsi" w:cstheme="majorHAnsi"/>
                <w:color w:val="000000"/>
                <w:sz w:val="20"/>
                <w:szCs w:val="20"/>
              </w:rPr>
              <w:t xml:space="preserve"> Hispanic/Latino</w:t>
            </w:r>
          </w:p>
        </w:tc>
        <w:tc>
          <w:tcPr>
            <w:tcW w:w="810" w:type="dxa"/>
            <w:shd w:val="clear" w:color="auto" w:fill="auto"/>
            <w:vAlign w:val="center"/>
          </w:tcPr>
          <w:p w14:paraId="509BE3FE" w14:textId="77777777" w:rsidR="00BE2AAE" w:rsidRPr="00E124A0" w:rsidRDefault="00BE2AAE" w:rsidP="00623EFA">
            <w:pPr>
              <w:spacing w:line="240" w:lineRule="auto"/>
              <w:jc w:val="right"/>
              <w:rPr>
                <w:rFonts w:asciiTheme="majorHAnsi" w:eastAsia="Times New Roman" w:hAnsiTheme="majorHAnsi" w:cstheme="majorHAnsi"/>
                <w:color w:val="000000"/>
                <w:sz w:val="20"/>
                <w:szCs w:val="20"/>
              </w:rPr>
            </w:pPr>
            <w:r w:rsidRPr="00E124A0">
              <w:rPr>
                <w:rFonts w:asciiTheme="majorHAnsi" w:eastAsia="Times New Roman" w:hAnsiTheme="majorHAnsi" w:cstheme="majorHAnsi"/>
                <w:color w:val="000000"/>
                <w:sz w:val="20"/>
                <w:szCs w:val="20"/>
              </w:rPr>
              <w:t>657</w:t>
            </w:r>
          </w:p>
        </w:tc>
        <w:tc>
          <w:tcPr>
            <w:tcW w:w="990" w:type="dxa"/>
            <w:shd w:val="clear" w:color="auto" w:fill="auto"/>
            <w:vAlign w:val="center"/>
          </w:tcPr>
          <w:p w14:paraId="078656C7" w14:textId="77777777" w:rsidR="00BE2AAE" w:rsidRPr="00E124A0" w:rsidRDefault="00BE2AAE" w:rsidP="00623EFA">
            <w:pPr>
              <w:spacing w:line="240" w:lineRule="auto"/>
              <w:jc w:val="right"/>
              <w:rPr>
                <w:rFonts w:asciiTheme="majorHAnsi" w:eastAsia="Times New Roman" w:hAnsiTheme="majorHAnsi" w:cstheme="majorHAnsi"/>
                <w:color w:val="000000"/>
                <w:sz w:val="20"/>
                <w:szCs w:val="20"/>
              </w:rPr>
            </w:pPr>
            <w:r w:rsidRPr="00E124A0">
              <w:rPr>
                <w:rFonts w:asciiTheme="majorHAnsi" w:eastAsia="Times New Roman" w:hAnsiTheme="majorHAnsi" w:cstheme="majorHAnsi"/>
                <w:color w:val="000000"/>
                <w:sz w:val="20"/>
                <w:szCs w:val="20"/>
              </w:rPr>
              <w:t>2.56%</w:t>
            </w:r>
          </w:p>
        </w:tc>
        <w:tc>
          <w:tcPr>
            <w:tcW w:w="990" w:type="dxa"/>
            <w:shd w:val="clear" w:color="auto" w:fill="auto"/>
            <w:vAlign w:val="center"/>
          </w:tcPr>
          <w:p w14:paraId="47BBB90E" w14:textId="77777777" w:rsidR="00BE2AAE" w:rsidRPr="00E124A0" w:rsidRDefault="00BE2AAE" w:rsidP="00623EFA">
            <w:pPr>
              <w:spacing w:line="240" w:lineRule="auto"/>
              <w:jc w:val="right"/>
              <w:rPr>
                <w:rFonts w:asciiTheme="majorHAnsi" w:eastAsia="Times New Roman" w:hAnsiTheme="majorHAnsi" w:cstheme="majorHAnsi"/>
                <w:color w:val="000000"/>
                <w:sz w:val="20"/>
                <w:szCs w:val="20"/>
              </w:rPr>
            </w:pPr>
            <w:r w:rsidRPr="00E124A0">
              <w:rPr>
                <w:rFonts w:asciiTheme="majorHAnsi" w:eastAsia="Times New Roman" w:hAnsiTheme="majorHAnsi" w:cstheme="majorHAnsi"/>
                <w:color w:val="000000"/>
                <w:sz w:val="20"/>
                <w:szCs w:val="20"/>
              </w:rPr>
              <w:t>865</w:t>
            </w:r>
          </w:p>
        </w:tc>
        <w:tc>
          <w:tcPr>
            <w:tcW w:w="990" w:type="dxa"/>
            <w:shd w:val="clear" w:color="auto" w:fill="auto"/>
            <w:vAlign w:val="center"/>
          </w:tcPr>
          <w:p w14:paraId="07B720BC" w14:textId="77777777" w:rsidR="00BE2AAE" w:rsidRPr="00E124A0" w:rsidRDefault="00BE2AAE" w:rsidP="00623EFA">
            <w:pPr>
              <w:spacing w:line="240" w:lineRule="auto"/>
              <w:jc w:val="right"/>
              <w:rPr>
                <w:rFonts w:asciiTheme="majorHAnsi" w:eastAsia="Times New Roman" w:hAnsiTheme="majorHAnsi" w:cstheme="majorHAnsi"/>
                <w:color w:val="000000"/>
                <w:sz w:val="20"/>
                <w:szCs w:val="20"/>
              </w:rPr>
            </w:pPr>
            <w:r w:rsidRPr="00E124A0">
              <w:rPr>
                <w:rFonts w:asciiTheme="majorHAnsi" w:eastAsia="Times New Roman" w:hAnsiTheme="majorHAnsi" w:cstheme="majorHAnsi"/>
                <w:color w:val="000000"/>
                <w:sz w:val="20"/>
                <w:szCs w:val="20"/>
              </w:rPr>
              <w:t>3.22%</w:t>
            </w:r>
          </w:p>
        </w:tc>
        <w:tc>
          <w:tcPr>
            <w:tcW w:w="900" w:type="dxa"/>
            <w:shd w:val="clear" w:color="auto" w:fill="auto"/>
            <w:vAlign w:val="center"/>
          </w:tcPr>
          <w:p w14:paraId="176F8D30" w14:textId="77777777" w:rsidR="00BE2AAE" w:rsidRPr="00E124A0" w:rsidRDefault="00BE2AAE" w:rsidP="00623EFA">
            <w:pPr>
              <w:spacing w:line="240" w:lineRule="auto"/>
              <w:jc w:val="right"/>
              <w:rPr>
                <w:rFonts w:asciiTheme="majorHAnsi" w:eastAsia="Times New Roman" w:hAnsiTheme="majorHAnsi" w:cstheme="majorHAnsi"/>
                <w:color w:val="000000"/>
                <w:sz w:val="20"/>
                <w:szCs w:val="20"/>
              </w:rPr>
            </w:pPr>
            <w:r w:rsidRPr="00E124A0">
              <w:rPr>
                <w:rFonts w:asciiTheme="majorHAnsi" w:eastAsia="Times New Roman" w:hAnsiTheme="majorHAnsi" w:cstheme="majorHAnsi"/>
                <w:color w:val="000000"/>
                <w:sz w:val="20"/>
                <w:szCs w:val="20"/>
              </w:rPr>
              <w:t>965</w:t>
            </w:r>
          </w:p>
        </w:tc>
        <w:tc>
          <w:tcPr>
            <w:tcW w:w="990" w:type="dxa"/>
            <w:shd w:val="clear" w:color="auto" w:fill="auto"/>
            <w:vAlign w:val="center"/>
          </w:tcPr>
          <w:p w14:paraId="2D882974" w14:textId="77777777" w:rsidR="00BE2AAE" w:rsidRPr="00E124A0" w:rsidRDefault="00BE2AAE" w:rsidP="00623EFA">
            <w:pPr>
              <w:spacing w:line="240" w:lineRule="auto"/>
              <w:jc w:val="right"/>
              <w:rPr>
                <w:rFonts w:asciiTheme="majorHAnsi" w:eastAsia="Times New Roman" w:hAnsiTheme="majorHAnsi" w:cstheme="majorHAnsi"/>
                <w:color w:val="000000"/>
                <w:sz w:val="20"/>
                <w:szCs w:val="20"/>
              </w:rPr>
            </w:pPr>
            <w:r w:rsidRPr="00E124A0">
              <w:rPr>
                <w:rFonts w:asciiTheme="majorHAnsi" w:eastAsia="Times New Roman" w:hAnsiTheme="majorHAnsi" w:cstheme="majorHAnsi"/>
                <w:color w:val="000000"/>
                <w:sz w:val="20"/>
                <w:szCs w:val="20"/>
              </w:rPr>
              <w:t>3.54%</w:t>
            </w:r>
          </w:p>
        </w:tc>
      </w:tr>
      <w:tr w:rsidR="00BE2AAE" w14:paraId="201EE126" w14:textId="77777777" w:rsidTr="0096689E">
        <w:trPr>
          <w:cantSplit/>
        </w:trPr>
        <w:tc>
          <w:tcPr>
            <w:tcW w:w="4140" w:type="dxa"/>
            <w:shd w:val="clear" w:color="auto" w:fill="auto"/>
            <w:vAlign w:val="center"/>
          </w:tcPr>
          <w:p w14:paraId="4DBB7EC3" w14:textId="285BF2F8" w:rsidR="00BE2AAE" w:rsidRPr="00E124A0" w:rsidRDefault="00BE2AAE" w:rsidP="00607FAE">
            <w:pPr>
              <w:spacing w:line="240" w:lineRule="auto"/>
              <w:rPr>
                <w:rFonts w:asciiTheme="majorHAnsi" w:eastAsia="Times New Roman" w:hAnsiTheme="majorHAnsi" w:cstheme="majorHAnsi"/>
                <w:color w:val="000000"/>
                <w:sz w:val="20"/>
                <w:szCs w:val="20"/>
              </w:rPr>
            </w:pPr>
            <w:r w:rsidRPr="00E124A0">
              <w:rPr>
                <w:rFonts w:asciiTheme="majorHAnsi" w:eastAsia="Times New Roman" w:hAnsiTheme="majorHAnsi" w:cstheme="majorHAnsi"/>
                <w:color w:val="000000"/>
                <w:sz w:val="20"/>
                <w:szCs w:val="20"/>
              </w:rPr>
              <w:t>Ethnicity</w:t>
            </w:r>
            <w:r w:rsidR="005707AC">
              <w:rPr>
                <w:rFonts w:asciiTheme="majorHAnsi" w:eastAsia="Times New Roman" w:hAnsiTheme="majorHAnsi" w:cstheme="majorHAnsi"/>
                <w:color w:val="000000"/>
                <w:sz w:val="20"/>
                <w:szCs w:val="20"/>
              </w:rPr>
              <w:t>:</w:t>
            </w:r>
            <w:r w:rsidRPr="00E124A0">
              <w:rPr>
                <w:rFonts w:asciiTheme="majorHAnsi" w:eastAsia="Times New Roman" w:hAnsiTheme="majorHAnsi" w:cstheme="majorHAnsi"/>
                <w:color w:val="000000"/>
                <w:sz w:val="20"/>
                <w:szCs w:val="20"/>
              </w:rPr>
              <w:t xml:space="preserve"> Not Hispanic/Latino</w:t>
            </w:r>
          </w:p>
        </w:tc>
        <w:tc>
          <w:tcPr>
            <w:tcW w:w="810" w:type="dxa"/>
            <w:shd w:val="clear" w:color="auto" w:fill="auto"/>
            <w:vAlign w:val="center"/>
          </w:tcPr>
          <w:p w14:paraId="2CFAE066" w14:textId="77777777" w:rsidR="00BE2AAE" w:rsidRPr="00E124A0" w:rsidRDefault="00BE2AAE" w:rsidP="00623EFA">
            <w:pPr>
              <w:spacing w:line="240" w:lineRule="auto"/>
              <w:jc w:val="right"/>
              <w:rPr>
                <w:rFonts w:asciiTheme="majorHAnsi" w:hAnsiTheme="majorHAnsi" w:cstheme="majorHAnsi"/>
                <w:color w:val="000000"/>
                <w:sz w:val="20"/>
                <w:szCs w:val="20"/>
              </w:rPr>
            </w:pPr>
            <w:r w:rsidRPr="00E124A0">
              <w:rPr>
                <w:rFonts w:asciiTheme="majorHAnsi" w:hAnsiTheme="majorHAnsi" w:cstheme="majorHAnsi"/>
                <w:color w:val="000000"/>
                <w:sz w:val="20"/>
                <w:szCs w:val="20"/>
              </w:rPr>
              <w:t>23,547</w:t>
            </w:r>
          </w:p>
        </w:tc>
        <w:tc>
          <w:tcPr>
            <w:tcW w:w="990" w:type="dxa"/>
            <w:shd w:val="clear" w:color="auto" w:fill="auto"/>
            <w:vAlign w:val="center"/>
          </w:tcPr>
          <w:p w14:paraId="2F7F6F90" w14:textId="77777777" w:rsidR="00BE2AAE" w:rsidRPr="00E124A0" w:rsidRDefault="00BE2AAE" w:rsidP="00623EFA">
            <w:pPr>
              <w:spacing w:line="240" w:lineRule="auto"/>
              <w:jc w:val="right"/>
              <w:rPr>
                <w:rFonts w:asciiTheme="majorHAnsi" w:hAnsiTheme="majorHAnsi" w:cstheme="majorHAnsi"/>
                <w:color w:val="000000"/>
                <w:sz w:val="20"/>
                <w:szCs w:val="20"/>
              </w:rPr>
            </w:pPr>
            <w:r w:rsidRPr="00E124A0">
              <w:rPr>
                <w:rFonts w:asciiTheme="majorHAnsi" w:hAnsiTheme="majorHAnsi" w:cstheme="majorHAnsi"/>
                <w:color w:val="000000"/>
                <w:sz w:val="20"/>
                <w:szCs w:val="20"/>
              </w:rPr>
              <w:t>91.73%</w:t>
            </w:r>
          </w:p>
        </w:tc>
        <w:tc>
          <w:tcPr>
            <w:tcW w:w="990" w:type="dxa"/>
            <w:shd w:val="clear" w:color="auto" w:fill="auto"/>
            <w:vAlign w:val="center"/>
          </w:tcPr>
          <w:p w14:paraId="46E7BE3B" w14:textId="77777777" w:rsidR="00BE2AAE" w:rsidRPr="00E124A0" w:rsidRDefault="00BE2AAE" w:rsidP="00623EFA">
            <w:pPr>
              <w:spacing w:line="240" w:lineRule="auto"/>
              <w:jc w:val="right"/>
              <w:rPr>
                <w:rFonts w:asciiTheme="majorHAnsi" w:hAnsiTheme="majorHAnsi" w:cstheme="majorHAnsi"/>
                <w:color w:val="000000"/>
                <w:sz w:val="20"/>
                <w:szCs w:val="20"/>
              </w:rPr>
            </w:pPr>
            <w:r w:rsidRPr="00E124A0">
              <w:rPr>
                <w:rFonts w:asciiTheme="majorHAnsi" w:hAnsiTheme="majorHAnsi" w:cstheme="majorHAnsi"/>
                <w:color w:val="000000"/>
                <w:sz w:val="20"/>
                <w:szCs w:val="20"/>
              </w:rPr>
              <w:t>24,677</w:t>
            </w:r>
          </w:p>
        </w:tc>
        <w:tc>
          <w:tcPr>
            <w:tcW w:w="990" w:type="dxa"/>
            <w:shd w:val="clear" w:color="auto" w:fill="auto"/>
            <w:vAlign w:val="center"/>
          </w:tcPr>
          <w:p w14:paraId="4379ABE2" w14:textId="77777777" w:rsidR="00BE2AAE" w:rsidRPr="00E124A0" w:rsidRDefault="00BE2AAE" w:rsidP="00623EFA">
            <w:pPr>
              <w:spacing w:line="240" w:lineRule="auto"/>
              <w:jc w:val="right"/>
              <w:rPr>
                <w:rFonts w:asciiTheme="majorHAnsi" w:hAnsiTheme="majorHAnsi" w:cstheme="majorHAnsi"/>
                <w:color w:val="000000"/>
                <w:sz w:val="20"/>
                <w:szCs w:val="20"/>
              </w:rPr>
            </w:pPr>
            <w:r w:rsidRPr="00E124A0">
              <w:rPr>
                <w:rFonts w:asciiTheme="majorHAnsi" w:hAnsiTheme="majorHAnsi" w:cstheme="majorHAnsi"/>
                <w:color w:val="000000"/>
                <w:sz w:val="20"/>
                <w:szCs w:val="20"/>
              </w:rPr>
              <w:t>91.82%</w:t>
            </w:r>
          </w:p>
        </w:tc>
        <w:tc>
          <w:tcPr>
            <w:tcW w:w="900" w:type="dxa"/>
            <w:shd w:val="clear" w:color="auto" w:fill="auto"/>
            <w:vAlign w:val="center"/>
          </w:tcPr>
          <w:p w14:paraId="2DC3DDC3" w14:textId="77777777" w:rsidR="00BE2AAE" w:rsidRPr="00E124A0" w:rsidRDefault="00BE2AAE" w:rsidP="00623EFA">
            <w:pPr>
              <w:spacing w:line="240" w:lineRule="auto"/>
              <w:jc w:val="right"/>
              <w:rPr>
                <w:rFonts w:asciiTheme="majorHAnsi" w:hAnsiTheme="majorHAnsi" w:cstheme="majorHAnsi"/>
                <w:color w:val="000000"/>
                <w:sz w:val="20"/>
                <w:szCs w:val="20"/>
              </w:rPr>
            </w:pPr>
            <w:r w:rsidRPr="00E124A0">
              <w:rPr>
                <w:rFonts w:asciiTheme="majorHAnsi" w:hAnsiTheme="majorHAnsi" w:cstheme="majorHAnsi"/>
                <w:color w:val="000000"/>
                <w:sz w:val="20"/>
                <w:szCs w:val="20"/>
              </w:rPr>
              <w:t>24,922</w:t>
            </w:r>
          </w:p>
        </w:tc>
        <w:tc>
          <w:tcPr>
            <w:tcW w:w="990" w:type="dxa"/>
            <w:shd w:val="clear" w:color="auto" w:fill="auto"/>
            <w:vAlign w:val="center"/>
          </w:tcPr>
          <w:p w14:paraId="4E1F4174" w14:textId="77777777" w:rsidR="00BE2AAE" w:rsidRPr="00E124A0" w:rsidRDefault="00BE2AAE" w:rsidP="00623EFA">
            <w:pPr>
              <w:spacing w:line="240" w:lineRule="auto"/>
              <w:jc w:val="right"/>
              <w:rPr>
                <w:rFonts w:asciiTheme="majorHAnsi" w:hAnsiTheme="majorHAnsi" w:cstheme="majorHAnsi"/>
                <w:color w:val="000000"/>
                <w:sz w:val="20"/>
                <w:szCs w:val="20"/>
              </w:rPr>
            </w:pPr>
            <w:r w:rsidRPr="00E124A0">
              <w:rPr>
                <w:rFonts w:asciiTheme="majorHAnsi" w:hAnsiTheme="majorHAnsi" w:cstheme="majorHAnsi"/>
                <w:color w:val="000000"/>
                <w:sz w:val="20"/>
                <w:szCs w:val="20"/>
              </w:rPr>
              <w:t>91.42%</w:t>
            </w:r>
          </w:p>
        </w:tc>
      </w:tr>
      <w:tr w:rsidR="00BE2AAE" w14:paraId="5C55DA3E" w14:textId="77777777" w:rsidTr="0096689E">
        <w:trPr>
          <w:cantSplit/>
        </w:trPr>
        <w:tc>
          <w:tcPr>
            <w:tcW w:w="4140" w:type="dxa"/>
            <w:shd w:val="clear" w:color="auto" w:fill="auto"/>
            <w:vAlign w:val="center"/>
          </w:tcPr>
          <w:p w14:paraId="5BB038C2" w14:textId="2994700F" w:rsidR="00BE2AAE" w:rsidRPr="00E124A0" w:rsidRDefault="00BE2AAE" w:rsidP="00607FAE">
            <w:pPr>
              <w:spacing w:line="240" w:lineRule="auto"/>
              <w:rPr>
                <w:rFonts w:asciiTheme="majorHAnsi" w:eastAsia="Times New Roman" w:hAnsiTheme="majorHAnsi" w:cstheme="majorHAnsi"/>
                <w:color w:val="000000"/>
                <w:sz w:val="20"/>
                <w:szCs w:val="20"/>
              </w:rPr>
            </w:pPr>
            <w:r w:rsidRPr="00E124A0">
              <w:rPr>
                <w:rFonts w:asciiTheme="majorHAnsi" w:eastAsia="Times New Roman" w:hAnsiTheme="majorHAnsi" w:cstheme="majorHAnsi"/>
                <w:color w:val="000000"/>
                <w:sz w:val="20"/>
                <w:szCs w:val="20"/>
              </w:rPr>
              <w:t>Ethnicity</w:t>
            </w:r>
            <w:r w:rsidR="005707AC">
              <w:rPr>
                <w:rFonts w:asciiTheme="majorHAnsi" w:eastAsia="Times New Roman" w:hAnsiTheme="majorHAnsi" w:cstheme="majorHAnsi"/>
                <w:color w:val="000000"/>
                <w:sz w:val="20"/>
                <w:szCs w:val="20"/>
              </w:rPr>
              <w:t>:</w:t>
            </w:r>
            <w:r w:rsidRPr="00E124A0">
              <w:rPr>
                <w:rFonts w:asciiTheme="majorHAnsi" w:eastAsia="Times New Roman" w:hAnsiTheme="majorHAnsi" w:cstheme="majorHAnsi"/>
                <w:color w:val="000000"/>
                <w:sz w:val="20"/>
                <w:szCs w:val="20"/>
              </w:rPr>
              <w:t xml:space="preserve"> Unknown</w:t>
            </w:r>
          </w:p>
        </w:tc>
        <w:tc>
          <w:tcPr>
            <w:tcW w:w="810" w:type="dxa"/>
            <w:shd w:val="clear" w:color="auto" w:fill="auto"/>
            <w:vAlign w:val="center"/>
          </w:tcPr>
          <w:p w14:paraId="127E4F09" w14:textId="77777777" w:rsidR="00BE2AAE" w:rsidRPr="00E124A0" w:rsidRDefault="00BE2AAE" w:rsidP="00623EFA">
            <w:pPr>
              <w:spacing w:line="240" w:lineRule="auto"/>
              <w:jc w:val="right"/>
              <w:rPr>
                <w:rFonts w:asciiTheme="majorHAnsi" w:hAnsiTheme="majorHAnsi" w:cstheme="majorHAnsi"/>
                <w:color w:val="000000"/>
                <w:sz w:val="20"/>
                <w:szCs w:val="20"/>
              </w:rPr>
            </w:pPr>
            <w:r w:rsidRPr="00E124A0">
              <w:rPr>
                <w:rFonts w:asciiTheme="majorHAnsi" w:hAnsiTheme="majorHAnsi" w:cstheme="majorHAnsi"/>
                <w:color w:val="000000"/>
                <w:sz w:val="20"/>
                <w:szCs w:val="20"/>
              </w:rPr>
              <w:t>1,467</w:t>
            </w:r>
          </w:p>
        </w:tc>
        <w:tc>
          <w:tcPr>
            <w:tcW w:w="990" w:type="dxa"/>
            <w:shd w:val="clear" w:color="auto" w:fill="auto"/>
            <w:vAlign w:val="center"/>
          </w:tcPr>
          <w:p w14:paraId="12AAB69B" w14:textId="77777777" w:rsidR="00BE2AAE" w:rsidRPr="00E124A0" w:rsidRDefault="00BE2AAE" w:rsidP="00623EFA">
            <w:pPr>
              <w:spacing w:line="240" w:lineRule="auto"/>
              <w:jc w:val="right"/>
              <w:rPr>
                <w:rFonts w:asciiTheme="majorHAnsi" w:hAnsiTheme="majorHAnsi" w:cstheme="majorHAnsi"/>
                <w:color w:val="000000"/>
                <w:sz w:val="20"/>
                <w:szCs w:val="20"/>
              </w:rPr>
            </w:pPr>
            <w:r w:rsidRPr="00E124A0">
              <w:rPr>
                <w:rFonts w:asciiTheme="majorHAnsi" w:hAnsiTheme="majorHAnsi" w:cstheme="majorHAnsi"/>
                <w:color w:val="000000"/>
                <w:sz w:val="20"/>
                <w:szCs w:val="20"/>
              </w:rPr>
              <w:t>5.71%</w:t>
            </w:r>
          </w:p>
        </w:tc>
        <w:tc>
          <w:tcPr>
            <w:tcW w:w="990" w:type="dxa"/>
            <w:shd w:val="clear" w:color="auto" w:fill="auto"/>
            <w:vAlign w:val="center"/>
          </w:tcPr>
          <w:p w14:paraId="3A2C23D6" w14:textId="77777777" w:rsidR="00BE2AAE" w:rsidRPr="00E124A0" w:rsidRDefault="00BE2AAE" w:rsidP="00623EFA">
            <w:pPr>
              <w:spacing w:line="240" w:lineRule="auto"/>
              <w:jc w:val="right"/>
              <w:rPr>
                <w:rFonts w:asciiTheme="majorHAnsi" w:hAnsiTheme="majorHAnsi" w:cstheme="majorHAnsi"/>
                <w:color w:val="000000"/>
                <w:sz w:val="20"/>
                <w:szCs w:val="20"/>
              </w:rPr>
            </w:pPr>
            <w:r w:rsidRPr="00E124A0">
              <w:rPr>
                <w:rFonts w:asciiTheme="majorHAnsi" w:hAnsiTheme="majorHAnsi" w:cstheme="majorHAnsi"/>
                <w:color w:val="000000"/>
                <w:sz w:val="20"/>
                <w:szCs w:val="20"/>
              </w:rPr>
              <w:t>1,332</w:t>
            </w:r>
          </w:p>
        </w:tc>
        <w:tc>
          <w:tcPr>
            <w:tcW w:w="990" w:type="dxa"/>
            <w:shd w:val="clear" w:color="auto" w:fill="auto"/>
            <w:vAlign w:val="center"/>
          </w:tcPr>
          <w:p w14:paraId="4A67A62D" w14:textId="77777777" w:rsidR="00BE2AAE" w:rsidRPr="00E124A0" w:rsidRDefault="00BE2AAE" w:rsidP="00623EFA">
            <w:pPr>
              <w:spacing w:line="240" w:lineRule="auto"/>
              <w:jc w:val="right"/>
              <w:rPr>
                <w:rFonts w:asciiTheme="majorHAnsi" w:hAnsiTheme="majorHAnsi" w:cstheme="majorHAnsi"/>
                <w:color w:val="000000"/>
                <w:sz w:val="20"/>
                <w:szCs w:val="20"/>
              </w:rPr>
            </w:pPr>
            <w:r w:rsidRPr="00E124A0">
              <w:rPr>
                <w:rFonts w:asciiTheme="majorHAnsi" w:hAnsiTheme="majorHAnsi" w:cstheme="majorHAnsi"/>
                <w:color w:val="000000"/>
                <w:sz w:val="20"/>
                <w:szCs w:val="20"/>
              </w:rPr>
              <w:t>4.96%</w:t>
            </w:r>
          </w:p>
        </w:tc>
        <w:tc>
          <w:tcPr>
            <w:tcW w:w="900" w:type="dxa"/>
            <w:shd w:val="clear" w:color="auto" w:fill="auto"/>
            <w:vAlign w:val="center"/>
          </w:tcPr>
          <w:p w14:paraId="055EF999" w14:textId="77777777" w:rsidR="00BE2AAE" w:rsidRPr="00E124A0" w:rsidRDefault="00BE2AAE" w:rsidP="00623EFA">
            <w:pPr>
              <w:spacing w:line="240" w:lineRule="auto"/>
              <w:jc w:val="right"/>
              <w:rPr>
                <w:rFonts w:asciiTheme="majorHAnsi" w:hAnsiTheme="majorHAnsi" w:cstheme="majorHAnsi"/>
                <w:color w:val="000000"/>
                <w:sz w:val="20"/>
                <w:szCs w:val="20"/>
              </w:rPr>
            </w:pPr>
            <w:r w:rsidRPr="00E124A0">
              <w:rPr>
                <w:rFonts w:asciiTheme="majorHAnsi" w:hAnsiTheme="majorHAnsi" w:cstheme="majorHAnsi"/>
                <w:color w:val="000000"/>
                <w:sz w:val="20"/>
                <w:szCs w:val="20"/>
              </w:rPr>
              <w:t>1,374</w:t>
            </w:r>
          </w:p>
        </w:tc>
        <w:tc>
          <w:tcPr>
            <w:tcW w:w="990" w:type="dxa"/>
            <w:shd w:val="clear" w:color="auto" w:fill="auto"/>
            <w:vAlign w:val="center"/>
          </w:tcPr>
          <w:p w14:paraId="279A0F9E" w14:textId="77777777" w:rsidR="00BE2AAE" w:rsidRPr="00E124A0" w:rsidRDefault="00BE2AAE" w:rsidP="00623EFA">
            <w:pPr>
              <w:spacing w:line="240" w:lineRule="auto"/>
              <w:jc w:val="right"/>
              <w:rPr>
                <w:rFonts w:asciiTheme="majorHAnsi" w:hAnsiTheme="majorHAnsi" w:cstheme="majorHAnsi"/>
                <w:color w:val="000000"/>
                <w:sz w:val="20"/>
                <w:szCs w:val="20"/>
              </w:rPr>
            </w:pPr>
            <w:r w:rsidRPr="00E124A0">
              <w:rPr>
                <w:rFonts w:asciiTheme="majorHAnsi" w:hAnsiTheme="majorHAnsi" w:cstheme="majorHAnsi"/>
                <w:color w:val="000000"/>
                <w:sz w:val="20"/>
                <w:szCs w:val="20"/>
              </w:rPr>
              <w:t>5.04%</w:t>
            </w:r>
          </w:p>
        </w:tc>
      </w:tr>
      <w:tr w:rsidR="00BE2AAE" w14:paraId="4A82511D" w14:textId="77777777" w:rsidTr="0096689E">
        <w:trPr>
          <w:cantSplit/>
        </w:trPr>
        <w:tc>
          <w:tcPr>
            <w:tcW w:w="4140" w:type="dxa"/>
            <w:shd w:val="clear" w:color="auto" w:fill="auto"/>
            <w:vAlign w:val="center"/>
          </w:tcPr>
          <w:p w14:paraId="64A25F0D" w14:textId="63A55AA6" w:rsidR="00BE2AAE" w:rsidRPr="00E124A0" w:rsidRDefault="00BE2AAE" w:rsidP="00607FAE">
            <w:pPr>
              <w:spacing w:line="240" w:lineRule="auto"/>
              <w:rPr>
                <w:rFonts w:asciiTheme="majorHAnsi" w:eastAsia="Times New Roman" w:hAnsiTheme="majorHAnsi" w:cstheme="majorHAnsi"/>
                <w:color w:val="000000"/>
                <w:sz w:val="20"/>
                <w:szCs w:val="20"/>
              </w:rPr>
            </w:pPr>
            <w:r w:rsidRPr="00E124A0">
              <w:rPr>
                <w:rFonts w:asciiTheme="majorHAnsi" w:eastAsia="Times New Roman" w:hAnsiTheme="majorHAnsi" w:cstheme="majorHAnsi"/>
                <w:color w:val="000000"/>
                <w:sz w:val="20"/>
                <w:szCs w:val="20"/>
              </w:rPr>
              <w:t>Payer Source</w:t>
            </w:r>
            <w:r w:rsidR="005707AC">
              <w:rPr>
                <w:rFonts w:asciiTheme="majorHAnsi" w:eastAsia="Times New Roman" w:hAnsiTheme="majorHAnsi" w:cstheme="majorHAnsi"/>
                <w:color w:val="000000"/>
                <w:sz w:val="20"/>
                <w:szCs w:val="20"/>
              </w:rPr>
              <w:t>:</w:t>
            </w:r>
            <w:r w:rsidRPr="00E124A0">
              <w:rPr>
                <w:rFonts w:asciiTheme="majorHAnsi" w:eastAsia="Times New Roman" w:hAnsiTheme="majorHAnsi" w:cstheme="majorHAnsi"/>
                <w:color w:val="000000"/>
                <w:sz w:val="20"/>
                <w:szCs w:val="20"/>
              </w:rPr>
              <w:t xml:space="preserve"> Commercial</w:t>
            </w:r>
          </w:p>
        </w:tc>
        <w:tc>
          <w:tcPr>
            <w:tcW w:w="810" w:type="dxa"/>
            <w:shd w:val="clear" w:color="auto" w:fill="auto"/>
          </w:tcPr>
          <w:p w14:paraId="44257075" w14:textId="77777777" w:rsidR="00BE2AAE" w:rsidRPr="00E124A0" w:rsidRDefault="00BE2AAE" w:rsidP="00623EFA">
            <w:pPr>
              <w:spacing w:line="240" w:lineRule="auto"/>
              <w:jc w:val="right"/>
              <w:rPr>
                <w:rFonts w:asciiTheme="majorHAnsi" w:hAnsiTheme="majorHAnsi" w:cstheme="majorHAnsi"/>
                <w:color w:val="000000"/>
                <w:sz w:val="20"/>
                <w:szCs w:val="20"/>
              </w:rPr>
            </w:pPr>
            <w:r w:rsidRPr="00E124A0">
              <w:rPr>
                <w:rFonts w:asciiTheme="majorHAnsi" w:hAnsiTheme="majorHAnsi" w:cstheme="majorHAnsi"/>
                <w:color w:val="000000"/>
                <w:sz w:val="20"/>
                <w:szCs w:val="20"/>
              </w:rPr>
              <w:t>9,308</w:t>
            </w:r>
          </w:p>
        </w:tc>
        <w:tc>
          <w:tcPr>
            <w:tcW w:w="990" w:type="dxa"/>
            <w:shd w:val="clear" w:color="auto" w:fill="auto"/>
          </w:tcPr>
          <w:p w14:paraId="6B580035" w14:textId="77777777" w:rsidR="00BE2AAE" w:rsidRPr="00E124A0" w:rsidRDefault="00BE2AAE" w:rsidP="00623EFA">
            <w:pPr>
              <w:spacing w:line="240" w:lineRule="auto"/>
              <w:jc w:val="right"/>
              <w:rPr>
                <w:rFonts w:asciiTheme="majorHAnsi" w:hAnsiTheme="majorHAnsi" w:cstheme="majorHAnsi"/>
                <w:color w:val="000000"/>
                <w:sz w:val="20"/>
                <w:szCs w:val="20"/>
              </w:rPr>
            </w:pPr>
            <w:r w:rsidRPr="00E124A0">
              <w:rPr>
                <w:rFonts w:asciiTheme="majorHAnsi" w:hAnsiTheme="majorHAnsi" w:cstheme="majorHAnsi"/>
                <w:color w:val="000000"/>
                <w:sz w:val="20"/>
                <w:szCs w:val="20"/>
              </w:rPr>
              <w:t>34.5%</w:t>
            </w:r>
          </w:p>
        </w:tc>
        <w:tc>
          <w:tcPr>
            <w:tcW w:w="990" w:type="dxa"/>
            <w:shd w:val="clear" w:color="auto" w:fill="auto"/>
          </w:tcPr>
          <w:p w14:paraId="2A0CEAF0" w14:textId="77777777" w:rsidR="00BE2AAE" w:rsidRPr="00E124A0" w:rsidRDefault="00BE2AAE" w:rsidP="00623EFA">
            <w:pPr>
              <w:spacing w:line="240" w:lineRule="auto"/>
              <w:jc w:val="right"/>
              <w:rPr>
                <w:rFonts w:asciiTheme="majorHAnsi" w:hAnsiTheme="majorHAnsi" w:cstheme="majorHAnsi"/>
                <w:color w:val="000000"/>
                <w:sz w:val="20"/>
                <w:szCs w:val="20"/>
              </w:rPr>
            </w:pPr>
            <w:r w:rsidRPr="00E124A0">
              <w:rPr>
                <w:rFonts w:asciiTheme="majorHAnsi" w:hAnsiTheme="majorHAnsi" w:cstheme="majorHAnsi"/>
                <w:color w:val="000000"/>
                <w:sz w:val="20"/>
                <w:szCs w:val="20"/>
              </w:rPr>
              <w:t>9,751</w:t>
            </w:r>
          </w:p>
        </w:tc>
        <w:tc>
          <w:tcPr>
            <w:tcW w:w="990" w:type="dxa"/>
            <w:shd w:val="clear" w:color="auto" w:fill="auto"/>
          </w:tcPr>
          <w:p w14:paraId="4C9DD26D" w14:textId="77777777" w:rsidR="00BE2AAE" w:rsidRPr="00E124A0" w:rsidRDefault="00BE2AAE" w:rsidP="00623EFA">
            <w:pPr>
              <w:spacing w:line="240" w:lineRule="auto"/>
              <w:jc w:val="right"/>
              <w:rPr>
                <w:rFonts w:asciiTheme="majorHAnsi" w:hAnsiTheme="majorHAnsi" w:cstheme="majorHAnsi"/>
                <w:color w:val="000000"/>
                <w:sz w:val="20"/>
                <w:szCs w:val="20"/>
              </w:rPr>
            </w:pPr>
            <w:r w:rsidRPr="00E124A0">
              <w:rPr>
                <w:rFonts w:asciiTheme="majorHAnsi" w:hAnsiTheme="majorHAnsi" w:cstheme="majorHAnsi"/>
                <w:color w:val="000000"/>
                <w:sz w:val="20"/>
                <w:szCs w:val="20"/>
              </w:rPr>
              <w:t>34.4%</w:t>
            </w:r>
          </w:p>
        </w:tc>
        <w:tc>
          <w:tcPr>
            <w:tcW w:w="900" w:type="dxa"/>
            <w:shd w:val="clear" w:color="auto" w:fill="auto"/>
          </w:tcPr>
          <w:p w14:paraId="5D9E863F" w14:textId="77777777" w:rsidR="00BE2AAE" w:rsidRPr="00E124A0" w:rsidRDefault="00BE2AAE" w:rsidP="00623EFA">
            <w:pPr>
              <w:spacing w:line="240" w:lineRule="auto"/>
              <w:jc w:val="right"/>
              <w:rPr>
                <w:rFonts w:asciiTheme="majorHAnsi" w:hAnsiTheme="majorHAnsi" w:cstheme="majorHAnsi"/>
                <w:color w:val="000000"/>
                <w:sz w:val="20"/>
                <w:szCs w:val="20"/>
              </w:rPr>
            </w:pPr>
            <w:r w:rsidRPr="00E124A0">
              <w:rPr>
                <w:rFonts w:asciiTheme="majorHAnsi" w:hAnsiTheme="majorHAnsi" w:cstheme="majorHAnsi"/>
                <w:color w:val="000000"/>
                <w:sz w:val="20"/>
                <w:szCs w:val="20"/>
              </w:rPr>
              <w:t>9,959</w:t>
            </w:r>
          </w:p>
        </w:tc>
        <w:tc>
          <w:tcPr>
            <w:tcW w:w="990" w:type="dxa"/>
            <w:shd w:val="clear" w:color="auto" w:fill="auto"/>
          </w:tcPr>
          <w:p w14:paraId="2591193F" w14:textId="77777777" w:rsidR="00BE2AAE" w:rsidRPr="00E124A0" w:rsidRDefault="00BE2AAE" w:rsidP="00623EFA">
            <w:pPr>
              <w:spacing w:line="240" w:lineRule="auto"/>
              <w:jc w:val="right"/>
              <w:rPr>
                <w:rFonts w:asciiTheme="majorHAnsi" w:hAnsiTheme="majorHAnsi" w:cstheme="majorHAnsi"/>
                <w:color w:val="000000"/>
                <w:sz w:val="20"/>
                <w:szCs w:val="20"/>
              </w:rPr>
            </w:pPr>
            <w:r w:rsidRPr="00E124A0">
              <w:rPr>
                <w:rFonts w:asciiTheme="majorHAnsi" w:hAnsiTheme="majorHAnsi" w:cstheme="majorHAnsi"/>
                <w:color w:val="000000"/>
                <w:sz w:val="20"/>
                <w:szCs w:val="20"/>
              </w:rPr>
              <w:t>34.0%</w:t>
            </w:r>
          </w:p>
        </w:tc>
      </w:tr>
      <w:tr w:rsidR="00BE2AAE" w14:paraId="09B4DDD4" w14:textId="77777777" w:rsidTr="0096689E">
        <w:trPr>
          <w:cantSplit/>
        </w:trPr>
        <w:tc>
          <w:tcPr>
            <w:tcW w:w="4140" w:type="dxa"/>
            <w:shd w:val="clear" w:color="auto" w:fill="auto"/>
            <w:vAlign w:val="center"/>
          </w:tcPr>
          <w:p w14:paraId="046EAD77" w14:textId="0F60D736" w:rsidR="00BE2AAE" w:rsidRPr="00E124A0" w:rsidRDefault="00BE2AAE" w:rsidP="00607FAE">
            <w:pPr>
              <w:spacing w:line="240" w:lineRule="auto"/>
              <w:rPr>
                <w:rFonts w:asciiTheme="majorHAnsi" w:eastAsia="Times New Roman" w:hAnsiTheme="majorHAnsi" w:cstheme="majorHAnsi"/>
                <w:color w:val="000000"/>
                <w:sz w:val="20"/>
                <w:szCs w:val="20"/>
              </w:rPr>
            </w:pPr>
            <w:r w:rsidRPr="00E124A0">
              <w:rPr>
                <w:rFonts w:asciiTheme="majorHAnsi" w:eastAsia="Times New Roman" w:hAnsiTheme="majorHAnsi" w:cstheme="majorHAnsi"/>
                <w:color w:val="000000"/>
                <w:sz w:val="20"/>
                <w:szCs w:val="20"/>
              </w:rPr>
              <w:t>Payer Source</w:t>
            </w:r>
            <w:r w:rsidR="005707AC">
              <w:rPr>
                <w:rFonts w:asciiTheme="majorHAnsi" w:eastAsia="Times New Roman" w:hAnsiTheme="majorHAnsi" w:cstheme="majorHAnsi"/>
                <w:color w:val="000000"/>
                <w:sz w:val="20"/>
                <w:szCs w:val="20"/>
              </w:rPr>
              <w:t>:</w:t>
            </w:r>
            <w:r w:rsidRPr="00E124A0">
              <w:rPr>
                <w:rFonts w:asciiTheme="majorHAnsi" w:eastAsia="Times New Roman" w:hAnsiTheme="majorHAnsi" w:cstheme="majorHAnsi"/>
                <w:color w:val="000000"/>
                <w:sz w:val="20"/>
                <w:szCs w:val="20"/>
              </w:rPr>
              <w:t xml:space="preserve"> Medicaid</w:t>
            </w:r>
          </w:p>
        </w:tc>
        <w:tc>
          <w:tcPr>
            <w:tcW w:w="810" w:type="dxa"/>
            <w:shd w:val="clear" w:color="auto" w:fill="auto"/>
          </w:tcPr>
          <w:p w14:paraId="25015F3C" w14:textId="77777777" w:rsidR="00BE2AAE" w:rsidRPr="00E124A0" w:rsidRDefault="00BE2AAE" w:rsidP="00623EFA">
            <w:pPr>
              <w:spacing w:line="240" w:lineRule="auto"/>
              <w:jc w:val="right"/>
              <w:rPr>
                <w:rFonts w:asciiTheme="majorHAnsi" w:hAnsiTheme="majorHAnsi" w:cstheme="majorHAnsi"/>
                <w:sz w:val="20"/>
                <w:szCs w:val="20"/>
              </w:rPr>
            </w:pPr>
            <w:r w:rsidRPr="00E124A0">
              <w:rPr>
                <w:rFonts w:asciiTheme="majorHAnsi" w:hAnsiTheme="majorHAnsi" w:cstheme="majorHAnsi"/>
                <w:sz w:val="20"/>
                <w:szCs w:val="20"/>
              </w:rPr>
              <w:t>6,380</w:t>
            </w:r>
          </w:p>
        </w:tc>
        <w:tc>
          <w:tcPr>
            <w:tcW w:w="990" w:type="dxa"/>
            <w:shd w:val="clear" w:color="auto" w:fill="auto"/>
          </w:tcPr>
          <w:p w14:paraId="40AF52B2" w14:textId="77777777" w:rsidR="00BE2AAE" w:rsidRPr="00E124A0" w:rsidRDefault="00BE2AAE" w:rsidP="00623EFA">
            <w:pPr>
              <w:spacing w:line="240" w:lineRule="auto"/>
              <w:jc w:val="right"/>
              <w:rPr>
                <w:rFonts w:asciiTheme="majorHAnsi" w:hAnsiTheme="majorHAnsi" w:cstheme="majorHAnsi"/>
                <w:sz w:val="20"/>
                <w:szCs w:val="20"/>
              </w:rPr>
            </w:pPr>
            <w:r w:rsidRPr="00E124A0">
              <w:rPr>
                <w:rFonts w:asciiTheme="majorHAnsi" w:hAnsiTheme="majorHAnsi" w:cstheme="majorHAnsi"/>
                <w:sz w:val="20"/>
                <w:szCs w:val="20"/>
              </w:rPr>
              <w:t>26.6%</w:t>
            </w:r>
          </w:p>
        </w:tc>
        <w:tc>
          <w:tcPr>
            <w:tcW w:w="990" w:type="dxa"/>
            <w:shd w:val="clear" w:color="auto" w:fill="auto"/>
          </w:tcPr>
          <w:p w14:paraId="21043E99" w14:textId="77777777" w:rsidR="00BE2AAE" w:rsidRPr="00E124A0" w:rsidRDefault="00BE2AAE" w:rsidP="00623EFA">
            <w:pPr>
              <w:spacing w:line="240" w:lineRule="auto"/>
              <w:jc w:val="right"/>
              <w:rPr>
                <w:rFonts w:asciiTheme="majorHAnsi" w:hAnsiTheme="majorHAnsi" w:cstheme="majorHAnsi"/>
                <w:sz w:val="20"/>
                <w:szCs w:val="20"/>
              </w:rPr>
            </w:pPr>
            <w:r w:rsidRPr="00E124A0">
              <w:rPr>
                <w:rFonts w:asciiTheme="majorHAnsi" w:hAnsiTheme="majorHAnsi" w:cstheme="majorHAnsi"/>
                <w:sz w:val="20"/>
                <w:szCs w:val="20"/>
              </w:rPr>
              <w:t>6,739</w:t>
            </w:r>
          </w:p>
        </w:tc>
        <w:tc>
          <w:tcPr>
            <w:tcW w:w="990" w:type="dxa"/>
            <w:shd w:val="clear" w:color="auto" w:fill="auto"/>
          </w:tcPr>
          <w:p w14:paraId="3AE23572" w14:textId="77777777" w:rsidR="00BE2AAE" w:rsidRPr="00E124A0" w:rsidRDefault="00BE2AAE" w:rsidP="00623EFA">
            <w:pPr>
              <w:spacing w:line="240" w:lineRule="auto"/>
              <w:jc w:val="right"/>
              <w:rPr>
                <w:rFonts w:asciiTheme="majorHAnsi" w:hAnsiTheme="majorHAnsi" w:cstheme="majorHAnsi"/>
                <w:sz w:val="20"/>
                <w:szCs w:val="20"/>
              </w:rPr>
            </w:pPr>
            <w:r w:rsidRPr="00E124A0">
              <w:rPr>
                <w:rFonts w:asciiTheme="majorHAnsi" w:hAnsiTheme="majorHAnsi" w:cstheme="majorHAnsi"/>
                <w:sz w:val="20"/>
                <w:szCs w:val="20"/>
              </w:rPr>
              <w:t>23.7%</w:t>
            </w:r>
          </w:p>
        </w:tc>
        <w:tc>
          <w:tcPr>
            <w:tcW w:w="900" w:type="dxa"/>
            <w:shd w:val="clear" w:color="auto" w:fill="auto"/>
          </w:tcPr>
          <w:p w14:paraId="1329234B" w14:textId="77777777" w:rsidR="00BE2AAE" w:rsidRPr="00E124A0" w:rsidRDefault="00BE2AAE" w:rsidP="00623EFA">
            <w:pPr>
              <w:spacing w:line="240" w:lineRule="auto"/>
              <w:jc w:val="right"/>
              <w:rPr>
                <w:rFonts w:asciiTheme="majorHAnsi" w:hAnsiTheme="majorHAnsi" w:cstheme="majorHAnsi"/>
                <w:sz w:val="20"/>
                <w:szCs w:val="20"/>
              </w:rPr>
            </w:pPr>
            <w:r w:rsidRPr="00E124A0">
              <w:rPr>
                <w:rFonts w:asciiTheme="majorHAnsi" w:hAnsiTheme="majorHAnsi" w:cstheme="majorHAnsi"/>
                <w:sz w:val="20"/>
                <w:szCs w:val="20"/>
              </w:rPr>
              <w:t>6,833</w:t>
            </w:r>
          </w:p>
        </w:tc>
        <w:tc>
          <w:tcPr>
            <w:tcW w:w="990" w:type="dxa"/>
            <w:shd w:val="clear" w:color="auto" w:fill="auto"/>
          </w:tcPr>
          <w:p w14:paraId="2C3BB5A9" w14:textId="77777777" w:rsidR="00BE2AAE" w:rsidRPr="00E124A0" w:rsidRDefault="00BE2AAE" w:rsidP="00623EFA">
            <w:pPr>
              <w:spacing w:line="240" w:lineRule="auto"/>
              <w:jc w:val="right"/>
              <w:rPr>
                <w:rFonts w:asciiTheme="majorHAnsi" w:hAnsiTheme="majorHAnsi" w:cstheme="majorHAnsi"/>
                <w:sz w:val="20"/>
                <w:szCs w:val="20"/>
              </w:rPr>
            </w:pPr>
            <w:r w:rsidRPr="00E124A0">
              <w:rPr>
                <w:rFonts w:asciiTheme="majorHAnsi" w:hAnsiTheme="majorHAnsi" w:cstheme="majorHAnsi"/>
                <w:sz w:val="20"/>
                <w:szCs w:val="20"/>
              </w:rPr>
              <w:t>23.4%</w:t>
            </w:r>
          </w:p>
        </w:tc>
      </w:tr>
      <w:tr w:rsidR="00BE2AAE" w14:paraId="02072853" w14:textId="77777777" w:rsidTr="0096689E">
        <w:trPr>
          <w:cantSplit/>
        </w:trPr>
        <w:tc>
          <w:tcPr>
            <w:tcW w:w="4140" w:type="dxa"/>
            <w:shd w:val="clear" w:color="auto" w:fill="auto"/>
            <w:vAlign w:val="center"/>
          </w:tcPr>
          <w:p w14:paraId="7AAEC1CA" w14:textId="11FD2215" w:rsidR="00BE2AAE" w:rsidRPr="00E124A0" w:rsidRDefault="00BE2AAE" w:rsidP="00607FAE">
            <w:pPr>
              <w:spacing w:line="240" w:lineRule="auto"/>
              <w:rPr>
                <w:rFonts w:asciiTheme="majorHAnsi" w:eastAsia="Times New Roman" w:hAnsiTheme="majorHAnsi" w:cstheme="majorHAnsi"/>
                <w:color w:val="000000"/>
                <w:sz w:val="20"/>
                <w:szCs w:val="20"/>
              </w:rPr>
            </w:pPr>
            <w:r w:rsidRPr="00E124A0">
              <w:rPr>
                <w:rFonts w:asciiTheme="majorHAnsi" w:eastAsia="Times New Roman" w:hAnsiTheme="majorHAnsi" w:cstheme="majorHAnsi"/>
                <w:color w:val="000000"/>
                <w:sz w:val="20"/>
                <w:szCs w:val="20"/>
              </w:rPr>
              <w:t>Payer Source</w:t>
            </w:r>
            <w:r w:rsidR="005707AC">
              <w:rPr>
                <w:rFonts w:asciiTheme="majorHAnsi" w:eastAsia="Times New Roman" w:hAnsiTheme="majorHAnsi" w:cstheme="majorHAnsi"/>
                <w:color w:val="000000"/>
                <w:sz w:val="20"/>
                <w:szCs w:val="20"/>
              </w:rPr>
              <w:t>:</w:t>
            </w:r>
            <w:r w:rsidRPr="00E124A0">
              <w:rPr>
                <w:rFonts w:asciiTheme="majorHAnsi" w:eastAsia="Times New Roman" w:hAnsiTheme="majorHAnsi" w:cstheme="majorHAnsi"/>
                <w:color w:val="000000"/>
                <w:sz w:val="20"/>
                <w:szCs w:val="20"/>
              </w:rPr>
              <w:t xml:space="preserve"> Medicare</w:t>
            </w:r>
          </w:p>
        </w:tc>
        <w:tc>
          <w:tcPr>
            <w:tcW w:w="810" w:type="dxa"/>
            <w:shd w:val="clear" w:color="auto" w:fill="auto"/>
          </w:tcPr>
          <w:p w14:paraId="1D4D4FEE" w14:textId="77777777" w:rsidR="00BE2AAE" w:rsidRPr="00E124A0" w:rsidRDefault="00BE2AAE" w:rsidP="00623EFA">
            <w:pPr>
              <w:spacing w:line="240" w:lineRule="auto"/>
              <w:jc w:val="right"/>
              <w:rPr>
                <w:rFonts w:asciiTheme="majorHAnsi" w:hAnsiTheme="majorHAnsi" w:cstheme="majorHAnsi"/>
                <w:sz w:val="20"/>
                <w:szCs w:val="20"/>
              </w:rPr>
            </w:pPr>
            <w:r w:rsidRPr="00E124A0">
              <w:rPr>
                <w:rFonts w:asciiTheme="majorHAnsi" w:hAnsiTheme="majorHAnsi" w:cstheme="majorHAnsi"/>
                <w:sz w:val="20"/>
                <w:szCs w:val="20"/>
              </w:rPr>
              <w:t>9,267</w:t>
            </w:r>
          </w:p>
        </w:tc>
        <w:tc>
          <w:tcPr>
            <w:tcW w:w="990" w:type="dxa"/>
            <w:shd w:val="clear" w:color="auto" w:fill="auto"/>
          </w:tcPr>
          <w:p w14:paraId="3A002684" w14:textId="77777777" w:rsidR="00BE2AAE" w:rsidRPr="00E124A0" w:rsidRDefault="00BE2AAE" w:rsidP="00623EFA">
            <w:pPr>
              <w:spacing w:line="240" w:lineRule="auto"/>
              <w:jc w:val="right"/>
              <w:rPr>
                <w:rFonts w:asciiTheme="majorHAnsi" w:hAnsiTheme="majorHAnsi" w:cstheme="majorHAnsi"/>
                <w:sz w:val="20"/>
                <w:szCs w:val="20"/>
              </w:rPr>
            </w:pPr>
            <w:r w:rsidRPr="00E124A0">
              <w:rPr>
                <w:rFonts w:asciiTheme="majorHAnsi" w:hAnsiTheme="majorHAnsi" w:cstheme="majorHAnsi"/>
                <w:sz w:val="20"/>
                <w:szCs w:val="20"/>
              </w:rPr>
              <w:t>34.3%</w:t>
            </w:r>
          </w:p>
        </w:tc>
        <w:tc>
          <w:tcPr>
            <w:tcW w:w="990" w:type="dxa"/>
            <w:shd w:val="clear" w:color="auto" w:fill="auto"/>
          </w:tcPr>
          <w:p w14:paraId="32D2739D" w14:textId="77777777" w:rsidR="00BE2AAE" w:rsidRPr="00E124A0" w:rsidRDefault="00BE2AAE" w:rsidP="00623EFA">
            <w:pPr>
              <w:spacing w:line="240" w:lineRule="auto"/>
              <w:jc w:val="right"/>
              <w:rPr>
                <w:rFonts w:asciiTheme="majorHAnsi" w:hAnsiTheme="majorHAnsi" w:cstheme="majorHAnsi"/>
                <w:sz w:val="20"/>
                <w:szCs w:val="20"/>
              </w:rPr>
            </w:pPr>
            <w:r w:rsidRPr="00E124A0">
              <w:rPr>
                <w:rFonts w:asciiTheme="majorHAnsi" w:hAnsiTheme="majorHAnsi" w:cstheme="majorHAnsi"/>
                <w:sz w:val="20"/>
                <w:szCs w:val="20"/>
              </w:rPr>
              <w:t>9,907</w:t>
            </w:r>
          </w:p>
        </w:tc>
        <w:tc>
          <w:tcPr>
            <w:tcW w:w="990" w:type="dxa"/>
            <w:shd w:val="clear" w:color="auto" w:fill="auto"/>
          </w:tcPr>
          <w:p w14:paraId="4EAA29D2" w14:textId="77777777" w:rsidR="00BE2AAE" w:rsidRPr="00E124A0" w:rsidRDefault="00BE2AAE" w:rsidP="00623EFA">
            <w:pPr>
              <w:spacing w:line="240" w:lineRule="auto"/>
              <w:jc w:val="right"/>
              <w:rPr>
                <w:rFonts w:asciiTheme="majorHAnsi" w:hAnsiTheme="majorHAnsi" w:cstheme="majorHAnsi"/>
                <w:sz w:val="20"/>
                <w:szCs w:val="20"/>
              </w:rPr>
            </w:pPr>
            <w:r w:rsidRPr="00E124A0">
              <w:rPr>
                <w:rFonts w:asciiTheme="majorHAnsi" w:hAnsiTheme="majorHAnsi" w:cstheme="majorHAnsi"/>
                <w:sz w:val="20"/>
                <w:szCs w:val="20"/>
              </w:rPr>
              <w:t>34.9%</w:t>
            </w:r>
          </w:p>
        </w:tc>
        <w:tc>
          <w:tcPr>
            <w:tcW w:w="900" w:type="dxa"/>
            <w:shd w:val="clear" w:color="auto" w:fill="auto"/>
          </w:tcPr>
          <w:p w14:paraId="71134AAF" w14:textId="77777777" w:rsidR="00BE2AAE" w:rsidRPr="00E124A0" w:rsidRDefault="00BE2AAE" w:rsidP="00623EFA">
            <w:pPr>
              <w:spacing w:line="240" w:lineRule="auto"/>
              <w:jc w:val="right"/>
              <w:rPr>
                <w:rFonts w:asciiTheme="majorHAnsi" w:hAnsiTheme="majorHAnsi" w:cstheme="majorHAnsi"/>
                <w:sz w:val="20"/>
                <w:szCs w:val="20"/>
              </w:rPr>
            </w:pPr>
            <w:r w:rsidRPr="00E124A0">
              <w:rPr>
                <w:rFonts w:asciiTheme="majorHAnsi" w:hAnsiTheme="majorHAnsi" w:cstheme="majorHAnsi"/>
                <w:sz w:val="20"/>
                <w:szCs w:val="20"/>
              </w:rPr>
              <w:t>10,539</w:t>
            </w:r>
          </w:p>
        </w:tc>
        <w:tc>
          <w:tcPr>
            <w:tcW w:w="990" w:type="dxa"/>
            <w:shd w:val="clear" w:color="auto" w:fill="auto"/>
          </w:tcPr>
          <w:p w14:paraId="0C24FCE9" w14:textId="77777777" w:rsidR="00BE2AAE" w:rsidRPr="00E124A0" w:rsidRDefault="00BE2AAE" w:rsidP="00623EFA">
            <w:pPr>
              <w:spacing w:line="240" w:lineRule="auto"/>
              <w:jc w:val="right"/>
              <w:rPr>
                <w:rFonts w:asciiTheme="majorHAnsi" w:hAnsiTheme="majorHAnsi" w:cstheme="majorHAnsi"/>
                <w:sz w:val="20"/>
                <w:szCs w:val="20"/>
              </w:rPr>
            </w:pPr>
            <w:r w:rsidRPr="00E124A0">
              <w:rPr>
                <w:rFonts w:asciiTheme="majorHAnsi" w:hAnsiTheme="majorHAnsi" w:cstheme="majorHAnsi"/>
                <w:sz w:val="20"/>
                <w:szCs w:val="20"/>
              </w:rPr>
              <w:t>36.0%</w:t>
            </w:r>
          </w:p>
        </w:tc>
      </w:tr>
      <w:tr w:rsidR="00BE2AAE" w14:paraId="2FCA1B0D" w14:textId="77777777" w:rsidTr="0096689E">
        <w:trPr>
          <w:cantSplit/>
        </w:trPr>
        <w:tc>
          <w:tcPr>
            <w:tcW w:w="4140" w:type="dxa"/>
            <w:shd w:val="clear" w:color="auto" w:fill="auto"/>
            <w:vAlign w:val="center"/>
          </w:tcPr>
          <w:p w14:paraId="67A2BC09" w14:textId="7AA6FD1D" w:rsidR="00BE2AAE" w:rsidRPr="00E124A0" w:rsidRDefault="00BE2AAE" w:rsidP="00607FAE">
            <w:pPr>
              <w:spacing w:line="240" w:lineRule="auto"/>
              <w:rPr>
                <w:rFonts w:asciiTheme="majorHAnsi" w:eastAsia="Times New Roman" w:hAnsiTheme="majorHAnsi" w:cstheme="majorHAnsi"/>
                <w:color w:val="000000"/>
                <w:sz w:val="20"/>
                <w:szCs w:val="20"/>
              </w:rPr>
            </w:pPr>
            <w:r w:rsidRPr="00E124A0">
              <w:rPr>
                <w:rFonts w:asciiTheme="majorHAnsi" w:eastAsia="Times New Roman" w:hAnsiTheme="majorHAnsi" w:cstheme="majorHAnsi"/>
                <w:color w:val="000000"/>
                <w:sz w:val="20"/>
                <w:szCs w:val="20"/>
              </w:rPr>
              <w:t>Payer Source</w:t>
            </w:r>
            <w:r w:rsidR="005707AC">
              <w:rPr>
                <w:rFonts w:asciiTheme="majorHAnsi" w:eastAsia="Times New Roman" w:hAnsiTheme="majorHAnsi" w:cstheme="majorHAnsi"/>
                <w:color w:val="000000"/>
                <w:sz w:val="20"/>
                <w:szCs w:val="20"/>
              </w:rPr>
              <w:t>:</w:t>
            </w:r>
            <w:r w:rsidRPr="00E124A0">
              <w:rPr>
                <w:rFonts w:asciiTheme="majorHAnsi" w:eastAsia="Times New Roman" w:hAnsiTheme="majorHAnsi" w:cstheme="majorHAnsi"/>
                <w:color w:val="000000"/>
                <w:sz w:val="20"/>
                <w:szCs w:val="20"/>
              </w:rPr>
              <w:t xml:space="preserve"> Other</w:t>
            </w:r>
            <w:r w:rsidRPr="00E124A0">
              <w:rPr>
                <w:rStyle w:val="FootnoteReference"/>
                <w:rFonts w:asciiTheme="majorHAnsi" w:eastAsia="Times New Roman" w:hAnsiTheme="majorHAnsi" w:cstheme="majorHAnsi"/>
                <w:color w:val="000000"/>
                <w:sz w:val="20"/>
                <w:szCs w:val="20"/>
              </w:rPr>
              <w:footnoteReference w:id="14"/>
            </w:r>
          </w:p>
        </w:tc>
        <w:tc>
          <w:tcPr>
            <w:tcW w:w="810" w:type="dxa"/>
            <w:shd w:val="clear" w:color="auto" w:fill="auto"/>
          </w:tcPr>
          <w:p w14:paraId="691494D7" w14:textId="77777777" w:rsidR="00BE2AAE" w:rsidRPr="00E124A0" w:rsidRDefault="00BE2AAE" w:rsidP="00623EFA">
            <w:pPr>
              <w:spacing w:line="240" w:lineRule="auto"/>
              <w:jc w:val="right"/>
              <w:rPr>
                <w:rFonts w:asciiTheme="majorHAnsi" w:hAnsiTheme="majorHAnsi" w:cstheme="majorHAnsi"/>
                <w:sz w:val="20"/>
                <w:szCs w:val="20"/>
              </w:rPr>
            </w:pPr>
            <w:r w:rsidRPr="00E124A0">
              <w:rPr>
                <w:rFonts w:asciiTheme="majorHAnsi" w:hAnsiTheme="majorHAnsi" w:cstheme="majorHAnsi"/>
                <w:sz w:val="20"/>
                <w:szCs w:val="20"/>
              </w:rPr>
              <w:t>2,055</w:t>
            </w:r>
          </w:p>
        </w:tc>
        <w:tc>
          <w:tcPr>
            <w:tcW w:w="990" w:type="dxa"/>
            <w:shd w:val="clear" w:color="auto" w:fill="auto"/>
          </w:tcPr>
          <w:p w14:paraId="559ED857" w14:textId="77777777" w:rsidR="00BE2AAE" w:rsidRPr="00E124A0" w:rsidRDefault="00BE2AAE" w:rsidP="00623EFA">
            <w:pPr>
              <w:spacing w:line="240" w:lineRule="auto"/>
              <w:jc w:val="right"/>
              <w:rPr>
                <w:rFonts w:asciiTheme="majorHAnsi" w:hAnsiTheme="majorHAnsi" w:cstheme="majorHAnsi"/>
                <w:sz w:val="20"/>
                <w:szCs w:val="20"/>
              </w:rPr>
            </w:pPr>
            <w:r w:rsidRPr="00E124A0">
              <w:rPr>
                <w:rFonts w:asciiTheme="majorHAnsi" w:hAnsiTheme="majorHAnsi" w:cstheme="majorHAnsi"/>
                <w:sz w:val="20"/>
                <w:szCs w:val="20"/>
              </w:rPr>
              <w:t>7.6%</w:t>
            </w:r>
          </w:p>
        </w:tc>
        <w:tc>
          <w:tcPr>
            <w:tcW w:w="990" w:type="dxa"/>
            <w:shd w:val="clear" w:color="auto" w:fill="auto"/>
          </w:tcPr>
          <w:p w14:paraId="49DE7272" w14:textId="77777777" w:rsidR="00BE2AAE" w:rsidRPr="00E124A0" w:rsidRDefault="00BE2AAE" w:rsidP="00623EFA">
            <w:pPr>
              <w:spacing w:line="240" w:lineRule="auto"/>
              <w:jc w:val="right"/>
              <w:rPr>
                <w:rFonts w:asciiTheme="majorHAnsi" w:hAnsiTheme="majorHAnsi" w:cstheme="majorHAnsi"/>
                <w:sz w:val="20"/>
                <w:szCs w:val="20"/>
              </w:rPr>
            </w:pPr>
            <w:r w:rsidRPr="00E124A0">
              <w:rPr>
                <w:rFonts w:asciiTheme="majorHAnsi" w:hAnsiTheme="majorHAnsi" w:cstheme="majorHAnsi"/>
                <w:sz w:val="20"/>
                <w:szCs w:val="20"/>
              </w:rPr>
              <w:t>1,990</w:t>
            </w:r>
          </w:p>
        </w:tc>
        <w:tc>
          <w:tcPr>
            <w:tcW w:w="990" w:type="dxa"/>
            <w:shd w:val="clear" w:color="auto" w:fill="auto"/>
          </w:tcPr>
          <w:p w14:paraId="75D96E61" w14:textId="77777777" w:rsidR="00BE2AAE" w:rsidRPr="00E124A0" w:rsidRDefault="00BE2AAE" w:rsidP="00623EFA">
            <w:pPr>
              <w:spacing w:line="240" w:lineRule="auto"/>
              <w:jc w:val="right"/>
              <w:rPr>
                <w:rFonts w:asciiTheme="majorHAnsi" w:hAnsiTheme="majorHAnsi" w:cstheme="majorHAnsi"/>
                <w:sz w:val="20"/>
                <w:szCs w:val="20"/>
              </w:rPr>
            </w:pPr>
            <w:r w:rsidRPr="00E124A0">
              <w:rPr>
                <w:rFonts w:asciiTheme="majorHAnsi" w:hAnsiTheme="majorHAnsi" w:cstheme="majorHAnsi"/>
                <w:sz w:val="20"/>
                <w:szCs w:val="20"/>
              </w:rPr>
              <w:t>7.0%</w:t>
            </w:r>
          </w:p>
        </w:tc>
        <w:tc>
          <w:tcPr>
            <w:tcW w:w="900" w:type="dxa"/>
            <w:shd w:val="clear" w:color="auto" w:fill="auto"/>
          </w:tcPr>
          <w:p w14:paraId="316C7FD1" w14:textId="77777777" w:rsidR="00BE2AAE" w:rsidRPr="00E124A0" w:rsidRDefault="00BE2AAE" w:rsidP="00623EFA">
            <w:pPr>
              <w:spacing w:line="240" w:lineRule="auto"/>
              <w:jc w:val="right"/>
              <w:rPr>
                <w:rFonts w:asciiTheme="majorHAnsi" w:hAnsiTheme="majorHAnsi" w:cstheme="majorHAnsi"/>
                <w:sz w:val="20"/>
                <w:szCs w:val="20"/>
              </w:rPr>
            </w:pPr>
            <w:r w:rsidRPr="00E124A0">
              <w:rPr>
                <w:rFonts w:asciiTheme="majorHAnsi" w:hAnsiTheme="majorHAnsi" w:cstheme="majorHAnsi"/>
                <w:sz w:val="20"/>
                <w:szCs w:val="20"/>
              </w:rPr>
              <w:t>19,22</w:t>
            </w:r>
          </w:p>
        </w:tc>
        <w:tc>
          <w:tcPr>
            <w:tcW w:w="990" w:type="dxa"/>
            <w:shd w:val="clear" w:color="auto" w:fill="auto"/>
          </w:tcPr>
          <w:p w14:paraId="2A704314" w14:textId="77777777" w:rsidR="00BE2AAE" w:rsidRPr="00E124A0" w:rsidRDefault="00BE2AAE" w:rsidP="00623EFA">
            <w:pPr>
              <w:spacing w:line="240" w:lineRule="auto"/>
              <w:jc w:val="right"/>
              <w:rPr>
                <w:rFonts w:asciiTheme="majorHAnsi" w:hAnsiTheme="majorHAnsi" w:cstheme="majorHAnsi"/>
                <w:sz w:val="20"/>
                <w:szCs w:val="20"/>
              </w:rPr>
            </w:pPr>
            <w:r w:rsidRPr="00E124A0">
              <w:rPr>
                <w:rFonts w:asciiTheme="majorHAnsi" w:hAnsiTheme="majorHAnsi" w:cstheme="majorHAnsi"/>
                <w:sz w:val="20"/>
                <w:szCs w:val="20"/>
              </w:rPr>
              <w:t>6.6%</w:t>
            </w:r>
          </w:p>
        </w:tc>
      </w:tr>
      <w:tr w:rsidR="00BE2AAE" w14:paraId="49B7E36B" w14:textId="77777777" w:rsidTr="0096689E">
        <w:trPr>
          <w:cantSplit/>
        </w:trPr>
        <w:tc>
          <w:tcPr>
            <w:tcW w:w="4140" w:type="dxa"/>
            <w:shd w:val="clear" w:color="auto" w:fill="auto"/>
            <w:vAlign w:val="center"/>
          </w:tcPr>
          <w:p w14:paraId="777C91D1" w14:textId="641A56B6" w:rsidR="00BE2AAE" w:rsidRPr="00E124A0" w:rsidRDefault="00BE2AAE" w:rsidP="00607FAE">
            <w:pPr>
              <w:spacing w:line="240" w:lineRule="auto"/>
              <w:rPr>
                <w:rFonts w:asciiTheme="majorHAnsi" w:eastAsia="Times New Roman" w:hAnsiTheme="majorHAnsi" w:cstheme="majorHAnsi"/>
                <w:color w:val="000000"/>
                <w:sz w:val="20"/>
                <w:szCs w:val="20"/>
              </w:rPr>
            </w:pPr>
            <w:r w:rsidRPr="00E124A0">
              <w:rPr>
                <w:rFonts w:asciiTheme="majorHAnsi" w:eastAsia="Times New Roman" w:hAnsiTheme="majorHAnsi" w:cstheme="majorHAnsi"/>
                <w:color w:val="000000"/>
                <w:sz w:val="20"/>
                <w:szCs w:val="20"/>
              </w:rPr>
              <w:t>Payer Source</w:t>
            </w:r>
            <w:r w:rsidR="005707AC">
              <w:rPr>
                <w:rFonts w:asciiTheme="majorHAnsi" w:eastAsia="Times New Roman" w:hAnsiTheme="majorHAnsi" w:cstheme="majorHAnsi"/>
                <w:color w:val="000000"/>
                <w:sz w:val="20"/>
                <w:szCs w:val="20"/>
              </w:rPr>
              <w:t>:</w:t>
            </w:r>
            <w:r w:rsidRPr="00E124A0">
              <w:rPr>
                <w:rFonts w:asciiTheme="majorHAnsi" w:eastAsia="Times New Roman" w:hAnsiTheme="majorHAnsi" w:cstheme="majorHAnsi"/>
                <w:color w:val="000000"/>
                <w:sz w:val="20"/>
                <w:szCs w:val="20"/>
              </w:rPr>
              <w:t xml:space="preserve"> Unknown</w:t>
            </w:r>
          </w:p>
        </w:tc>
        <w:tc>
          <w:tcPr>
            <w:tcW w:w="810" w:type="dxa"/>
            <w:shd w:val="clear" w:color="auto" w:fill="auto"/>
          </w:tcPr>
          <w:p w14:paraId="00F305CD" w14:textId="77777777" w:rsidR="00BE2AAE" w:rsidRPr="00E124A0" w:rsidRDefault="00BE2AAE" w:rsidP="00623EFA">
            <w:pPr>
              <w:spacing w:line="240" w:lineRule="auto"/>
              <w:jc w:val="right"/>
              <w:rPr>
                <w:rFonts w:asciiTheme="majorHAnsi" w:hAnsiTheme="majorHAnsi" w:cstheme="majorHAnsi"/>
                <w:sz w:val="20"/>
                <w:szCs w:val="20"/>
              </w:rPr>
            </w:pPr>
            <w:r w:rsidRPr="00E124A0">
              <w:rPr>
                <w:rFonts w:asciiTheme="majorHAnsi" w:hAnsiTheme="majorHAnsi" w:cstheme="majorHAnsi"/>
                <w:sz w:val="20"/>
                <w:szCs w:val="20"/>
              </w:rPr>
              <w:t>0</w:t>
            </w:r>
          </w:p>
        </w:tc>
        <w:tc>
          <w:tcPr>
            <w:tcW w:w="990" w:type="dxa"/>
            <w:shd w:val="clear" w:color="auto" w:fill="auto"/>
          </w:tcPr>
          <w:p w14:paraId="06323B27" w14:textId="77777777" w:rsidR="00BE2AAE" w:rsidRPr="00E124A0" w:rsidRDefault="00BE2AAE" w:rsidP="00623EFA">
            <w:pPr>
              <w:spacing w:line="240" w:lineRule="auto"/>
              <w:jc w:val="right"/>
              <w:rPr>
                <w:rFonts w:asciiTheme="majorHAnsi" w:hAnsiTheme="majorHAnsi" w:cstheme="majorHAnsi"/>
                <w:sz w:val="20"/>
                <w:szCs w:val="20"/>
              </w:rPr>
            </w:pPr>
            <w:r w:rsidRPr="00E124A0">
              <w:rPr>
                <w:rFonts w:asciiTheme="majorHAnsi" w:hAnsiTheme="majorHAnsi" w:cstheme="majorHAnsi"/>
                <w:sz w:val="20"/>
                <w:szCs w:val="20"/>
              </w:rPr>
              <w:t>0.0%</w:t>
            </w:r>
          </w:p>
        </w:tc>
        <w:tc>
          <w:tcPr>
            <w:tcW w:w="990" w:type="dxa"/>
            <w:shd w:val="clear" w:color="auto" w:fill="auto"/>
          </w:tcPr>
          <w:p w14:paraId="50140B0E" w14:textId="77777777" w:rsidR="00BE2AAE" w:rsidRPr="00E124A0" w:rsidRDefault="00BE2AAE" w:rsidP="00623EFA">
            <w:pPr>
              <w:spacing w:line="240" w:lineRule="auto"/>
              <w:jc w:val="right"/>
              <w:rPr>
                <w:rFonts w:asciiTheme="majorHAnsi" w:hAnsiTheme="majorHAnsi" w:cstheme="majorHAnsi"/>
                <w:sz w:val="20"/>
                <w:szCs w:val="20"/>
              </w:rPr>
            </w:pPr>
            <w:r w:rsidRPr="00E124A0">
              <w:rPr>
                <w:rFonts w:asciiTheme="majorHAnsi" w:hAnsiTheme="majorHAnsi" w:cstheme="majorHAnsi"/>
                <w:sz w:val="20"/>
                <w:szCs w:val="20"/>
              </w:rPr>
              <w:t>0</w:t>
            </w:r>
          </w:p>
        </w:tc>
        <w:tc>
          <w:tcPr>
            <w:tcW w:w="990" w:type="dxa"/>
            <w:shd w:val="clear" w:color="auto" w:fill="auto"/>
          </w:tcPr>
          <w:p w14:paraId="2BF8ECCA" w14:textId="77777777" w:rsidR="00BE2AAE" w:rsidRPr="00E124A0" w:rsidRDefault="00BE2AAE" w:rsidP="00623EFA">
            <w:pPr>
              <w:spacing w:line="240" w:lineRule="auto"/>
              <w:jc w:val="right"/>
              <w:rPr>
                <w:rFonts w:asciiTheme="majorHAnsi" w:hAnsiTheme="majorHAnsi" w:cstheme="majorHAnsi"/>
                <w:sz w:val="20"/>
                <w:szCs w:val="20"/>
              </w:rPr>
            </w:pPr>
            <w:r w:rsidRPr="00E124A0">
              <w:rPr>
                <w:rFonts w:asciiTheme="majorHAnsi" w:hAnsiTheme="majorHAnsi" w:cstheme="majorHAnsi"/>
                <w:sz w:val="20"/>
                <w:szCs w:val="20"/>
              </w:rPr>
              <w:t>0.0%</w:t>
            </w:r>
          </w:p>
        </w:tc>
        <w:tc>
          <w:tcPr>
            <w:tcW w:w="900" w:type="dxa"/>
            <w:shd w:val="clear" w:color="auto" w:fill="auto"/>
          </w:tcPr>
          <w:p w14:paraId="07A0CDAA" w14:textId="77777777" w:rsidR="00BE2AAE" w:rsidRPr="00E124A0" w:rsidRDefault="00BE2AAE" w:rsidP="00623EFA">
            <w:pPr>
              <w:spacing w:line="240" w:lineRule="auto"/>
              <w:jc w:val="right"/>
              <w:rPr>
                <w:rFonts w:asciiTheme="majorHAnsi" w:hAnsiTheme="majorHAnsi" w:cstheme="majorHAnsi"/>
                <w:sz w:val="20"/>
                <w:szCs w:val="20"/>
              </w:rPr>
            </w:pPr>
            <w:r w:rsidRPr="00E124A0">
              <w:rPr>
                <w:rFonts w:asciiTheme="majorHAnsi" w:hAnsiTheme="majorHAnsi" w:cstheme="majorHAnsi"/>
                <w:sz w:val="20"/>
                <w:szCs w:val="20"/>
              </w:rPr>
              <w:t>0</w:t>
            </w:r>
          </w:p>
        </w:tc>
        <w:tc>
          <w:tcPr>
            <w:tcW w:w="990" w:type="dxa"/>
            <w:shd w:val="clear" w:color="auto" w:fill="auto"/>
          </w:tcPr>
          <w:p w14:paraId="3EFEA2CA" w14:textId="77777777" w:rsidR="00BE2AAE" w:rsidRPr="00E124A0" w:rsidRDefault="00BE2AAE" w:rsidP="00623EFA">
            <w:pPr>
              <w:spacing w:line="240" w:lineRule="auto"/>
              <w:jc w:val="right"/>
              <w:rPr>
                <w:rFonts w:asciiTheme="majorHAnsi" w:hAnsiTheme="majorHAnsi" w:cstheme="majorHAnsi"/>
                <w:sz w:val="20"/>
                <w:szCs w:val="20"/>
              </w:rPr>
            </w:pPr>
            <w:r w:rsidRPr="00E124A0">
              <w:rPr>
                <w:rFonts w:asciiTheme="majorHAnsi" w:hAnsiTheme="majorHAnsi" w:cstheme="majorHAnsi"/>
                <w:sz w:val="20"/>
                <w:szCs w:val="20"/>
              </w:rPr>
              <w:t>0.0%</w:t>
            </w:r>
          </w:p>
        </w:tc>
      </w:tr>
    </w:tbl>
    <w:p w14:paraId="557B5042" w14:textId="77777777" w:rsidR="00051903" w:rsidRDefault="00051903" w:rsidP="00051903">
      <w:pPr>
        <w:spacing w:before="120" w:after="120" w:line="240" w:lineRule="auto"/>
        <w:jc w:val="both"/>
        <w:rPr>
          <w:rFonts w:ascii="Arial" w:eastAsia="Calibri" w:hAnsi="Arial" w:cs="Arial"/>
          <w:b/>
          <w:kern w:val="2"/>
          <w:sz w:val="20"/>
          <w:szCs w:val="20"/>
        </w:rPr>
      </w:pPr>
    </w:p>
    <w:p w14:paraId="52A5AEC6" w14:textId="044E9373" w:rsidR="00051903" w:rsidRPr="00411DB8" w:rsidRDefault="00051903" w:rsidP="00051903">
      <w:pPr>
        <w:spacing w:before="120" w:after="120" w:line="240" w:lineRule="auto"/>
        <w:jc w:val="both"/>
        <w:rPr>
          <w:rFonts w:ascii="Arial" w:eastAsia="Arial" w:hAnsi="Arial" w:cs="Arial"/>
          <w:kern w:val="2"/>
          <w:sz w:val="20"/>
          <w:szCs w:val="20"/>
          <w:u w:val="single"/>
        </w:rPr>
      </w:pPr>
      <w:r w:rsidRPr="00411DB8">
        <w:rPr>
          <w:rFonts w:ascii="Arial" w:eastAsia="Calibri" w:hAnsi="Arial" w:cs="Arial"/>
          <w:b/>
          <w:kern w:val="2"/>
          <w:sz w:val="20"/>
          <w:szCs w:val="20"/>
        </w:rPr>
        <w:t>F1.</w:t>
      </w:r>
      <w:proofErr w:type="gramStart"/>
      <w:r w:rsidRPr="00411DB8">
        <w:rPr>
          <w:rFonts w:ascii="Arial" w:eastAsia="Calibri" w:hAnsi="Arial" w:cs="Arial"/>
          <w:b/>
          <w:kern w:val="2"/>
          <w:sz w:val="20"/>
          <w:szCs w:val="20"/>
        </w:rPr>
        <w:t>a.ii</w:t>
      </w:r>
      <w:proofErr w:type="gramEnd"/>
      <w:r w:rsidRPr="00411DB8">
        <w:rPr>
          <w:rFonts w:ascii="Arial" w:eastAsia="Calibri" w:hAnsi="Arial" w:cs="Arial"/>
          <w:b/>
          <w:kern w:val="2"/>
          <w:sz w:val="20"/>
          <w:szCs w:val="20"/>
        </w:rPr>
        <w:tab/>
      </w:r>
      <w:r w:rsidRPr="00411DB8">
        <w:rPr>
          <w:rFonts w:ascii="Arial" w:eastAsia="Calibri" w:hAnsi="Arial" w:cs="Arial"/>
          <w:kern w:val="2"/>
          <w:sz w:val="20"/>
          <w:szCs w:val="20"/>
        </w:rPr>
        <w:tab/>
      </w:r>
      <w:r w:rsidRPr="00411DB8">
        <w:rPr>
          <w:rFonts w:ascii="Arial" w:eastAsia="Calibri" w:hAnsi="Arial" w:cs="Arial"/>
          <w:b/>
          <w:kern w:val="2"/>
          <w:sz w:val="20"/>
          <w:szCs w:val="20"/>
          <w:u w:val="single"/>
        </w:rPr>
        <w:t>Need by Patient Panel:</w:t>
      </w:r>
    </w:p>
    <w:p w14:paraId="392EC24A" w14:textId="77777777" w:rsidR="00051903" w:rsidRPr="006B4188" w:rsidRDefault="00051903" w:rsidP="00051903">
      <w:pPr>
        <w:spacing w:before="120" w:after="120" w:line="240" w:lineRule="auto"/>
        <w:ind w:left="1440"/>
        <w:jc w:val="both"/>
        <w:rPr>
          <w:rFonts w:ascii="Arial" w:eastAsia="Times New Roman" w:hAnsi="Arial" w:cs="Arial"/>
          <w:b/>
          <w:kern w:val="2"/>
          <w:sz w:val="20"/>
          <w:szCs w:val="20"/>
        </w:rPr>
      </w:pPr>
      <w:r w:rsidRPr="00411DB8">
        <w:rPr>
          <w:rFonts w:ascii="Arial" w:eastAsia="Times New Roman" w:hAnsi="Arial" w:cs="Arial"/>
          <w:b/>
          <w:kern w:val="2"/>
          <w:sz w:val="20"/>
          <w:szCs w:val="20"/>
        </w:rPr>
        <w:t>Provide supporting data to demonstrate the need for the Proposed Project. Such data should demonstrate the disease burden, behavioral risk factors, acuity mix, health disparities, or other objective Patient Panel measures as noted in your response to Question F1.a.i that demonstrates the need that the Proposed Project is attempting to address. If an inequity or disparity is not identified as relating to the Proposed Project, provide information justifying the need. In your description of Need, consider the principles underlying Public Health Value (see instructions) and ensure that Need is addressed in that context as well.</w:t>
      </w:r>
    </w:p>
    <w:p w14:paraId="51E05AFC" w14:textId="679D2484" w:rsidR="00051903" w:rsidRDefault="008B2036" w:rsidP="00051903">
      <w:pPr>
        <w:jc w:val="both"/>
        <w:rPr>
          <w:rFonts w:ascii="Arial" w:hAnsi="Arial" w:cs="Arial"/>
          <w:sz w:val="20"/>
          <w:szCs w:val="20"/>
        </w:rPr>
      </w:pPr>
      <w:r>
        <w:rPr>
          <w:rFonts w:ascii="Arial" w:hAnsi="Arial" w:cs="Arial"/>
          <w:sz w:val="20"/>
          <w:szCs w:val="20"/>
        </w:rPr>
        <w:t xml:space="preserve">The needs of the communities served by </w:t>
      </w:r>
      <w:r w:rsidR="00F73E8D">
        <w:rPr>
          <w:rFonts w:ascii="Arial" w:hAnsi="Arial" w:cs="Arial"/>
          <w:sz w:val="20"/>
          <w:szCs w:val="20"/>
        </w:rPr>
        <w:t>BID-</w:t>
      </w:r>
      <w:r w:rsidR="00231A56" w:rsidRPr="00231A56">
        <w:rPr>
          <w:rFonts w:ascii="Arial" w:hAnsi="Arial" w:cs="Arial"/>
          <w:sz w:val="20"/>
          <w:szCs w:val="20"/>
        </w:rPr>
        <w:t>Plymouth</w:t>
      </w:r>
      <w:r w:rsidR="00051903">
        <w:rPr>
          <w:rFonts w:ascii="Arial" w:hAnsi="Arial" w:cs="Arial"/>
          <w:sz w:val="20"/>
          <w:szCs w:val="20"/>
        </w:rPr>
        <w:t xml:space="preserve"> </w:t>
      </w:r>
      <w:r>
        <w:rPr>
          <w:rFonts w:ascii="Arial" w:hAnsi="Arial" w:cs="Arial"/>
          <w:sz w:val="20"/>
          <w:szCs w:val="20"/>
        </w:rPr>
        <w:t xml:space="preserve">have </w:t>
      </w:r>
      <w:r w:rsidR="00051903">
        <w:rPr>
          <w:rFonts w:ascii="Arial" w:hAnsi="Arial" w:cs="Arial"/>
          <w:sz w:val="20"/>
          <w:szCs w:val="20"/>
        </w:rPr>
        <w:t>outgrown its ED. Originally built more than 30 years ago</w:t>
      </w:r>
      <w:r w:rsidR="00FC5C21">
        <w:rPr>
          <w:rFonts w:ascii="Arial" w:hAnsi="Arial" w:cs="Arial"/>
          <w:sz w:val="20"/>
          <w:szCs w:val="20"/>
        </w:rPr>
        <w:t xml:space="preserve"> in 1993</w:t>
      </w:r>
      <w:r w:rsidR="00051903">
        <w:rPr>
          <w:rFonts w:ascii="Arial" w:hAnsi="Arial" w:cs="Arial"/>
          <w:sz w:val="20"/>
          <w:szCs w:val="20"/>
        </w:rPr>
        <w:t xml:space="preserve">, </w:t>
      </w:r>
      <w:r w:rsidR="00F73E8D">
        <w:rPr>
          <w:rFonts w:ascii="Arial" w:hAnsi="Arial" w:cs="Arial"/>
          <w:sz w:val="20"/>
          <w:szCs w:val="20"/>
        </w:rPr>
        <w:t>BID-</w:t>
      </w:r>
      <w:r w:rsidR="00231A56" w:rsidRPr="00231A56">
        <w:rPr>
          <w:rFonts w:ascii="Arial" w:hAnsi="Arial" w:cs="Arial"/>
          <w:sz w:val="20"/>
          <w:szCs w:val="20"/>
        </w:rPr>
        <w:t>Plymouth</w:t>
      </w:r>
      <w:r w:rsidR="00051903">
        <w:rPr>
          <w:rFonts w:ascii="Arial" w:hAnsi="Arial" w:cs="Arial"/>
          <w:sz w:val="20"/>
          <w:szCs w:val="20"/>
        </w:rPr>
        <w:t xml:space="preserve">’s ED was designed to accommodate a volume 25,000 visits annually. In FY2023, </w:t>
      </w:r>
      <w:r w:rsidR="00F73E8D">
        <w:rPr>
          <w:rFonts w:ascii="Arial" w:hAnsi="Arial" w:cs="Arial"/>
          <w:sz w:val="20"/>
          <w:szCs w:val="20"/>
        </w:rPr>
        <w:t>BID-</w:t>
      </w:r>
      <w:r w:rsidR="00231A56" w:rsidRPr="00231A56">
        <w:rPr>
          <w:rFonts w:ascii="Arial" w:hAnsi="Arial" w:cs="Arial"/>
          <w:sz w:val="20"/>
          <w:szCs w:val="20"/>
        </w:rPr>
        <w:t>Plymouth</w:t>
      </w:r>
      <w:r w:rsidR="00051903">
        <w:rPr>
          <w:rFonts w:ascii="Arial" w:hAnsi="Arial" w:cs="Arial"/>
          <w:sz w:val="20"/>
          <w:szCs w:val="20"/>
        </w:rPr>
        <w:t xml:space="preserve"> provided emergency care to 43,609 patients</w:t>
      </w:r>
      <w:r w:rsidR="00FC5C21">
        <w:rPr>
          <w:rFonts w:ascii="Arial" w:hAnsi="Arial" w:cs="Arial"/>
          <w:sz w:val="20"/>
          <w:szCs w:val="20"/>
        </w:rPr>
        <w:t xml:space="preserve">, nearly 75% more patients than </w:t>
      </w:r>
      <w:r>
        <w:rPr>
          <w:rFonts w:ascii="Arial" w:hAnsi="Arial" w:cs="Arial"/>
          <w:sz w:val="20"/>
          <w:szCs w:val="20"/>
        </w:rPr>
        <w:t>intended when the ED was designed</w:t>
      </w:r>
      <w:r w:rsidR="00051903">
        <w:rPr>
          <w:rFonts w:ascii="Arial" w:hAnsi="Arial" w:cs="Arial"/>
          <w:sz w:val="20"/>
          <w:szCs w:val="20"/>
        </w:rPr>
        <w:t xml:space="preserve">. </w:t>
      </w:r>
      <w:r>
        <w:rPr>
          <w:rFonts w:ascii="Arial" w:hAnsi="Arial" w:cs="Arial"/>
          <w:sz w:val="20"/>
          <w:szCs w:val="20"/>
        </w:rPr>
        <w:t xml:space="preserve">The ED is significantly </w:t>
      </w:r>
      <w:r w:rsidR="004720B0">
        <w:rPr>
          <w:rFonts w:ascii="Arial" w:hAnsi="Arial" w:cs="Arial"/>
          <w:sz w:val="20"/>
          <w:szCs w:val="20"/>
        </w:rPr>
        <w:t>undersized,</w:t>
      </w:r>
      <w:r w:rsidR="003C1B64">
        <w:rPr>
          <w:rFonts w:ascii="Arial" w:hAnsi="Arial" w:cs="Arial"/>
          <w:sz w:val="20"/>
          <w:szCs w:val="20"/>
        </w:rPr>
        <w:t xml:space="preserve"> </w:t>
      </w:r>
      <w:r>
        <w:rPr>
          <w:rFonts w:ascii="Arial" w:hAnsi="Arial" w:cs="Arial"/>
          <w:sz w:val="20"/>
          <w:szCs w:val="20"/>
        </w:rPr>
        <w:t xml:space="preserve">and </w:t>
      </w:r>
      <w:r w:rsidR="00051903">
        <w:rPr>
          <w:rFonts w:ascii="Arial" w:hAnsi="Arial" w:cs="Arial"/>
          <w:sz w:val="20"/>
          <w:szCs w:val="20"/>
        </w:rPr>
        <w:t xml:space="preserve">patients are experiencing </w:t>
      </w:r>
      <w:r>
        <w:rPr>
          <w:rFonts w:ascii="Arial" w:hAnsi="Arial" w:cs="Arial"/>
          <w:sz w:val="20"/>
          <w:szCs w:val="20"/>
        </w:rPr>
        <w:t>increasingly long</w:t>
      </w:r>
      <w:r w:rsidR="00051903">
        <w:rPr>
          <w:rFonts w:ascii="Arial" w:hAnsi="Arial" w:cs="Arial"/>
          <w:sz w:val="20"/>
          <w:szCs w:val="20"/>
        </w:rPr>
        <w:t xml:space="preserve"> wait times to </w:t>
      </w:r>
      <w:r w:rsidR="00FC5C21">
        <w:rPr>
          <w:rFonts w:ascii="Arial" w:hAnsi="Arial" w:cs="Arial"/>
          <w:sz w:val="20"/>
          <w:szCs w:val="20"/>
        </w:rPr>
        <w:t>be seen by a provider and moreover, may then be placed in a hallway bed to receive care</w:t>
      </w:r>
      <w:r w:rsidR="00051903">
        <w:rPr>
          <w:rFonts w:ascii="Arial" w:hAnsi="Arial" w:cs="Arial"/>
          <w:sz w:val="20"/>
          <w:szCs w:val="20"/>
        </w:rPr>
        <w:t>. The mismatch between the size of the ED and the volume of patients</w:t>
      </w:r>
      <w:r w:rsidR="00FC5C21">
        <w:rPr>
          <w:rFonts w:ascii="Arial" w:hAnsi="Arial" w:cs="Arial"/>
          <w:sz w:val="20"/>
          <w:szCs w:val="20"/>
        </w:rPr>
        <w:t xml:space="preserve"> frequently results in</w:t>
      </w:r>
      <w:r w:rsidR="00051903">
        <w:rPr>
          <w:rFonts w:ascii="Arial" w:hAnsi="Arial" w:cs="Arial"/>
          <w:sz w:val="20"/>
          <w:szCs w:val="20"/>
        </w:rPr>
        <w:t xml:space="preserve"> overcrowding, delayed treatment or no treatment at all</w:t>
      </w:r>
      <w:r>
        <w:rPr>
          <w:rFonts w:ascii="Arial" w:hAnsi="Arial" w:cs="Arial"/>
          <w:sz w:val="20"/>
          <w:szCs w:val="20"/>
        </w:rPr>
        <w:t xml:space="preserve"> as patients choose to leave without being seen</w:t>
      </w:r>
      <w:r w:rsidR="00051903">
        <w:rPr>
          <w:rFonts w:ascii="Arial" w:hAnsi="Arial" w:cs="Arial"/>
          <w:sz w:val="20"/>
          <w:szCs w:val="20"/>
        </w:rPr>
        <w:t xml:space="preserve">, and insufficient and strained resources. These problems will continue without addressing the size of the </w:t>
      </w:r>
      <w:r w:rsidR="00051903">
        <w:rPr>
          <w:rFonts w:ascii="Arial" w:hAnsi="Arial" w:cs="Arial"/>
          <w:sz w:val="20"/>
          <w:szCs w:val="20"/>
        </w:rPr>
        <w:lastRenderedPageBreak/>
        <w:t xml:space="preserve">Hospital’s ED. To that end, the Proposed Project is necessary to provide </w:t>
      </w:r>
      <w:r w:rsidR="00F73E8D">
        <w:rPr>
          <w:rFonts w:ascii="Arial" w:hAnsi="Arial" w:cs="Arial"/>
          <w:sz w:val="20"/>
          <w:szCs w:val="20"/>
        </w:rPr>
        <w:t>BID-</w:t>
      </w:r>
      <w:r w:rsidR="00231A56" w:rsidRPr="00231A56">
        <w:rPr>
          <w:rFonts w:ascii="Arial" w:hAnsi="Arial" w:cs="Arial"/>
          <w:sz w:val="20"/>
          <w:szCs w:val="20"/>
        </w:rPr>
        <w:t>Plymouth</w:t>
      </w:r>
      <w:r w:rsidR="00051903">
        <w:rPr>
          <w:rFonts w:ascii="Arial" w:hAnsi="Arial" w:cs="Arial"/>
          <w:sz w:val="20"/>
          <w:szCs w:val="20"/>
        </w:rPr>
        <w:t xml:space="preserve"> sufficient capacity to meet the needs of the community for timely emergency care in a space that promotes safety, efficiency, and privacy. </w:t>
      </w:r>
    </w:p>
    <w:p w14:paraId="15171017" w14:textId="73BAB30F" w:rsidR="00051903" w:rsidRDefault="00051903" w:rsidP="00051903">
      <w:pPr>
        <w:jc w:val="both"/>
        <w:rPr>
          <w:rFonts w:ascii="Arial" w:hAnsi="Arial" w:cs="Arial"/>
          <w:sz w:val="20"/>
          <w:szCs w:val="20"/>
        </w:rPr>
      </w:pPr>
      <w:r w:rsidRPr="00507A52">
        <w:rPr>
          <w:rFonts w:ascii="Arial" w:hAnsi="Arial" w:cs="Arial"/>
          <w:sz w:val="20"/>
          <w:szCs w:val="20"/>
        </w:rPr>
        <w:t xml:space="preserve">As noted </w:t>
      </w:r>
      <w:r>
        <w:rPr>
          <w:rFonts w:ascii="Arial" w:hAnsi="Arial" w:cs="Arial"/>
          <w:sz w:val="20"/>
          <w:szCs w:val="20"/>
        </w:rPr>
        <w:t>above</w:t>
      </w:r>
      <w:r w:rsidRPr="00507A52">
        <w:rPr>
          <w:rFonts w:ascii="Arial" w:hAnsi="Arial" w:cs="Arial"/>
          <w:sz w:val="20"/>
          <w:szCs w:val="20"/>
        </w:rPr>
        <w:t xml:space="preserve">, </w:t>
      </w:r>
      <w:r w:rsidR="00F73E8D">
        <w:rPr>
          <w:rFonts w:ascii="Arial" w:hAnsi="Arial" w:cs="Arial"/>
          <w:sz w:val="20"/>
          <w:szCs w:val="20"/>
        </w:rPr>
        <w:t>BID-</w:t>
      </w:r>
      <w:r w:rsidR="00231A56" w:rsidRPr="00231A56">
        <w:rPr>
          <w:rFonts w:ascii="Arial" w:hAnsi="Arial" w:cs="Arial"/>
          <w:sz w:val="20"/>
          <w:szCs w:val="20"/>
        </w:rPr>
        <w:t>Plymouth</w:t>
      </w:r>
      <w:r w:rsidRPr="00507A52">
        <w:rPr>
          <w:rFonts w:ascii="Arial" w:hAnsi="Arial" w:cs="Arial"/>
          <w:sz w:val="20"/>
          <w:szCs w:val="20"/>
        </w:rPr>
        <w:t xml:space="preserve">’s </w:t>
      </w:r>
      <w:r>
        <w:rPr>
          <w:rFonts w:ascii="Arial" w:hAnsi="Arial" w:cs="Arial"/>
          <w:sz w:val="20"/>
          <w:szCs w:val="20"/>
        </w:rPr>
        <w:t>ED</w:t>
      </w:r>
      <w:r w:rsidRPr="00507A52">
        <w:rPr>
          <w:rFonts w:ascii="Arial" w:hAnsi="Arial" w:cs="Arial"/>
          <w:sz w:val="20"/>
          <w:szCs w:val="20"/>
        </w:rPr>
        <w:t xml:space="preserve"> </w:t>
      </w:r>
      <w:r>
        <w:rPr>
          <w:rFonts w:ascii="Arial" w:hAnsi="Arial" w:cs="Arial"/>
          <w:sz w:val="20"/>
          <w:szCs w:val="20"/>
        </w:rPr>
        <w:t>was not built to accommodate its current patient volume</w:t>
      </w:r>
      <w:r w:rsidRPr="00507A52">
        <w:rPr>
          <w:rFonts w:ascii="Arial" w:hAnsi="Arial" w:cs="Arial"/>
          <w:sz w:val="20"/>
          <w:szCs w:val="20"/>
        </w:rPr>
        <w:t xml:space="preserve">. The </w:t>
      </w:r>
      <w:r w:rsidR="008B2036">
        <w:rPr>
          <w:rFonts w:ascii="Arial" w:hAnsi="Arial" w:cs="Arial"/>
          <w:sz w:val="20"/>
          <w:szCs w:val="20"/>
        </w:rPr>
        <w:t>ED</w:t>
      </w:r>
      <w:r w:rsidR="008B2036" w:rsidRPr="00507A52">
        <w:rPr>
          <w:rFonts w:ascii="Arial" w:hAnsi="Arial" w:cs="Arial"/>
          <w:sz w:val="20"/>
          <w:szCs w:val="20"/>
        </w:rPr>
        <w:t xml:space="preserve"> </w:t>
      </w:r>
      <w:r w:rsidRPr="00507A52">
        <w:rPr>
          <w:rFonts w:ascii="Arial" w:hAnsi="Arial" w:cs="Arial"/>
          <w:sz w:val="20"/>
          <w:szCs w:val="20"/>
        </w:rPr>
        <w:t xml:space="preserve">routinely experiences overcrowding </w:t>
      </w:r>
      <w:r>
        <w:rPr>
          <w:rFonts w:ascii="Arial" w:hAnsi="Arial" w:cs="Arial"/>
          <w:sz w:val="20"/>
          <w:szCs w:val="20"/>
        </w:rPr>
        <w:t>which results in long wait times and treating patients</w:t>
      </w:r>
      <w:r w:rsidRPr="00507A52">
        <w:rPr>
          <w:rFonts w:ascii="Arial" w:hAnsi="Arial" w:cs="Arial"/>
          <w:sz w:val="20"/>
          <w:szCs w:val="20"/>
        </w:rPr>
        <w:t xml:space="preserve"> in hallway</w:t>
      </w:r>
      <w:r w:rsidR="008B2036">
        <w:rPr>
          <w:rFonts w:ascii="Arial" w:hAnsi="Arial" w:cs="Arial"/>
          <w:sz w:val="20"/>
          <w:szCs w:val="20"/>
        </w:rPr>
        <w:t xml:space="preserve"> stretchers</w:t>
      </w:r>
      <w:r w:rsidRPr="00507A52">
        <w:rPr>
          <w:rFonts w:ascii="Arial" w:hAnsi="Arial" w:cs="Arial"/>
          <w:sz w:val="20"/>
          <w:szCs w:val="20"/>
        </w:rPr>
        <w:t xml:space="preserve">. </w:t>
      </w:r>
      <w:r>
        <w:rPr>
          <w:rFonts w:ascii="Arial" w:hAnsi="Arial" w:cs="Arial"/>
          <w:sz w:val="20"/>
          <w:szCs w:val="20"/>
        </w:rPr>
        <w:t>Even during periods without overcrowding</w:t>
      </w:r>
      <w:r w:rsidRPr="00507A52">
        <w:rPr>
          <w:rFonts w:ascii="Arial" w:hAnsi="Arial" w:cs="Arial"/>
          <w:sz w:val="20"/>
          <w:szCs w:val="20"/>
        </w:rPr>
        <w:t>, most patients are seen in shared spaces</w:t>
      </w:r>
      <w:r>
        <w:rPr>
          <w:rFonts w:ascii="Arial" w:hAnsi="Arial" w:cs="Arial"/>
          <w:sz w:val="20"/>
          <w:szCs w:val="20"/>
        </w:rPr>
        <w:t xml:space="preserve">, such as </w:t>
      </w:r>
      <w:r w:rsidRPr="00507A52">
        <w:rPr>
          <w:rFonts w:ascii="Arial" w:hAnsi="Arial" w:cs="Arial"/>
          <w:sz w:val="20"/>
          <w:szCs w:val="20"/>
        </w:rPr>
        <w:t xml:space="preserve">cubicles </w:t>
      </w:r>
      <w:r>
        <w:rPr>
          <w:rFonts w:ascii="Arial" w:hAnsi="Arial" w:cs="Arial"/>
          <w:sz w:val="20"/>
          <w:szCs w:val="20"/>
        </w:rPr>
        <w:t>and</w:t>
      </w:r>
      <w:r w:rsidRPr="00507A52">
        <w:rPr>
          <w:rFonts w:ascii="Arial" w:hAnsi="Arial" w:cs="Arial"/>
          <w:sz w:val="20"/>
          <w:szCs w:val="20"/>
        </w:rPr>
        <w:t xml:space="preserve"> bays</w:t>
      </w:r>
      <w:r>
        <w:rPr>
          <w:rFonts w:ascii="Arial" w:hAnsi="Arial" w:cs="Arial"/>
          <w:sz w:val="20"/>
          <w:szCs w:val="20"/>
        </w:rPr>
        <w:t xml:space="preserve">, </w:t>
      </w:r>
      <w:r w:rsidRPr="00507A52">
        <w:rPr>
          <w:rFonts w:ascii="Arial" w:hAnsi="Arial" w:cs="Arial"/>
          <w:sz w:val="20"/>
          <w:szCs w:val="20"/>
        </w:rPr>
        <w:t xml:space="preserve">which </w:t>
      </w:r>
      <w:r>
        <w:rPr>
          <w:rFonts w:ascii="Arial" w:hAnsi="Arial" w:cs="Arial"/>
          <w:sz w:val="20"/>
          <w:szCs w:val="20"/>
        </w:rPr>
        <w:t xml:space="preserve">do not provide </w:t>
      </w:r>
      <w:r w:rsidRPr="00507A52">
        <w:rPr>
          <w:rFonts w:ascii="Arial" w:hAnsi="Arial" w:cs="Arial"/>
          <w:sz w:val="20"/>
          <w:szCs w:val="20"/>
        </w:rPr>
        <w:t>acoustic privacy and that have sub-optimal configurations of supporting infrastructure and/or equipment</w:t>
      </w:r>
      <w:r w:rsidR="008B2036">
        <w:rPr>
          <w:rFonts w:ascii="Arial" w:hAnsi="Arial" w:cs="Arial"/>
          <w:sz w:val="20"/>
          <w:szCs w:val="20"/>
        </w:rPr>
        <w:t xml:space="preserve"> to allow for efficient patient care</w:t>
      </w:r>
      <w:r w:rsidRPr="00507A52">
        <w:rPr>
          <w:rFonts w:ascii="Arial" w:hAnsi="Arial" w:cs="Arial"/>
          <w:sz w:val="20"/>
          <w:szCs w:val="20"/>
        </w:rPr>
        <w:t xml:space="preserve">. </w:t>
      </w:r>
    </w:p>
    <w:p w14:paraId="30D10EA2" w14:textId="43D54834" w:rsidR="00051903" w:rsidRPr="006E4A49" w:rsidRDefault="00231A56" w:rsidP="00051903">
      <w:pPr>
        <w:jc w:val="both"/>
        <w:rPr>
          <w:rFonts w:ascii="Arial" w:hAnsi="Arial" w:cs="Arial"/>
          <w:sz w:val="20"/>
          <w:szCs w:val="20"/>
        </w:rPr>
      </w:pPr>
      <w:r w:rsidRPr="00231A56">
        <w:rPr>
          <w:rFonts w:ascii="Arial" w:hAnsi="Arial" w:cs="Arial"/>
          <w:sz w:val="20"/>
          <w:szCs w:val="20"/>
        </w:rPr>
        <w:t>Plymouth</w:t>
      </w:r>
      <w:r w:rsidR="00051903">
        <w:rPr>
          <w:rFonts w:ascii="Arial" w:hAnsi="Arial" w:cs="Arial"/>
          <w:sz w:val="20"/>
          <w:szCs w:val="20"/>
        </w:rPr>
        <w:t xml:space="preserve"> and the surrounding </w:t>
      </w:r>
      <w:r w:rsidR="008B2036">
        <w:rPr>
          <w:rFonts w:ascii="Arial" w:hAnsi="Arial" w:cs="Arial"/>
          <w:sz w:val="20"/>
          <w:szCs w:val="20"/>
        </w:rPr>
        <w:t xml:space="preserve">communities served by the Hospital </w:t>
      </w:r>
      <w:r w:rsidR="00051903">
        <w:rPr>
          <w:rFonts w:ascii="Arial" w:hAnsi="Arial" w:cs="Arial"/>
          <w:sz w:val="20"/>
          <w:szCs w:val="20"/>
        </w:rPr>
        <w:t xml:space="preserve">are growing at a significant rate. The town’s current population of </w:t>
      </w:r>
      <w:r w:rsidR="00051903" w:rsidRPr="004F661E">
        <w:rPr>
          <w:rFonts w:ascii="Arial" w:hAnsi="Arial" w:cs="Arial"/>
          <w:sz w:val="20"/>
          <w:szCs w:val="20"/>
        </w:rPr>
        <w:t>68,957</w:t>
      </w:r>
      <w:r w:rsidR="00051903">
        <w:rPr>
          <w:rFonts w:ascii="Arial" w:hAnsi="Arial" w:cs="Arial"/>
          <w:sz w:val="20"/>
          <w:szCs w:val="20"/>
        </w:rPr>
        <w:t xml:space="preserve"> represents an increase of </w:t>
      </w:r>
      <w:r w:rsidR="00051903" w:rsidRPr="004F661E">
        <w:rPr>
          <w:rFonts w:ascii="Arial" w:hAnsi="Arial" w:cs="Arial"/>
          <w:sz w:val="20"/>
          <w:szCs w:val="20"/>
        </w:rPr>
        <w:t>13.01% since the most recent census, which recorded a population of 61,018 in 2020.</w:t>
      </w:r>
      <w:r w:rsidR="00051903">
        <w:rPr>
          <w:rStyle w:val="FootnoteReference"/>
          <w:rFonts w:ascii="Arial" w:hAnsi="Arial" w:cs="Arial"/>
          <w:sz w:val="20"/>
          <w:szCs w:val="20"/>
        </w:rPr>
        <w:footnoteReference w:id="15"/>
      </w:r>
      <w:r w:rsidR="00051903">
        <w:rPr>
          <w:rFonts w:ascii="Arial" w:hAnsi="Arial" w:cs="Arial"/>
          <w:sz w:val="20"/>
          <w:szCs w:val="20"/>
        </w:rPr>
        <w:t xml:space="preserve"> Correspondingly, the volume of patients seeking care in </w:t>
      </w:r>
      <w:r w:rsidR="00F73E8D">
        <w:rPr>
          <w:rFonts w:ascii="Arial" w:hAnsi="Arial" w:cs="Arial"/>
          <w:sz w:val="20"/>
          <w:szCs w:val="20"/>
        </w:rPr>
        <w:t>BID-</w:t>
      </w:r>
      <w:r w:rsidRPr="00231A56">
        <w:rPr>
          <w:rFonts w:ascii="Arial" w:hAnsi="Arial" w:cs="Arial"/>
          <w:sz w:val="20"/>
          <w:szCs w:val="20"/>
        </w:rPr>
        <w:t>Plymouth</w:t>
      </w:r>
      <w:r w:rsidR="00051903">
        <w:rPr>
          <w:rFonts w:ascii="Arial" w:hAnsi="Arial" w:cs="Arial"/>
          <w:sz w:val="20"/>
          <w:szCs w:val="20"/>
        </w:rPr>
        <w:t xml:space="preserve">’s ED is rising. In FY2023, the ED managed 43,609 visits, an 11% increase since 2020. </w:t>
      </w:r>
    </w:p>
    <w:tbl>
      <w:tblPr>
        <w:tblStyle w:val="TableGrid"/>
        <w:tblW w:w="9355" w:type="dxa"/>
        <w:tblLook w:val="04A0" w:firstRow="1" w:lastRow="0" w:firstColumn="1" w:lastColumn="0" w:noHBand="0" w:noVBand="1"/>
      </w:tblPr>
      <w:tblGrid>
        <w:gridCol w:w="3334"/>
        <w:gridCol w:w="1204"/>
        <w:gridCol w:w="1204"/>
        <w:gridCol w:w="1204"/>
        <w:gridCol w:w="1204"/>
        <w:gridCol w:w="1205"/>
      </w:tblGrid>
      <w:tr w:rsidR="00051903" w:rsidRPr="000D5ED1" w14:paraId="330B3677" w14:textId="77777777" w:rsidTr="00431E6B">
        <w:tc>
          <w:tcPr>
            <w:tcW w:w="3334" w:type="dxa"/>
            <w:shd w:val="clear" w:color="auto" w:fill="D9E2F3" w:themeFill="accent1" w:themeFillTint="33"/>
          </w:tcPr>
          <w:p w14:paraId="5F2B333E" w14:textId="40120013" w:rsidR="00051903" w:rsidRPr="00431E6B" w:rsidRDefault="00051903" w:rsidP="00607FAE">
            <w:pPr>
              <w:jc w:val="both"/>
              <w:rPr>
                <w:rFonts w:ascii="Arial" w:hAnsi="Arial" w:cs="Arial"/>
                <w:b/>
                <w:bCs/>
                <w:sz w:val="18"/>
                <w:szCs w:val="18"/>
              </w:rPr>
            </w:pPr>
            <w:r w:rsidRPr="00431E6B">
              <w:rPr>
                <w:rFonts w:ascii="Arial" w:hAnsi="Arial" w:cs="Arial"/>
                <w:b/>
                <w:bCs/>
                <w:sz w:val="18"/>
                <w:szCs w:val="18"/>
              </w:rPr>
              <w:t xml:space="preserve">Table </w:t>
            </w:r>
            <w:r w:rsidR="006B4DDB">
              <w:rPr>
                <w:rFonts w:ascii="Arial" w:hAnsi="Arial" w:cs="Arial"/>
                <w:b/>
                <w:bCs/>
                <w:sz w:val="18"/>
                <w:szCs w:val="18"/>
              </w:rPr>
              <w:t>4</w:t>
            </w:r>
            <w:r w:rsidRPr="00431E6B">
              <w:rPr>
                <w:rFonts w:ascii="Arial" w:hAnsi="Arial" w:cs="Arial"/>
                <w:b/>
                <w:bCs/>
                <w:sz w:val="18"/>
                <w:szCs w:val="18"/>
              </w:rPr>
              <w:t xml:space="preserve">: Historical ED Volume </w:t>
            </w:r>
          </w:p>
        </w:tc>
        <w:tc>
          <w:tcPr>
            <w:tcW w:w="1204" w:type="dxa"/>
            <w:shd w:val="clear" w:color="auto" w:fill="D9E2F3" w:themeFill="accent1" w:themeFillTint="33"/>
            <w:vAlign w:val="center"/>
          </w:tcPr>
          <w:p w14:paraId="1759BBED" w14:textId="77777777" w:rsidR="00051903" w:rsidRPr="00431E6B" w:rsidRDefault="00051903" w:rsidP="00607FAE">
            <w:pPr>
              <w:jc w:val="center"/>
              <w:rPr>
                <w:rFonts w:ascii="Arial" w:hAnsi="Arial" w:cs="Arial"/>
                <w:sz w:val="18"/>
                <w:szCs w:val="18"/>
              </w:rPr>
            </w:pPr>
            <w:r w:rsidRPr="00431E6B">
              <w:rPr>
                <w:rFonts w:ascii="Arial" w:eastAsia="Times New Roman" w:hAnsi="Arial" w:cs="Arial"/>
                <w:b/>
                <w:bCs/>
                <w:color w:val="000000"/>
                <w:sz w:val="18"/>
                <w:szCs w:val="18"/>
              </w:rPr>
              <w:t>FY2020</w:t>
            </w:r>
          </w:p>
        </w:tc>
        <w:tc>
          <w:tcPr>
            <w:tcW w:w="1204" w:type="dxa"/>
            <w:shd w:val="clear" w:color="auto" w:fill="D9E2F3" w:themeFill="accent1" w:themeFillTint="33"/>
            <w:vAlign w:val="center"/>
          </w:tcPr>
          <w:p w14:paraId="688B23E0" w14:textId="77777777" w:rsidR="00051903" w:rsidRPr="00431E6B" w:rsidRDefault="00051903" w:rsidP="00607FAE">
            <w:pPr>
              <w:jc w:val="center"/>
              <w:rPr>
                <w:rFonts w:ascii="Arial" w:hAnsi="Arial" w:cs="Arial"/>
                <w:sz w:val="18"/>
                <w:szCs w:val="18"/>
              </w:rPr>
            </w:pPr>
            <w:r w:rsidRPr="00431E6B">
              <w:rPr>
                <w:rFonts w:ascii="Arial" w:eastAsia="Times New Roman" w:hAnsi="Arial" w:cs="Arial"/>
                <w:b/>
                <w:bCs/>
                <w:color w:val="000000"/>
                <w:sz w:val="18"/>
                <w:szCs w:val="18"/>
              </w:rPr>
              <w:t>FY2021</w:t>
            </w:r>
          </w:p>
        </w:tc>
        <w:tc>
          <w:tcPr>
            <w:tcW w:w="1204" w:type="dxa"/>
            <w:shd w:val="clear" w:color="auto" w:fill="D9E2F3" w:themeFill="accent1" w:themeFillTint="33"/>
            <w:vAlign w:val="center"/>
          </w:tcPr>
          <w:p w14:paraId="3CEC2BBB" w14:textId="77777777" w:rsidR="00051903" w:rsidRPr="00431E6B" w:rsidRDefault="00051903" w:rsidP="00607FAE">
            <w:pPr>
              <w:jc w:val="center"/>
              <w:rPr>
                <w:rFonts w:ascii="Arial" w:hAnsi="Arial" w:cs="Arial"/>
                <w:sz w:val="18"/>
                <w:szCs w:val="18"/>
              </w:rPr>
            </w:pPr>
            <w:r w:rsidRPr="00431E6B">
              <w:rPr>
                <w:rFonts w:ascii="Arial" w:eastAsia="Times New Roman" w:hAnsi="Arial" w:cs="Arial"/>
                <w:b/>
                <w:bCs/>
                <w:color w:val="000000"/>
                <w:sz w:val="18"/>
                <w:szCs w:val="18"/>
              </w:rPr>
              <w:t>FY2022</w:t>
            </w:r>
          </w:p>
        </w:tc>
        <w:tc>
          <w:tcPr>
            <w:tcW w:w="1204" w:type="dxa"/>
            <w:shd w:val="clear" w:color="auto" w:fill="D9E2F3" w:themeFill="accent1" w:themeFillTint="33"/>
            <w:vAlign w:val="center"/>
          </w:tcPr>
          <w:p w14:paraId="4B56793A" w14:textId="77777777" w:rsidR="00051903" w:rsidRPr="00431E6B" w:rsidRDefault="00051903" w:rsidP="00607FAE">
            <w:pPr>
              <w:jc w:val="center"/>
              <w:rPr>
                <w:rFonts w:ascii="Arial" w:hAnsi="Arial" w:cs="Arial"/>
                <w:sz w:val="18"/>
                <w:szCs w:val="18"/>
              </w:rPr>
            </w:pPr>
            <w:r w:rsidRPr="00431E6B">
              <w:rPr>
                <w:rFonts w:ascii="Arial" w:eastAsia="Times New Roman" w:hAnsi="Arial" w:cs="Arial"/>
                <w:b/>
                <w:bCs/>
                <w:color w:val="000000"/>
                <w:sz w:val="18"/>
                <w:szCs w:val="18"/>
              </w:rPr>
              <w:t>FY2023</w:t>
            </w:r>
          </w:p>
        </w:tc>
        <w:tc>
          <w:tcPr>
            <w:tcW w:w="1205" w:type="dxa"/>
            <w:shd w:val="clear" w:color="auto" w:fill="D9E2F3" w:themeFill="accent1" w:themeFillTint="33"/>
          </w:tcPr>
          <w:p w14:paraId="4F758D2C" w14:textId="77777777" w:rsidR="00051903" w:rsidRPr="00431E6B" w:rsidRDefault="00051903" w:rsidP="00607FAE">
            <w:pPr>
              <w:spacing w:line="240" w:lineRule="auto"/>
              <w:jc w:val="center"/>
              <w:rPr>
                <w:rFonts w:ascii="Arial" w:eastAsia="Times New Roman" w:hAnsi="Arial" w:cs="Arial"/>
                <w:b/>
                <w:bCs/>
                <w:color w:val="000000"/>
                <w:sz w:val="18"/>
                <w:szCs w:val="18"/>
              </w:rPr>
            </w:pPr>
            <w:r w:rsidRPr="00431E6B">
              <w:rPr>
                <w:rFonts w:ascii="Arial" w:eastAsia="Times New Roman" w:hAnsi="Arial" w:cs="Arial"/>
                <w:b/>
                <w:bCs/>
                <w:color w:val="000000"/>
                <w:sz w:val="18"/>
                <w:szCs w:val="18"/>
              </w:rPr>
              <w:t>Change</w:t>
            </w:r>
          </w:p>
          <w:p w14:paraId="6BB5A86C" w14:textId="77777777" w:rsidR="00051903" w:rsidRPr="00431E6B" w:rsidRDefault="00051903" w:rsidP="00607FAE">
            <w:pPr>
              <w:jc w:val="center"/>
              <w:rPr>
                <w:rFonts w:ascii="Arial" w:hAnsi="Arial" w:cs="Arial"/>
                <w:sz w:val="18"/>
                <w:szCs w:val="18"/>
              </w:rPr>
            </w:pPr>
            <w:r w:rsidRPr="00431E6B">
              <w:rPr>
                <w:rFonts w:ascii="Arial" w:eastAsia="Times New Roman" w:hAnsi="Arial" w:cs="Arial"/>
                <w:b/>
                <w:bCs/>
                <w:color w:val="000000"/>
                <w:sz w:val="18"/>
                <w:szCs w:val="18"/>
              </w:rPr>
              <w:t>2020-2023</w:t>
            </w:r>
          </w:p>
        </w:tc>
      </w:tr>
      <w:tr w:rsidR="00051903" w:rsidRPr="000D5ED1" w14:paraId="4E5501E7" w14:textId="77777777" w:rsidTr="00431E6B">
        <w:tc>
          <w:tcPr>
            <w:tcW w:w="3334" w:type="dxa"/>
          </w:tcPr>
          <w:p w14:paraId="50353731" w14:textId="77777777" w:rsidR="00051903" w:rsidRPr="00431E6B" w:rsidRDefault="00051903" w:rsidP="00607FAE">
            <w:pPr>
              <w:jc w:val="both"/>
              <w:rPr>
                <w:rFonts w:ascii="Arial" w:hAnsi="Arial" w:cs="Arial"/>
                <w:sz w:val="18"/>
                <w:szCs w:val="18"/>
              </w:rPr>
            </w:pPr>
            <w:r w:rsidRPr="00431E6B">
              <w:rPr>
                <w:rFonts w:ascii="Arial" w:hAnsi="Arial" w:cs="Arial"/>
                <w:sz w:val="18"/>
                <w:szCs w:val="18"/>
              </w:rPr>
              <w:t xml:space="preserve">ED Visits </w:t>
            </w:r>
          </w:p>
        </w:tc>
        <w:tc>
          <w:tcPr>
            <w:tcW w:w="1204" w:type="dxa"/>
          </w:tcPr>
          <w:p w14:paraId="249322FA" w14:textId="77777777" w:rsidR="00051903" w:rsidRPr="00431E6B" w:rsidRDefault="00051903" w:rsidP="00607FAE">
            <w:pPr>
              <w:jc w:val="center"/>
              <w:rPr>
                <w:rFonts w:ascii="Arial" w:hAnsi="Arial" w:cs="Arial"/>
                <w:sz w:val="18"/>
                <w:szCs w:val="18"/>
              </w:rPr>
            </w:pPr>
            <w:r w:rsidRPr="00431E6B">
              <w:rPr>
                <w:rFonts w:ascii="Arial" w:hAnsi="Arial" w:cs="Arial"/>
                <w:sz w:val="18"/>
                <w:szCs w:val="18"/>
              </w:rPr>
              <w:t>39,142</w:t>
            </w:r>
          </w:p>
        </w:tc>
        <w:tc>
          <w:tcPr>
            <w:tcW w:w="1204" w:type="dxa"/>
          </w:tcPr>
          <w:p w14:paraId="3BB191EF" w14:textId="77777777" w:rsidR="00051903" w:rsidRPr="00431E6B" w:rsidRDefault="00051903" w:rsidP="00607FAE">
            <w:pPr>
              <w:jc w:val="center"/>
              <w:rPr>
                <w:rFonts w:ascii="Arial" w:hAnsi="Arial" w:cs="Arial"/>
                <w:sz w:val="18"/>
                <w:szCs w:val="18"/>
              </w:rPr>
            </w:pPr>
            <w:r w:rsidRPr="00431E6B">
              <w:rPr>
                <w:rFonts w:ascii="Arial" w:hAnsi="Arial" w:cs="Arial"/>
                <w:sz w:val="18"/>
                <w:szCs w:val="18"/>
              </w:rPr>
              <w:t>40,180</w:t>
            </w:r>
          </w:p>
        </w:tc>
        <w:tc>
          <w:tcPr>
            <w:tcW w:w="1204" w:type="dxa"/>
          </w:tcPr>
          <w:p w14:paraId="263851BF" w14:textId="77777777" w:rsidR="00051903" w:rsidRPr="00431E6B" w:rsidRDefault="00051903" w:rsidP="00607FAE">
            <w:pPr>
              <w:jc w:val="center"/>
              <w:rPr>
                <w:rFonts w:ascii="Arial" w:hAnsi="Arial" w:cs="Arial"/>
                <w:sz w:val="18"/>
                <w:szCs w:val="18"/>
              </w:rPr>
            </w:pPr>
            <w:r w:rsidRPr="00431E6B">
              <w:rPr>
                <w:rFonts w:ascii="Arial" w:hAnsi="Arial" w:cs="Arial"/>
                <w:sz w:val="18"/>
                <w:szCs w:val="18"/>
              </w:rPr>
              <w:t>42,367</w:t>
            </w:r>
          </w:p>
        </w:tc>
        <w:tc>
          <w:tcPr>
            <w:tcW w:w="1204" w:type="dxa"/>
          </w:tcPr>
          <w:p w14:paraId="59A4D0A5" w14:textId="77777777" w:rsidR="00051903" w:rsidRPr="00431E6B" w:rsidRDefault="00051903" w:rsidP="00607FAE">
            <w:pPr>
              <w:jc w:val="center"/>
              <w:rPr>
                <w:rFonts w:ascii="Arial" w:hAnsi="Arial" w:cs="Arial"/>
                <w:sz w:val="18"/>
                <w:szCs w:val="18"/>
              </w:rPr>
            </w:pPr>
            <w:r w:rsidRPr="00431E6B">
              <w:rPr>
                <w:rFonts w:ascii="Arial" w:hAnsi="Arial" w:cs="Arial"/>
                <w:color w:val="000000"/>
                <w:sz w:val="18"/>
                <w:szCs w:val="18"/>
              </w:rPr>
              <w:t>43,609</w:t>
            </w:r>
          </w:p>
        </w:tc>
        <w:tc>
          <w:tcPr>
            <w:tcW w:w="1205" w:type="dxa"/>
          </w:tcPr>
          <w:p w14:paraId="22E535FD" w14:textId="77777777" w:rsidR="00051903" w:rsidRPr="00431E6B" w:rsidRDefault="00051903" w:rsidP="00607FAE">
            <w:pPr>
              <w:jc w:val="center"/>
              <w:rPr>
                <w:rFonts w:ascii="Arial" w:hAnsi="Arial" w:cs="Arial"/>
                <w:color w:val="000000"/>
                <w:sz w:val="18"/>
                <w:szCs w:val="18"/>
              </w:rPr>
            </w:pPr>
            <w:r w:rsidRPr="00431E6B">
              <w:rPr>
                <w:rFonts w:ascii="Arial" w:hAnsi="Arial" w:cs="Arial"/>
                <w:color w:val="000000"/>
                <w:sz w:val="18"/>
                <w:szCs w:val="18"/>
              </w:rPr>
              <w:t>11.4%</w:t>
            </w:r>
          </w:p>
        </w:tc>
      </w:tr>
    </w:tbl>
    <w:p w14:paraId="2E36D056" w14:textId="77777777" w:rsidR="00051903" w:rsidRDefault="00051903" w:rsidP="00051903">
      <w:pPr>
        <w:jc w:val="both"/>
        <w:rPr>
          <w:rFonts w:ascii="Arial" w:hAnsi="Arial" w:cs="Arial"/>
          <w:sz w:val="20"/>
          <w:szCs w:val="20"/>
        </w:rPr>
      </w:pPr>
    </w:p>
    <w:p w14:paraId="07E34FC8" w14:textId="14180895" w:rsidR="00051903" w:rsidRDefault="00051903" w:rsidP="00051903">
      <w:pPr>
        <w:jc w:val="both"/>
        <w:rPr>
          <w:rFonts w:ascii="Arial" w:hAnsi="Arial" w:cs="Arial"/>
          <w:sz w:val="20"/>
          <w:szCs w:val="20"/>
        </w:rPr>
      </w:pPr>
      <w:r>
        <w:rPr>
          <w:rFonts w:ascii="Arial" w:hAnsi="Arial" w:cs="Arial"/>
          <w:sz w:val="20"/>
          <w:szCs w:val="20"/>
        </w:rPr>
        <w:t xml:space="preserve">As demonstrated by the table above, </w:t>
      </w:r>
      <w:r w:rsidR="00F73E8D">
        <w:rPr>
          <w:rFonts w:ascii="Arial" w:hAnsi="Arial" w:cs="Arial"/>
          <w:sz w:val="20"/>
          <w:szCs w:val="20"/>
        </w:rPr>
        <w:t>BID-</w:t>
      </w:r>
      <w:r w:rsidR="00231A56" w:rsidRPr="00231A56">
        <w:rPr>
          <w:rFonts w:ascii="Arial" w:hAnsi="Arial" w:cs="Arial"/>
          <w:sz w:val="20"/>
          <w:szCs w:val="20"/>
        </w:rPr>
        <w:t>Plymouth</w:t>
      </w:r>
      <w:r>
        <w:rPr>
          <w:rFonts w:ascii="Arial" w:hAnsi="Arial" w:cs="Arial"/>
          <w:sz w:val="20"/>
          <w:szCs w:val="20"/>
        </w:rPr>
        <w:t xml:space="preserve">’s ED has been operating significantly over capacity for </w:t>
      </w:r>
      <w:proofErr w:type="gramStart"/>
      <w:r>
        <w:rPr>
          <w:rFonts w:ascii="Arial" w:hAnsi="Arial" w:cs="Arial"/>
          <w:sz w:val="20"/>
          <w:szCs w:val="20"/>
        </w:rPr>
        <w:t>a number of</w:t>
      </w:r>
      <w:proofErr w:type="gramEnd"/>
      <w:r>
        <w:rPr>
          <w:rFonts w:ascii="Arial" w:hAnsi="Arial" w:cs="Arial"/>
          <w:sz w:val="20"/>
          <w:szCs w:val="20"/>
        </w:rPr>
        <w:t xml:space="preserve"> years. To address the ED’s historically high volume, </w:t>
      </w:r>
      <w:r w:rsidR="00F73E8D">
        <w:rPr>
          <w:rFonts w:ascii="Arial" w:hAnsi="Arial" w:cs="Arial"/>
          <w:sz w:val="20"/>
          <w:szCs w:val="20"/>
        </w:rPr>
        <w:t>BID-</w:t>
      </w:r>
      <w:r w:rsidR="00231A56" w:rsidRPr="00231A56">
        <w:rPr>
          <w:rFonts w:ascii="Arial" w:hAnsi="Arial" w:cs="Arial"/>
          <w:sz w:val="20"/>
          <w:szCs w:val="20"/>
        </w:rPr>
        <w:t>Plymouth</w:t>
      </w:r>
      <w:r>
        <w:rPr>
          <w:rFonts w:ascii="Arial" w:hAnsi="Arial" w:cs="Arial"/>
          <w:sz w:val="20"/>
          <w:szCs w:val="20"/>
        </w:rPr>
        <w:t xml:space="preserve"> has </w:t>
      </w:r>
      <w:r w:rsidRPr="006E4A49">
        <w:rPr>
          <w:rFonts w:ascii="Arial" w:hAnsi="Arial" w:cs="Arial"/>
          <w:sz w:val="20"/>
          <w:szCs w:val="20"/>
        </w:rPr>
        <w:t>implemented several measures to encourage patients to utilize the most appropriate care setting for their health concern. As a result, since 2014, the share of low acuity visits has decreased by half, from 36.3% to 15.8% in FY2023. Conversely, moderate acuity visits have increased from 62.6% in FY2014 to 82.9% in FY2023.</w:t>
      </w:r>
      <w:r w:rsidRPr="006E4A49">
        <w:rPr>
          <w:rStyle w:val="FootnoteReference"/>
          <w:rFonts w:ascii="Arial" w:hAnsi="Arial" w:cs="Arial"/>
          <w:sz w:val="20"/>
          <w:szCs w:val="20"/>
        </w:rPr>
        <w:footnoteReference w:id="16"/>
      </w:r>
      <w:r>
        <w:rPr>
          <w:rFonts w:ascii="Arial" w:hAnsi="Arial" w:cs="Arial"/>
          <w:sz w:val="20"/>
          <w:szCs w:val="20"/>
        </w:rPr>
        <w:t xml:space="preserve"> Despite these successful efforts to treat lower acuity patients in the primary or urgent care setting, </w:t>
      </w:r>
      <w:r w:rsidR="001B1727">
        <w:rPr>
          <w:rFonts w:ascii="Arial" w:hAnsi="Arial" w:cs="Arial"/>
          <w:sz w:val="20"/>
          <w:szCs w:val="20"/>
        </w:rPr>
        <w:t>the ED continues to see more</w:t>
      </w:r>
      <w:r>
        <w:rPr>
          <w:rFonts w:ascii="Arial" w:hAnsi="Arial" w:cs="Arial"/>
          <w:sz w:val="20"/>
          <w:szCs w:val="20"/>
        </w:rPr>
        <w:t xml:space="preserve"> moderate and high acuity patients are seeking care in the ED.</w:t>
      </w:r>
    </w:p>
    <w:p w14:paraId="1B83E1A4" w14:textId="0AF5D740" w:rsidR="009716E1" w:rsidRPr="000D5ED1" w:rsidRDefault="00051903" w:rsidP="00051903">
      <w:pPr>
        <w:jc w:val="both"/>
        <w:rPr>
          <w:rFonts w:ascii="Arial" w:hAnsi="Arial" w:cs="Arial"/>
          <w:sz w:val="20"/>
          <w:szCs w:val="20"/>
        </w:rPr>
      </w:pPr>
      <w:r>
        <w:rPr>
          <w:rFonts w:ascii="Arial" w:hAnsi="Arial" w:cs="Arial"/>
          <w:sz w:val="20"/>
          <w:szCs w:val="20"/>
        </w:rPr>
        <w:t xml:space="preserve">In FY2020, despite serving almost 40,000 patients, the ED was able to initiate treatment, on average, within 11 minutes of the patient’s arrival to the Department. Wait times jumped to 59 minutes the following year in FY2021 and are currently above 90 minutes (FY2023). The difference between wait times in FY2020 and FY2023 is a nearly 700% increase. Similarly alarming is the spike in patients who are leaving the ED before being seen by a physician. </w:t>
      </w:r>
      <w:r w:rsidR="00F7532B">
        <w:rPr>
          <w:rFonts w:ascii="Arial" w:hAnsi="Arial" w:cs="Arial"/>
          <w:sz w:val="20"/>
          <w:szCs w:val="20"/>
        </w:rPr>
        <w:t xml:space="preserve">In FY2020, </w:t>
      </w:r>
      <w:r>
        <w:rPr>
          <w:rFonts w:ascii="Arial" w:hAnsi="Arial" w:cs="Arial"/>
          <w:sz w:val="20"/>
          <w:szCs w:val="20"/>
        </w:rPr>
        <w:t xml:space="preserve">363 patients left without being compared to 1,123 patients in FY2023, which saw a decrease from FY2022. These patients represent an unmet need in the community that must be addressed through increased capacity, </w:t>
      </w:r>
      <w:r w:rsidR="009716E1">
        <w:rPr>
          <w:rFonts w:ascii="Arial" w:hAnsi="Arial" w:cs="Arial"/>
          <w:sz w:val="20"/>
          <w:szCs w:val="20"/>
        </w:rPr>
        <w:t xml:space="preserve">greater throughput, </w:t>
      </w:r>
      <w:r>
        <w:rPr>
          <w:rFonts w:ascii="Arial" w:hAnsi="Arial" w:cs="Arial"/>
          <w:sz w:val="20"/>
          <w:szCs w:val="20"/>
        </w:rPr>
        <w:t xml:space="preserve">and reduced wait times. The following table illustrates </w:t>
      </w:r>
      <w:r w:rsidR="00F7532B">
        <w:rPr>
          <w:rFonts w:ascii="Arial" w:hAnsi="Arial" w:cs="Arial"/>
          <w:sz w:val="20"/>
          <w:szCs w:val="20"/>
        </w:rPr>
        <w:t xml:space="preserve">the impact on patients and care delivery due to </w:t>
      </w:r>
      <w:r>
        <w:rPr>
          <w:rFonts w:ascii="Arial" w:hAnsi="Arial" w:cs="Arial"/>
          <w:sz w:val="20"/>
          <w:szCs w:val="20"/>
        </w:rPr>
        <w:t>high volume.</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5"/>
        <w:gridCol w:w="1026"/>
        <w:gridCol w:w="1026"/>
        <w:gridCol w:w="918"/>
        <w:gridCol w:w="990"/>
        <w:gridCol w:w="1170"/>
      </w:tblGrid>
      <w:tr w:rsidR="00051903" w:rsidRPr="000D5ED1" w14:paraId="59A25D0C" w14:textId="77777777" w:rsidTr="00F46598">
        <w:trPr>
          <w:cantSplit/>
          <w:trHeight w:val="521"/>
          <w:tblHeader/>
        </w:trPr>
        <w:tc>
          <w:tcPr>
            <w:tcW w:w="4225" w:type="dxa"/>
            <w:shd w:val="clear" w:color="auto" w:fill="D9E2F3" w:themeFill="accent1" w:themeFillTint="33"/>
            <w:noWrap/>
            <w:vAlign w:val="center"/>
          </w:tcPr>
          <w:p w14:paraId="18A7F921" w14:textId="645A43FA" w:rsidR="00051903" w:rsidRPr="00806990" w:rsidRDefault="00051903" w:rsidP="00607FAE">
            <w:pPr>
              <w:spacing w:after="0" w:line="240" w:lineRule="auto"/>
              <w:rPr>
                <w:rFonts w:ascii="Arial" w:eastAsia="Times New Roman" w:hAnsi="Arial" w:cs="Arial"/>
                <w:b/>
                <w:bCs/>
                <w:color w:val="000000"/>
                <w:sz w:val="18"/>
                <w:szCs w:val="18"/>
              </w:rPr>
            </w:pPr>
            <w:r w:rsidRPr="00806990">
              <w:rPr>
                <w:rFonts w:ascii="Arial" w:eastAsia="Times New Roman" w:hAnsi="Arial" w:cs="Arial"/>
                <w:b/>
                <w:bCs/>
                <w:color w:val="000000"/>
                <w:sz w:val="18"/>
                <w:szCs w:val="18"/>
              </w:rPr>
              <w:t xml:space="preserve">Table </w:t>
            </w:r>
            <w:r w:rsidR="006B4DDB">
              <w:rPr>
                <w:rFonts w:ascii="Arial" w:eastAsia="Times New Roman" w:hAnsi="Arial" w:cs="Arial"/>
                <w:b/>
                <w:bCs/>
                <w:color w:val="000000"/>
                <w:sz w:val="18"/>
                <w:szCs w:val="18"/>
              </w:rPr>
              <w:t>5</w:t>
            </w:r>
            <w:r w:rsidRPr="00806990">
              <w:rPr>
                <w:rFonts w:ascii="Arial" w:eastAsia="Times New Roman" w:hAnsi="Arial" w:cs="Arial"/>
                <w:b/>
                <w:bCs/>
                <w:color w:val="000000"/>
                <w:sz w:val="18"/>
                <w:szCs w:val="18"/>
              </w:rPr>
              <w:t xml:space="preserve">: Historical ED Utilization </w:t>
            </w:r>
          </w:p>
        </w:tc>
        <w:tc>
          <w:tcPr>
            <w:tcW w:w="1026" w:type="dxa"/>
            <w:shd w:val="clear" w:color="auto" w:fill="D9E2F3" w:themeFill="accent1" w:themeFillTint="33"/>
            <w:noWrap/>
            <w:vAlign w:val="center"/>
          </w:tcPr>
          <w:p w14:paraId="7F0D2613" w14:textId="77777777" w:rsidR="00051903" w:rsidRPr="00806990" w:rsidRDefault="00051903" w:rsidP="00607FAE">
            <w:pPr>
              <w:spacing w:after="0" w:line="240" w:lineRule="auto"/>
              <w:rPr>
                <w:rFonts w:ascii="Arial" w:eastAsia="Times New Roman" w:hAnsi="Arial" w:cs="Arial"/>
                <w:b/>
                <w:bCs/>
                <w:color w:val="000000"/>
                <w:sz w:val="18"/>
                <w:szCs w:val="18"/>
              </w:rPr>
            </w:pPr>
            <w:r w:rsidRPr="00806990">
              <w:rPr>
                <w:rFonts w:ascii="Arial" w:eastAsia="Times New Roman" w:hAnsi="Arial" w:cs="Arial"/>
                <w:b/>
                <w:bCs/>
                <w:color w:val="000000"/>
                <w:sz w:val="18"/>
                <w:szCs w:val="18"/>
              </w:rPr>
              <w:t>FY2020</w:t>
            </w:r>
          </w:p>
        </w:tc>
        <w:tc>
          <w:tcPr>
            <w:tcW w:w="1026" w:type="dxa"/>
            <w:shd w:val="clear" w:color="auto" w:fill="D9E2F3" w:themeFill="accent1" w:themeFillTint="33"/>
            <w:noWrap/>
            <w:vAlign w:val="center"/>
          </w:tcPr>
          <w:p w14:paraId="367AA4DC" w14:textId="77777777" w:rsidR="00051903" w:rsidRPr="00806990" w:rsidRDefault="00051903" w:rsidP="00607FAE">
            <w:pPr>
              <w:spacing w:after="0" w:line="240" w:lineRule="auto"/>
              <w:rPr>
                <w:rFonts w:ascii="Arial" w:eastAsia="Times New Roman" w:hAnsi="Arial" w:cs="Arial"/>
                <w:b/>
                <w:bCs/>
                <w:color w:val="000000"/>
                <w:sz w:val="18"/>
                <w:szCs w:val="18"/>
              </w:rPr>
            </w:pPr>
            <w:r w:rsidRPr="00806990">
              <w:rPr>
                <w:rFonts w:ascii="Arial" w:eastAsia="Times New Roman" w:hAnsi="Arial" w:cs="Arial"/>
                <w:b/>
                <w:bCs/>
                <w:color w:val="000000"/>
                <w:sz w:val="18"/>
                <w:szCs w:val="18"/>
              </w:rPr>
              <w:t>FY2021</w:t>
            </w:r>
          </w:p>
        </w:tc>
        <w:tc>
          <w:tcPr>
            <w:tcW w:w="918" w:type="dxa"/>
            <w:shd w:val="clear" w:color="auto" w:fill="D9E2F3" w:themeFill="accent1" w:themeFillTint="33"/>
            <w:noWrap/>
            <w:vAlign w:val="center"/>
          </w:tcPr>
          <w:p w14:paraId="1A134C70" w14:textId="77777777" w:rsidR="00051903" w:rsidRPr="00806990" w:rsidRDefault="00051903" w:rsidP="00607FAE">
            <w:pPr>
              <w:spacing w:after="0" w:line="240" w:lineRule="auto"/>
              <w:rPr>
                <w:rFonts w:ascii="Arial" w:eastAsia="Times New Roman" w:hAnsi="Arial" w:cs="Arial"/>
                <w:b/>
                <w:bCs/>
                <w:color w:val="000000"/>
                <w:sz w:val="18"/>
                <w:szCs w:val="18"/>
              </w:rPr>
            </w:pPr>
            <w:r w:rsidRPr="00806990">
              <w:rPr>
                <w:rFonts w:ascii="Arial" w:eastAsia="Times New Roman" w:hAnsi="Arial" w:cs="Arial"/>
                <w:b/>
                <w:bCs/>
                <w:color w:val="000000"/>
                <w:sz w:val="18"/>
                <w:szCs w:val="18"/>
              </w:rPr>
              <w:t>FY2022</w:t>
            </w:r>
          </w:p>
        </w:tc>
        <w:tc>
          <w:tcPr>
            <w:tcW w:w="990" w:type="dxa"/>
            <w:shd w:val="clear" w:color="auto" w:fill="D9E2F3" w:themeFill="accent1" w:themeFillTint="33"/>
            <w:noWrap/>
            <w:vAlign w:val="center"/>
          </w:tcPr>
          <w:p w14:paraId="71682739" w14:textId="77777777" w:rsidR="00051903" w:rsidRPr="00806990" w:rsidRDefault="00051903" w:rsidP="00607FAE">
            <w:pPr>
              <w:spacing w:after="0" w:line="240" w:lineRule="auto"/>
              <w:rPr>
                <w:rFonts w:ascii="Arial" w:eastAsia="Times New Roman" w:hAnsi="Arial" w:cs="Arial"/>
                <w:b/>
                <w:bCs/>
                <w:color w:val="000000"/>
                <w:sz w:val="18"/>
                <w:szCs w:val="18"/>
              </w:rPr>
            </w:pPr>
            <w:r w:rsidRPr="00806990">
              <w:rPr>
                <w:rFonts w:ascii="Arial" w:eastAsia="Times New Roman" w:hAnsi="Arial" w:cs="Arial"/>
                <w:b/>
                <w:bCs/>
                <w:color w:val="000000"/>
                <w:sz w:val="18"/>
                <w:szCs w:val="18"/>
              </w:rPr>
              <w:t>FY2023</w:t>
            </w:r>
          </w:p>
        </w:tc>
        <w:tc>
          <w:tcPr>
            <w:tcW w:w="1170" w:type="dxa"/>
            <w:shd w:val="clear" w:color="auto" w:fill="D9E2F3" w:themeFill="accent1" w:themeFillTint="33"/>
            <w:vAlign w:val="center"/>
          </w:tcPr>
          <w:p w14:paraId="43B59AEF" w14:textId="77777777" w:rsidR="00051903" w:rsidRPr="00806990" w:rsidRDefault="00051903" w:rsidP="00607FAE">
            <w:pPr>
              <w:spacing w:after="0" w:line="240" w:lineRule="auto"/>
              <w:jc w:val="center"/>
              <w:rPr>
                <w:rFonts w:ascii="Arial" w:eastAsia="Times New Roman" w:hAnsi="Arial" w:cs="Arial"/>
                <w:b/>
                <w:bCs/>
                <w:color w:val="000000"/>
                <w:sz w:val="18"/>
                <w:szCs w:val="18"/>
              </w:rPr>
            </w:pPr>
            <w:r w:rsidRPr="00806990">
              <w:rPr>
                <w:rFonts w:ascii="Arial" w:eastAsia="Times New Roman" w:hAnsi="Arial" w:cs="Arial"/>
                <w:b/>
                <w:bCs/>
                <w:color w:val="000000"/>
                <w:sz w:val="18"/>
                <w:szCs w:val="18"/>
              </w:rPr>
              <w:t>Change</w:t>
            </w:r>
          </w:p>
          <w:p w14:paraId="2905ABF3" w14:textId="77777777" w:rsidR="00051903" w:rsidRPr="00806990" w:rsidRDefault="00051903" w:rsidP="00607FAE">
            <w:pPr>
              <w:spacing w:after="0" w:line="240" w:lineRule="auto"/>
              <w:jc w:val="center"/>
              <w:rPr>
                <w:rFonts w:ascii="Arial" w:eastAsia="Times New Roman" w:hAnsi="Arial" w:cs="Arial"/>
                <w:b/>
                <w:bCs/>
                <w:color w:val="000000"/>
                <w:sz w:val="18"/>
                <w:szCs w:val="18"/>
              </w:rPr>
            </w:pPr>
            <w:r w:rsidRPr="00806990">
              <w:rPr>
                <w:rFonts w:ascii="Arial" w:eastAsia="Times New Roman" w:hAnsi="Arial" w:cs="Arial"/>
                <w:b/>
                <w:bCs/>
                <w:color w:val="000000"/>
                <w:sz w:val="18"/>
                <w:szCs w:val="18"/>
              </w:rPr>
              <w:t>2020-2023</w:t>
            </w:r>
          </w:p>
        </w:tc>
      </w:tr>
      <w:tr w:rsidR="00051903" w:rsidRPr="000D5ED1" w14:paraId="71555264" w14:textId="77777777" w:rsidTr="00F46598">
        <w:trPr>
          <w:cantSplit/>
          <w:trHeight w:val="233"/>
        </w:trPr>
        <w:tc>
          <w:tcPr>
            <w:tcW w:w="4225" w:type="dxa"/>
            <w:shd w:val="clear" w:color="auto" w:fill="auto"/>
            <w:noWrap/>
            <w:vAlign w:val="center"/>
            <w:hideMark/>
          </w:tcPr>
          <w:p w14:paraId="44D8720C" w14:textId="0844E23B" w:rsidR="00051903" w:rsidRPr="00806990" w:rsidRDefault="00051903" w:rsidP="00623EFA">
            <w:pPr>
              <w:spacing w:after="0" w:line="240" w:lineRule="auto"/>
              <w:rPr>
                <w:rFonts w:ascii="Arial" w:eastAsia="Times New Roman" w:hAnsi="Arial" w:cs="Arial"/>
                <w:color w:val="000000"/>
                <w:sz w:val="18"/>
                <w:szCs w:val="18"/>
              </w:rPr>
            </w:pPr>
            <w:r w:rsidRPr="00806990">
              <w:rPr>
                <w:rFonts w:ascii="Arial" w:eastAsia="Times New Roman" w:hAnsi="Arial" w:cs="Arial"/>
                <w:color w:val="000000"/>
                <w:sz w:val="18"/>
                <w:szCs w:val="18"/>
              </w:rPr>
              <w:t>Avg. Arrival to Treatment Space</w:t>
            </w:r>
            <w:r w:rsidR="00F6094E">
              <w:rPr>
                <w:rFonts w:ascii="Arial" w:eastAsia="Times New Roman" w:hAnsi="Arial" w:cs="Arial"/>
                <w:color w:val="000000"/>
                <w:sz w:val="18"/>
                <w:szCs w:val="18"/>
              </w:rPr>
              <w:t xml:space="preserve"> (minutes)</w:t>
            </w:r>
          </w:p>
        </w:tc>
        <w:tc>
          <w:tcPr>
            <w:tcW w:w="1026" w:type="dxa"/>
            <w:shd w:val="clear" w:color="auto" w:fill="auto"/>
            <w:noWrap/>
            <w:vAlign w:val="center"/>
            <w:hideMark/>
          </w:tcPr>
          <w:p w14:paraId="3E9C0449" w14:textId="77777777" w:rsidR="00051903" w:rsidRPr="00806990" w:rsidRDefault="00051903" w:rsidP="00623EFA">
            <w:pPr>
              <w:spacing w:after="0" w:line="240" w:lineRule="auto"/>
              <w:jc w:val="center"/>
              <w:rPr>
                <w:rFonts w:ascii="Arial" w:eastAsia="Times New Roman" w:hAnsi="Arial" w:cs="Arial"/>
                <w:color w:val="000000"/>
                <w:sz w:val="18"/>
                <w:szCs w:val="18"/>
              </w:rPr>
            </w:pPr>
            <w:r w:rsidRPr="00806990">
              <w:rPr>
                <w:rFonts w:ascii="Arial" w:eastAsia="Times New Roman" w:hAnsi="Arial" w:cs="Arial"/>
                <w:color w:val="000000"/>
                <w:sz w:val="18"/>
                <w:szCs w:val="18"/>
              </w:rPr>
              <w:t>11</w:t>
            </w:r>
          </w:p>
        </w:tc>
        <w:tc>
          <w:tcPr>
            <w:tcW w:w="1026" w:type="dxa"/>
            <w:shd w:val="clear" w:color="auto" w:fill="auto"/>
            <w:noWrap/>
            <w:vAlign w:val="center"/>
            <w:hideMark/>
          </w:tcPr>
          <w:p w14:paraId="025D3AC4" w14:textId="77777777" w:rsidR="00051903" w:rsidRPr="00806990" w:rsidRDefault="00051903" w:rsidP="00623EFA">
            <w:pPr>
              <w:spacing w:after="0" w:line="240" w:lineRule="auto"/>
              <w:jc w:val="center"/>
              <w:rPr>
                <w:rFonts w:ascii="Arial" w:eastAsia="Times New Roman" w:hAnsi="Arial" w:cs="Arial"/>
                <w:color w:val="000000"/>
                <w:sz w:val="18"/>
                <w:szCs w:val="18"/>
              </w:rPr>
            </w:pPr>
            <w:r w:rsidRPr="00806990">
              <w:rPr>
                <w:rFonts w:ascii="Arial" w:eastAsia="Times New Roman" w:hAnsi="Arial" w:cs="Arial"/>
                <w:color w:val="000000"/>
                <w:sz w:val="18"/>
                <w:szCs w:val="18"/>
              </w:rPr>
              <w:t>59</w:t>
            </w:r>
          </w:p>
        </w:tc>
        <w:tc>
          <w:tcPr>
            <w:tcW w:w="918" w:type="dxa"/>
            <w:shd w:val="clear" w:color="auto" w:fill="auto"/>
            <w:noWrap/>
            <w:vAlign w:val="center"/>
            <w:hideMark/>
          </w:tcPr>
          <w:p w14:paraId="4DA4274D" w14:textId="77777777" w:rsidR="00051903" w:rsidRPr="00806990" w:rsidRDefault="00051903" w:rsidP="00623EFA">
            <w:pPr>
              <w:spacing w:after="0" w:line="240" w:lineRule="auto"/>
              <w:jc w:val="center"/>
              <w:rPr>
                <w:rFonts w:ascii="Arial" w:eastAsia="Times New Roman" w:hAnsi="Arial" w:cs="Arial"/>
                <w:color w:val="000000"/>
                <w:sz w:val="18"/>
                <w:szCs w:val="18"/>
              </w:rPr>
            </w:pPr>
            <w:r w:rsidRPr="00806990">
              <w:rPr>
                <w:rFonts w:ascii="Arial" w:eastAsia="Times New Roman" w:hAnsi="Arial" w:cs="Arial"/>
                <w:color w:val="000000"/>
                <w:sz w:val="18"/>
                <w:szCs w:val="18"/>
              </w:rPr>
              <w:t>90</w:t>
            </w:r>
          </w:p>
        </w:tc>
        <w:tc>
          <w:tcPr>
            <w:tcW w:w="990" w:type="dxa"/>
            <w:shd w:val="clear" w:color="auto" w:fill="auto"/>
            <w:noWrap/>
            <w:vAlign w:val="center"/>
            <w:hideMark/>
          </w:tcPr>
          <w:p w14:paraId="2D84945C" w14:textId="77777777" w:rsidR="00051903" w:rsidRPr="00806990" w:rsidRDefault="00051903" w:rsidP="00623EFA">
            <w:pPr>
              <w:spacing w:after="0" w:line="240" w:lineRule="auto"/>
              <w:jc w:val="center"/>
              <w:rPr>
                <w:rFonts w:ascii="Arial" w:eastAsia="Times New Roman" w:hAnsi="Arial" w:cs="Arial"/>
                <w:color w:val="000000"/>
                <w:sz w:val="18"/>
                <w:szCs w:val="18"/>
              </w:rPr>
            </w:pPr>
            <w:r w:rsidRPr="00806990">
              <w:rPr>
                <w:rFonts w:ascii="Arial" w:eastAsia="Times New Roman" w:hAnsi="Arial" w:cs="Arial"/>
                <w:color w:val="000000"/>
                <w:sz w:val="18"/>
                <w:szCs w:val="18"/>
              </w:rPr>
              <w:t>91</w:t>
            </w:r>
          </w:p>
        </w:tc>
        <w:tc>
          <w:tcPr>
            <w:tcW w:w="1170" w:type="dxa"/>
            <w:vAlign w:val="center"/>
          </w:tcPr>
          <w:p w14:paraId="523C60AB" w14:textId="19787537" w:rsidR="00051903" w:rsidRPr="00806990" w:rsidRDefault="00124E82" w:rsidP="00623EFA">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727</w:t>
            </w:r>
            <w:r w:rsidR="00051903" w:rsidRPr="00806990">
              <w:rPr>
                <w:rFonts w:ascii="Arial" w:eastAsia="Times New Roman" w:hAnsi="Arial" w:cs="Arial"/>
                <w:color w:val="000000"/>
                <w:sz w:val="18"/>
                <w:szCs w:val="18"/>
              </w:rPr>
              <w:t>%</w:t>
            </w:r>
          </w:p>
        </w:tc>
      </w:tr>
      <w:tr w:rsidR="00051903" w:rsidRPr="000D5ED1" w14:paraId="0F8B59C8" w14:textId="77777777" w:rsidTr="00F46598">
        <w:trPr>
          <w:cantSplit/>
          <w:trHeight w:val="260"/>
        </w:trPr>
        <w:tc>
          <w:tcPr>
            <w:tcW w:w="4225" w:type="dxa"/>
            <w:shd w:val="clear" w:color="auto" w:fill="auto"/>
            <w:noWrap/>
            <w:vAlign w:val="center"/>
            <w:hideMark/>
          </w:tcPr>
          <w:p w14:paraId="7146B119" w14:textId="77777777" w:rsidR="00051903" w:rsidRPr="00806990" w:rsidRDefault="00051903" w:rsidP="00623EFA">
            <w:pPr>
              <w:spacing w:after="0" w:line="240" w:lineRule="auto"/>
              <w:rPr>
                <w:rFonts w:ascii="Arial" w:eastAsia="Times New Roman" w:hAnsi="Arial" w:cs="Arial"/>
                <w:color w:val="000000"/>
                <w:sz w:val="18"/>
                <w:szCs w:val="18"/>
              </w:rPr>
            </w:pPr>
            <w:r w:rsidRPr="00806990">
              <w:rPr>
                <w:rFonts w:ascii="Arial" w:eastAsia="Times New Roman" w:hAnsi="Arial" w:cs="Arial"/>
                <w:color w:val="000000"/>
                <w:sz w:val="18"/>
                <w:szCs w:val="18"/>
              </w:rPr>
              <w:t>Number of LWBS</w:t>
            </w:r>
          </w:p>
        </w:tc>
        <w:tc>
          <w:tcPr>
            <w:tcW w:w="1026" w:type="dxa"/>
            <w:shd w:val="clear" w:color="auto" w:fill="auto"/>
            <w:noWrap/>
            <w:vAlign w:val="center"/>
            <w:hideMark/>
          </w:tcPr>
          <w:p w14:paraId="40050624" w14:textId="77777777" w:rsidR="00051903" w:rsidRPr="00806990" w:rsidRDefault="00051903" w:rsidP="00623EFA">
            <w:pPr>
              <w:spacing w:after="0" w:line="240" w:lineRule="auto"/>
              <w:jc w:val="center"/>
              <w:rPr>
                <w:rFonts w:ascii="Arial" w:eastAsia="Times New Roman" w:hAnsi="Arial" w:cs="Arial"/>
                <w:color w:val="000000"/>
                <w:sz w:val="18"/>
                <w:szCs w:val="18"/>
              </w:rPr>
            </w:pPr>
            <w:r w:rsidRPr="00806990">
              <w:rPr>
                <w:rFonts w:ascii="Arial" w:eastAsia="Times New Roman" w:hAnsi="Arial" w:cs="Arial"/>
                <w:color w:val="000000"/>
                <w:sz w:val="18"/>
                <w:szCs w:val="18"/>
              </w:rPr>
              <w:t>363</w:t>
            </w:r>
          </w:p>
        </w:tc>
        <w:tc>
          <w:tcPr>
            <w:tcW w:w="1026" w:type="dxa"/>
            <w:shd w:val="clear" w:color="auto" w:fill="auto"/>
            <w:noWrap/>
            <w:vAlign w:val="center"/>
            <w:hideMark/>
          </w:tcPr>
          <w:p w14:paraId="1BC968E0" w14:textId="77777777" w:rsidR="00051903" w:rsidRPr="00806990" w:rsidRDefault="00051903" w:rsidP="00623EFA">
            <w:pPr>
              <w:spacing w:after="0" w:line="240" w:lineRule="auto"/>
              <w:jc w:val="center"/>
              <w:rPr>
                <w:rFonts w:ascii="Arial" w:eastAsia="Times New Roman" w:hAnsi="Arial" w:cs="Arial"/>
                <w:color w:val="000000"/>
                <w:sz w:val="18"/>
                <w:szCs w:val="18"/>
              </w:rPr>
            </w:pPr>
            <w:r w:rsidRPr="00806990">
              <w:rPr>
                <w:rFonts w:ascii="Arial" w:eastAsia="Times New Roman" w:hAnsi="Arial" w:cs="Arial"/>
                <w:color w:val="000000"/>
                <w:sz w:val="18"/>
                <w:szCs w:val="18"/>
              </w:rPr>
              <w:t>582</w:t>
            </w:r>
          </w:p>
        </w:tc>
        <w:tc>
          <w:tcPr>
            <w:tcW w:w="918" w:type="dxa"/>
            <w:shd w:val="clear" w:color="auto" w:fill="auto"/>
            <w:noWrap/>
            <w:vAlign w:val="center"/>
            <w:hideMark/>
          </w:tcPr>
          <w:p w14:paraId="18C90C07" w14:textId="77777777" w:rsidR="00051903" w:rsidRPr="00806990" w:rsidRDefault="00051903" w:rsidP="00623EFA">
            <w:pPr>
              <w:spacing w:after="0" w:line="240" w:lineRule="auto"/>
              <w:jc w:val="center"/>
              <w:rPr>
                <w:rFonts w:ascii="Arial" w:eastAsia="Times New Roman" w:hAnsi="Arial" w:cs="Arial"/>
                <w:color w:val="000000"/>
                <w:sz w:val="18"/>
                <w:szCs w:val="18"/>
              </w:rPr>
            </w:pPr>
            <w:r w:rsidRPr="00806990">
              <w:rPr>
                <w:rFonts w:ascii="Arial" w:eastAsia="Times New Roman" w:hAnsi="Arial" w:cs="Arial"/>
                <w:color w:val="000000"/>
                <w:sz w:val="18"/>
                <w:szCs w:val="18"/>
              </w:rPr>
              <w:t>1,254</w:t>
            </w:r>
          </w:p>
        </w:tc>
        <w:tc>
          <w:tcPr>
            <w:tcW w:w="990" w:type="dxa"/>
            <w:shd w:val="clear" w:color="auto" w:fill="auto"/>
            <w:noWrap/>
            <w:vAlign w:val="center"/>
            <w:hideMark/>
          </w:tcPr>
          <w:p w14:paraId="73DF3A49" w14:textId="77777777" w:rsidR="00051903" w:rsidRPr="00806990" w:rsidRDefault="00051903" w:rsidP="00623EFA">
            <w:pPr>
              <w:spacing w:after="0" w:line="240" w:lineRule="auto"/>
              <w:jc w:val="center"/>
              <w:rPr>
                <w:rFonts w:ascii="Arial" w:eastAsia="Times New Roman" w:hAnsi="Arial" w:cs="Arial"/>
                <w:color w:val="000000"/>
                <w:sz w:val="18"/>
                <w:szCs w:val="18"/>
              </w:rPr>
            </w:pPr>
            <w:r w:rsidRPr="00806990">
              <w:rPr>
                <w:rFonts w:ascii="Arial" w:eastAsia="Times New Roman" w:hAnsi="Arial" w:cs="Arial"/>
                <w:color w:val="000000"/>
                <w:sz w:val="18"/>
                <w:szCs w:val="18"/>
              </w:rPr>
              <w:t>1,123</w:t>
            </w:r>
          </w:p>
        </w:tc>
        <w:tc>
          <w:tcPr>
            <w:tcW w:w="1170" w:type="dxa"/>
            <w:vAlign w:val="center"/>
          </w:tcPr>
          <w:p w14:paraId="55CC093D" w14:textId="77777777" w:rsidR="00051903" w:rsidRPr="00806990" w:rsidRDefault="00051903" w:rsidP="00623EFA">
            <w:pPr>
              <w:spacing w:after="0" w:line="240" w:lineRule="auto"/>
              <w:jc w:val="center"/>
              <w:rPr>
                <w:rFonts w:ascii="Arial" w:eastAsia="Times New Roman" w:hAnsi="Arial" w:cs="Arial"/>
                <w:color w:val="000000"/>
                <w:sz w:val="18"/>
                <w:szCs w:val="18"/>
              </w:rPr>
            </w:pPr>
            <w:r w:rsidRPr="00806990">
              <w:rPr>
                <w:rFonts w:ascii="Arial" w:eastAsia="Times New Roman" w:hAnsi="Arial" w:cs="Arial"/>
                <w:color w:val="000000"/>
                <w:sz w:val="18"/>
                <w:szCs w:val="18"/>
              </w:rPr>
              <w:t>209%</w:t>
            </w:r>
          </w:p>
        </w:tc>
      </w:tr>
      <w:tr w:rsidR="00051903" w:rsidRPr="000D5ED1" w14:paraId="4347DC8C" w14:textId="77777777" w:rsidTr="00F46598">
        <w:trPr>
          <w:cantSplit/>
          <w:trHeight w:val="260"/>
        </w:trPr>
        <w:tc>
          <w:tcPr>
            <w:tcW w:w="4225" w:type="dxa"/>
            <w:shd w:val="clear" w:color="auto" w:fill="auto"/>
            <w:noWrap/>
            <w:vAlign w:val="center"/>
          </w:tcPr>
          <w:p w14:paraId="7000015B" w14:textId="660F2551" w:rsidR="00051903" w:rsidRPr="00806990" w:rsidRDefault="00051903" w:rsidP="00623EFA">
            <w:pPr>
              <w:spacing w:after="0" w:line="240" w:lineRule="auto"/>
              <w:rPr>
                <w:rFonts w:ascii="Arial" w:eastAsia="Times New Roman" w:hAnsi="Arial" w:cs="Arial"/>
                <w:color w:val="000000"/>
                <w:sz w:val="18"/>
                <w:szCs w:val="18"/>
              </w:rPr>
            </w:pPr>
            <w:r w:rsidRPr="00806990">
              <w:rPr>
                <w:rFonts w:ascii="Arial" w:eastAsia="Times New Roman" w:hAnsi="Arial" w:cs="Arial"/>
                <w:color w:val="000000"/>
                <w:sz w:val="18"/>
                <w:szCs w:val="18"/>
              </w:rPr>
              <w:t>Number of Eloped</w:t>
            </w:r>
            <w:r w:rsidR="00541842">
              <w:rPr>
                <w:rStyle w:val="FootnoteReference"/>
                <w:rFonts w:ascii="Arial" w:eastAsia="Times New Roman" w:hAnsi="Arial" w:cs="Arial"/>
                <w:color w:val="000000"/>
                <w:sz w:val="18"/>
                <w:szCs w:val="18"/>
              </w:rPr>
              <w:footnoteReference w:id="17"/>
            </w:r>
          </w:p>
        </w:tc>
        <w:tc>
          <w:tcPr>
            <w:tcW w:w="1026" w:type="dxa"/>
            <w:shd w:val="clear" w:color="auto" w:fill="auto"/>
            <w:noWrap/>
            <w:vAlign w:val="center"/>
          </w:tcPr>
          <w:p w14:paraId="4B40E6A3" w14:textId="77777777" w:rsidR="00051903" w:rsidRPr="00806990" w:rsidRDefault="00051903" w:rsidP="00623EFA">
            <w:pPr>
              <w:spacing w:after="0" w:line="240" w:lineRule="auto"/>
              <w:jc w:val="center"/>
              <w:rPr>
                <w:rFonts w:ascii="Arial" w:eastAsia="Times New Roman" w:hAnsi="Arial" w:cs="Arial"/>
                <w:color w:val="000000"/>
                <w:sz w:val="18"/>
                <w:szCs w:val="18"/>
              </w:rPr>
            </w:pPr>
            <w:r w:rsidRPr="00806990">
              <w:rPr>
                <w:rFonts w:ascii="Arial" w:eastAsia="Times New Roman" w:hAnsi="Arial" w:cs="Arial"/>
                <w:color w:val="000000"/>
                <w:sz w:val="18"/>
                <w:szCs w:val="18"/>
              </w:rPr>
              <w:t>157</w:t>
            </w:r>
          </w:p>
        </w:tc>
        <w:tc>
          <w:tcPr>
            <w:tcW w:w="1026" w:type="dxa"/>
            <w:shd w:val="clear" w:color="auto" w:fill="auto"/>
            <w:noWrap/>
            <w:vAlign w:val="center"/>
          </w:tcPr>
          <w:p w14:paraId="13DCC852" w14:textId="77777777" w:rsidR="00051903" w:rsidRPr="00806990" w:rsidRDefault="00051903" w:rsidP="00623EFA">
            <w:pPr>
              <w:spacing w:after="0" w:line="240" w:lineRule="auto"/>
              <w:jc w:val="center"/>
              <w:rPr>
                <w:rFonts w:ascii="Arial" w:eastAsia="Times New Roman" w:hAnsi="Arial" w:cs="Arial"/>
                <w:color w:val="000000"/>
                <w:sz w:val="18"/>
                <w:szCs w:val="18"/>
              </w:rPr>
            </w:pPr>
            <w:r w:rsidRPr="00806990">
              <w:rPr>
                <w:rFonts w:ascii="Arial" w:eastAsia="Times New Roman" w:hAnsi="Arial" w:cs="Arial"/>
                <w:color w:val="000000"/>
                <w:sz w:val="18"/>
                <w:szCs w:val="18"/>
              </w:rPr>
              <w:t>185</w:t>
            </w:r>
          </w:p>
        </w:tc>
        <w:tc>
          <w:tcPr>
            <w:tcW w:w="918" w:type="dxa"/>
            <w:shd w:val="clear" w:color="auto" w:fill="auto"/>
            <w:noWrap/>
            <w:vAlign w:val="center"/>
          </w:tcPr>
          <w:p w14:paraId="17FDA1BF" w14:textId="77777777" w:rsidR="00051903" w:rsidRPr="00806990" w:rsidRDefault="00051903" w:rsidP="00623EFA">
            <w:pPr>
              <w:spacing w:after="0" w:line="240" w:lineRule="auto"/>
              <w:jc w:val="center"/>
              <w:rPr>
                <w:rFonts w:ascii="Arial" w:eastAsia="Times New Roman" w:hAnsi="Arial" w:cs="Arial"/>
                <w:color w:val="000000"/>
                <w:sz w:val="18"/>
                <w:szCs w:val="18"/>
              </w:rPr>
            </w:pPr>
            <w:r w:rsidRPr="00806990">
              <w:rPr>
                <w:rFonts w:ascii="Arial" w:eastAsia="Times New Roman" w:hAnsi="Arial" w:cs="Arial"/>
                <w:color w:val="000000"/>
                <w:sz w:val="18"/>
                <w:szCs w:val="18"/>
              </w:rPr>
              <w:t>262</w:t>
            </w:r>
          </w:p>
        </w:tc>
        <w:tc>
          <w:tcPr>
            <w:tcW w:w="990" w:type="dxa"/>
            <w:shd w:val="clear" w:color="auto" w:fill="auto"/>
            <w:noWrap/>
            <w:vAlign w:val="center"/>
          </w:tcPr>
          <w:p w14:paraId="7832D973" w14:textId="77777777" w:rsidR="00051903" w:rsidRPr="00806990" w:rsidRDefault="00051903" w:rsidP="00623EFA">
            <w:pPr>
              <w:spacing w:after="0" w:line="240" w:lineRule="auto"/>
              <w:jc w:val="center"/>
              <w:rPr>
                <w:rFonts w:ascii="Arial" w:eastAsia="Times New Roman" w:hAnsi="Arial" w:cs="Arial"/>
                <w:color w:val="000000"/>
                <w:sz w:val="18"/>
                <w:szCs w:val="18"/>
              </w:rPr>
            </w:pPr>
            <w:r w:rsidRPr="00806990">
              <w:rPr>
                <w:rFonts w:ascii="Arial" w:eastAsia="Times New Roman" w:hAnsi="Arial" w:cs="Arial"/>
                <w:color w:val="000000"/>
                <w:sz w:val="18"/>
                <w:szCs w:val="18"/>
              </w:rPr>
              <w:t>299</w:t>
            </w:r>
          </w:p>
        </w:tc>
        <w:tc>
          <w:tcPr>
            <w:tcW w:w="1170" w:type="dxa"/>
            <w:vAlign w:val="center"/>
          </w:tcPr>
          <w:p w14:paraId="51CD1267" w14:textId="77777777" w:rsidR="00051903" w:rsidRPr="00806990" w:rsidRDefault="00051903" w:rsidP="00623EFA">
            <w:pPr>
              <w:spacing w:after="0" w:line="240" w:lineRule="auto"/>
              <w:jc w:val="center"/>
              <w:rPr>
                <w:rFonts w:ascii="Arial" w:eastAsia="Times New Roman" w:hAnsi="Arial" w:cs="Arial"/>
                <w:color w:val="000000"/>
                <w:sz w:val="18"/>
                <w:szCs w:val="18"/>
              </w:rPr>
            </w:pPr>
            <w:r w:rsidRPr="00806990">
              <w:rPr>
                <w:rFonts w:ascii="Arial" w:eastAsia="Times New Roman" w:hAnsi="Arial" w:cs="Arial"/>
                <w:color w:val="000000"/>
                <w:sz w:val="18"/>
                <w:szCs w:val="18"/>
              </w:rPr>
              <w:t>90.4%</w:t>
            </w:r>
          </w:p>
        </w:tc>
      </w:tr>
      <w:tr w:rsidR="00051903" w:rsidRPr="00507A52" w14:paraId="560E9EB8" w14:textId="77777777" w:rsidTr="00F46598">
        <w:trPr>
          <w:cantSplit/>
          <w:trHeight w:val="260"/>
        </w:trPr>
        <w:tc>
          <w:tcPr>
            <w:tcW w:w="42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E4CC9D" w14:textId="77777777" w:rsidR="00051903" w:rsidRPr="00806990" w:rsidRDefault="00051903" w:rsidP="00623EFA">
            <w:pPr>
              <w:spacing w:after="0" w:line="240" w:lineRule="auto"/>
              <w:rPr>
                <w:rFonts w:ascii="Arial" w:eastAsia="Times New Roman" w:hAnsi="Arial" w:cs="Arial"/>
                <w:color w:val="000000"/>
                <w:sz w:val="18"/>
                <w:szCs w:val="18"/>
              </w:rPr>
            </w:pPr>
            <w:r w:rsidRPr="00806990">
              <w:rPr>
                <w:rFonts w:ascii="Arial" w:eastAsia="Times New Roman" w:hAnsi="Arial" w:cs="Arial"/>
                <w:color w:val="000000"/>
                <w:sz w:val="18"/>
                <w:szCs w:val="18"/>
              </w:rPr>
              <w:t>Avg. TLOS - All Patients</w:t>
            </w: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8A7024" w14:textId="77777777" w:rsidR="00051903" w:rsidRPr="00806990" w:rsidRDefault="00051903" w:rsidP="00623EFA">
            <w:pPr>
              <w:spacing w:after="0" w:line="240" w:lineRule="auto"/>
              <w:jc w:val="center"/>
              <w:rPr>
                <w:rFonts w:ascii="Arial" w:eastAsia="Times New Roman" w:hAnsi="Arial" w:cs="Arial"/>
                <w:color w:val="000000"/>
                <w:sz w:val="18"/>
                <w:szCs w:val="18"/>
              </w:rPr>
            </w:pPr>
            <w:r w:rsidRPr="00806990">
              <w:rPr>
                <w:rFonts w:ascii="Arial" w:eastAsia="Times New Roman" w:hAnsi="Arial" w:cs="Arial"/>
                <w:color w:val="000000"/>
                <w:sz w:val="18"/>
                <w:szCs w:val="18"/>
              </w:rPr>
              <w:t>391</w:t>
            </w: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FCC509" w14:textId="77777777" w:rsidR="00051903" w:rsidRPr="00806990" w:rsidRDefault="00051903" w:rsidP="00623EFA">
            <w:pPr>
              <w:spacing w:after="0" w:line="240" w:lineRule="auto"/>
              <w:jc w:val="center"/>
              <w:rPr>
                <w:rFonts w:ascii="Arial" w:eastAsia="Times New Roman" w:hAnsi="Arial" w:cs="Arial"/>
                <w:color w:val="000000"/>
                <w:sz w:val="18"/>
                <w:szCs w:val="18"/>
              </w:rPr>
            </w:pPr>
            <w:r w:rsidRPr="00806990">
              <w:rPr>
                <w:rFonts w:ascii="Arial" w:eastAsia="Times New Roman" w:hAnsi="Arial" w:cs="Arial"/>
                <w:color w:val="000000"/>
                <w:sz w:val="18"/>
                <w:szCs w:val="18"/>
              </w:rPr>
              <w:t>440</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1FA756" w14:textId="77777777" w:rsidR="00051903" w:rsidRPr="00806990" w:rsidRDefault="00051903" w:rsidP="00623EFA">
            <w:pPr>
              <w:spacing w:after="0" w:line="240" w:lineRule="auto"/>
              <w:jc w:val="center"/>
              <w:rPr>
                <w:rFonts w:ascii="Arial" w:eastAsia="Times New Roman" w:hAnsi="Arial" w:cs="Arial"/>
                <w:color w:val="000000"/>
                <w:sz w:val="18"/>
                <w:szCs w:val="18"/>
              </w:rPr>
            </w:pPr>
            <w:r w:rsidRPr="00806990">
              <w:rPr>
                <w:rFonts w:ascii="Arial" w:eastAsia="Times New Roman" w:hAnsi="Arial" w:cs="Arial"/>
                <w:color w:val="000000"/>
                <w:sz w:val="18"/>
                <w:szCs w:val="18"/>
              </w:rPr>
              <w:t>475</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638082" w14:textId="77777777" w:rsidR="00051903" w:rsidRPr="00806990" w:rsidRDefault="00051903" w:rsidP="00623EFA">
            <w:pPr>
              <w:spacing w:after="0" w:line="240" w:lineRule="auto"/>
              <w:jc w:val="center"/>
              <w:rPr>
                <w:rFonts w:ascii="Arial" w:eastAsia="Times New Roman" w:hAnsi="Arial" w:cs="Arial"/>
                <w:color w:val="000000"/>
                <w:sz w:val="18"/>
                <w:szCs w:val="18"/>
              </w:rPr>
            </w:pPr>
            <w:r w:rsidRPr="00806990">
              <w:rPr>
                <w:rFonts w:ascii="Arial" w:eastAsia="Times New Roman" w:hAnsi="Arial" w:cs="Arial"/>
                <w:color w:val="000000"/>
                <w:sz w:val="18"/>
                <w:szCs w:val="18"/>
              </w:rPr>
              <w:t>468</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1445D525" w14:textId="4AC1B2A5" w:rsidR="00051903" w:rsidRPr="00806990" w:rsidRDefault="00051903" w:rsidP="00623EFA">
            <w:pPr>
              <w:spacing w:after="0" w:line="240" w:lineRule="auto"/>
              <w:jc w:val="center"/>
              <w:rPr>
                <w:rFonts w:ascii="Arial" w:eastAsia="Times New Roman" w:hAnsi="Arial" w:cs="Arial"/>
                <w:color w:val="000000"/>
                <w:sz w:val="18"/>
                <w:szCs w:val="18"/>
              </w:rPr>
            </w:pPr>
            <w:r w:rsidRPr="00806990">
              <w:rPr>
                <w:rFonts w:ascii="Arial" w:eastAsia="Times New Roman" w:hAnsi="Arial" w:cs="Arial"/>
                <w:color w:val="000000"/>
                <w:sz w:val="18"/>
                <w:szCs w:val="18"/>
              </w:rPr>
              <w:t>19.</w:t>
            </w:r>
            <w:r w:rsidR="00124E82">
              <w:rPr>
                <w:rFonts w:ascii="Arial" w:eastAsia="Times New Roman" w:hAnsi="Arial" w:cs="Arial"/>
                <w:color w:val="000000"/>
                <w:sz w:val="18"/>
                <w:szCs w:val="18"/>
              </w:rPr>
              <w:t>7</w:t>
            </w:r>
            <w:r w:rsidRPr="00806990">
              <w:rPr>
                <w:rFonts w:ascii="Arial" w:eastAsia="Times New Roman" w:hAnsi="Arial" w:cs="Arial"/>
                <w:color w:val="000000"/>
                <w:sz w:val="18"/>
                <w:szCs w:val="18"/>
              </w:rPr>
              <w:t>%</w:t>
            </w:r>
          </w:p>
        </w:tc>
      </w:tr>
      <w:tr w:rsidR="00051903" w:rsidRPr="00507A52" w14:paraId="540201EA" w14:textId="77777777" w:rsidTr="00F46598">
        <w:trPr>
          <w:cantSplit/>
          <w:trHeight w:val="260"/>
        </w:trPr>
        <w:tc>
          <w:tcPr>
            <w:tcW w:w="42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EBCE1E" w14:textId="77777777" w:rsidR="00051903" w:rsidRPr="00806990" w:rsidRDefault="00051903" w:rsidP="00623EFA">
            <w:pPr>
              <w:spacing w:after="0" w:line="240" w:lineRule="auto"/>
              <w:rPr>
                <w:rFonts w:ascii="Arial" w:eastAsia="Times New Roman" w:hAnsi="Arial" w:cs="Arial"/>
                <w:color w:val="000000"/>
                <w:sz w:val="18"/>
                <w:szCs w:val="18"/>
              </w:rPr>
            </w:pPr>
            <w:r w:rsidRPr="00806990">
              <w:rPr>
                <w:rFonts w:ascii="Arial" w:eastAsia="Times New Roman" w:hAnsi="Arial" w:cs="Arial"/>
                <w:color w:val="000000"/>
                <w:sz w:val="18"/>
                <w:szCs w:val="18"/>
              </w:rPr>
              <w:t>Median TLOS - All Patients</w:t>
            </w: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4EFD23" w14:textId="77777777" w:rsidR="00051903" w:rsidRPr="00806990" w:rsidRDefault="00051903" w:rsidP="00623EFA">
            <w:pPr>
              <w:spacing w:after="0" w:line="240" w:lineRule="auto"/>
              <w:jc w:val="center"/>
              <w:rPr>
                <w:rFonts w:ascii="Arial" w:eastAsia="Times New Roman" w:hAnsi="Arial" w:cs="Arial"/>
                <w:color w:val="000000"/>
                <w:sz w:val="18"/>
                <w:szCs w:val="18"/>
              </w:rPr>
            </w:pPr>
            <w:r w:rsidRPr="00806990">
              <w:rPr>
                <w:rFonts w:ascii="Arial" w:eastAsia="Times New Roman" w:hAnsi="Arial" w:cs="Arial"/>
                <w:color w:val="000000"/>
                <w:sz w:val="18"/>
                <w:szCs w:val="18"/>
              </w:rPr>
              <w:t>279</w:t>
            </w: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51EFF3" w14:textId="77777777" w:rsidR="00051903" w:rsidRPr="00806990" w:rsidRDefault="00051903" w:rsidP="00623EFA">
            <w:pPr>
              <w:spacing w:after="0" w:line="240" w:lineRule="auto"/>
              <w:jc w:val="center"/>
              <w:rPr>
                <w:rFonts w:ascii="Arial" w:eastAsia="Times New Roman" w:hAnsi="Arial" w:cs="Arial"/>
                <w:color w:val="000000"/>
                <w:sz w:val="18"/>
                <w:szCs w:val="18"/>
              </w:rPr>
            </w:pPr>
            <w:r w:rsidRPr="00806990">
              <w:rPr>
                <w:rFonts w:ascii="Arial" w:eastAsia="Times New Roman" w:hAnsi="Arial" w:cs="Arial"/>
                <w:color w:val="000000"/>
                <w:sz w:val="18"/>
                <w:szCs w:val="18"/>
              </w:rPr>
              <w:t>311</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6EF4A6" w14:textId="77777777" w:rsidR="00051903" w:rsidRPr="00806990" w:rsidRDefault="00051903" w:rsidP="00623EFA">
            <w:pPr>
              <w:spacing w:after="0" w:line="240" w:lineRule="auto"/>
              <w:jc w:val="center"/>
              <w:rPr>
                <w:rFonts w:ascii="Arial" w:eastAsia="Times New Roman" w:hAnsi="Arial" w:cs="Arial"/>
                <w:color w:val="000000"/>
                <w:sz w:val="18"/>
                <w:szCs w:val="18"/>
              </w:rPr>
            </w:pPr>
            <w:r w:rsidRPr="00806990">
              <w:rPr>
                <w:rFonts w:ascii="Arial" w:eastAsia="Times New Roman" w:hAnsi="Arial" w:cs="Arial"/>
                <w:color w:val="000000"/>
                <w:sz w:val="18"/>
                <w:szCs w:val="18"/>
              </w:rPr>
              <w:t>324</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AC6710" w14:textId="77777777" w:rsidR="00051903" w:rsidRPr="00806990" w:rsidRDefault="00051903" w:rsidP="00623EFA">
            <w:pPr>
              <w:spacing w:after="0" w:line="240" w:lineRule="auto"/>
              <w:jc w:val="center"/>
              <w:rPr>
                <w:rFonts w:ascii="Arial" w:eastAsia="Times New Roman" w:hAnsi="Arial" w:cs="Arial"/>
                <w:color w:val="000000"/>
                <w:sz w:val="18"/>
                <w:szCs w:val="18"/>
              </w:rPr>
            </w:pPr>
            <w:r w:rsidRPr="00806990">
              <w:rPr>
                <w:rFonts w:ascii="Arial" w:eastAsia="Times New Roman" w:hAnsi="Arial" w:cs="Arial"/>
                <w:color w:val="000000"/>
                <w:sz w:val="18"/>
                <w:szCs w:val="18"/>
              </w:rPr>
              <w:t>329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1CFA93BA" w14:textId="77777777" w:rsidR="00051903" w:rsidRPr="00806990" w:rsidRDefault="00051903" w:rsidP="00623EFA">
            <w:pPr>
              <w:spacing w:after="0" w:line="240" w:lineRule="auto"/>
              <w:jc w:val="center"/>
              <w:rPr>
                <w:rFonts w:ascii="Arial" w:eastAsia="Times New Roman" w:hAnsi="Arial" w:cs="Arial"/>
                <w:color w:val="000000"/>
                <w:sz w:val="18"/>
                <w:szCs w:val="18"/>
              </w:rPr>
            </w:pPr>
            <w:r w:rsidRPr="00806990">
              <w:rPr>
                <w:rFonts w:ascii="Arial" w:eastAsia="Times New Roman" w:hAnsi="Arial" w:cs="Arial"/>
                <w:color w:val="000000"/>
                <w:sz w:val="18"/>
                <w:szCs w:val="18"/>
              </w:rPr>
              <w:t>17.9%</w:t>
            </w:r>
          </w:p>
        </w:tc>
      </w:tr>
      <w:tr w:rsidR="00051903" w:rsidRPr="00507A52" w14:paraId="22F3000E" w14:textId="77777777" w:rsidTr="00F46598">
        <w:trPr>
          <w:cantSplit/>
          <w:trHeight w:val="260"/>
        </w:trPr>
        <w:tc>
          <w:tcPr>
            <w:tcW w:w="42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104273" w14:textId="77777777" w:rsidR="00051903" w:rsidRPr="00806990" w:rsidRDefault="00051903" w:rsidP="00623EFA">
            <w:pPr>
              <w:spacing w:after="0" w:line="240" w:lineRule="auto"/>
              <w:rPr>
                <w:rFonts w:ascii="Arial" w:eastAsia="Times New Roman" w:hAnsi="Arial" w:cs="Arial"/>
                <w:color w:val="000000"/>
                <w:sz w:val="18"/>
                <w:szCs w:val="18"/>
              </w:rPr>
            </w:pPr>
            <w:r w:rsidRPr="00806990">
              <w:rPr>
                <w:rFonts w:ascii="Arial" w:eastAsia="Times New Roman" w:hAnsi="Arial" w:cs="Arial"/>
                <w:color w:val="000000"/>
                <w:sz w:val="18"/>
                <w:szCs w:val="18"/>
              </w:rPr>
              <w:t>Avg. TLOS - Admitted &amp; Acute Transfers</w:t>
            </w: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D22AD1" w14:textId="77777777" w:rsidR="00051903" w:rsidRPr="00806990" w:rsidRDefault="00051903" w:rsidP="00623EFA">
            <w:pPr>
              <w:spacing w:after="0" w:line="240" w:lineRule="auto"/>
              <w:jc w:val="center"/>
              <w:rPr>
                <w:rFonts w:ascii="Arial" w:eastAsia="Times New Roman" w:hAnsi="Arial" w:cs="Arial"/>
                <w:color w:val="000000"/>
                <w:sz w:val="18"/>
                <w:szCs w:val="18"/>
              </w:rPr>
            </w:pPr>
            <w:r w:rsidRPr="00806990">
              <w:rPr>
                <w:rFonts w:ascii="Arial" w:eastAsia="Times New Roman" w:hAnsi="Arial" w:cs="Arial"/>
                <w:color w:val="000000"/>
                <w:sz w:val="18"/>
                <w:szCs w:val="18"/>
              </w:rPr>
              <w:t>480</w:t>
            </w: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C16347" w14:textId="77777777" w:rsidR="00051903" w:rsidRPr="00806990" w:rsidRDefault="00051903" w:rsidP="00623EFA">
            <w:pPr>
              <w:spacing w:after="0" w:line="240" w:lineRule="auto"/>
              <w:jc w:val="center"/>
              <w:rPr>
                <w:rFonts w:ascii="Arial" w:eastAsia="Times New Roman" w:hAnsi="Arial" w:cs="Arial"/>
                <w:color w:val="000000"/>
                <w:sz w:val="18"/>
                <w:szCs w:val="18"/>
              </w:rPr>
            </w:pPr>
            <w:r w:rsidRPr="00806990">
              <w:rPr>
                <w:rFonts w:ascii="Arial" w:eastAsia="Times New Roman" w:hAnsi="Arial" w:cs="Arial"/>
                <w:color w:val="000000"/>
                <w:sz w:val="18"/>
                <w:szCs w:val="18"/>
              </w:rPr>
              <w:t>594</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0A5BFC" w14:textId="77777777" w:rsidR="00051903" w:rsidRPr="00806990" w:rsidRDefault="00051903" w:rsidP="00623EFA">
            <w:pPr>
              <w:spacing w:after="0" w:line="240" w:lineRule="auto"/>
              <w:jc w:val="center"/>
              <w:rPr>
                <w:rFonts w:ascii="Arial" w:eastAsia="Times New Roman" w:hAnsi="Arial" w:cs="Arial"/>
                <w:color w:val="000000"/>
                <w:sz w:val="18"/>
                <w:szCs w:val="18"/>
              </w:rPr>
            </w:pPr>
            <w:r w:rsidRPr="00806990">
              <w:rPr>
                <w:rFonts w:ascii="Arial" w:eastAsia="Times New Roman" w:hAnsi="Arial" w:cs="Arial"/>
                <w:color w:val="000000"/>
                <w:sz w:val="18"/>
                <w:szCs w:val="18"/>
              </w:rPr>
              <w:t>675</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778713" w14:textId="77777777" w:rsidR="00051903" w:rsidRPr="00806990" w:rsidRDefault="00051903" w:rsidP="00623EFA">
            <w:pPr>
              <w:spacing w:after="0" w:line="240" w:lineRule="auto"/>
              <w:jc w:val="center"/>
              <w:rPr>
                <w:rFonts w:ascii="Arial" w:eastAsia="Times New Roman" w:hAnsi="Arial" w:cs="Arial"/>
                <w:color w:val="000000"/>
                <w:sz w:val="18"/>
                <w:szCs w:val="18"/>
              </w:rPr>
            </w:pPr>
            <w:r w:rsidRPr="00806990">
              <w:rPr>
                <w:rFonts w:ascii="Arial" w:eastAsia="Times New Roman" w:hAnsi="Arial" w:cs="Arial"/>
                <w:color w:val="000000"/>
                <w:sz w:val="18"/>
                <w:szCs w:val="18"/>
              </w:rPr>
              <w:t>693</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7585A40A" w14:textId="77777777" w:rsidR="00051903" w:rsidRPr="00806990" w:rsidRDefault="00051903" w:rsidP="00623EFA">
            <w:pPr>
              <w:spacing w:after="0" w:line="240" w:lineRule="auto"/>
              <w:jc w:val="center"/>
              <w:rPr>
                <w:rFonts w:ascii="Arial" w:eastAsia="Times New Roman" w:hAnsi="Arial" w:cs="Arial"/>
                <w:color w:val="000000"/>
                <w:sz w:val="18"/>
                <w:szCs w:val="18"/>
              </w:rPr>
            </w:pPr>
            <w:r w:rsidRPr="00806990">
              <w:rPr>
                <w:rFonts w:ascii="Arial" w:eastAsia="Times New Roman" w:hAnsi="Arial" w:cs="Arial"/>
                <w:color w:val="000000"/>
                <w:sz w:val="18"/>
                <w:szCs w:val="18"/>
              </w:rPr>
              <w:t>44.3%</w:t>
            </w:r>
          </w:p>
        </w:tc>
      </w:tr>
      <w:tr w:rsidR="00051903" w:rsidRPr="00507A52" w14:paraId="0236949F" w14:textId="77777777" w:rsidTr="00F46598">
        <w:trPr>
          <w:cantSplit/>
          <w:trHeight w:val="260"/>
        </w:trPr>
        <w:tc>
          <w:tcPr>
            <w:tcW w:w="42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55ECA1" w14:textId="77777777" w:rsidR="00051903" w:rsidRPr="00806990" w:rsidRDefault="00051903" w:rsidP="00623EFA">
            <w:pPr>
              <w:spacing w:after="0" w:line="240" w:lineRule="auto"/>
              <w:rPr>
                <w:rFonts w:ascii="Arial" w:eastAsia="Times New Roman" w:hAnsi="Arial" w:cs="Arial"/>
                <w:color w:val="000000"/>
                <w:sz w:val="18"/>
                <w:szCs w:val="18"/>
              </w:rPr>
            </w:pPr>
            <w:r w:rsidRPr="00806990">
              <w:rPr>
                <w:rFonts w:ascii="Arial" w:eastAsia="Times New Roman" w:hAnsi="Arial" w:cs="Arial"/>
                <w:color w:val="000000"/>
                <w:sz w:val="18"/>
                <w:szCs w:val="18"/>
              </w:rPr>
              <w:t>Median TLOS - Admitted &amp; Acute Transfers</w:t>
            </w: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63CAA1" w14:textId="77777777" w:rsidR="00051903" w:rsidRPr="00806990" w:rsidRDefault="00051903" w:rsidP="00623EFA">
            <w:pPr>
              <w:spacing w:after="0" w:line="240" w:lineRule="auto"/>
              <w:jc w:val="center"/>
              <w:rPr>
                <w:rFonts w:ascii="Arial" w:eastAsia="Times New Roman" w:hAnsi="Arial" w:cs="Arial"/>
                <w:color w:val="000000"/>
                <w:sz w:val="18"/>
                <w:szCs w:val="18"/>
              </w:rPr>
            </w:pPr>
            <w:r w:rsidRPr="00806990">
              <w:rPr>
                <w:rFonts w:ascii="Arial" w:eastAsia="Times New Roman" w:hAnsi="Arial" w:cs="Arial"/>
                <w:color w:val="000000"/>
                <w:sz w:val="18"/>
                <w:szCs w:val="18"/>
              </w:rPr>
              <w:t>365</w:t>
            </w: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618324" w14:textId="77777777" w:rsidR="00051903" w:rsidRPr="00806990" w:rsidRDefault="00051903" w:rsidP="00623EFA">
            <w:pPr>
              <w:spacing w:after="0" w:line="240" w:lineRule="auto"/>
              <w:jc w:val="center"/>
              <w:rPr>
                <w:rFonts w:ascii="Arial" w:eastAsia="Times New Roman" w:hAnsi="Arial" w:cs="Arial"/>
                <w:color w:val="000000"/>
                <w:sz w:val="18"/>
                <w:szCs w:val="18"/>
              </w:rPr>
            </w:pPr>
            <w:r w:rsidRPr="00806990">
              <w:rPr>
                <w:rFonts w:ascii="Arial" w:eastAsia="Times New Roman" w:hAnsi="Arial" w:cs="Arial"/>
                <w:color w:val="000000"/>
                <w:sz w:val="18"/>
                <w:szCs w:val="18"/>
              </w:rPr>
              <w:t>438</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F0D146" w14:textId="77777777" w:rsidR="00051903" w:rsidRPr="00806990" w:rsidRDefault="00051903" w:rsidP="00623EFA">
            <w:pPr>
              <w:spacing w:after="0" w:line="240" w:lineRule="auto"/>
              <w:jc w:val="center"/>
              <w:rPr>
                <w:rFonts w:ascii="Arial" w:eastAsia="Times New Roman" w:hAnsi="Arial" w:cs="Arial"/>
                <w:color w:val="000000"/>
                <w:sz w:val="18"/>
                <w:szCs w:val="18"/>
              </w:rPr>
            </w:pPr>
            <w:r w:rsidRPr="00806990">
              <w:rPr>
                <w:rFonts w:ascii="Arial" w:eastAsia="Times New Roman" w:hAnsi="Arial" w:cs="Arial"/>
                <w:color w:val="000000"/>
                <w:sz w:val="18"/>
                <w:szCs w:val="18"/>
              </w:rPr>
              <w:t>466</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99320F" w14:textId="77777777" w:rsidR="00051903" w:rsidRPr="00806990" w:rsidRDefault="00051903" w:rsidP="00623EFA">
            <w:pPr>
              <w:spacing w:after="0" w:line="240" w:lineRule="auto"/>
              <w:jc w:val="center"/>
              <w:rPr>
                <w:rFonts w:ascii="Arial" w:eastAsia="Times New Roman" w:hAnsi="Arial" w:cs="Arial"/>
                <w:color w:val="000000"/>
                <w:sz w:val="18"/>
                <w:szCs w:val="18"/>
              </w:rPr>
            </w:pPr>
            <w:r w:rsidRPr="00806990">
              <w:rPr>
                <w:rFonts w:ascii="Arial" w:eastAsia="Times New Roman" w:hAnsi="Arial" w:cs="Arial"/>
                <w:color w:val="000000"/>
                <w:sz w:val="18"/>
                <w:szCs w:val="18"/>
              </w:rPr>
              <w:t>521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35225C2A" w14:textId="77777777" w:rsidR="00051903" w:rsidRPr="00806990" w:rsidRDefault="00051903" w:rsidP="00623EFA">
            <w:pPr>
              <w:spacing w:after="0" w:line="240" w:lineRule="auto"/>
              <w:jc w:val="center"/>
              <w:rPr>
                <w:rFonts w:ascii="Arial" w:eastAsia="Times New Roman" w:hAnsi="Arial" w:cs="Arial"/>
                <w:color w:val="000000"/>
                <w:sz w:val="18"/>
                <w:szCs w:val="18"/>
              </w:rPr>
            </w:pPr>
            <w:r w:rsidRPr="00806990">
              <w:rPr>
                <w:rFonts w:ascii="Arial" w:eastAsia="Times New Roman" w:hAnsi="Arial" w:cs="Arial"/>
                <w:color w:val="000000"/>
                <w:sz w:val="18"/>
                <w:szCs w:val="18"/>
              </w:rPr>
              <w:t>42.7%</w:t>
            </w:r>
          </w:p>
        </w:tc>
      </w:tr>
    </w:tbl>
    <w:p w14:paraId="02F057AE" w14:textId="6320764E" w:rsidR="00051903" w:rsidRDefault="00051903" w:rsidP="00051903">
      <w:pPr>
        <w:spacing w:before="120" w:after="120" w:line="240" w:lineRule="auto"/>
        <w:jc w:val="both"/>
        <w:rPr>
          <w:rFonts w:ascii="Arial" w:hAnsi="Arial" w:cs="Arial"/>
          <w:sz w:val="20"/>
          <w:szCs w:val="20"/>
        </w:rPr>
      </w:pPr>
      <w:r w:rsidRPr="005D4B3C">
        <w:rPr>
          <w:rFonts w:ascii="Arial" w:hAnsi="Arial" w:cs="Arial"/>
          <w:sz w:val="20"/>
          <w:szCs w:val="20"/>
        </w:rPr>
        <w:t xml:space="preserve">Without the space and resources </w:t>
      </w:r>
      <w:r>
        <w:rPr>
          <w:rFonts w:ascii="Arial" w:hAnsi="Arial" w:cs="Arial"/>
          <w:sz w:val="20"/>
          <w:szCs w:val="20"/>
        </w:rPr>
        <w:t>provided through the</w:t>
      </w:r>
      <w:r w:rsidRPr="005D4B3C">
        <w:rPr>
          <w:rFonts w:ascii="Arial" w:hAnsi="Arial" w:cs="Arial"/>
          <w:sz w:val="20"/>
          <w:szCs w:val="20"/>
        </w:rPr>
        <w:t xml:space="preserve"> Proposed Project, </w:t>
      </w:r>
      <w:r w:rsidR="00F73E8D">
        <w:rPr>
          <w:rFonts w:ascii="Arial" w:hAnsi="Arial" w:cs="Arial"/>
          <w:sz w:val="20"/>
          <w:szCs w:val="20"/>
        </w:rPr>
        <w:t>BID-</w:t>
      </w:r>
      <w:r w:rsidR="00231A56" w:rsidRPr="00231A56">
        <w:rPr>
          <w:rFonts w:ascii="Arial" w:hAnsi="Arial" w:cs="Arial"/>
          <w:sz w:val="20"/>
          <w:szCs w:val="20"/>
        </w:rPr>
        <w:t>Plymouth</w:t>
      </w:r>
      <w:r>
        <w:rPr>
          <w:rFonts w:ascii="Arial" w:hAnsi="Arial" w:cs="Arial"/>
          <w:sz w:val="20"/>
          <w:szCs w:val="20"/>
        </w:rPr>
        <w:t xml:space="preserve">’s patients will continue to wait longer and longer to be seen in the ED, while more patients decide to forego care until their </w:t>
      </w:r>
      <w:r>
        <w:rPr>
          <w:rFonts w:ascii="Arial" w:hAnsi="Arial" w:cs="Arial"/>
          <w:sz w:val="20"/>
          <w:szCs w:val="20"/>
        </w:rPr>
        <w:lastRenderedPageBreak/>
        <w:t>condition worsens and more acute</w:t>
      </w:r>
      <w:r w:rsidR="00F7532B">
        <w:rPr>
          <w:rFonts w:ascii="Arial" w:hAnsi="Arial" w:cs="Arial"/>
          <w:sz w:val="20"/>
          <w:szCs w:val="20"/>
        </w:rPr>
        <w:t>, higher cost,</w:t>
      </w:r>
      <w:r>
        <w:rPr>
          <w:rFonts w:ascii="Arial" w:hAnsi="Arial" w:cs="Arial"/>
          <w:sz w:val="20"/>
          <w:szCs w:val="20"/>
        </w:rPr>
        <w:t xml:space="preserve"> treatment is required. Creating sufficient capacity within the Hospital’s ED will improve wait times and care delivery. </w:t>
      </w:r>
    </w:p>
    <w:p w14:paraId="6137699D" w14:textId="0E352BB8" w:rsidR="00051903" w:rsidRPr="00842FA9" w:rsidRDefault="00051903" w:rsidP="00051903">
      <w:pPr>
        <w:spacing w:before="120" w:after="120" w:line="240" w:lineRule="auto"/>
        <w:jc w:val="both"/>
        <w:rPr>
          <w:rFonts w:ascii="Arial" w:hAnsi="Arial" w:cs="Arial"/>
          <w:sz w:val="20"/>
          <w:szCs w:val="20"/>
        </w:rPr>
      </w:pPr>
      <w:proofErr w:type="gramStart"/>
      <w:r w:rsidRPr="00842FA9">
        <w:rPr>
          <w:rFonts w:ascii="Arial" w:hAnsi="Arial" w:cs="Arial"/>
          <w:sz w:val="20"/>
          <w:szCs w:val="20"/>
        </w:rPr>
        <w:t>In order to</w:t>
      </w:r>
      <w:proofErr w:type="gramEnd"/>
      <w:r w:rsidRPr="00842FA9">
        <w:rPr>
          <w:rFonts w:ascii="Arial" w:hAnsi="Arial" w:cs="Arial"/>
          <w:sz w:val="20"/>
          <w:szCs w:val="20"/>
        </w:rPr>
        <w:t xml:space="preserve"> meet the community’s current and projected need for emergency services, </w:t>
      </w:r>
      <w:r>
        <w:rPr>
          <w:rFonts w:ascii="Arial" w:hAnsi="Arial" w:cs="Arial"/>
          <w:sz w:val="20"/>
          <w:szCs w:val="20"/>
        </w:rPr>
        <w:t xml:space="preserve">the Hospital determined that a total of 67 treatment beds would be </w:t>
      </w:r>
      <w:proofErr w:type="gramStart"/>
      <w:r>
        <w:rPr>
          <w:rFonts w:ascii="Arial" w:hAnsi="Arial" w:cs="Arial"/>
          <w:sz w:val="20"/>
          <w:szCs w:val="20"/>
        </w:rPr>
        <w:t>need</w:t>
      </w:r>
      <w:proofErr w:type="gramEnd"/>
      <w:r>
        <w:rPr>
          <w:rFonts w:ascii="Arial" w:hAnsi="Arial" w:cs="Arial"/>
          <w:sz w:val="20"/>
          <w:szCs w:val="20"/>
        </w:rPr>
        <w:t>. The addition of 17 treatment beds will allow</w:t>
      </w:r>
      <w:r w:rsidR="001C5D07">
        <w:rPr>
          <w:rFonts w:ascii="Arial" w:hAnsi="Arial" w:cs="Arial"/>
          <w:sz w:val="20"/>
          <w:szCs w:val="20"/>
        </w:rPr>
        <w:t xml:space="preserve"> for approximately 65,000 visits annually, as well the</w:t>
      </w:r>
      <w:r>
        <w:rPr>
          <w:rFonts w:ascii="Arial" w:hAnsi="Arial" w:cs="Arial"/>
          <w:sz w:val="20"/>
          <w:szCs w:val="20"/>
        </w:rPr>
        <w:t xml:space="preserve"> </w:t>
      </w:r>
      <w:r w:rsidR="00DE1DF0">
        <w:rPr>
          <w:rFonts w:ascii="Arial" w:hAnsi="Arial" w:cs="Arial"/>
          <w:sz w:val="20"/>
          <w:szCs w:val="20"/>
        </w:rPr>
        <w:t>timel</w:t>
      </w:r>
      <w:r w:rsidR="001C5D07">
        <w:rPr>
          <w:rFonts w:ascii="Arial" w:hAnsi="Arial" w:cs="Arial"/>
          <w:sz w:val="20"/>
          <w:szCs w:val="20"/>
        </w:rPr>
        <w:t>y movement of patients to treatment rooms</w:t>
      </w:r>
      <w:r w:rsidR="001B1727">
        <w:rPr>
          <w:rFonts w:ascii="Arial" w:hAnsi="Arial" w:cs="Arial"/>
          <w:sz w:val="20"/>
          <w:szCs w:val="20"/>
        </w:rPr>
        <w:t xml:space="preserve"> </w:t>
      </w:r>
      <w:r>
        <w:rPr>
          <w:rFonts w:ascii="Arial" w:hAnsi="Arial" w:cs="Arial"/>
          <w:sz w:val="20"/>
          <w:szCs w:val="20"/>
        </w:rPr>
        <w:t xml:space="preserve">from the waiting room, </w:t>
      </w:r>
      <w:r w:rsidR="001C5D07">
        <w:rPr>
          <w:rFonts w:ascii="Arial" w:hAnsi="Arial" w:cs="Arial"/>
          <w:sz w:val="20"/>
          <w:szCs w:val="20"/>
        </w:rPr>
        <w:t xml:space="preserve">in turn </w:t>
      </w:r>
      <w:r>
        <w:rPr>
          <w:rFonts w:ascii="Arial" w:hAnsi="Arial" w:cs="Arial"/>
          <w:sz w:val="20"/>
          <w:szCs w:val="20"/>
        </w:rPr>
        <w:t>reducing delays in treatment.</w:t>
      </w:r>
      <w:r w:rsidR="001B1727">
        <w:rPr>
          <w:rFonts w:ascii="Arial" w:hAnsi="Arial" w:cs="Arial"/>
          <w:sz w:val="20"/>
          <w:szCs w:val="20"/>
        </w:rPr>
        <w:t xml:space="preserve"> The ability to timely move patients from the waiting room to a treatment room not only improves care delivery, but improves the patient experience by providing a private, more comfortable environment during a what is usually a stressful time for patients experiencing a medical emergency.</w:t>
      </w:r>
      <w:r>
        <w:rPr>
          <w:rFonts w:ascii="Arial" w:hAnsi="Arial" w:cs="Arial"/>
          <w:sz w:val="20"/>
          <w:szCs w:val="20"/>
        </w:rPr>
        <w:t xml:space="preserve"> </w:t>
      </w:r>
      <w:r w:rsidR="001B1727">
        <w:rPr>
          <w:rFonts w:ascii="Arial" w:hAnsi="Arial" w:cs="Arial"/>
          <w:sz w:val="20"/>
          <w:szCs w:val="20"/>
        </w:rPr>
        <w:t>Through the addition of the requested beds</w:t>
      </w:r>
      <w:r>
        <w:rPr>
          <w:rFonts w:ascii="Arial" w:hAnsi="Arial" w:cs="Arial"/>
          <w:sz w:val="20"/>
          <w:szCs w:val="20"/>
        </w:rPr>
        <w:t xml:space="preserve">, </w:t>
      </w:r>
      <w:r w:rsidR="001B1727">
        <w:rPr>
          <w:rFonts w:ascii="Arial" w:hAnsi="Arial" w:cs="Arial"/>
          <w:sz w:val="20"/>
          <w:szCs w:val="20"/>
        </w:rPr>
        <w:t>the ED will be able to accommodate</w:t>
      </w:r>
      <w:r w:rsidR="0015344C">
        <w:rPr>
          <w:rFonts w:ascii="Arial" w:hAnsi="Arial" w:cs="Arial"/>
          <w:sz w:val="20"/>
          <w:szCs w:val="20"/>
        </w:rPr>
        <w:t xml:space="preserve"> demand and modest projected growth in volume consistent with population projections. </w:t>
      </w:r>
    </w:p>
    <w:p w14:paraId="25DBA7BE" w14:textId="44E3601E" w:rsidR="00051903" w:rsidRDefault="00051903" w:rsidP="00051903">
      <w:pPr>
        <w:spacing w:before="120" w:after="120" w:line="240" w:lineRule="auto"/>
        <w:jc w:val="both"/>
        <w:rPr>
          <w:rFonts w:ascii="Arial" w:hAnsi="Arial" w:cs="Arial"/>
          <w:sz w:val="20"/>
          <w:szCs w:val="20"/>
        </w:rPr>
      </w:pPr>
      <w:r w:rsidRPr="00842FA9">
        <w:rPr>
          <w:rFonts w:ascii="Arial" w:hAnsi="Arial" w:cs="Arial"/>
          <w:sz w:val="20"/>
          <w:szCs w:val="20"/>
        </w:rPr>
        <w:t xml:space="preserve">Annually, </w:t>
      </w:r>
      <w:r w:rsidR="00231A56" w:rsidRPr="00231A56">
        <w:rPr>
          <w:rFonts w:ascii="Arial" w:hAnsi="Arial" w:cs="Arial"/>
          <w:sz w:val="20"/>
          <w:szCs w:val="20"/>
        </w:rPr>
        <w:t>Plymouth</w:t>
      </w:r>
      <w:r w:rsidRPr="00842FA9">
        <w:rPr>
          <w:rFonts w:ascii="Arial" w:hAnsi="Arial" w:cs="Arial"/>
          <w:sz w:val="20"/>
          <w:szCs w:val="20"/>
        </w:rPr>
        <w:t>’s population is growing at a rate of 3.52% and is expected to grow by an additional 10,000 residents by 2035.</w:t>
      </w:r>
      <w:r w:rsidRPr="005D4B3C">
        <w:rPr>
          <w:rStyle w:val="FootnoteReference"/>
          <w:rFonts w:ascii="Arial" w:hAnsi="Arial" w:cs="Arial"/>
          <w:sz w:val="20"/>
          <w:szCs w:val="20"/>
        </w:rPr>
        <w:footnoteReference w:id="18"/>
      </w:r>
      <w:r w:rsidRPr="00842FA9">
        <w:rPr>
          <w:rFonts w:ascii="Arial" w:hAnsi="Arial" w:cs="Arial"/>
          <w:sz w:val="20"/>
          <w:szCs w:val="20"/>
        </w:rPr>
        <w:t xml:space="preserve">  Anticipating this moderate population growth, </w:t>
      </w:r>
      <w:r w:rsidR="00F73E8D">
        <w:rPr>
          <w:rFonts w:ascii="Arial" w:hAnsi="Arial" w:cs="Arial"/>
          <w:sz w:val="20"/>
          <w:szCs w:val="20"/>
        </w:rPr>
        <w:t>BID-</w:t>
      </w:r>
      <w:r w:rsidR="00231A56" w:rsidRPr="00231A56">
        <w:rPr>
          <w:rFonts w:ascii="Arial" w:hAnsi="Arial" w:cs="Arial"/>
          <w:sz w:val="20"/>
          <w:szCs w:val="20"/>
        </w:rPr>
        <w:t>Plymouth</w:t>
      </w:r>
      <w:r w:rsidRPr="00842FA9">
        <w:rPr>
          <w:rFonts w:ascii="Arial" w:hAnsi="Arial" w:cs="Arial"/>
          <w:sz w:val="20"/>
          <w:szCs w:val="20"/>
        </w:rPr>
        <w:t xml:space="preserve"> </w:t>
      </w:r>
      <w:r w:rsidR="0015344C">
        <w:rPr>
          <w:rFonts w:ascii="Arial" w:hAnsi="Arial" w:cs="Arial"/>
          <w:sz w:val="20"/>
          <w:szCs w:val="20"/>
        </w:rPr>
        <w:t>anticipates</w:t>
      </w:r>
      <w:r w:rsidRPr="00842FA9">
        <w:rPr>
          <w:rFonts w:ascii="Arial" w:hAnsi="Arial" w:cs="Arial"/>
          <w:sz w:val="20"/>
          <w:szCs w:val="20"/>
        </w:rPr>
        <w:t xml:space="preserve"> ED volume will continue to grow 2% each year. The table below provides the Hospital’s volume projections for the first five years following the opening of the new ED. </w:t>
      </w:r>
    </w:p>
    <w:p w14:paraId="77B4D897" w14:textId="77777777" w:rsidR="003C1B64" w:rsidRPr="00842FA9" w:rsidRDefault="003C1B64" w:rsidP="00051903">
      <w:pPr>
        <w:spacing w:before="120" w:after="120" w:line="240" w:lineRule="auto"/>
        <w:jc w:val="both"/>
        <w:rPr>
          <w:rFonts w:ascii="Arial" w:hAnsi="Arial" w:cs="Arial"/>
          <w:sz w:val="20"/>
          <w:szCs w:val="20"/>
        </w:rPr>
      </w:pPr>
    </w:p>
    <w:tbl>
      <w:tblPr>
        <w:tblStyle w:val="TableGrid"/>
        <w:tblW w:w="9535" w:type="dxa"/>
        <w:tblLook w:val="04A0" w:firstRow="1" w:lastRow="0" w:firstColumn="1" w:lastColumn="0" w:noHBand="0" w:noVBand="1"/>
      </w:tblPr>
      <w:tblGrid>
        <w:gridCol w:w="2785"/>
        <w:gridCol w:w="1350"/>
        <w:gridCol w:w="1350"/>
        <w:gridCol w:w="1350"/>
        <w:gridCol w:w="1350"/>
        <w:gridCol w:w="1350"/>
      </w:tblGrid>
      <w:tr w:rsidR="00051903" w14:paraId="11907165" w14:textId="77777777" w:rsidTr="006B4DDB">
        <w:tc>
          <w:tcPr>
            <w:tcW w:w="2785" w:type="dxa"/>
            <w:shd w:val="clear" w:color="auto" w:fill="DEEAF6" w:themeFill="accent5" w:themeFillTint="33"/>
          </w:tcPr>
          <w:p w14:paraId="76BEF997" w14:textId="4DEB980A" w:rsidR="00051903" w:rsidRPr="006663AA" w:rsidRDefault="006B4DDB" w:rsidP="00607FAE">
            <w:pPr>
              <w:rPr>
                <w:b/>
                <w:bCs/>
              </w:rPr>
            </w:pPr>
            <w:r>
              <w:rPr>
                <w:b/>
                <w:bCs/>
              </w:rPr>
              <w:t xml:space="preserve">Table 6: </w:t>
            </w:r>
            <w:r w:rsidR="00051903" w:rsidRPr="006663AA">
              <w:rPr>
                <w:b/>
                <w:bCs/>
              </w:rPr>
              <w:t xml:space="preserve">Projected Volume </w:t>
            </w:r>
          </w:p>
        </w:tc>
        <w:tc>
          <w:tcPr>
            <w:tcW w:w="1350" w:type="dxa"/>
            <w:shd w:val="clear" w:color="auto" w:fill="DEEAF6" w:themeFill="accent5" w:themeFillTint="33"/>
          </w:tcPr>
          <w:p w14:paraId="177A0055" w14:textId="77777777" w:rsidR="00051903" w:rsidRPr="006663AA" w:rsidRDefault="00051903" w:rsidP="00607FAE">
            <w:pPr>
              <w:jc w:val="center"/>
              <w:rPr>
                <w:b/>
                <w:bCs/>
              </w:rPr>
            </w:pPr>
            <w:r w:rsidRPr="006663AA">
              <w:rPr>
                <w:b/>
                <w:bCs/>
              </w:rPr>
              <w:t>Year 1</w:t>
            </w:r>
          </w:p>
        </w:tc>
        <w:tc>
          <w:tcPr>
            <w:tcW w:w="1350" w:type="dxa"/>
            <w:shd w:val="clear" w:color="auto" w:fill="DEEAF6" w:themeFill="accent5" w:themeFillTint="33"/>
          </w:tcPr>
          <w:p w14:paraId="3E6B74B3" w14:textId="77777777" w:rsidR="00051903" w:rsidRPr="006663AA" w:rsidRDefault="00051903" w:rsidP="00607FAE">
            <w:pPr>
              <w:jc w:val="center"/>
              <w:rPr>
                <w:b/>
                <w:bCs/>
              </w:rPr>
            </w:pPr>
            <w:r w:rsidRPr="006663AA">
              <w:rPr>
                <w:b/>
                <w:bCs/>
              </w:rPr>
              <w:t>Year 2</w:t>
            </w:r>
          </w:p>
        </w:tc>
        <w:tc>
          <w:tcPr>
            <w:tcW w:w="1350" w:type="dxa"/>
            <w:shd w:val="clear" w:color="auto" w:fill="DEEAF6" w:themeFill="accent5" w:themeFillTint="33"/>
          </w:tcPr>
          <w:p w14:paraId="3B68DD3B" w14:textId="77777777" w:rsidR="00051903" w:rsidRPr="006663AA" w:rsidRDefault="00051903" w:rsidP="00607FAE">
            <w:pPr>
              <w:jc w:val="center"/>
              <w:rPr>
                <w:b/>
                <w:bCs/>
              </w:rPr>
            </w:pPr>
            <w:r w:rsidRPr="006663AA">
              <w:rPr>
                <w:b/>
                <w:bCs/>
              </w:rPr>
              <w:t>Year 3</w:t>
            </w:r>
          </w:p>
        </w:tc>
        <w:tc>
          <w:tcPr>
            <w:tcW w:w="1350" w:type="dxa"/>
            <w:shd w:val="clear" w:color="auto" w:fill="DEEAF6" w:themeFill="accent5" w:themeFillTint="33"/>
          </w:tcPr>
          <w:p w14:paraId="40FBF0FB" w14:textId="77777777" w:rsidR="00051903" w:rsidRPr="006663AA" w:rsidRDefault="00051903" w:rsidP="00607FAE">
            <w:pPr>
              <w:jc w:val="center"/>
              <w:rPr>
                <w:b/>
                <w:bCs/>
              </w:rPr>
            </w:pPr>
            <w:r w:rsidRPr="006663AA">
              <w:rPr>
                <w:b/>
                <w:bCs/>
              </w:rPr>
              <w:t>Year 4</w:t>
            </w:r>
          </w:p>
        </w:tc>
        <w:tc>
          <w:tcPr>
            <w:tcW w:w="1350" w:type="dxa"/>
            <w:shd w:val="clear" w:color="auto" w:fill="DEEAF6" w:themeFill="accent5" w:themeFillTint="33"/>
          </w:tcPr>
          <w:p w14:paraId="1C58B124" w14:textId="77777777" w:rsidR="00051903" w:rsidRPr="006663AA" w:rsidRDefault="00051903" w:rsidP="00607FAE">
            <w:pPr>
              <w:jc w:val="center"/>
              <w:rPr>
                <w:b/>
                <w:bCs/>
              </w:rPr>
            </w:pPr>
            <w:r w:rsidRPr="006663AA">
              <w:rPr>
                <w:b/>
                <w:bCs/>
              </w:rPr>
              <w:t>Year 5</w:t>
            </w:r>
          </w:p>
        </w:tc>
      </w:tr>
      <w:tr w:rsidR="00051903" w14:paraId="396FC525" w14:textId="77777777" w:rsidTr="006B4DDB">
        <w:tc>
          <w:tcPr>
            <w:tcW w:w="2785" w:type="dxa"/>
          </w:tcPr>
          <w:p w14:paraId="6D5AF5D2" w14:textId="77777777" w:rsidR="00051903" w:rsidRDefault="00051903" w:rsidP="00607FAE">
            <w:r>
              <w:t xml:space="preserve">ED Visits </w:t>
            </w:r>
          </w:p>
        </w:tc>
        <w:tc>
          <w:tcPr>
            <w:tcW w:w="1350" w:type="dxa"/>
            <w:vAlign w:val="bottom"/>
          </w:tcPr>
          <w:p w14:paraId="55957A17" w14:textId="77777777" w:rsidR="00051903" w:rsidRDefault="00051903" w:rsidP="00607FAE">
            <w:pPr>
              <w:jc w:val="center"/>
            </w:pPr>
            <w:r>
              <w:rPr>
                <w:rFonts w:ascii="Calibri" w:hAnsi="Calibri" w:cs="Calibri"/>
                <w:color w:val="000000"/>
              </w:rPr>
              <w:t>44,481</w:t>
            </w:r>
          </w:p>
        </w:tc>
        <w:tc>
          <w:tcPr>
            <w:tcW w:w="1350" w:type="dxa"/>
            <w:vAlign w:val="bottom"/>
          </w:tcPr>
          <w:p w14:paraId="6279A77C" w14:textId="77777777" w:rsidR="00051903" w:rsidRDefault="00051903" w:rsidP="00607FAE">
            <w:pPr>
              <w:jc w:val="center"/>
            </w:pPr>
            <w:r>
              <w:rPr>
                <w:rFonts w:ascii="Calibri" w:hAnsi="Calibri" w:cs="Calibri"/>
                <w:color w:val="000000"/>
              </w:rPr>
              <w:t>45,371</w:t>
            </w:r>
          </w:p>
        </w:tc>
        <w:tc>
          <w:tcPr>
            <w:tcW w:w="1350" w:type="dxa"/>
            <w:vAlign w:val="bottom"/>
          </w:tcPr>
          <w:p w14:paraId="701B25CC" w14:textId="77777777" w:rsidR="00051903" w:rsidRDefault="00051903" w:rsidP="00607FAE">
            <w:pPr>
              <w:jc w:val="center"/>
            </w:pPr>
            <w:r>
              <w:rPr>
                <w:rFonts w:ascii="Calibri" w:hAnsi="Calibri" w:cs="Calibri"/>
                <w:color w:val="000000"/>
              </w:rPr>
              <w:t>46,296</w:t>
            </w:r>
          </w:p>
        </w:tc>
        <w:tc>
          <w:tcPr>
            <w:tcW w:w="1350" w:type="dxa"/>
            <w:vAlign w:val="bottom"/>
          </w:tcPr>
          <w:p w14:paraId="5C85F693" w14:textId="77777777" w:rsidR="00051903" w:rsidRDefault="00051903" w:rsidP="00607FAE">
            <w:pPr>
              <w:jc w:val="center"/>
            </w:pPr>
            <w:r>
              <w:rPr>
                <w:rFonts w:ascii="Calibri" w:hAnsi="Calibri" w:cs="Calibri"/>
                <w:color w:val="000000"/>
              </w:rPr>
              <w:t>47,274</w:t>
            </w:r>
          </w:p>
        </w:tc>
        <w:tc>
          <w:tcPr>
            <w:tcW w:w="1350" w:type="dxa"/>
            <w:vAlign w:val="bottom"/>
          </w:tcPr>
          <w:p w14:paraId="1A513BCC" w14:textId="77777777" w:rsidR="00051903" w:rsidRDefault="00051903" w:rsidP="00607FAE">
            <w:pPr>
              <w:jc w:val="center"/>
            </w:pPr>
            <w:r>
              <w:rPr>
                <w:rFonts w:ascii="Calibri" w:hAnsi="Calibri" w:cs="Calibri"/>
                <w:color w:val="000000"/>
              </w:rPr>
              <w:t>48,326</w:t>
            </w:r>
          </w:p>
        </w:tc>
      </w:tr>
    </w:tbl>
    <w:p w14:paraId="0FEAF396" w14:textId="77777777" w:rsidR="00051903" w:rsidRDefault="00051903" w:rsidP="00051903">
      <w:pPr>
        <w:rPr>
          <w:rFonts w:ascii="Arial" w:hAnsi="Arial" w:cs="Arial"/>
          <w:sz w:val="20"/>
          <w:szCs w:val="20"/>
          <w:u w:val="single"/>
        </w:rPr>
      </w:pPr>
    </w:p>
    <w:p w14:paraId="438F7E7C" w14:textId="6B5B99FD" w:rsidR="00051903" w:rsidRPr="00860A81" w:rsidRDefault="00051903" w:rsidP="00051903">
      <w:pPr>
        <w:jc w:val="both"/>
        <w:rPr>
          <w:rFonts w:ascii="Arial" w:hAnsi="Arial" w:cs="Arial"/>
          <w:sz w:val="20"/>
          <w:szCs w:val="20"/>
        </w:rPr>
      </w:pPr>
      <w:r w:rsidRPr="00860A81">
        <w:rPr>
          <w:rFonts w:ascii="Arial" w:hAnsi="Arial" w:cs="Arial"/>
          <w:sz w:val="20"/>
          <w:szCs w:val="20"/>
        </w:rPr>
        <w:t xml:space="preserve">In addition to increasing the ED’s capacity, the redesigned space will include </w:t>
      </w:r>
      <w:r w:rsidR="00C811A5">
        <w:rPr>
          <w:rFonts w:ascii="Arial" w:hAnsi="Arial" w:cs="Arial"/>
          <w:sz w:val="20"/>
          <w:szCs w:val="20"/>
        </w:rPr>
        <w:t xml:space="preserve">physiologic patient </w:t>
      </w:r>
      <w:r w:rsidRPr="00860A81">
        <w:rPr>
          <w:rFonts w:ascii="Arial" w:hAnsi="Arial" w:cs="Arial"/>
          <w:sz w:val="20"/>
          <w:szCs w:val="20"/>
        </w:rPr>
        <w:t xml:space="preserve">monitoring </w:t>
      </w:r>
      <w:r w:rsidR="00C811A5">
        <w:rPr>
          <w:rFonts w:ascii="Arial" w:hAnsi="Arial" w:cs="Arial"/>
          <w:sz w:val="20"/>
          <w:szCs w:val="20"/>
        </w:rPr>
        <w:t xml:space="preserve">with upgraded technology including integration into </w:t>
      </w:r>
      <w:r w:rsidR="00CA37BA">
        <w:rPr>
          <w:rFonts w:ascii="Arial" w:hAnsi="Arial" w:cs="Arial"/>
          <w:sz w:val="20"/>
          <w:szCs w:val="20"/>
        </w:rPr>
        <w:t xml:space="preserve">the </w:t>
      </w:r>
      <w:r w:rsidR="00CA37BA" w:rsidRPr="00DE1FB6">
        <w:rPr>
          <w:rFonts w:ascii="Arial" w:hAnsi="Arial" w:cs="Arial"/>
          <w:bCs/>
          <w:kern w:val="2"/>
          <w:sz w:val="20"/>
          <w:szCs w:val="20"/>
        </w:rPr>
        <w:t>electronic medical record (“EMR”)</w:t>
      </w:r>
      <w:r w:rsidR="00C811A5">
        <w:rPr>
          <w:rFonts w:ascii="Arial" w:hAnsi="Arial" w:cs="Arial"/>
          <w:sz w:val="20"/>
          <w:szCs w:val="20"/>
        </w:rPr>
        <w:t xml:space="preserve"> as well as </w:t>
      </w:r>
      <w:r w:rsidRPr="00860A81">
        <w:rPr>
          <w:rFonts w:ascii="Arial" w:hAnsi="Arial" w:cs="Arial"/>
          <w:sz w:val="20"/>
          <w:szCs w:val="20"/>
        </w:rPr>
        <w:t xml:space="preserve">medical gas capabilities at each treatment bed, allowing greater flexibility to treat more complex and higher acuity patients in all spaces rather than waiting for an appropriately resourced bed to become available. Similarly, the </w:t>
      </w:r>
      <w:r w:rsidR="001C5D07">
        <w:rPr>
          <w:rFonts w:ascii="Arial" w:hAnsi="Arial" w:cs="Arial"/>
          <w:sz w:val="20"/>
          <w:szCs w:val="20"/>
        </w:rPr>
        <w:t>expansion</w:t>
      </w:r>
      <w:r w:rsidRPr="00860A81">
        <w:rPr>
          <w:rFonts w:ascii="Arial" w:hAnsi="Arial" w:cs="Arial"/>
          <w:sz w:val="20"/>
          <w:szCs w:val="20"/>
        </w:rPr>
        <w:t xml:space="preserve"> of a vertical treatment unit will allow staff to quickly move patients out of the waiting room and initiate treatment for low and moderate acuity patients. </w:t>
      </w:r>
      <w:r w:rsidR="0015344C" w:rsidRPr="00860A81">
        <w:rPr>
          <w:rFonts w:ascii="Arial" w:hAnsi="Arial" w:cs="Arial"/>
          <w:sz w:val="20"/>
          <w:szCs w:val="20"/>
        </w:rPr>
        <w:t xml:space="preserve">By </w:t>
      </w:r>
      <w:proofErr w:type="spellStart"/>
      <w:r w:rsidR="0015344C" w:rsidRPr="00860A81">
        <w:rPr>
          <w:rFonts w:ascii="Arial" w:hAnsi="Arial" w:cs="Arial"/>
          <w:sz w:val="20"/>
          <w:szCs w:val="20"/>
        </w:rPr>
        <w:t>cohorting</w:t>
      </w:r>
      <w:proofErr w:type="spellEnd"/>
      <w:r w:rsidR="0015344C" w:rsidRPr="00860A81">
        <w:rPr>
          <w:rFonts w:ascii="Arial" w:hAnsi="Arial" w:cs="Arial"/>
          <w:sz w:val="20"/>
          <w:szCs w:val="20"/>
        </w:rPr>
        <w:t xml:space="preserve"> patients of similar severity, the Hospital will be able to utilize private</w:t>
      </w:r>
      <w:r w:rsidRPr="00860A81">
        <w:rPr>
          <w:rFonts w:ascii="Arial" w:hAnsi="Arial" w:cs="Arial"/>
          <w:sz w:val="20"/>
          <w:szCs w:val="20"/>
        </w:rPr>
        <w:t xml:space="preserve"> treatment beds for higher acuity patients, while also ensuring that the ED can flex the </w:t>
      </w:r>
      <w:r w:rsidR="0015344C" w:rsidRPr="00860A81">
        <w:rPr>
          <w:rFonts w:ascii="Arial" w:hAnsi="Arial" w:cs="Arial"/>
          <w:sz w:val="20"/>
          <w:szCs w:val="20"/>
        </w:rPr>
        <w:t xml:space="preserve">vertical treatment </w:t>
      </w:r>
      <w:r w:rsidRPr="00860A81">
        <w:rPr>
          <w:rFonts w:ascii="Arial" w:hAnsi="Arial" w:cs="Arial"/>
          <w:sz w:val="20"/>
          <w:szCs w:val="20"/>
        </w:rPr>
        <w:t xml:space="preserve">space as needed when demand for more complex care is higher than normal. </w:t>
      </w:r>
      <w:r w:rsidR="00B036C1" w:rsidRPr="00860A81">
        <w:rPr>
          <w:rFonts w:ascii="Arial" w:hAnsi="Arial" w:cs="Arial"/>
          <w:sz w:val="20"/>
          <w:szCs w:val="20"/>
        </w:rPr>
        <w:t xml:space="preserve">In addition to the expanded and improved patient care spaces, </w:t>
      </w:r>
      <w:r w:rsidR="00B036C1" w:rsidRPr="00860A81">
        <w:rPr>
          <w:rFonts w:ascii="Arial" w:hAnsi="Arial" w:cs="Arial"/>
          <w:bCs/>
          <w:kern w:val="2"/>
          <w:sz w:val="20"/>
          <w:szCs w:val="20"/>
        </w:rPr>
        <w:t>the Proposed Project will provide needed administrative space for clinical staff to facilitate the movement of patients more efficiently from registration to treatment space to discharge from the ED.</w:t>
      </w:r>
    </w:p>
    <w:p w14:paraId="72F42F57" w14:textId="750B4E63" w:rsidR="00051903" w:rsidRDefault="00B036C1" w:rsidP="00051903">
      <w:pPr>
        <w:jc w:val="both"/>
        <w:rPr>
          <w:rFonts w:ascii="Arial" w:hAnsi="Arial" w:cs="Arial"/>
          <w:sz w:val="20"/>
          <w:szCs w:val="20"/>
        </w:rPr>
      </w:pPr>
      <w:r w:rsidRPr="00BC101E">
        <w:rPr>
          <w:rFonts w:ascii="Arial" w:hAnsi="Arial" w:cs="Arial"/>
          <w:sz w:val="20"/>
          <w:szCs w:val="20"/>
        </w:rPr>
        <w:t>As part of the Proposed Project’s goal to meet the needs of the Hospital’s Patient Panel</w:t>
      </w:r>
      <w:r w:rsidR="00051903" w:rsidRPr="000C6E9D">
        <w:rPr>
          <w:rFonts w:ascii="Arial" w:hAnsi="Arial" w:cs="Arial"/>
          <w:sz w:val="20"/>
          <w:szCs w:val="20"/>
        </w:rPr>
        <w:t xml:space="preserve">, the </w:t>
      </w:r>
      <w:r w:rsidR="00BC101E">
        <w:rPr>
          <w:rFonts w:ascii="Arial" w:hAnsi="Arial" w:cs="Arial"/>
          <w:sz w:val="20"/>
          <w:szCs w:val="20"/>
        </w:rPr>
        <w:t xml:space="preserve">new ED </w:t>
      </w:r>
      <w:r w:rsidRPr="00BC101E">
        <w:rPr>
          <w:rFonts w:ascii="Arial" w:hAnsi="Arial" w:cs="Arial"/>
          <w:sz w:val="20"/>
          <w:szCs w:val="20"/>
        </w:rPr>
        <w:t xml:space="preserve">will more than </w:t>
      </w:r>
      <w:r w:rsidR="00051903" w:rsidRPr="000C6E9D">
        <w:rPr>
          <w:rFonts w:ascii="Arial" w:hAnsi="Arial" w:cs="Arial"/>
          <w:sz w:val="20"/>
          <w:szCs w:val="20"/>
        </w:rPr>
        <w:t xml:space="preserve">double the ED’s capacity </w:t>
      </w:r>
      <w:r w:rsidR="000C6E9D" w:rsidRPr="00BC101E">
        <w:rPr>
          <w:rFonts w:ascii="Arial" w:hAnsi="Arial" w:cs="Arial"/>
          <w:sz w:val="20"/>
          <w:szCs w:val="20"/>
        </w:rPr>
        <w:t xml:space="preserve">to care </w:t>
      </w:r>
      <w:r w:rsidR="00051903" w:rsidRPr="000C6E9D">
        <w:rPr>
          <w:rFonts w:ascii="Arial" w:hAnsi="Arial" w:cs="Arial"/>
          <w:sz w:val="20"/>
          <w:szCs w:val="20"/>
        </w:rPr>
        <w:t xml:space="preserve">for patients experiencing acute behavioral health emergencies. </w:t>
      </w:r>
      <w:r w:rsidR="000B668F">
        <w:rPr>
          <w:rFonts w:ascii="Arial" w:hAnsi="Arial" w:cs="Arial"/>
          <w:sz w:val="20"/>
          <w:szCs w:val="20"/>
        </w:rPr>
        <w:t xml:space="preserve">In FY2023, </w:t>
      </w:r>
      <w:r w:rsidR="00250206">
        <w:rPr>
          <w:rFonts w:ascii="Arial" w:hAnsi="Arial" w:cs="Arial"/>
          <w:sz w:val="20"/>
          <w:szCs w:val="20"/>
        </w:rPr>
        <w:t>the Emergency Services Program</w:t>
      </w:r>
      <w:r w:rsidR="000B668F">
        <w:rPr>
          <w:rFonts w:ascii="Arial" w:hAnsi="Arial" w:cs="Arial"/>
          <w:sz w:val="20"/>
          <w:szCs w:val="20"/>
        </w:rPr>
        <w:t xml:space="preserve"> </w:t>
      </w:r>
      <w:r w:rsidR="000B668F" w:rsidRPr="00DA304F">
        <w:rPr>
          <w:rFonts w:ascii="Arial" w:hAnsi="Arial" w:cs="Arial"/>
          <w:sz w:val="20"/>
          <w:szCs w:val="20"/>
        </w:rPr>
        <w:t xml:space="preserve">completed </w:t>
      </w:r>
      <w:r w:rsidR="00DA304F" w:rsidRPr="00DA304F">
        <w:rPr>
          <w:rFonts w:ascii="Arial" w:hAnsi="Arial" w:cs="Arial"/>
          <w:sz w:val="20"/>
          <w:szCs w:val="20"/>
        </w:rPr>
        <w:t xml:space="preserve">2,044 </w:t>
      </w:r>
      <w:r w:rsidR="000B668F" w:rsidRPr="00DA304F">
        <w:rPr>
          <w:rFonts w:ascii="Arial" w:hAnsi="Arial" w:cs="Arial"/>
          <w:sz w:val="20"/>
          <w:szCs w:val="20"/>
        </w:rPr>
        <w:t xml:space="preserve">assessments </w:t>
      </w:r>
      <w:r w:rsidR="00250206" w:rsidRPr="00DA304F">
        <w:rPr>
          <w:rFonts w:ascii="Arial" w:hAnsi="Arial" w:cs="Arial"/>
          <w:sz w:val="20"/>
          <w:szCs w:val="20"/>
        </w:rPr>
        <w:t>in</w:t>
      </w:r>
      <w:r w:rsidR="00250206">
        <w:rPr>
          <w:rFonts w:ascii="Arial" w:hAnsi="Arial" w:cs="Arial"/>
          <w:sz w:val="20"/>
          <w:szCs w:val="20"/>
        </w:rPr>
        <w:t xml:space="preserve"> the Hospital’s ED, </w:t>
      </w:r>
      <w:r w:rsidR="000B668F">
        <w:rPr>
          <w:rFonts w:ascii="Arial" w:hAnsi="Arial" w:cs="Arial"/>
          <w:sz w:val="20"/>
          <w:szCs w:val="20"/>
        </w:rPr>
        <w:t xml:space="preserve">but only had seven (7) dedicated beds. </w:t>
      </w:r>
      <w:r w:rsidR="00DA304F">
        <w:rPr>
          <w:rFonts w:ascii="Arial" w:hAnsi="Arial" w:cs="Arial"/>
          <w:sz w:val="20"/>
          <w:szCs w:val="20"/>
        </w:rPr>
        <w:t xml:space="preserve">The current mismatch of patients to beds resulted in an average length of stay of 22.7 hours in FY2023. </w:t>
      </w:r>
      <w:r w:rsidR="00051903" w:rsidRPr="000C6E9D">
        <w:rPr>
          <w:rFonts w:ascii="Arial" w:hAnsi="Arial" w:cs="Arial"/>
          <w:sz w:val="20"/>
          <w:szCs w:val="20"/>
        </w:rPr>
        <w:t xml:space="preserve">As with the current unit, the expanded unit will be physically separate from the main ED </w:t>
      </w:r>
      <w:proofErr w:type="gramStart"/>
      <w:r w:rsidR="00051903" w:rsidRPr="000C6E9D">
        <w:rPr>
          <w:rFonts w:ascii="Arial" w:hAnsi="Arial" w:cs="Arial"/>
          <w:sz w:val="20"/>
          <w:szCs w:val="20"/>
        </w:rPr>
        <w:t>in order to</w:t>
      </w:r>
      <w:proofErr w:type="gramEnd"/>
      <w:r w:rsidR="00051903" w:rsidRPr="000C6E9D">
        <w:rPr>
          <w:rFonts w:ascii="Arial" w:hAnsi="Arial" w:cs="Arial"/>
          <w:sz w:val="20"/>
          <w:szCs w:val="20"/>
        </w:rPr>
        <w:t xml:space="preserve"> maintain a calmer, quieter, more therapeutic environment that will promote the de-escalation or stabilization of patients that is harder to achieve in the main ED. </w:t>
      </w:r>
      <w:r w:rsidR="00431E6B">
        <w:rPr>
          <w:rFonts w:ascii="Arial" w:hAnsi="Arial" w:cs="Arial"/>
          <w:sz w:val="20"/>
          <w:szCs w:val="20"/>
        </w:rPr>
        <w:t>Furthermore, the new space will allow for more than one age population to be cared for by creating a barrier between the two sides. Currently, the ED is unable to care for older adults in the behavioral health unit because of limited accessibility. Through the Proposed Project, not only will the ED be accessible to older adults, but it will allow for older adults to be cared for simultaneously to children or adolescents because of the ability to bifurcate the unit.  More broadly, p</w:t>
      </w:r>
      <w:r w:rsidRPr="000C6E9D">
        <w:rPr>
          <w:rFonts w:ascii="Arial" w:hAnsi="Arial" w:cs="Arial"/>
          <w:sz w:val="20"/>
          <w:szCs w:val="20"/>
        </w:rPr>
        <w:t>roviding a dedicated space specifically designed to meet the needs of patients seeking non-medical care is a</w:t>
      </w:r>
      <w:r>
        <w:rPr>
          <w:rFonts w:ascii="Arial" w:hAnsi="Arial" w:cs="Arial"/>
          <w:sz w:val="20"/>
          <w:szCs w:val="20"/>
        </w:rPr>
        <w:t xml:space="preserve"> widely recognized best practice in delivering high-quality, patient-centered care.</w:t>
      </w:r>
      <w:r>
        <w:rPr>
          <w:rStyle w:val="FootnoteReference"/>
          <w:rFonts w:ascii="Arial" w:hAnsi="Arial" w:cs="Arial"/>
          <w:sz w:val="20"/>
          <w:szCs w:val="20"/>
        </w:rPr>
        <w:footnoteReference w:id="19"/>
      </w:r>
      <w:r>
        <w:rPr>
          <w:rFonts w:ascii="Arial" w:hAnsi="Arial" w:cs="Arial"/>
          <w:sz w:val="20"/>
          <w:szCs w:val="20"/>
        </w:rPr>
        <w:t xml:space="preserve"> </w:t>
      </w:r>
      <w:r w:rsidR="000C6E9D">
        <w:rPr>
          <w:rFonts w:ascii="Arial" w:hAnsi="Arial" w:cs="Arial"/>
          <w:sz w:val="20"/>
          <w:szCs w:val="20"/>
        </w:rPr>
        <w:t>The</w:t>
      </w:r>
      <w:r>
        <w:rPr>
          <w:rFonts w:ascii="Arial" w:hAnsi="Arial" w:cs="Arial"/>
          <w:sz w:val="20"/>
          <w:szCs w:val="20"/>
        </w:rPr>
        <w:t xml:space="preserve"> </w:t>
      </w:r>
      <w:r w:rsidR="000C6E9D">
        <w:rPr>
          <w:rFonts w:ascii="Arial" w:hAnsi="Arial" w:cs="Arial"/>
          <w:sz w:val="20"/>
          <w:szCs w:val="20"/>
        </w:rPr>
        <w:t>unit</w:t>
      </w:r>
      <w:r>
        <w:rPr>
          <w:rFonts w:ascii="Arial" w:hAnsi="Arial" w:cs="Arial"/>
          <w:sz w:val="20"/>
          <w:szCs w:val="20"/>
        </w:rPr>
        <w:t xml:space="preserve"> </w:t>
      </w:r>
      <w:r w:rsidR="000C6E9D">
        <w:rPr>
          <w:rFonts w:ascii="Arial" w:hAnsi="Arial" w:cs="Arial"/>
          <w:sz w:val="20"/>
          <w:szCs w:val="20"/>
        </w:rPr>
        <w:t>will</w:t>
      </w:r>
      <w:r>
        <w:rPr>
          <w:rFonts w:ascii="Arial" w:hAnsi="Arial" w:cs="Arial"/>
          <w:sz w:val="20"/>
          <w:szCs w:val="20"/>
        </w:rPr>
        <w:t xml:space="preserve"> be staffed by dedicated clinicians</w:t>
      </w:r>
      <w:r w:rsidR="00A26116">
        <w:rPr>
          <w:rFonts w:ascii="Arial" w:hAnsi="Arial" w:cs="Arial"/>
          <w:sz w:val="20"/>
          <w:szCs w:val="20"/>
        </w:rPr>
        <w:t xml:space="preserve">, including psychiatrists, psychologists, and </w:t>
      </w:r>
      <w:r w:rsidR="00CA37BA">
        <w:rPr>
          <w:rFonts w:ascii="Arial" w:hAnsi="Arial" w:cs="Arial"/>
          <w:sz w:val="20"/>
          <w:szCs w:val="20"/>
        </w:rPr>
        <w:t xml:space="preserve">licensed </w:t>
      </w:r>
      <w:r w:rsidR="00A26116">
        <w:rPr>
          <w:rFonts w:ascii="Arial" w:hAnsi="Arial" w:cs="Arial"/>
          <w:sz w:val="20"/>
          <w:szCs w:val="20"/>
        </w:rPr>
        <w:t xml:space="preserve">social workers, </w:t>
      </w:r>
      <w:r>
        <w:rPr>
          <w:rFonts w:ascii="Arial" w:hAnsi="Arial" w:cs="Arial"/>
          <w:sz w:val="20"/>
          <w:szCs w:val="20"/>
        </w:rPr>
        <w:t>with experience to work with, treat, and care for patients with behavioral health needs.</w:t>
      </w:r>
      <w:r w:rsidR="00A26116">
        <w:rPr>
          <w:rFonts w:ascii="Arial" w:hAnsi="Arial" w:cs="Arial"/>
          <w:sz w:val="20"/>
          <w:szCs w:val="20"/>
        </w:rPr>
        <w:t xml:space="preserve"> Patients will be screened for </w:t>
      </w:r>
      <w:r w:rsidR="00CA37BA">
        <w:rPr>
          <w:rFonts w:ascii="Arial" w:hAnsi="Arial" w:cs="Arial"/>
          <w:sz w:val="20"/>
          <w:szCs w:val="20"/>
        </w:rPr>
        <w:t xml:space="preserve">social determinant of health needs and will be provided with internal </w:t>
      </w:r>
      <w:r w:rsidR="00CA37BA">
        <w:rPr>
          <w:rFonts w:ascii="Arial" w:hAnsi="Arial" w:cs="Arial"/>
          <w:sz w:val="20"/>
          <w:szCs w:val="20"/>
        </w:rPr>
        <w:lastRenderedPageBreak/>
        <w:t xml:space="preserve">and external referrals as needed. </w:t>
      </w:r>
      <w:r w:rsidR="00DE1FB6">
        <w:rPr>
          <w:rFonts w:ascii="Arial" w:hAnsi="Arial" w:cs="Arial"/>
          <w:sz w:val="20"/>
          <w:szCs w:val="20"/>
        </w:rPr>
        <w:t xml:space="preserve">Through this expanded unit, the Hospital </w:t>
      </w:r>
      <w:r w:rsidR="000C6E9D">
        <w:rPr>
          <w:rFonts w:ascii="Arial" w:hAnsi="Arial" w:cs="Arial"/>
          <w:sz w:val="20"/>
          <w:szCs w:val="20"/>
        </w:rPr>
        <w:t xml:space="preserve">be able to </w:t>
      </w:r>
      <w:r>
        <w:rPr>
          <w:rFonts w:ascii="Arial" w:hAnsi="Arial" w:cs="Arial"/>
          <w:sz w:val="20"/>
          <w:szCs w:val="20"/>
        </w:rPr>
        <w:t xml:space="preserve">provide treatment </w:t>
      </w:r>
      <w:r w:rsidR="00DE1FB6">
        <w:rPr>
          <w:rFonts w:ascii="Arial" w:hAnsi="Arial" w:cs="Arial"/>
          <w:sz w:val="20"/>
          <w:szCs w:val="20"/>
        </w:rPr>
        <w:t>in a setting the promotes improved patient experience and outcomes.</w:t>
      </w:r>
    </w:p>
    <w:p w14:paraId="1CC903B6" w14:textId="5CB32029" w:rsidR="00051903" w:rsidRPr="000D5ED1" w:rsidRDefault="00051903" w:rsidP="00051903">
      <w:pPr>
        <w:jc w:val="both"/>
        <w:rPr>
          <w:rFonts w:ascii="Arial" w:hAnsi="Arial" w:cs="Arial"/>
          <w:sz w:val="20"/>
          <w:szCs w:val="20"/>
        </w:rPr>
      </w:pPr>
      <w:r>
        <w:rPr>
          <w:rFonts w:ascii="Arial" w:hAnsi="Arial" w:cs="Arial"/>
          <w:sz w:val="20"/>
          <w:szCs w:val="20"/>
        </w:rPr>
        <w:t>In sum</w:t>
      </w:r>
      <w:r w:rsidRPr="00022972">
        <w:rPr>
          <w:rFonts w:ascii="Arial" w:hAnsi="Arial" w:cs="Arial"/>
          <w:sz w:val="20"/>
          <w:szCs w:val="20"/>
        </w:rPr>
        <w:t xml:space="preserve">, </w:t>
      </w:r>
      <w:r>
        <w:rPr>
          <w:rFonts w:ascii="Arial" w:hAnsi="Arial" w:cs="Arial"/>
          <w:sz w:val="20"/>
          <w:szCs w:val="20"/>
        </w:rPr>
        <w:t xml:space="preserve">the Proposed Project </w:t>
      </w:r>
      <w:r w:rsidR="00FE086F">
        <w:rPr>
          <w:rFonts w:ascii="Arial" w:hAnsi="Arial" w:cs="Arial"/>
          <w:sz w:val="20"/>
          <w:szCs w:val="20"/>
        </w:rPr>
        <w:t xml:space="preserve">will </w:t>
      </w:r>
      <w:r w:rsidR="0015344C">
        <w:rPr>
          <w:rFonts w:ascii="Arial" w:hAnsi="Arial" w:cs="Arial"/>
          <w:sz w:val="20"/>
          <w:szCs w:val="20"/>
        </w:rPr>
        <w:t>right-size the ED to meet patient demand</w:t>
      </w:r>
      <w:r w:rsidR="00FE086F">
        <w:rPr>
          <w:rFonts w:ascii="Arial" w:hAnsi="Arial" w:cs="Arial"/>
          <w:sz w:val="20"/>
          <w:szCs w:val="20"/>
        </w:rPr>
        <w:t xml:space="preserve"> and significantly improve the delivery of care for patients seeking emergency services</w:t>
      </w:r>
      <w:r>
        <w:rPr>
          <w:rFonts w:ascii="Arial" w:hAnsi="Arial" w:cs="Arial"/>
          <w:sz w:val="20"/>
          <w:szCs w:val="20"/>
        </w:rPr>
        <w:t xml:space="preserve">. </w:t>
      </w:r>
      <w:r w:rsidR="00FE086F">
        <w:rPr>
          <w:rFonts w:ascii="Arial" w:hAnsi="Arial" w:cs="Arial"/>
          <w:sz w:val="20"/>
          <w:szCs w:val="20"/>
        </w:rPr>
        <w:t>In addition to expanding the</w:t>
      </w:r>
      <w:r>
        <w:rPr>
          <w:rFonts w:ascii="Arial" w:hAnsi="Arial" w:cs="Arial"/>
          <w:sz w:val="20"/>
          <w:szCs w:val="20"/>
        </w:rPr>
        <w:t xml:space="preserve"> ED</w:t>
      </w:r>
      <w:r w:rsidR="00FE086F">
        <w:rPr>
          <w:rFonts w:ascii="Arial" w:hAnsi="Arial" w:cs="Arial"/>
          <w:sz w:val="20"/>
          <w:szCs w:val="20"/>
        </w:rPr>
        <w:t>’s physical footprint, the renovated layout</w:t>
      </w:r>
      <w:r w:rsidRPr="00022972">
        <w:rPr>
          <w:rFonts w:ascii="Arial" w:hAnsi="Arial" w:cs="Arial"/>
          <w:sz w:val="20"/>
          <w:szCs w:val="20"/>
        </w:rPr>
        <w:t xml:space="preserve"> will </w:t>
      </w:r>
      <w:r w:rsidR="00FE086F">
        <w:rPr>
          <w:rFonts w:ascii="Arial" w:hAnsi="Arial" w:cs="Arial"/>
          <w:sz w:val="20"/>
          <w:szCs w:val="20"/>
        </w:rPr>
        <w:t xml:space="preserve">reconfigure clinical and administrative spaces to maximize </w:t>
      </w:r>
      <w:r>
        <w:rPr>
          <w:rFonts w:ascii="Arial" w:hAnsi="Arial" w:cs="Arial"/>
          <w:sz w:val="20"/>
          <w:szCs w:val="20"/>
        </w:rPr>
        <w:t xml:space="preserve">patient flow so that patients can </w:t>
      </w:r>
      <w:r w:rsidR="00FE086F">
        <w:rPr>
          <w:rFonts w:ascii="Arial" w:hAnsi="Arial" w:cs="Arial"/>
          <w:sz w:val="20"/>
          <w:szCs w:val="20"/>
        </w:rPr>
        <w:t>begin receiving treatment in</w:t>
      </w:r>
      <w:r>
        <w:rPr>
          <w:rFonts w:ascii="Arial" w:hAnsi="Arial" w:cs="Arial"/>
          <w:sz w:val="20"/>
          <w:szCs w:val="20"/>
        </w:rPr>
        <w:t xml:space="preserve"> the most appropriate area for their condition</w:t>
      </w:r>
      <w:r w:rsidR="00FE086F">
        <w:rPr>
          <w:rFonts w:ascii="Arial" w:hAnsi="Arial" w:cs="Arial"/>
          <w:sz w:val="20"/>
          <w:szCs w:val="20"/>
        </w:rPr>
        <w:t>, including those seeking behavioral health care.</w:t>
      </w:r>
      <w:r>
        <w:rPr>
          <w:rFonts w:ascii="Arial" w:hAnsi="Arial" w:cs="Arial"/>
          <w:sz w:val="20"/>
          <w:szCs w:val="20"/>
        </w:rPr>
        <w:t xml:space="preserve"> </w:t>
      </w:r>
      <w:r w:rsidR="00FE086F">
        <w:rPr>
          <w:rFonts w:ascii="Arial" w:hAnsi="Arial" w:cs="Arial"/>
          <w:sz w:val="20"/>
          <w:szCs w:val="20"/>
        </w:rPr>
        <w:t>The Proposed Project seeks to ensure the Hospital can provide timely, high-quality emergency care for its Patient Panel and the communities it serves</w:t>
      </w:r>
      <w:r w:rsidR="00B036C1">
        <w:rPr>
          <w:rFonts w:ascii="Arial" w:hAnsi="Arial" w:cs="Arial"/>
          <w:sz w:val="20"/>
          <w:szCs w:val="20"/>
        </w:rPr>
        <w:t xml:space="preserve">. </w:t>
      </w:r>
    </w:p>
    <w:p w14:paraId="5E51F49C" w14:textId="77777777" w:rsidR="00BE2AAE" w:rsidRPr="00411DB8" w:rsidRDefault="00BE2AAE" w:rsidP="00BE2AAE">
      <w:pPr>
        <w:spacing w:before="120" w:after="120" w:line="240" w:lineRule="auto"/>
        <w:jc w:val="both"/>
        <w:rPr>
          <w:rFonts w:ascii="Arial" w:eastAsia="Arial" w:hAnsi="Arial" w:cs="Arial"/>
          <w:kern w:val="2"/>
          <w:sz w:val="20"/>
          <w:szCs w:val="20"/>
        </w:rPr>
      </w:pPr>
      <w:r w:rsidRPr="00411DB8">
        <w:rPr>
          <w:rFonts w:ascii="Arial" w:hAnsi="Arial" w:cs="Arial"/>
          <w:b/>
          <w:kern w:val="2"/>
          <w:sz w:val="20"/>
          <w:szCs w:val="20"/>
        </w:rPr>
        <w:t>F1.a.iii</w:t>
      </w:r>
      <w:r w:rsidRPr="00411DB8">
        <w:rPr>
          <w:rFonts w:ascii="Arial" w:hAnsi="Arial" w:cs="Arial"/>
          <w:b/>
          <w:kern w:val="2"/>
          <w:sz w:val="20"/>
          <w:szCs w:val="20"/>
        </w:rPr>
        <w:tab/>
      </w:r>
      <w:r w:rsidRPr="00411DB8">
        <w:rPr>
          <w:rFonts w:ascii="Arial" w:hAnsi="Arial" w:cs="Arial"/>
          <w:kern w:val="2"/>
          <w:sz w:val="20"/>
          <w:szCs w:val="20"/>
        </w:rPr>
        <w:tab/>
      </w:r>
      <w:r w:rsidRPr="00411DB8">
        <w:rPr>
          <w:rFonts w:ascii="Arial" w:hAnsi="Arial" w:cs="Arial"/>
          <w:b/>
          <w:kern w:val="2"/>
          <w:sz w:val="20"/>
          <w:szCs w:val="20"/>
          <w:u w:val="single"/>
        </w:rPr>
        <w:t>Competition:</w:t>
      </w:r>
    </w:p>
    <w:p w14:paraId="0921E52F" w14:textId="77777777" w:rsidR="00BE2AAE" w:rsidRPr="00411DB8" w:rsidRDefault="00BE2AAE" w:rsidP="00BE2AAE">
      <w:pPr>
        <w:pStyle w:val="BodyText"/>
        <w:widowControl/>
        <w:spacing w:before="120" w:after="120"/>
        <w:ind w:left="1440"/>
        <w:jc w:val="both"/>
        <w:rPr>
          <w:rFonts w:ascii="Arial" w:hAnsi="Arial" w:cs="Arial"/>
          <w:sz w:val="20"/>
          <w:szCs w:val="20"/>
        </w:rPr>
      </w:pPr>
      <w:bookmarkStart w:id="1" w:name="_Hlk484602333"/>
      <w:r w:rsidRPr="00411DB8">
        <w:rPr>
          <w:rFonts w:ascii="Arial" w:hAnsi="Arial" w:cs="Arial"/>
          <w:b/>
          <w:kern w:val="2"/>
          <w:sz w:val="20"/>
          <w:szCs w:val="20"/>
        </w:rPr>
        <w:t xml:space="preserve">Provide evidence that the Proposed Project will compete </w:t>
      </w:r>
      <w:proofErr w:type="gramStart"/>
      <w:r w:rsidRPr="00411DB8">
        <w:rPr>
          <w:rFonts w:ascii="Arial" w:hAnsi="Arial" w:cs="Arial"/>
          <w:b/>
          <w:kern w:val="2"/>
          <w:sz w:val="20"/>
          <w:szCs w:val="20"/>
        </w:rPr>
        <w:t>on the basis of</w:t>
      </w:r>
      <w:proofErr w:type="gramEnd"/>
      <w:r w:rsidRPr="00411DB8">
        <w:rPr>
          <w:rFonts w:ascii="Arial" w:hAnsi="Arial" w:cs="Arial"/>
          <w:b/>
          <w:kern w:val="2"/>
          <w:sz w:val="20"/>
          <w:szCs w:val="20"/>
        </w:rPr>
        <w:t xml:space="preserve"> price, total medical expenses, provider costs, and other recognized measures of health care spending. </w:t>
      </w:r>
      <w:bookmarkEnd w:id="1"/>
      <w:r w:rsidRPr="00411DB8">
        <w:rPr>
          <w:rFonts w:ascii="Arial" w:hAnsi="Arial" w:cs="Arial"/>
          <w:b/>
          <w:kern w:val="2"/>
          <w:sz w:val="20"/>
          <w:szCs w:val="20"/>
        </w:rPr>
        <w:t>When responding to this question, please consider Factor 4, Financial Feasibility and Reasonableness of Costs.</w:t>
      </w:r>
    </w:p>
    <w:p w14:paraId="7461EDC0" w14:textId="77777777" w:rsidR="00BE2AAE" w:rsidRPr="00FB6ACF" w:rsidRDefault="00BE2AAE" w:rsidP="00BE2AAE">
      <w:pPr>
        <w:pStyle w:val="Default"/>
        <w:spacing w:before="120" w:after="120"/>
        <w:jc w:val="both"/>
        <w:rPr>
          <w:sz w:val="20"/>
          <w:szCs w:val="20"/>
        </w:rPr>
      </w:pPr>
      <w:r w:rsidRPr="00FB6ACF">
        <w:rPr>
          <w:sz w:val="20"/>
          <w:szCs w:val="20"/>
        </w:rPr>
        <w:t xml:space="preserve">The Proposed Project will compete </w:t>
      </w:r>
      <w:proofErr w:type="gramStart"/>
      <w:r w:rsidRPr="00FB6ACF">
        <w:rPr>
          <w:sz w:val="20"/>
          <w:szCs w:val="20"/>
        </w:rPr>
        <w:t>on the basis of</w:t>
      </w:r>
      <w:proofErr w:type="gramEnd"/>
      <w:r w:rsidRPr="00FB6ACF">
        <w:rPr>
          <w:sz w:val="20"/>
          <w:szCs w:val="20"/>
        </w:rPr>
        <w:t xml:space="preserve"> price, total medical expenses, provider costs, and other recognized measures of health care spending by improving access to emergency care without negatively impacting health care spending. First, the provision of ED care is a current service-line at the Hospital and the Applicant is not seeking to increase ED patient volume through the Proposed Project. Rather, the goal of the proposed Project is to right-size the ED to accommodate current and projected demand. In addition, the Proposed Project is necessary to create a physical environment that enhances care delivery and promotes positive health outcomes. As emergency services are a necessary and integral part of the care continuum, the Hospital must ensure timely access and appropriate care settings. To that end, the Proposed Project will ensure the Hospital has the resources to best serve its Patient Panel without negatively impacting health care costs. </w:t>
      </w:r>
    </w:p>
    <w:p w14:paraId="292DCE5B" w14:textId="1C4F1C45" w:rsidR="00BE2AAE" w:rsidRPr="002317D0" w:rsidRDefault="00BE2AAE" w:rsidP="009716E1">
      <w:pPr>
        <w:pStyle w:val="Default"/>
        <w:spacing w:before="120" w:after="120"/>
        <w:jc w:val="both"/>
        <w:rPr>
          <w:i/>
          <w:iCs/>
          <w:sz w:val="20"/>
          <w:szCs w:val="20"/>
        </w:rPr>
      </w:pPr>
      <w:r w:rsidRPr="00FB6ACF">
        <w:rPr>
          <w:sz w:val="20"/>
          <w:szCs w:val="20"/>
        </w:rPr>
        <w:t>Conversely, the Applicant anticipates the Proposed Project will reduce unnecessary spending in the ED resulting from overcrowding. Wait times in the ED have been shown to have a significant impact on the total cost of care for patients.</w:t>
      </w:r>
      <w:r w:rsidRPr="00FB6ACF">
        <w:rPr>
          <w:rStyle w:val="FootnoteReference"/>
          <w:sz w:val="20"/>
          <w:szCs w:val="20"/>
        </w:rPr>
        <w:footnoteReference w:id="20"/>
      </w:r>
      <w:r w:rsidRPr="00FB6ACF">
        <w:rPr>
          <w:sz w:val="20"/>
          <w:szCs w:val="20"/>
        </w:rPr>
        <w:t xml:space="preserve"> For patients with the most acute conditions, a 60- minute increase in wait time increases the hospital's cost to care for the patient by an average of 30%. For those with moderately acute conditions, a 60-minute increase in wait time increases the hospital's cost to care for the patient by an average of 21 %. For example, during times of </w:t>
      </w:r>
      <w:r w:rsidR="005707AC">
        <w:rPr>
          <w:sz w:val="20"/>
          <w:szCs w:val="20"/>
        </w:rPr>
        <w:t>high</w:t>
      </w:r>
      <w:r w:rsidRPr="00FB6ACF">
        <w:rPr>
          <w:sz w:val="20"/>
          <w:szCs w:val="20"/>
        </w:rPr>
        <w:t xml:space="preserve"> volume, </w:t>
      </w:r>
      <w:r w:rsidR="005707AC">
        <w:rPr>
          <w:sz w:val="20"/>
          <w:szCs w:val="20"/>
        </w:rPr>
        <w:t>including Code Help</w:t>
      </w:r>
      <w:r w:rsidR="005707AC">
        <w:rPr>
          <w:rStyle w:val="FootnoteReference"/>
          <w:sz w:val="20"/>
          <w:szCs w:val="20"/>
        </w:rPr>
        <w:footnoteReference w:id="21"/>
      </w:r>
      <w:r w:rsidR="005707AC">
        <w:rPr>
          <w:sz w:val="20"/>
          <w:szCs w:val="20"/>
        </w:rPr>
        <w:t xml:space="preserve">, </w:t>
      </w:r>
      <w:r w:rsidRPr="00FB6ACF">
        <w:rPr>
          <w:sz w:val="20"/>
          <w:szCs w:val="20"/>
        </w:rPr>
        <w:t xml:space="preserve">the ED must bring on additional staff, relying on per diem staff or overtime staff. Accordingly, the Hospital’s goal of reducing waiting times by </w:t>
      </w:r>
      <w:r w:rsidR="005707AC">
        <w:rPr>
          <w:sz w:val="20"/>
          <w:szCs w:val="20"/>
        </w:rPr>
        <w:t>60 minutes after three years of implementation</w:t>
      </w:r>
      <w:r w:rsidRPr="00FB6ACF">
        <w:rPr>
          <w:sz w:val="20"/>
          <w:szCs w:val="20"/>
        </w:rPr>
        <w:t xml:space="preserve"> will likely reduce the overall cost of care for ED patients by a significant portion, thereby reducing TME. In addition, because the Proposed Project includes an </w:t>
      </w:r>
      <w:bookmarkStart w:id="2" w:name="_Hlk161402275"/>
      <w:r w:rsidRPr="00FB6ACF">
        <w:rPr>
          <w:sz w:val="20"/>
          <w:szCs w:val="20"/>
        </w:rPr>
        <w:t>expansion of the Hospital’s dedicated behavioral health unit within the ED, the Hospital expects a reduction in ancillary resources needed to care for this patient population, such as sitters, security officers, etc.</w:t>
      </w:r>
      <w:r>
        <w:rPr>
          <w:sz w:val="20"/>
          <w:szCs w:val="20"/>
        </w:rPr>
        <w:t>, when their care is provided outside of the dedicated unit.</w:t>
      </w:r>
      <w:r w:rsidRPr="00FB6ACF">
        <w:rPr>
          <w:sz w:val="20"/>
          <w:szCs w:val="20"/>
        </w:rPr>
        <w:t xml:space="preserve"> </w:t>
      </w:r>
      <w:bookmarkEnd w:id="2"/>
      <w:r w:rsidRPr="00FB6ACF">
        <w:rPr>
          <w:sz w:val="20"/>
          <w:szCs w:val="20"/>
        </w:rPr>
        <w:t xml:space="preserve">Accordingly, the reduction of wait times </w:t>
      </w:r>
      <w:r>
        <w:rPr>
          <w:sz w:val="20"/>
          <w:szCs w:val="20"/>
        </w:rPr>
        <w:t xml:space="preserve">through the Proposed Project’s expansion of more appropriate care settings </w:t>
      </w:r>
      <w:r w:rsidRPr="00FB6ACF">
        <w:rPr>
          <w:sz w:val="20"/>
          <w:szCs w:val="20"/>
        </w:rPr>
        <w:t xml:space="preserve">will reduce health care spending </w:t>
      </w:r>
      <w:r>
        <w:rPr>
          <w:sz w:val="20"/>
          <w:szCs w:val="20"/>
        </w:rPr>
        <w:t xml:space="preserve">resulting from </w:t>
      </w:r>
      <w:r w:rsidRPr="00FB6ACF">
        <w:rPr>
          <w:sz w:val="20"/>
          <w:szCs w:val="20"/>
        </w:rPr>
        <w:t>greater throughput and more expeditious care.</w:t>
      </w:r>
    </w:p>
    <w:p w14:paraId="39224E73" w14:textId="77777777" w:rsidR="003C1B64" w:rsidRDefault="003C1B64" w:rsidP="009716E1">
      <w:pPr>
        <w:spacing w:before="120" w:after="120" w:line="240" w:lineRule="auto"/>
        <w:jc w:val="both"/>
        <w:rPr>
          <w:rFonts w:ascii="Arial" w:hAnsi="Arial" w:cs="Arial"/>
          <w:b/>
          <w:kern w:val="2"/>
          <w:sz w:val="20"/>
          <w:szCs w:val="20"/>
        </w:rPr>
      </w:pPr>
    </w:p>
    <w:p w14:paraId="33393E7B" w14:textId="77777777" w:rsidR="003C1B64" w:rsidRDefault="003C1B64" w:rsidP="009716E1">
      <w:pPr>
        <w:spacing w:before="120" w:after="120" w:line="240" w:lineRule="auto"/>
        <w:jc w:val="both"/>
        <w:rPr>
          <w:rFonts w:ascii="Arial" w:hAnsi="Arial" w:cs="Arial"/>
          <w:b/>
          <w:kern w:val="2"/>
          <w:sz w:val="20"/>
          <w:szCs w:val="20"/>
        </w:rPr>
      </w:pPr>
    </w:p>
    <w:p w14:paraId="01686F3A" w14:textId="77777777" w:rsidR="00124E82" w:rsidRDefault="00124E82" w:rsidP="009716E1">
      <w:pPr>
        <w:spacing w:before="120" w:after="120" w:line="240" w:lineRule="auto"/>
        <w:jc w:val="both"/>
        <w:rPr>
          <w:rFonts w:ascii="Arial" w:hAnsi="Arial" w:cs="Arial"/>
          <w:b/>
          <w:kern w:val="2"/>
          <w:sz w:val="20"/>
          <w:szCs w:val="20"/>
        </w:rPr>
      </w:pPr>
    </w:p>
    <w:p w14:paraId="07CBE712" w14:textId="77777777" w:rsidR="003C1B64" w:rsidRDefault="003C1B64" w:rsidP="009716E1">
      <w:pPr>
        <w:spacing w:before="120" w:after="120" w:line="240" w:lineRule="auto"/>
        <w:jc w:val="both"/>
        <w:rPr>
          <w:rFonts w:ascii="Arial" w:hAnsi="Arial" w:cs="Arial"/>
          <w:b/>
          <w:kern w:val="2"/>
          <w:sz w:val="20"/>
          <w:szCs w:val="20"/>
        </w:rPr>
      </w:pPr>
    </w:p>
    <w:p w14:paraId="7F725CC3" w14:textId="15054F9D" w:rsidR="00BE2AAE" w:rsidRPr="00820D2B" w:rsidRDefault="00BE2AAE" w:rsidP="009716E1">
      <w:pPr>
        <w:spacing w:before="120" w:after="120" w:line="240" w:lineRule="auto"/>
        <w:jc w:val="both"/>
        <w:rPr>
          <w:rFonts w:ascii="Arial" w:eastAsia="Arial" w:hAnsi="Arial" w:cs="Arial"/>
          <w:kern w:val="2"/>
          <w:sz w:val="20"/>
          <w:szCs w:val="20"/>
          <w:u w:val="single"/>
        </w:rPr>
      </w:pPr>
      <w:r w:rsidRPr="00820D2B">
        <w:rPr>
          <w:rFonts w:ascii="Arial" w:hAnsi="Arial" w:cs="Arial"/>
          <w:b/>
          <w:kern w:val="2"/>
          <w:sz w:val="20"/>
          <w:szCs w:val="20"/>
        </w:rPr>
        <w:lastRenderedPageBreak/>
        <w:t>F1.</w:t>
      </w:r>
      <w:proofErr w:type="gramStart"/>
      <w:r w:rsidR="004A689C">
        <w:rPr>
          <w:rFonts w:ascii="Arial" w:hAnsi="Arial" w:cs="Arial"/>
          <w:b/>
          <w:kern w:val="2"/>
          <w:sz w:val="20"/>
          <w:szCs w:val="20"/>
        </w:rPr>
        <w:t>b.i</w:t>
      </w:r>
      <w:proofErr w:type="gramEnd"/>
      <w:r w:rsidRPr="00820D2B">
        <w:rPr>
          <w:rFonts w:ascii="Arial" w:hAnsi="Arial" w:cs="Arial"/>
          <w:b/>
          <w:kern w:val="2"/>
          <w:sz w:val="20"/>
          <w:szCs w:val="20"/>
        </w:rPr>
        <w:tab/>
      </w:r>
      <w:r w:rsidRPr="00820D2B">
        <w:rPr>
          <w:rFonts w:ascii="Arial" w:hAnsi="Arial" w:cs="Arial"/>
          <w:b/>
          <w:kern w:val="2"/>
          <w:sz w:val="20"/>
          <w:szCs w:val="20"/>
          <w:u w:val="single"/>
        </w:rPr>
        <w:t>Public Health Value /Evidence-Based:</w:t>
      </w:r>
    </w:p>
    <w:p w14:paraId="615D9F6C" w14:textId="77777777" w:rsidR="00BE2AAE" w:rsidRPr="00820D2B" w:rsidRDefault="00BE2AAE" w:rsidP="00BE2AAE">
      <w:pPr>
        <w:pStyle w:val="BodyText"/>
        <w:widowControl/>
        <w:spacing w:before="120"/>
        <w:ind w:left="1440" w:firstLine="14"/>
        <w:jc w:val="both"/>
        <w:rPr>
          <w:rFonts w:ascii="Arial" w:hAnsi="Arial" w:cs="Arial"/>
          <w:b/>
          <w:kern w:val="2"/>
          <w:sz w:val="20"/>
          <w:szCs w:val="20"/>
        </w:rPr>
      </w:pPr>
      <w:r w:rsidRPr="00820D2B">
        <w:rPr>
          <w:rFonts w:ascii="Arial" w:hAnsi="Arial" w:cs="Arial"/>
          <w:b/>
          <w:kern w:val="2"/>
          <w:sz w:val="20"/>
          <w:szCs w:val="20"/>
        </w:rPr>
        <w:t>Provide information on the evidence-base for the Proposed Project. That is, how does the Proposed Project address the Need that Applicant has identified.</w:t>
      </w:r>
    </w:p>
    <w:p w14:paraId="678FFAFA" w14:textId="6144BF12" w:rsidR="00051903" w:rsidRPr="000D00FA" w:rsidRDefault="00BE2AAE" w:rsidP="00623EFA">
      <w:pPr>
        <w:pStyle w:val="BodyText"/>
        <w:widowControl/>
        <w:spacing w:before="120"/>
        <w:jc w:val="both"/>
        <w:rPr>
          <w:rFonts w:ascii="Arial" w:hAnsi="Arial" w:cs="Arial"/>
          <w:bCs/>
          <w:kern w:val="2"/>
          <w:sz w:val="20"/>
          <w:szCs w:val="20"/>
        </w:rPr>
      </w:pPr>
      <w:r w:rsidRPr="00820D2B">
        <w:rPr>
          <w:rFonts w:ascii="Arial" w:hAnsi="Arial" w:cs="Arial"/>
          <w:bCs/>
          <w:kern w:val="2"/>
          <w:sz w:val="20"/>
          <w:szCs w:val="20"/>
        </w:rPr>
        <w:t xml:space="preserve">As described in the previous section, the Hospital’s ED is experiencing significant levels of overcrowding due to insufficient space to treat patients </w:t>
      </w:r>
      <w:r w:rsidR="00916D68">
        <w:rPr>
          <w:rFonts w:ascii="Arial" w:hAnsi="Arial" w:cs="Arial"/>
          <w:bCs/>
          <w:kern w:val="2"/>
          <w:sz w:val="20"/>
          <w:szCs w:val="20"/>
        </w:rPr>
        <w:t>presenting in the ED</w:t>
      </w:r>
      <w:r w:rsidRPr="00820D2B">
        <w:rPr>
          <w:rFonts w:ascii="Arial" w:hAnsi="Arial" w:cs="Arial"/>
          <w:bCs/>
          <w:kern w:val="2"/>
          <w:sz w:val="20"/>
          <w:szCs w:val="20"/>
        </w:rPr>
        <w:t xml:space="preserve">. As a result, patients are waiting longer and longer to be seen, or deciding to forego the services they were seeking. </w:t>
      </w:r>
      <w:proofErr w:type="gramStart"/>
      <w:r w:rsidRPr="00820D2B">
        <w:rPr>
          <w:rFonts w:ascii="Arial" w:hAnsi="Arial" w:cs="Arial"/>
          <w:bCs/>
          <w:kern w:val="2"/>
          <w:sz w:val="20"/>
          <w:szCs w:val="20"/>
        </w:rPr>
        <w:t>In order to</w:t>
      </w:r>
      <w:proofErr w:type="gramEnd"/>
      <w:r w:rsidRPr="00820D2B">
        <w:rPr>
          <w:rFonts w:ascii="Arial" w:hAnsi="Arial" w:cs="Arial"/>
          <w:bCs/>
          <w:kern w:val="2"/>
          <w:sz w:val="20"/>
          <w:szCs w:val="20"/>
        </w:rPr>
        <w:t xml:space="preserve"> address the community’s current and projected need for emergency care, the Proposed Project will expand the ED’s footprint to accommodate 17 new beds resulting in a total of 53 private </w:t>
      </w:r>
      <w:r w:rsidR="00916D68">
        <w:rPr>
          <w:rFonts w:ascii="Arial" w:hAnsi="Arial" w:cs="Arial"/>
          <w:bCs/>
          <w:kern w:val="2"/>
          <w:sz w:val="20"/>
          <w:szCs w:val="20"/>
        </w:rPr>
        <w:t xml:space="preserve">treatment </w:t>
      </w:r>
      <w:r w:rsidRPr="00820D2B">
        <w:rPr>
          <w:rFonts w:ascii="Arial" w:hAnsi="Arial" w:cs="Arial"/>
          <w:bCs/>
          <w:kern w:val="2"/>
          <w:sz w:val="20"/>
          <w:szCs w:val="20"/>
        </w:rPr>
        <w:t>rooms</w:t>
      </w:r>
      <w:r w:rsidR="00DE1FB6">
        <w:rPr>
          <w:rFonts w:ascii="Arial" w:hAnsi="Arial" w:cs="Arial"/>
          <w:bCs/>
          <w:kern w:val="2"/>
          <w:sz w:val="20"/>
          <w:szCs w:val="20"/>
        </w:rPr>
        <w:t>, of which</w:t>
      </w:r>
      <w:r w:rsidRPr="00820D2B">
        <w:rPr>
          <w:rFonts w:ascii="Arial" w:hAnsi="Arial" w:cs="Arial"/>
          <w:bCs/>
          <w:kern w:val="2"/>
          <w:sz w:val="20"/>
          <w:szCs w:val="20"/>
        </w:rPr>
        <w:t xml:space="preserve"> a 16-bed</w:t>
      </w:r>
      <w:r w:rsidR="00DE1FB6">
        <w:rPr>
          <w:rFonts w:ascii="Arial" w:hAnsi="Arial" w:cs="Arial"/>
          <w:bCs/>
          <w:kern w:val="2"/>
          <w:sz w:val="20"/>
          <w:szCs w:val="20"/>
        </w:rPr>
        <w:t>s will be located in a</w:t>
      </w:r>
      <w:r w:rsidRPr="00820D2B">
        <w:rPr>
          <w:rFonts w:ascii="Arial" w:hAnsi="Arial" w:cs="Arial"/>
          <w:bCs/>
          <w:kern w:val="2"/>
          <w:sz w:val="20"/>
          <w:szCs w:val="20"/>
        </w:rPr>
        <w:t xml:space="preserve"> unit dedicated to patients experiencing acute behavioral health emergencies</w:t>
      </w:r>
      <w:r w:rsidR="00916D68">
        <w:rPr>
          <w:rFonts w:ascii="Arial" w:hAnsi="Arial" w:cs="Arial"/>
          <w:bCs/>
          <w:kern w:val="2"/>
          <w:sz w:val="20"/>
          <w:szCs w:val="20"/>
        </w:rPr>
        <w:t>, as well as a 10-bed vertical treatment area</w:t>
      </w:r>
      <w:r w:rsidRPr="00820D2B">
        <w:rPr>
          <w:rFonts w:ascii="Arial" w:hAnsi="Arial" w:cs="Arial"/>
          <w:bCs/>
          <w:kern w:val="2"/>
          <w:sz w:val="20"/>
          <w:szCs w:val="20"/>
        </w:rPr>
        <w:t xml:space="preserve">. The expanded footprint will provide needed administrative space for clinical staff to facilitate the movement of patients more efficiently from registration to treatment space to discharge from the ED. The efficacy/ability of the Proposed Project to address ED overcrowding and the associated problems is well-documented in the literature. </w:t>
      </w:r>
    </w:p>
    <w:p w14:paraId="7AA78D9B" w14:textId="77777777" w:rsidR="00BE2AAE" w:rsidRPr="000D00FA" w:rsidRDefault="00BE2AAE" w:rsidP="00BE2AAE">
      <w:pPr>
        <w:autoSpaceDE w:val="0"/>
        <w:autoSpaceDN w:val="0"/>
        <w:adjustRightInd w:val="0"/>
        <w:spacing w:before="120" w:after="0" w:line="240" w:lineRule="auto"/>
        <w:rPr>
          <w:rFonts w:ascii="Arial" w:eastAsia="Times New Roman" w:hAnsi="Arial" w:cs="Arial"/>
          <w:i/>
          <w:iCs/>
          <w:sz w:val="20"/>
          <w:szCs w:val="20"/>
          <w:u w:val="single"/>
        </w:rPr>
      </w:pPr>
      <w:r w:rsidRPr="00820D2B">
        <w:rPr>
          <w:rFonts w:ascii="Arial" w:eastAsia="Times New Roman" w:hAnsi="Arial" w:cs="Arial"/>
          <w:sz w:val="20"/>
          <w:szCs w:val="20"/>
        </w:rPr>
        <w:tab/>
      </w:r>
      <w:r w:rsidRPr="00820D2B">
        <w:rPr>
          <w:rFonts w:ascii="Arial" w:eastAsia="Times New Roman" w:hAnsi="Arial" w:cs="Arial"/>
          <w:i/>
          <w:iCs/>
          <w:sz w:val="20"/>
          <w:szCs w:val="20"/>
          <w:u w:val="single"/>
        </w:rPr>
        <w:t xml:space="preserve">Overcrowding and Impact to Health Outcomes </w:t>
      </w:r>
    </w:p>
    <w:p w14:paraId="08F06115" w14:textId="77777777" w:rsidR="00BE2AAE" w:rsidRPr="00820D2B" w:rsidRDefault="00BE2AAE" w:rsidP="00BE2AAE">
      <w:pPr>
        <w:autoSpaceDE w:val="0"/>
        <w:autoSpaceDN w:val="0"/>
        <w:adjustRightInd w:val="0"/>
        <w:spacing w:before="120" w:after="0" w:line="240" w:lineRule="auto"/>
        <w:jc w:val="both"/>
        <w:rPr>
          <w:rFonts w:ascii="Arial" w:eastAsia="Times New Roman" w:hAnsi="Arial" w:cs="Arial"/>
          <w:sz w:val="20"/>
          <w:szCs w:val="20"/>
        </w:rPr>
      </w:pPr>
      <w:r w:rsidRPr="00820D2B">
        <w:rPr>
          <w:rFonts w:ascii="Arial" w:eastAsia="Times New Roman" w:hAnsi="Arial" w:cs="Arial"/>
          <w:sz w:val="20"/>
          <w:szCs w:val="20"/>
        </w:rPr>
        <w:t>Overcrowding is defined by a high volume of patients compromising Department’s ability to efficiently manage patient flow because of insufficient resources.</w:t>
      </w:r>
      <w:r w:rsidRPr="00820D2B">
        <w:rPr>
          <w:rStyle w:val="FootnoteReference"/>
          <w:rFonts w:ascii="Arial" w:eastAsia="Times New Roman" w:hAnsi="Arial" w:cs="Arial"/>
          <w:sz w:val="20"/>
          <w:szCs w:val="20"/>
        </w:rPr>
        <w:footnoteReference w:id="22"/>
      </w:r>
      <w:r w:rsidRPr="00820D2B">
        <w:rPr>
          <w:rFonts w:ascii="Arial" w:eastAsia="Times New Roman" w:hAnsi="Arial" w:cs="Arial"/>
          <w:sz w:val="20"/>
          <w:szCs w:val="20"/>
        </w:rPr>
        <w:t xml:space="preserve"> The first and most obvious consequence of overcrowding is an increase in patient wait times.</w:t>
      </w:r>
      <w:r w:rsidRPr="00820D2B">
        <w:rPr>
          <w:rStyle w:val="FootnoteReference"/>
          <w:rFonts w:ascii="Arial" w:eastAsia="Times New Roman" w:hAnsi="Arial" w:cs="Arial"/>
          <w:sz w:val="20"/>
          <w:szCs w:val="20"/>
        </w:rPr>
        <w:footnoteReference w:id="23"/>
      </w:r>
      <w:r w:rsidRPr="00820D2B">
        <w:rPr>
          <w:rFonts w:ascii="Arial" w:eastAsia="Times New Roman" w:hAnsi="Arial" w:cs="Arial"/>
          <w:sz w:val="20"/>
          <w:szCs w:val="20"/>
        </w:rPr>
        <w:t xml:space="preserve"> Significant wait times from the time a patient registers to when they are seen can reduce the quality of care provided, increase patient discomfort and dissatisfaction, increase the risk of hospital-acquired infections, and lead to more patients to leaving before being seen by a physician. </w:t>
      </w:r>
      <w:proofErr w:type="gramStart"/>
      <w:r w:rsidRPr="00820D2B">
        <w:rPr>
          <w:rFonts w:ascii="Arial" w:eastAsia="Times New Roman" w:hAnsi="Arial" w:cs="Arial"/>
          <w:sz w:val="20"/>
          <w:szCs w:val="20"/>
        </w:rPr>
        <w:t>All of</w:t>
      </w:r>
      <w:proofErr w:type="gramEnd"/>
      <w:r w:rsidRPr="00820D2B">
        <w:rPr>
          <w:rFonts w:ascii="Arial" w:eastAsia="Times New Roman" w:hAnsi="Arial" w:cs="Arial"/>
          <w:sz w:val="20"/>
          <w:szCs w:val="20"/>
        </w:rPr>
        <w:t xml:space="preserve"> these factors contribute to reduced health outcomes.</w:t>
      </w:r>
      <w:r w:rsidRPr="00820D2B">
        <w:rPr>
          <w:rStyle w:val="FootnoteReference"/>
          <w:rFonts w:ascii="Arial" w:eastAsia="Times New Roman" w:hAnsi="Arial" w:cs="Arial"/>
          <w:sz w:val="20"/>
          <w:szCs w:val="20"/>
        </w:rPr>
        <w:footnoteReference w:id="24"/>
      </w:r>
      <w:r w:rsidRPr="00820D2B">
        <w:rPr>
          <w:rFonts w:ascii="Arial" w:eastAsia="Times New Roman" w:hAnsi="Arial" w:cs="Arial"/>
          <w:sz w:val="20"/>
          <w:szCs w:val="20"/>
        </w:rPr>
        <w:t xml:space="preserve"> Specifically, research has shown that patients who leave without being seen are more likely to experience worsening health conditions that result in a subsequent ED visit and hospitalization.</w:t>
      </w:r>
      <w:r w:rsidRPr="00820D2B">
        <w:rPr>
          <w:rStyle w:val="FootnoteReference"/>
          <w:rFonts w:ascii="Arial" w:eastAsia="Times New Roman" w:hAnsi="Arial" w:cs="Arial"/>
          <w:sz w:val="20"/>
          <w:szCs w:val="20"/>
        </w:rPr>
        <w:footnoteReference w:id="25"/>
      </w:r>
      <w:r w:rsidRPr="00820D2B">
        <w:rPr>
          <w:rFonts w:ascii="Arial" w:eastAsia="Times New Roman" w:hAnsi="Arial" w:cs="Arial"/>
          <w:sz w:val="20"/>
          <w:szCs w:val="20"/>
        </w:rPr>
        <w:t xml:space="preserve"> </w:t>
      </w:r>
    </w:p>
    <w:p w14:paraId="08C91A28" w14:textId="7130C6F4" w:rsidR="00BE2AAE" w:rsidRPr="00820D2B" w:rsidRDefault="00BE2AAE" w:rsidP="00BE2AAE">
      <w:pPr>
        <w:autoSpaceDE w:val="0"/>
        <w:autoSpaceDN w:val="0"/>
        <w:adjustRightInd w:val="0"/>
        <w:spacing w:before="120" w:after="0" w:line="240" w:lineRule="auto"/>
        <w:jc w:val="both"/>
        <w:rPr>
          <w:rFonts w:ascii="Arial" w:eastAsia="Times New Roman" w:hAnsi="Arial" w:cs="Arial"/>
          <w:sz w:val="20"/>
          <w:szCs w:val="20"/>
        </w:rPr>
      </w:pPr>
      <w:r w:rsidRPr="00820D2B">
        <w:rPr>
          <w:rFonts w:ascii="Arial" w:eastAsia="Times New Roman" w:hAnsi="Arial" w:cs="Arial"/>
          <w:sz w:val="20"/>
          <w:szCs w:val="20"/>
        </w:rPr>
        <w:t>With respect to the quality of care, overcrowding frequently results in care being provided in ED hallways. This provision of care is associated with higher levels of patient morbidity and mortality. These negative health outcomes are likely a result of monitoring that may not be as consistent or reliable as what is provided in permanent ED beds. One cause of inconsistent monitoring is from a breakdown of communication and the effective coordination of care.</w:t>
      </w:r>
      <w:r w:rsidRPr="00820D2B">
        <w:rPr>
          <w:rStyle w:val="FootnoteReference"/>
          <w:rFonts w:ascii="Arial" w:eastAsia="Times New Roman" w:hAnsi="Arial" w:cs="Arial"/>
          <w:sz w:val="20"/>
          <w:szCs w:val="20"/>
        </w:rPr>
        <w:footnoteReference w:id="26"/>
      </w:r>
      <w:r w:rsidRPr="00820D2B">
        <w:rPr>
          <w:rFonts w:ascii="Arial" w:eastAsia="Times New Roman" w:hAnsi="Arial" w:cs="Arial"/>
          <w:sz w:val="20"/>
          <w:szCs w:val="20"/>
        </w:rPr>
        <w:t xml:space="preserve"> Staff are more likely to be overwhelmed from insufficient resources and experience confusion among patient assignments. In sum, overcrowding caused by more patients </w:t>
      </w:r>
      <w:r>
        <w:rPr>
          <w:rFonts w:ascii="Arial" w:eastAsia="Times New Roman" w:hAnsi="Arial" w:cs="Arial"/>
          <w:sz w:val="20"/>
          <w:szCs w:val="20"/>
        </w:rPr>
        <w:t xml:space="preserve">in need of care </w:t>
      </w:r>
      <w:r w:rsidRPr="00820D2B">
        <w:rPr>
          <w:rFonts w:ascii="Arial" w:eastAsia="Times New Roman" w:hAnsi="Arial" w:cs="Arial"/>
          <w:sz w:val="20"/>
          <w:szCs w:val="20"/>
        </w:rPr>
        <w:t xml:space="preserve">than the ED can treat </w:t>
      </w:r>
      <w:r w:rsidR="009716E1">
        <w:rPr>
          <w:rFonts w:ascii="Arial" w:eastAsia="Times New Roman" w:hAnsi="Arial" w:cs="Arial"/>
          <w:sz w:val="20"/>
          <w:szCs w:val="20"/>
        </w:rPr>
        <w:t>due to limited capacity</w:t>
      </w:r>
      <w:r w:rsidRPr="00820D2B">
        <w:rPr>
          <w:rFonts w:ascii="Arial" w:eastAsia="Times New Roman" w:hAnsi="Arial" w:cs="Arial"/>
          <w:sz w:val="20"/>
          <w:szCs w:val="20"/>
        </w:rPr>
        <w:t xml:space="preserve"> negatively affects quality of care, increases the likelihood of adverse outcomes, and promotes staff burnout and turnover. </w:t>
      </w:r>
    </w:p>
    <w:p w14:paraId="25FD1480" w14:textId="77777777" w:rsidR="00BE2AAE" w:rsidRPr="000D00FA" w:rsidRDefault="00BE2AAE" w:rsidP="00BE2AAE">
      <w:pPr>
        <w:autoSpaceDE w:val="0"/>
        <w:autoSpaceDN w:val="0"/>
        <w:adjustRightInd w:val="0"/>
        <w:spacing w:before="120" w:after="0" w:line="240" w:lineRule="auto"/>
        <w:ind w:firstLine="720"/>
        <w:rPr>
          <w:rFonts w:ascii="Arial" w:hAnsi="Arial" w:cs="Arial"/>
          <w:i/>
          <w:iCs/>
          <w:sz w:val="20"/>
          <w:szCs w:val="20"/>
        </w:rPr>
      </w:pPr>
      <w:r w:rsidRPr="00820D2B">
        <w:rPr>
          <w:rFonts w:ascii="Arial" w:eastAsia="Times New Roman" w:hAnsi="Arial" w:cs="Arial"/>
          <w:i/>
          <w:iCs/>
          <w:sz w:val="20"/>
          <w:szCs w:val="20"/>
          <w:u w:val="single"/>
        </w:rPr>
        <w:t>Dedicated Behavioral Health Unit</w:t>
      </w:r>
    </w:p>
    <w:p w14:paraId="79082D2A" w14:textId="7D5762B9" w:rsidR="00BE2AAE" w:rsidRPr="00B52EB8" w:rsidRDefault="00BE2AAE" w:rsidP="00BE2AAE">
      <w:pPr>
        <w:spacing w:before="120" w:after="0" w:line="240" w:lineRule="auto"/>
        <w:jc w:val="both"/>
        <w:rPr>
          <w:rFonts w:ascii="Arial" w:hAnsi="Arial" w:cs="Arial"/>
          <w:sz w:val="20"/>
          <w:szCs w:val="20"/>
        </w:rPr>
      </w:pPr>
      <w:r w:rsidRPr="00820D2B">
        <w:rPr>
          <w:rFonts w:ascii="Arial" w:hAnsi="Arial" w:cs="Arial"/>
          <w:sz w:val="20"/>
          <w:szCs w:val="20"/>
        </w:rPr>
        <w:t xml:space="preserve">It is well-documented that traditional EDs are not designed for the treatment of patients experiencing acute behavioral </w:t>
      </w:r>
      <w:r w:rsidRPr="00B52EB8">
        <w:rPr>
          <w:rFonts w:ascii="Arial" w:hAnsi="Arial" w:cs="Arial"/>
          <w:sz w:val="20"/>
          <w:szCs w:val="20"/>
        </w:rPr>
        <w:t>health emergencies.</w:t>
      </w:r>
      <w:r w:rsidRPr="00B52EB8">
        <w:rPr>
          <w:rStyle w:val="FootnoteReference"/>
          <w:rFonts w:ascii="Arial" w:hAnsi="Arial" w:cs="Arial"/>
          <w:sz w:val="20"/>
          <w:szCs w:val="20"/>
        </w:rPr>
        <w:footnoteReference w:id="27"/>
      </w:r>
      <w:r w:rsidRPr="00B52EB8">
        <w:rPr>
          <w:rFonts w:ascii="Arial" w:hAnsi="Arial" w:cs="Arial"/>
          <w:sz w:val="20"/>
          <w:szCs w:val="20"/>
        </w:rPr>
        <w:t xml:space="preserve"> The chaos and confined spaces of an ED can be distressing, contribute to a patients anxiety, and may worsen the psychiatric symptoms for which the patient is seeking treatment.</w:t>
      </w:r>
      <w:r w:rsidRPr="00B52EB8">
        <w:rPr>
          <w:rStyle w:val="FootnoteReference"/>
          <w:rFonts w:ascii="Arial" w:hAnsi="Arial" w:cs="Arial"/>
          <w:sz w:val="20"/>
          <w:szCs w:val="20"/>
        </w:rPr>
        <w:footnoteReference w:id="28"/>
      </w:r>
      <w:r w:rsidRPr="00B52EB8">
        <w:rPr>
          <w:rFonts w:ascii="Arial" w:hAnsi="Arial" w:cs="Arial"/>
          <w:sz w:val="20"/>
          <w:szCs w:val="20"/>
        </w:rPr>
        <w:t xml:space="preserve">  Compounding the stressors of the ED’s physical environment, the loss of control many patients feel in the ED can result in an escalation of symptoms.</w:t>
      </w:r>
      <w:r w:rsidRPr="00B52EB8">
        <w:rPr>
          <w:rStyle w:val="FootnoteReference"/>
          <w:rFonts w:ascii="Arial" w:hAnsi="Arial" w:cs="Arial"/>
          <w:sz w:val="20"/>
          <w:szCs w:val="20"/>
        </w:rPr>
        <w:footnoteReference w:id="29"/>
      </w:r>
      <w:r w:rsidRPr="00B52EB8">
        <w:rPr>
          <w:rFonts w:ascii="Arial" w:hAnsi="Arial" w:cs="Arial"/>
          <w:sz w:val="20"/>
          <w:szCs w:val="20"/>
        </w:rPr>
        <w:t xml:space="preserve"> As</w:t>
      </w:r>
      <w:r>
        <w:rPr>
          <w:rFonts w:ascii="Arial" w:hAnsi="Arial" w:cs="Arial"/>
          <w:sz w:val="20"/>
          <w:szCs w:val="20"/>
        </w:rPr>
        <w:t xml:space="preserve"> a result, these patients may actually experience worsening symptoms and health outcomes. For behavioral health patients who seek care at the ED, studies have shown there are measures EDs can take to promote a more beneficial experience, in turn improving health outcomes.</w:t>
      </w:r>
      <w:r>
        <w:rPr>
          <w:rStyle w:val="FootnoteReference"/>
          <w:rFonts w:ascii="Arial" w:hAnsi="Arial" w:cs="Arial"/>
          <w:sz w:val="20"/>
          <w:szCs w:val="20"/>
        </w:rPr>
        <w:footnoteReference w:id="30"/>
      </w:r>
      <w:r>
        <w:rPr>
          <w:rFonts w:ascii="Arial" w:hAnsi="Arial" w:cs="Arial"/>
          <w:sz w:val="20"/>
          <w:szCs w:val="20"/>
        </w:rPr>
        <w:t xml:space="preserve"> The first best practice is to create a dedicated space separate from the main ED.</w:t>
      </w:r>
      <w:r>
        <w:rPr>
          <w:rStyle w:val="FootnoteReference"/>
          <w:rFonts w:ascii="Arial" w:hAnsi="Arial" w:cs="Arial"/>
          <w:sz w:val="20"/>
          <w:szCs w:val="20"/>
        </w:rPr>
        <w:footnoteReference w:id="31"/>
      </w:r>
      <w:r>
        <w:rPr>
          <w:rFonts w:ascii="Arial" w:hAnsi="Arial" w:cs="Arial"/>
          <w:sz w:val="20"/>
          <w:szCs w:val="20"/>
        </w:rPr>
        <w:t xml:space="preserve"> This environment should quiet and calming and designed around the needs of patients with non-medical </w:t>
      </w:r>
      <w:r>
        <w:rPr>
          <w:rFonts w:ascii="Arial" w:hAnsi="Arial" w:cs="Arial"/>
          <w:sz w:val="20"/>
          <w:szCs w:val="20"/>
        </w:rPr>
        <w:lastRenderedPageBreak/>
        <w:t>conditions.</w:t>
      </w:r>
      <w:r>
        <w:rPr>
          <w:rStyle w:val="FootnoteReference"/>
          <w:rFonts w:ascii="Arial" w:hAnsi="Arial" w:cs="Arial"/>
          <w:sz w:val="20"/>
          <w:szCs w:val="20"/>
        </w:rPr>
        <w:footnoteReference w:id="32"/>
      </w:r>
      <w:r>
        <w:rPr>
          <w:rFonts w:ascii="Arial" w:hAnsi="Arial" w:cs="Arial"/>
          <w:sz w:val="20"/>
          <w:szCs w:val="20"/>
        </w:rPr>
        <w:t xml:space="preserve"> </w:t>
      </w:r>
      <w:r w:rsidR="00071125">
        <w:rPr>
          <w:rFonts w:ascii="Arial" w:hAnsi="Arial" w:cs="Arial"/>
          <w:sz w:val="20"/>
          <w:szCs w:val="20"/>
        </w:rPr>
        <w:t>W</w:t>
      </w:r>
      <w:r>
        <w:rPr>
          <w:rFonts w:ascii="Arial" w:hAnsi="Arial" w:cs="Arial"/>
          <w:sz w:val="20"/>
          <w:szCs w:val="20"/>
        </w:rPr>
        <w:t>hen the goal is to calm</w:t>
      </w:r>
      <w:r w:rsidR="00F6094E">
        <w:rPr>
          <w:rFonts w:ascii="Arial" w:hAnsi="Arial" w:cs="Arial"/>
          <w:sz w:val="20"/>
          <w:szCs w:val="20"/>
        </w:rPr>
        <w:t xml:space="preserve"> </w:t>
      </w:r>
      <w:r>
        <w:rPr>
          <w:rFonts w:ascii="Arial" w:hAnsi="Arial" w:cs="Arial"/>
          <w:sz w:val="20"/>
          <w:szCs w:val="20"/>
        </w:rPr>
        <w:t>the patient, the result is more likely to be a patient who can participate in their immediate treatment.</w:t>
      </w:r>
      <w:r>
        <w:rPr>
          <w:rStyle w:val="FootnoteReference"/>
          <w:rFonts w:ascii="Arial" w:hAnsi="Arial" w:cs="Arial"/>
          <w:sz w:val="20"/>
          <w:szCs w:val="20"/>
        </w:rPr>
        <w:footnoteReference w:id="33"/>
      </w:r>
      <w:r>
        <w:rPr>
          <w:rFonts w:ascii="Arial" w:hAnsi="Arial" w:cs="Arial"/>
          <w:sz w:val="20"/>
          <w:szCs w:val="20"/>
        </w:rPr>
        <w:t xml:space="preserve"> In addition, these spaces should be staffed by dedicated clinicians with experience to work with, treat, and care for patients with behavioral health needs. </w:t>
      </w:r>
      <w:proofErr w:type="gramStart"/>
      <w:r>
        <w:rPr>
          <w:rFonts w:ascii="Arial" w:hAnsi="Arial" w:cs="Arial"/>
          <w:sz w:val="20"/>
          <w:szCs w:val="20"/>
        </w:rPr>
        <w:t>Through the use of</w:t>
      </w:r>
      <w:proofErr w:type="gramEnd"/>
      <w:r>
        <w:rPr>
          <w:rFonts w:ascii="Arial" w:hAnsi="Arial" w:cs="Arial"/>
          <w:sz w:val="20"/>
          <w:szCs w:val="20"/>
        </w:rPr>
        <w:t xml:space="preserve"> dedicated spaces and specialized staff, EDs can provide more effective treatment and improve health outcomes.  </w:t>
      </w:r>
      <w:r>
        <w:rPr>
          <w:rFonts w:ascii="Arial" w:eastAsia="Times New Roman" w:hAnsi="Arial" w:cs="Arial"/>
          <w:sz w:val="21"/>
          <w:szCs w:val="21"/>
        </w:rPr>
        <w:t xml:space="preserve"> </w:t>
      </w:r>
    </w:p>
    <w:p w14:paraId="6DD744F5" w14:textId="77777777" w:rsidR="00623EFA" w:rsidRDefault="00623EFA" w:rsidP="00BE2AAE">
      <w:pPr>
        <w:spacing w:after="0" w:line="240" w:lineRule="auto"/>
        <w:jc w:val="both"/>
      </w:pPr>
    </w:p>
    <w:p w14:paraId="0A88C135" w14:textId="1E423AD2" w:rsidR="00BE2AAE" w:rsidRPr="00411DB8" w:rsidRDefault="00BE2AAE" w:rsidP="00BE2AAE">
      <w:pPr>
        <w:spacing w:after="0" w:line="240" w:lineRule="auto"/>
        <w:jc w:val="both"/>
        <w:rPr>
          <w:rFonts w:ascii="Arial" w:eastAsia="Arial" w:hAnsi="Arial" w:cs="Arial"/>
          <w:kern w:val="2"/>
          <w:sz w:val="20"/>
          <w:szCs w:val="20"/>
          <w:u w:val="single"/>
        </w:rPr>
      </w:pPr>
      <w:proofErr w:type="gramStart"/>
      <w:r w:rsidRPr="00411DB8">
        <w:rPr>
          <w:rFonts w:ascii="Arial" w:hAnsi="Arial" w:cs="Arial"/>
          <w:b/>
          <w:kern w:val="2"/>
          <w:sz w:val="20"/>
          <w:szCs w:val="20"/>
        </w:rPr>
        <w:t>F.1.b.ii</w:t>
      </w:r>
      <w:proofErr w:type="gramEnd"/>
      <w:r w:rsidRPr="00411DB8">
        <w:rPr>
          <w:rFonts w:ascii="Arial" w:hAnsi="Arial" w:cs="Arial"/>
          <w:b/>
          <w:kern w:val="2"/>
          <w:sz w:val="20"/>
          <w:szCs w:val="20"/>
        </w:rPr>
        <w:tab/>
      </w:r>
      <w:r w:rsidRPr="00411DB8">
        <w:rPr>
          <w:rFonts w:ascii="Arial" w:hAnsi="Arial" w:cs="Arial"/>
          <w:kern w:val="2"/>
          <w:sz w:val="20"/>
          <w:szCs w:val="20"/>
        </w:rPr>
        <w:tab/>
      </w:r>
      <w:bookmarkStart w:id="3" w:name="_Hlk91070060"/>
      <w:r w:rsidRPr="00411DB8">
        <w:rPr>
          <w:rFonts w:ascii="Arial" w:hAnsi="Arial" w:cs="Arial"/>
          <w:b/>
          <w:kern w:val="2"/>
          <w:sz w:val="20"/>
          <w:szCs w:val="20"/>
          <w:u w:val="single"/>
        </w:rPr>
        <w:t>Public Health Value /Outcome-Oriented:</w:t>
      </w:r>
    </w:p>
    <w:p w14:paraId="3B68CADF" w14:textId="77777777" w:rsidR="00BE2AAE" w:rsidRPr="00411DB8" w:rsidRDefault="00BE2AAE" w:rsidP="00BE2AAE">
      <w:pPr>
        <w:pStyle w:val="BodyText"/>
        <w:widowControl/>
        <w:spacing w:before="0"/>
        <w:ind w:left="1440"/>
        <w:jc w:val="both"/>
        <w:rPr>
          <w:rFonts w:ascii="Arial" w:hAnsi="Arial" w:cs="Arial"/>
          <w:b/>
          <w:kern w:val="2"/>
          <w:sz w:val="20"/>
          <w:szCs w:val="20"/>
        </w:rPr>
      </w:pPr>
      <w:r w:rsidRPr="00411DB8">
        <w:rPr>
          <w:rFonts w:ascii="Arial" w:hAnsi="Arial" w:cs="Arial"/>
          <w:b/>
          <w:kern w:val="2"/>
          <w:sz w:val="20"/>
          <w:szCs w:val="20"/>
        </w:rPr>
        <w:t xml:space="preserve">Describe the impact of the Proposed Project and how the Applicant will assess such impact. Provide projections demonstrating how the Proposed Project will improve health outcomes, quality of life, or health equity. Only measures that can be tracked and reported over time should be utilized. </w:t>
      </w:r>
    </w:p>
    <w:bookmarkEnd w:id="3"/>
    <w:p w14:paraId="3E3BA4D4" w14:textId="77777777" w:rsidR="00BE2AAE" w:rsidRPr="00F73E8D" w:rsidRDefault="00BE2AAE" w:rsidP="00BE2AAE">
      <w:pPr>
        <w:pStyle w:val="BodyText"/>
        <w:widowControl/>
        <w:spacing w:before="120" w:after="120"/>
        <w:ind w:left="0"/>
        <w:jc w:val="both"/>
        <w:rPr>
          <w:rFonts w:ascii="Arial" w:eastAsiaTheme="minorHAnsi" w:hAnsi="Arial" w:cs="Arial"/>
          <w:sz w:val="20"/>
          <w:szCs w:val="20"/>
        </w:rPr>
      </w:pPr>
      <w:r w:rsidRPr="00F73E8D">
        <w:rPr>
          <w:rFonts w:ascii="Arial" w:eastAsiaTheme="minorHAnsi" w:hAnsi="Arial" w:cs="Arial"/>
          <w:sz w:val="20"/>
          <w:szCs w:val="20"/>
        </w:rPr>
        <w:t xml:space="preserve">To assess the impact of the proposed Project, the Applicant will report on the following measures of patient satisfaction and quality of care. The measures are discussed below and will be reported to DPH on an annual basis following implementation of the Proposed Project. </w:t>
      </w:r>
    </w:p>
    <w:p w14:paraId="112F2E5D" w14:textId="2C4970B7" w:rsidR="00BE2AAE" w:rsidRPr="00F73E8D" w:rsidRDefault="00BE2AAE" w:rsidP="00BE2AAE">
      <w:pPr>
        <w:pStyle w:val="ListParagraph"/>
        <w:numPr>
          <w:ilvl w:val="0"/>
          <w:numId w:val="4"/>
        </w:numPr>
        <w:autoSpaceDE w:val="0"/>
        <w:autoSpaceDN w:val="0"/>
        <w:adjustRightInd w:val="0"/>
        <w:spacing w:before="120" w:after="120" w:line="240" w:lineRule="auto"/>
        <w:contextualSpacing w:val="0"/>
        <w:rPr>
          <w:rFonts w:ascii="Arial" w:eastAsia="Times New Roman" w:hAnsi="Arial" w:cs="Arial"/>
          <w:sz w:val="20"/>
          <w:szCs w:val="20"/>
        </w:rPr>
      </w:pPr>
      <w:r w:rsidRPr="00F73E8D">
        <w:rPr>
          <w:rFonts w:ascii="Arial" w:eastAsia="Times New Roman" w:hAnsi="Arial" w:cs="Arial"/>
          <w:b/>
          <w:bCs/>
          <w:sz w:val="20"/>
          <w:szCs w:val="20"/>
          <w:u w:val="single"/>
        </w:rPr>
        <w:t>Access - Left Without Being Seen</w:t>
      </w:r>
      <w:r w:rsidRPr="00F73E8D">
        <w:rPr>
          <w:rFonts w:ascii="Arial" w:eastAsia="Times New Roman" w:hAnsi="Arial" w:cs="Arial"/>
          <w:b/>
          <w:bCs/>
          <w:sz w:val="20"/>
          <w:szCs w:val="20"/>
        </w:rPr>
        <w:t xml:space="preserve">: </w:t>
      </w:r>
      <w:r w:rsidRPr="00F73E8D">
        <w:rPr>
          <w:rFonts w:ascii="Arial" w:eastAsia="Times New Roman" w:hAnsi="Arial" w:cs="Arial"/>
          <w:sz w:val="20"/>
          <w:szCs w:val="20"/>
        </w:rPr>
        <w:t xml:space="preserve">Through a redesigned physical space and new patient throughput processes, </w:t>
      </w:r>
      <w:r w:rsidR="00F73E8D" w:rsidRPr="00F73E8D">
        <w:rPr>
          <w:rFonts w:ascii="Arial" w:eastAsia="Times New Roman" w:hAnsi="Arial" w:cs="Arial"/>
          <w:sz w:val="20"/>
          <w:szCs w:val="20"/>
        </w:rPr>
        <w:t>BID-</w:t>
      </w:r>
      <w:r w:rsidR="00231A56" w:rsidRPr="00231A56">
        <w:rPr>
          <w:rFonts w:ascii="Arial" w:eastAsia="Times New Roman" w:hAnsi="Arial" w:cs="Arial"/>
          <w:sz w:val="20"/>
          <w:szCs w:val="20"/>
        </w:rPr>
        <w:t>Plymouth</w:t>
      </w:r>
      <w:r w:rsidRPr="00F73E8D">
        <w:rPr>
          <w:rFonts w:ascii="Arial" w:eastAsia="Times New Roman" w:hAnsi="Arial" w:cs="Arial"/>
          <w:sz w:val="20"/>
          <w:szCs w:val="20"/>
        </w:rPr>
        <w:t xml:space="preserve"> will be able to move patients to exam rooms more quickly, reducing wait time, overcrowding and the walk-out rate.</w:t>
      </w:r>
    </w:p>
    <w:p w14:paraId="5A1254FD" w14:textId="77777777" w:rsidR="00BE2AAE" w:rsidRPr="00F73E8D" w:rsidRDefault="00BE2AAE" w:rsidP="00BE2AAE">
      <w:pPr>
        <w:autoSpaceDE w:val="0"/>
        <w:autoSpaceDN w:val="0"/>
        <w:adjustRightInd w:val="0"/>
        <w:spacing w:before="120" w:after="120" w:line="240" w:lineRule="auto"/>
        <w:ind w:left="1440"/>
        <w:rPr>
          <w:rFonts w:ascii="Arial" w:eastAsia="Times New Roman" w:hAnsi="Arial" w:cs="Arial"/>
          <w:sz w:val="20"/>
          <w:szCs w:val="20"/>
        </w:rPr>
      </w:pPr>
      <w:r w:rsidRPr="00F73E8D">
        <w:rPr>
          <w:rFonts w:ascii="Arial" w:eastAsia="Times New Roman" w:hAnsi="Arial" w:cs="Arial"/>
          <w:b/>
          <w:bCs/>
          <w:sz w:val="20"/>
          <w:szCs w:val="20"/>
        </w:rPr>
        <w:t xml:space="preserve">Numerator: </w:t>
      </w:r>
      <w:r w:rsidRPr="00F73E8D">
        <w:rPr>
          <w:rFonts w:ascii="Arial" w:eastAsia="Times New Roman" w:hAnsi="Arial" w:cs="Arial"/>
          <w:sz w:val="20"/>
          <w:szCs w:val="20"/>
        </w:rPr>
        <w:t>The number of patients leaving the ED without treatment, without being seen, or without an appropriate discharge.</w:t>
      </w:r>
    </w:p>
    <w:p w14:paraId="0C535863" w14:textId="77777777" w:rsidR="00BE2AAE" w:rsidRPr="00F73E8D" w:rsidRDefault="00BE2AAE" w:rsidP="00BE2AAE">
      <w:pPr>
        <w:autoSpaceDE w:val="0"/>
        <w:autoSpaceDN w:val="0"/>
        <w:adjustRightInd w:val="0"/>
        <w:spacing w:before="120" w:after="120" w:line="240" w:lineRule="auto"/>
        <w:ind w:left="1440"/>
        <w:rPr>
          <w:rFonts w:ascii="Arial" w:eastAsia="Times New Roman" w:hAnsi="Arial" w:cs="Arial"/>
          <w:sz w:val="20"/>
          <w:szCs w:val="20"/>
        </w:rPr>
      </w:pPr>
      <w:r w:rsidRPr="00F73E8D">
        <w:rPr>
          <w:rFonts w:ascii="Arial" w:eastAsia="Times New Roman" w:hAnsi="Arial" w:cs="Arial"/>
          <w:b/>
          <w:bCs/>
          <w:sz w:val="20"/>
          <w:szCs w:val="20"/>
        </w:rPr>
        <w:t>Denominator:</w:t>
      </w:r>
      <w:r w:rsidRPr="00F73E8D">
        <w:rPr>
          <w:rFonts w:ascii="Arial" w:eastAsia="Times New Roman" w:hAnsi="Arial" w:cs="Arial"/>
          <w:sz w:val="20"/>
          <w:szCs w:val="20"/>
        </w:rPr>
        <w:t xml:space="preserve"> The total number of patients who register in the ED to be seen. </w:t>
      </w:r>
    </w:p>
    <w:p w14:paraId="747285B5" w14:textId="77777777" w:rsidR="00BE2AAE" w:rsidRPr="00F73E8D" w:rsidRDefault="00BE2AAE" w:rsidP="00BE2AAE">
      <w:pPr>
        <w:shd w:val="clear" w:color="auto" w:fill="FFFFFF"/>
        <w:spacing w:after="0" w:line="240" w:lineRule="auto"/>
        <w:ind w:left="2880" w:firstLine="720"/>
        <w:rPr>
          <w:rFonts w:ascii="Arial" w:eastAsia="Times New Roman" w:hAnsi="Arial" w:cs="Arial"/>
          <w:color w:val="000000"/>
          <w:sz w:val="20"/>
          <w:szCs w:val="20"/>
        </w:rPr>
      </w:pPr>
      <w:r w:rsidRPr="00F73E8D">
        <w:rPr>
          <w:rFonts w:ascii="Arial" w:eastAsia="Times New Roman" w:hAnsi="Arial" w:cs="Arial"/>
          <w:color w:val="000000"/>
          <w:sz w:val="20"/>
          <w:szCs w:val="20"/>
        </w:rPr>
        <w:t xml:space="preserve"> </w:t>
      </w:r>
    </w:p>
    <w:tbl>
      <w:tblPr>
        <w:tblStyle w:val="TableGrid"/>
        <w:tblW w:w="0" w:type="auto"/>
        <w:tblInd w:w="715" w:type="dxa"/>
        <w:tblLayout w:type="fixed"/>
        <w:tblLook w:val="04A0" w:firstRow="1" w:lastRow="0" w:firstColumn="1" w:lastColumn="0" w:noHBand="0" w:noVBand="1"/>
      </w:tblPr>
      <w:tblGrid>
        <w:gridCol w:w="4680"/>
        <w:gridCol w:w="988"/>
        <w:gridCol w:w="989"/>
        <w:gridCol w:w="989"/>
        <w:gridCol w:w="989"/>
      </w:tblGrid>
      <w:tr w:rsidR="00BE2AAE" w:rsidRPr="00F73E8D" w14:paraId="4E221C74" w14:textId="77777777" w:rsidTr="00124E82">
        <w:tc>
          <w:tcPr>
            <w:tcW w:w="4680" w:type="dxa"/>
          </w:tcPr>
          <w:p w14:paraId="68807659" w14:textId="77777777" w:rsidR="00BE2AAE" w:rsidRPr="00F73E8D" w:rsidRDefault="00BE2AAE" w:rsidP="00607FAE">
            <w:pPr>
              <w:spacing w:line="240" w:lineRule="auto"/>
              <w:rPr>
                <w:rFonts w:ascii="Arial" w:eastAsia="Times New Roman" w:hAnsi="Arial" w:cs="Arial"/>
                <w:b/>
                <w:bCs/>
                <w:color w:val="000000"/>
                <w:sz w:val="18"/>
                <w:szCs w:val="18"/>
              </w:rPr>
            </w:pPr>
            <w:r w:rsidRPr="00F73E8D">
              <w:rPr>
                <w:rFonts w:ascii="Arial" w:eastAsia="Times New Roman" w:hAnsi="Arial" w:cs="Arial"/>
                <w:b/>
                <w:bCs/>
                <w:color w:val="000000"/>
                <w:sz w:val="18"/>
                <w:szCs w:val="18"/>
              </w:rPr>
              <w:t>Quality Measure #1</w:t>
            </w:r>
          </w:p>
        </w:tc>
        <w:tc>
          <w:tcPr>
            <w:tcW w:w="988" w:type="dxa"/>
          </w:tcPr>
          <w:p w14:paraId="23492F71" w14:textId="77777777" w:rsidR="00BE2AAE" w:rsidRPr="00F73E8D" w:rsidRDefault="00BE2AAE" w:rsidP="00607FAE">
            <w:pPr>
              <w:spacing w:line="240" w:lineRule="auto"/>
              <w:rPr>
                <w:rFonts w:ascii="Arial" w:eastAsia="Times New Roman" w:hAnsi="Arial" w:cs="Arial"/>
                <w:b/>
                <w:bCs/>
                <w:color w:val="000000"/>
                <w:sz w:val="18"/>
                <w:szCs w:val="18"/>
              </w:rPr>
            </w:pPr>
            <w:r w:rsidRPr="00F73E8D">
              <w:rPr>
                <w:rFonts w:ascii="Arial" w:eastAsia="Times New Roman" w:hAnsi="Arial" w:cs="Arial"/>
                <w:b/>
                <w:bCs/>
                <w:color w:val="000000"/>
                <w:sz w:val="18"/>
                <w:szCs w:val="18"/>
              </w:rPr>
              <w:t xml:space="preserve">Baseline </w:t>
            </w:r>
          </w:p>
        </w:tc>
        <w:tc>
          <w:tcPr>
            <w:tcW w:w="989" w:type="dxa"/>
          </w:tcPr>
          <w:p w14:paraId="49ADC63C" w14:textId="77777777" w:rsidR="00BE2AAE" w:rsidRPr="00F73E8D" w:rsidRDefault="00BE2AAE" w:rsidP="00607FAE">
            <w:pPr>
              <w:spacing w:line="240" w:lineRule="auto"/>
              <w:rPr>
                <w:rFonts w:ascii="Arial" w:eastAsia="Times New Roman" w:hAnsi="Arial" w:cs="Arial"/>
                <w:b/>
                <w:bCs/>
                <w:color w:val="000000"/>
                <w:sz w:val="18"/>
                <w:szCs w:val="18"/>
              </w:rPr>
            </w:pPr>
            <w:r w:rsidRPr="00F73E8D">
              <w:rPr>
                <w:rFonts w:ascii="Arial" w:eastAsia="Times New Roman" w:hAnsi="Arial" w:cs="Arial"/>
                <w:b/>
                <w:bCs/>
                <w:color w:val="000000"/>
                <w:sz w:val="18"/>
                <w:szCs w:val="18"/>
              </w:rPr>
              <w:t>Year 1</w:t>
            </w:r>
          </w:p>
        </w:tc>
        <w:tc>
          <w:tcPr>
            <w:tcW w:w="989" w:type="dxa"/>
          </w:tcPr>
          <w:p w14:paraId="2A9AD0E0" w14:textId="77777777" w:rsidR="00BE2AAE" w:rsidRPr="00F73E8D" w:rsidRDefault="00BE2AAE" w:rsidP="00607FAE">
            <w:pPr>
              <w:spacing w:line="240" w:lineRule="auto"/>
              <w:rPr>
                <w:rFonts w:ascii="Arial" w:eastAsia="Times New Roman" w:hAnsi="Arial" w:cs="Arial"/>
                <w:b/>
                <w:bCs/>
                <w:color w:val="000000"/>
                <w:sz w:val="18"/>
                <w:szCs w:val="18"/>
              </w:rPr>
            </w:pPr>
            <w:r w:rsidRPr="00F73E8D">
              <w:rPr>
                <w:rFonts w:ascii="Arial" w:eastAsia="Times New Roman" w:hAnsi="Arial" w:cs="Arial"/>
                <w:b/>
                <w:bCs/>
                <w:color w:val="000000"/>
                <w:sz w:val="18"/>
                <w:szCs w:val="18"/>
              </w:rPr>
              <w:t>Year 2</w:t>
            </w:r>
          </w:p>
        </w:tc>
        <w:tc>
          <w:tcPr>
            <w:tcW w:w="989" w:type="dxa"/>
          </w:tcPr>
          <w:p w14:paraId="104BFC7E" w14:textId="77777777" w:rsidR="00BE2AAE" w:rsidRPr="00F73E8D" w:rsidRDefault="00BE2AAE" w:rsidP="00607FAE">
            <w:pPr>
              <w:spacing w:line="240" w:lineRule="auto"/>
              <w:rPr>
                <w:rFonts w:ascii="Arial" w:eastAsia="Times New Roman" w:hAnsi="Arial" w:cs="Arial"/>
                <w:b/>
                <w:bCs/>
                <w:color w:val="000000"/>
                <w:sz w:val="18"/>
                <w:szCs w:val="18"/>
              </w:rPr>
            </w:pPr>
            <w:r w:rsidRPr="00F73E8D">
              <w:rPr>
                <w:rFonts w:ascii="Arial" w:eastAsia="Times New Roman" w:hAnsi="Arial" w:cs="Arial"/>
                <w:b/>
                <w:bCs/>
                <w:color w:val="000000"/>
                <w:sz w:val="18"/>
                <w:szCs w:val="18"/>
              </w:rPr>
              <w:t>Year 3</w:t>
            </w:r>
          </w:p>
        </w:tc>
      </w:tr>
      <w:tr w:rsidR="00BE2AAE" w:rsidRPr="00F73E8D" w14:paraId="093C3D9D" w14:textId="77777777" w:rsidTr="00124E82">
        <w:tc>
          <w:tcPr>
            <w:tcW w:w="4680" w:type="dxa"/>
          </w:tcPr>
          <w:p w14:paraId="0DAA6E34" w14:textId="77777777" w:rsidR="00BE2AAE" w:rsidRPr="00F73E8D" w:rsidRDefault="00BE2AAE" w:rsidP="00607FAE">
            <w:pPr>
              <w:spacing w:line="240" w:lineRule="auto"/>
              <w:rPr>
                <w:rFonts w:ascii="Arial" w:eastAsia="Times New Roman" w:hAnsi="Arial" w:cs="Arial"/>
                <w:color w:val="000000"/>
                <w:sz w:val="20"/>
                <w:szCs w:val="20"/>
              </w:rPr>
            </w:pPr>
            <w:r w:rsidRPr="00F73E8D">
              <w:rPr>
                <w:rFonts w:ascii="Arial" w:eastAsia="Times New Roman" w:hAnsi="Arial" w:cs="Arial"/>
                <w:color w:val="000000"/>
                <w:sz w:val="20"/>
                <w:szCs w:val="20"/>
              </w:rPr>
              <w:t>Percent of patients who leave without being seen</w:t>
            </w:r>
          </w:p>
        </w:tc>
        <w:tc>
          <w:tcPr>
            <w:tcW w:w="988" w:type="dxa"/>
          </w:tcPr>
          <w:p w14:paraId="5E526F1F" w14:textId="48BCE913" w:rsidR="00BE2AAE" w:rsidRPr="00F73E8D" w:rsidRDefault="00BE2AAE" w:rsidP="00F73E8D">
            <w:pPr>
              <w:spacing w:line="240" w:lineRule="auto"/>
              <w:jc w:val="center"/>
              <w:rPr>
                <w:rFonts w:ascii="Arial" w:eastAsia="Times New Roman" w:hAnsi="Arial" w:cs="Arial"/>
                <w:color w:val="000000"/>
                <w:sz w:val="20"/>
                <w:szCs w:val="20"/>
              </w:rPr>
            </w:pPr>
            <w:r w:rsidRPr="00F73E8D">
              <w:rPr>
                <w:rFonts w:ascii="Arial" w:eastAsia="Times New Roman" w:hAnsi="Arial" w:cs="Arial"/>
                <w:sz w:val="20"/>
                <w:szCs w:val="20"/>
              </w:rPr>
              <w:t>2.6%</w:t>
            </w:r>
          </w:p>
        </w:tc>
        <w:tc>
          <w:tcPr>
            <w:tcW w:w="989" w:type="dxa"/>
          </w:tcPr>
          <w:p w14:paraId="1B7DD4E0" w14:textId="77777777" w:rsidR="00BE2AAE" w:rsidRPr="00F73E8D" w:rsidRDefault="00BE2AAE" w:rsidP="00F73E8D">
            <w:pPr>
              <w:spacing w:line="240" w:lineRule="auto"/>
              <w:jc w:val="center"/>
              <w:rPr>
                <w:rFonts w:ascii="Arial" w:eastAsia="Times New Roman" w:hAnsi="Arial" w:cs="Arial"/>
                <w:color w:val="000000"/>
                <w:sz w:val="20"/>
                <w:szCs w:val="20"/>
              </w:rPr>
            </w:pPr>
            <w:r w:rsidRPr="00F73E8D">
              <w:rPr>
                <w:rFonts w:ascii="Arial" w:eastAsia="Times New Roman" w:hAnsi="Arial" w:cs="Arial"/>
                <w:color w:val="000000"/>
                <w:sz w:val="20"/>
                <w:szCs w:val="20"/>
              </w:rPr>
              <w:t>2.0%</w:t>
            </w:r>
          </w:p>
        </w:tc>
        <w:tc>
          <w:tcPr>
            <w:tcW w:w="989" w:type="dxa"/>
          </w:tcPr>
          <w:p w14:paraId="455C5C55" w14:textId="77777777" w:rsidR="00BE2AAE" w:rsidRPr="00F73E8D" w:rsidRDefault="00BE2AAE" w:rsidP="00F73E8D">
            <w:pPr>
              <w:spacing w:line="240" w:lineRule="auto"/>
              <w:jc w:val="center"/>
              <w:rPr>
                <w:rFonts w:ascii="Arial" w:eastAsia="Times New Roman" w:hAnsi="Arial" w:cs="Arial"/>
                <w:color w:val="000000"/>
                <w:sz w:val="20"/>
                <w:szCs w:val="20"/>
              </w:rPr>
            </w:pPr>
            <w:r w:rsidRPr="00F73E8D">
              <w:rPr>
                <w:rFonts w:ascii="Arial" w:eastAsia="Times New Roman" w:hAnsi="Arial" w:cs="Arial"/>
                <w:color w:val="000000"/>
                <w:sz w:val="20"/>
                <w:szCs w:val="20"/>
              </w:rPr>
              <w:t>1.9%</w:t>
            </w:r>
          </w:p>
        </w:tc>
        <w:tc>
          <w:tcPr>
            <w:tcW w:w="989" w:type="dxa"/>
          </w:tcPr>
          <w:p w14:paraId="034F033F" w14:textId="77777777" w:rsidR="00BE2AAE" w:rsidRPr="00F73E8D" w:rsidRDefault="00BE2AAE" w:rsidP="00F73E8D">
            <w:pPr>
              <w:spacing w:line="240" w:lineRule="auto"/>
              <w:jc w:val="center"/>
              <w:rPr>
                <w:rFonts w:ascii="Arial" w:eastAsia="Times New Roman" w:hAnsi="Arial" w:cs="Arial"/>
                <w:color w:val="000000"/>
                <w:sz w:val="20"/>
                <w:szCs w:val="20"/>
              </w:rPr>
            </w:pPr>
            <w:r w:rsidRPr="00F73E8D">
              <w:rPr>
                <w:rFonts w:ascii="Arial" w:eastAsia="Times New Roman" w:hAnsi="Arial" w:cs="Arial"/>
                <w:color w:val="000000"/>
                <w:sz w:val="20"/>
                <w:szCs w:val="20"/>
              </w:rPr>
              <w:t>1.6%</w:t>
            </w:r>
          </w:p>
        </w:tc>
      </w:tr>
    </w:tbl>
    <w:p w14:paraId="42C58EC9" w14:textId="77777777" w:rsidR="00BE2AAE" w:rsidRPr="00F73E8D" w:rsidRDefault="00BE2AAE" w:rsidP="00BE2AAE">
      <w:pPr>
        <w:shd w:val="clear" w:color="auto" w:fill="FFFFFF"/>
        <w:spacing w:after="0" w:line="240" w:lineRule="auto"/>
        <w:rPr>
          <w:rFonts w:ascii="Arial" w:eastAsia="Times New Roman" w:hAnsi="Arial" w:cs="Arial"/>
          <w:color w:val="000000"/>
          <w:sz w:val="20"/>
          <w:szCs w:val="20"/>
        </w:rPr>
      </w:pPr>
    </w:p>
    <w:p w14:paraId="300388F1" w14:textId="77777777" w:rsidR="00BE2AAE" w:rsidRPr="00F73E8D" w:rsidRDefault="00BE2AAE" w:rsidP="00BE2AAE">
      <w:pPr>
        <w:pStyle w:val="ListParagraph"/>
        <w:numPr>
          <w:ilvl w:val="0"/>
          <w:numId w:val="4"/>
        </w:numPr>
        <w:autoSpaceDE w:val="0"/>
        <w:autoSpaceDN w:val="0"/>
        <w:adjustRightInd w:val="0"/>
        <w:spacing w:before="120" w:after="120" w:line="240" w:lineRule="auto"/>
        <w:contextualSpacing w:val="0"/>
        <w:rPr>
          <w:rFonts w:ascii="Arial" w:eastAsia="Times New Roman" w:hAnsi="Arial" w:cs="Arial"/>
          <w:b/>
          <w:bCs/>
          <w:sz w:val="20"/>
          <w:szCs w:val="20"/>
        </w:rPr>
      </w:pPr>
      <w:r w:rsidRPr="00F73E8D">
        <w:rPr>
          <w:rFonts w:ascii="Arial" w:eastAsia="Times New Roman" w:hAnsi="Arial" w:cs="Arial"/>
          <w:b/>
          <w:bCs/>
          <w:sz w:val="20"/>
          <w:szCs w:val="20"/>
          <w:u w:val="single"/>
        </w:rPr>
        <w:t>Access – Door to Treatment Area Time</w:t>
      </w:r>
      <w:r w:rsidRPr="00F73E8D">
        <w:rPr>
          <w:rFonts w:ascii="Arial" w:eastAsia="Times New Roman" w:hAnsi="Arial" w:cs="Arial"/>
          <w:b/>
          <w:bCs/>
          <w:sz w:val="20"/>
          <w:szCs w:val="20"/>
        </w:rPr>
        <w:t xml:space="preserve">: </w:t>
      </w:r>
      <w:r w:rsidRPr="00F73E8D">
        <w:rPr>
          <w:rFonts w:ascii="Arial" w:eastAsia="Times New Roman" w:hAnsi="Arial" w:cs="Arial"/>
          <w:sz w:val="20"/>
          <w:szCs w:val="20"/>
        </w:rPr>
        <w:t xml:space="preserve">Patients will be evaluated to determine the amount of time it takes for the individual to </w:t>
      </w:r>
      <w:r w:rsidRPr="00F73E8D">
        <w:rPr>
          <w:rFonts w:ascii="Arial" w:eastAsia="Times New Roman" w:hAnsi="Arial" w:cs="Arial"/>
          <w:i/>
          <w:iCs/>
          <w:sz w:val="20"/>
          <w:szCs w:val="20"/>
        </w:rPr>
        <w:t xml:space="preserve">move </w:t>
      </w:r>
      <w:r w:rsidRPr="00F73E8D">
        <w:rPr>
          <w:rFonts w:ascii="Arial" w:eastAsia="Times New Roman" w:hAnsi="Arial" w:cs="Arial"/>
          <w:sz w:val="20"/>
          <w:szCs w:val="20"/>
        </w:rPr>
        <w:t>from registering as a patient in the ED to being seen by a physician (or equivalent, such as a nurse practitioner).</w:t>
      </w:r>
    </w:p>
    <w:p w14:paraId="12A949D0" w14:textId="77777777" w:rsidR="00BE2AAE" w:rsidRPr="00F73E8D" w:rsidRDefault="00BE2AAE" w:rsidP="00BE2AAE">
      <w:pPr>
        <w:autoSpaceDE w:val="0"/>
        <w:autoSpaceDN w:val="0"/>
        <w:adjustRightInd w:val="0"/>
        <w:spacing w:after="0" w:line="240" w:lineRule="auto"/>
        <w:ind w:left="1440"/>
        <w:rPr>
          <w:rFonts w:ascii="Arial" w:eastAsia="Times New Roman" w:hAnsi="Arial" w:cs="Arial"/>
          <w:sz w:val="20"/>
          <w:szCs w:val="20"/>
        </w:rPr>
      </w:pPr>
      <w:r w:rsidRPr="00F73E8D">
        <w:rPr>
          <w:rFonts w:ascii="Arial" w:eastAsia="Times New Roman" w:hAnsi="Arial" w:cs="Arial"/>
          <w:b/>
          <w:bCs/>
          <w:sz w:val="20"/>
          <w:szCs w:val="20"/>
        </w:rPr>
        <w:t xml:space="preserve">Numerator: </w:t>
      </w:r>
      <w:r w:rsidRPr="00F73E8D">
        <w:rPr>
          <w:rFonts w:ascii="Arial" w:eastAsia="Times New Roman" w:hAnsi="Arial" w:cs="Arial"/>
          <w:sz w:val="20"/>
          <w:szCs w:val="20"/>
        </w:rPr>
        <w:t xml:space="preserve">Total minutes from registration to treatment area of all ED patients </w:t>
      </w:r>
    </w:p>
    <w:p w14:paraId="03817640" w14:textId="77777777" w:rsidR="00BE2AAE" w:rsidRPr="00F73E8D" w:rsidRDefault="00BE2AAE" w:rsidP="00BE2AAE">
      <w:pPr>
        <w:autoSpaceDE w:val="0"/>
        <w:autoSpaceDN w:val="0"/>
        <w:adjustRightInd w:val="0"/>
        <w:spacing w:after="0" w:line="240" w:lineRule="auto"/>
        <w:ind w:left="1440"/>
        <w:rPr>
          <w:rFonts w:ascii="Arial" w:eastAsia="Times New Roman" w:hAnsi="Arial" w:cs="Arial"/>
          <w:sz w:val="20"/>
          <w:szCs w:val="20"/>
        </w:rPr>
      </w:pPr>
      <w:r w:rsidRPr="00F73E8D">
        <w:rPr>
          <w:rFonts w:ascii="Arial" w:eastAsia="Times New Roman" w:hAnsi="Arial" w:cs="Arial"/>
          <w:b/>
          <w:bCs/>
          <w:sz w:val="20"/>
          <w:szCs w:val="20"/>
        </w:rPr>
        <w:t xml:space="preserve">Denominator: </w:t>
      </w:r>
      <w:r w:rsidRPr="00F73E8D">
        <w:rPr>
          <w:rFonts w:ascii="Arial" w:eastAsia="Times New Roman" w:hAnsi="Arial" w:cs="Arial"/>
          <w:sz w:val="20"/>
          <w:szCs w:val="20"/>
        </w:rPr>
        <w:t xml:space="preserve">Total number of ED patients </w:t>
      </w:r>
    </w:p>
    <w:p w14:paraId="18A225E2" w14:textId="77777777" w:rsidR="00BE2AAE" w:rsidRPr="00F73E8D" w:rsidRDefault="00BE2AAE" w:rsidP="00BE2AAE">
      <w:pPr>
        <w:autoSpaceDE w:val="0"/>
        <w:autoSpaceDN w:val="0"/>
        <w:adjustRightInd w:val="0"/>
        <w:spacing w:after="0" w:line="240" w:lineRule="auto"/>
        <w:rPr>
          <w:rFonts w:ascii="Arial" w:eastAsia="Times New Roman" w:hAnsi="Arial" w:cs="Arial"/>
          <w:b/>
          <w:bCs/>
          <w:sz w:val="20"/>
          <w:szCs w:val="20"/>
        </w:rPr>
      </w:pPr>
    </w:p>
    <w:tbl>
      <w:tblPr>
        <w:tblStyle w:val="TableGrid"/>
        <w:tblW w:w="0" w:type="auto"/>
        <w:tblInd w:w="715" w:type="dxa"/>
        <w:tblLayout w:type="fixed"/>
        <w:tblLook w:val="04A0" w:firstRow="1" w:lastRow="0" w:firstColumn="1" w:lastColumn="0" w:noHBand="0" w:noVBand="1"/>
      </w:tblPr>
      <w:tblGrid>
        <w:gridCol w:w="4680"/>
        <w:gridCol w:w="988"/>
        <w:gridCol w:w="989"/>
        <w:gridCol w:w="989"/>
        <w:gridCol w:w="989"/>
      </w:tblGrid>
      <w:tr w:rsidR="00BE2AAE" w:rsidRPr="00F73E8D" w14:paraId="704D9C8A" w14:textId="77777777" w:rsidTr="00BB19F6">
        <w:tc>
          <w:tcPr>
            <w:tcW w:w="4680" w:type="dxa"/>
          </w:tcPr>
          <w:p w14:paraId="1F93FE29" w14:textId="77777777" w:rsidR="00BE2AAE" w:rsidRPr="00F73E8D" w:rsidRDefault="00BE2AAE" w:rsidP="00607FAE">
            <w:pPr>
              <w:spacing w:line="240" w:lineRule="auto"/>
              <w:rPr>
                <w:rFonts w:ascii="Arial" w:eastAsia="Times New Roman" w:hAnsi="Arial" w:cs="Arial"/>
                <w:b/>
                <w:bCs/>
                <w:color w:val="000000"/>
                <w:sz w:val="18"/>
                <w:szCs w:val="18"/>
              </w:rPr>
            </w:pPr>
            <w:r w:rsidRPr="00F73E8D">
              <w:rPr>
                <w:rFonts w:ascii="Arial" w:eastAsia="Times New Roman" w:hAnsi="Arial" w:cs="Arial"/>
                <w:b/>
                <w:bCs/>
                <w:color w:val="000000"/>
                <w:sz w:val="18"/>
                <w:szCs w:val="18"/>
              </w:rPr>
              <w:t>Quality Measure #2</w:t>
            </w:r>
          </w:p>
        </w:tc>
        <w:tc>
          <w:tcPr>
            <w:tcW w:w="988" w:type="dxa"/>
          </w:tcPr>
          <w:p w14:paraId="0B8A2112" w14:textId="77777777" w:rsidR="00BE2AAE" w:rsidRPr="00F73E8D" w:rsidRDefault="00BE2AAE" w:rsidP="00607FAE">
            <w:pPr>
              <w:spacing w:line="240" w:lineRule="auto"/>
              <w:rPr>
                <w:rFonts w:ascii="Arial" w:eastAsia="Times New Roman" w:hAnsi="Arial" w:cs="Arial"/>
                <w:b/>
                <w:bCs/>
                <w:color w:val="000000"/>
                <w:sz w:val="18"/>
                <w:szCs w:val="18"/>
              </w:rPr>
            </w:pPr>
            <w:r w:rsidRPr="00F73E8D">
              <w:rPr>
                <w:rFonts w:ascii="Arial" w:eastAsia="Times New Roman" w:hAnsi="Arial" w:cs="Arial"/>
                <w:b/>
                <w:bCs/>
                <w:color w:val="000000"/>
                <w:sz w:val="18"/>
                <w:szCs w:val="18"/>
              </w:rPr>
              <w:t xml:space="preserve">Baseline </w:t>
            </w:r>
          </w:p>
        </w:tc>
        <w:tc>
          <w:tcPr>
            <w:tcW w:w="989" w:type="dxa"/>
          </w:tcPr>
          <w:p w14:paraId="4D236F87" w14:textId="77777777" w:rsidR="00BE2AAE" w:rsidRPr="00F73E8D" w:rsidRDefault="00BE2AAE" w:rsidP="00607FAE">
            <w:pPr>
              <w:spacing w:line="240" w:lineRule="auto"/>
              <w:rPr>
                <w:rFonts w:ascii="Arial" w:eastAsia="Times New Roman" w:hAnsi="Arial" w:cs="Arial"/>
                <w:b/>
                <w:bCs/>
                <w:color w:val="000000"/>
                <w:sz w:val="18"/>
                <w:szCs w:val="18"/>
              </w:rPr>
            </w:pPr>
            <w:r w:rsidRPr="00F73E8D">
              <w:rPr>
                <w:rFonts w:ascii="Arial" w:eastAsia="Times New Roman" w:hAnsi="Arial" w:cs="Arial"/>
                <w:b/>
                <w:bCs/>
                <w:color w:val="000000"/>
                <w:sz w:val="18"/>
                <w:szCs w:val="18"/>
              </w:rPr>
              <w:t>Year 1</w:t>
            </w:r>
          </w:p>
        </w:tc>
        <w:tc>
          <w:tcPr>
            <w:tcW w:w="989" w:type="dxa"/>
          </w:tcPr>
          <w:p w14:paraId="637A6C87" w14:textId="77777777" w:rsidR="00BE2AAE" w:rsidRPr="00F73E8D" w:rsidRDefault="00BE2AAE" w:rsidP="00607FAE">
            <w:pPr>
              <w:spacing w:line="240" w:lineRule="auto"/>
              <w:rPr>
                <w:rFonts w:ascii="Arial" w:eastAsia="Times New Roman" w:hAnsi="Arial" w:cs="Arial"/>
                <w:b/>
                <w:bCs/>
                <w:color w:val="000000"/>
                <w:sz w:val="18"/>
                <w:szCs w:val="18"/>
              </w:rPr>
            </w:pPr>
            <w:r w:rsidRPr="00F73E8D">
              <w:rPr>
                <w:rFonts w:ascii="Arial" w:eastAsia="Times New Roman" w:hAnsi="Arial" w:cs="Arial"/>
                <w:b/>
                <w:bCs/>
                <w:color w:val="000000"/>
                <w:sz w:val="18"/>
                <w:szCs w:val="18"/>
              </w:rPr>
              <w:t>Year 2</w:t>
            </w:r>
          </w:p>
        </w:tc>
        <w:tc>
          <w:tcPr>
            <w:tcW w:w="989" w:type="dxa"/>
          </w:tcPr>
          <w:p w14:paraId="6AA252C1" w14:textId="77777777" w:rsidR="00BE2AAE" w:rsidRPr="00F73E8D" w:rsidRDefault="00BE2AAE" w:rsidP="00607FAE">
            <w:pPr>
              <w:spacing w:line="240" w:lineRule="auto"/>
              <w:rPr>
                <w:rFonts w:ascii="Arial" w:eastAsia="Times New Roman" w:hAnsi="Arial" w:cs="Arial"/>
                <w:b/>
                <w:bCs/>
                <w:color w:val="000000"/>
                <w:sz w:val="18"/>
                <w:szCs w:val="18"/>
              </w:rPr>
            </w:pPr>
            <w:r w:rsidRPr="00F73E8D">
              <w:rPr>
                <w:rFonts w:ascii="Arial" w:eastAsia="Times New Roman" w:hAnsi="Arial" w:cs="Arial"/>
                <w:b/>
                <w:bCs/>
                <w:color w:val="000000"/>
                <w:sz w:val="18"/>
                <w:szCs w:val="18"/>
              </w:rPr>
              <w:t>Year 3</w:t>
            </w:r>
          </w:p>
        </w:tc>
      </w:tr>
      <w:tr w:rsidR="00BE2AAE" w:rsidRPr="00F73E8D" w14:paraId="384C6FF7" w14:textId="77777777" w:rsidTr="00124E82">
        <w:tc>
          <w:tcPr>
            <w:tcW w:w="4680" w:type="dxa"/>
          </w:tcPr>
          <w:p w14:paraId="6C7B3F95" w14:textId="77777777" w:rsidR="00BE2AAE" w:rsidRPr="00F73E8D" w:rsidRDefault="00BE2AAE" w:rsidP="00607FAE">
            <w:pPr>
              <w:spacing w:line="240" w:lineRule="auto"/>
              <w:rPr>
                <w:rFonts w:ascii="Arial" w:eastAsia="Times New Roman" w:hAnsi="Arial" w:cs="Arial"/>
                <w:color w:val="000000"/>
                <w:sz w:val="20"/>
                <w:szCs w:val="20"/>
              </w:rPr>
            </w:pPr>
            <w:r w:rsidRPr="00F73E8D">
              <w:rPr>
                <w:rFonts w:ascii="Arial" w:eastAsia="Times New Roman" w:hAnsi="Arial" w:cs="Arial"/>
                <w:color w:val="000000"/>
                <w:sz w:val="20"/>
                <w:szCs w:val="20"/>
              </w:rPr>
              <w:t>Average time door to treatment area (minutes)</w:t>
            </w:r>
          </w:p>
        </w:tc>
        <w:tc>
          <w:tcPr>
            <w:tcW w:w="988" w:type="dxa"/>
          </w:tcPr>
          <w:p w14:paraId="4F43353C" w14:textId="4550E0B0" w:rsidR="00BE2AAE" w:rsidRPr="00F73E8D" w:rsidRDefault="00BE2AAE" w:rsidP="00F73E8D">
            <w:pPr>
              <w:spacing w:line="240" w:lineRule="auto"/>
              <w:jc w:val="center"/>
              <w:rPr>
                <w:rFonts w:ascii="Arial" w:eastAsia="Times New Roman" w:hAnsi="Arial" w:cs="Arial"/>
                <w:color w:val="000000"/>
                <w:sz w:val="20"/>
                <w:szCs w:val="20"/>
              </w:rPr>
            </w:pPr>
            <w:r w:rsidRPr="00F73E8D">
              <w:rPr>
                <w:rFonts w:ascii="Arial" w:eastAsia="Times New Roman" w:hAnsi="Arial" w:cs="Arial"/>
                <w:color w:val="000000"/>
                <w:sz w:val="20"/>
                <w:szCs w:val="20"/>
              </w:rPr>
              <w:t>91</w:t>
            </w:r>
          </w:p>
        </w:tc>
        <w:tc>
          <w:tcPr>
            <w:tcW w:w="989" w:type="dxa"/>
          </w:tcPr>
          <w:p w14:paraId="605E0D3F" w14:textId="77777777" w:rsidR="00BE2AAE" w:rsidRPr="00F73E8D" w:rsidRDefault="00BE2AAE" w:rsidP="00F73E8D">
            <w:pPr>
              <w:spacing w:line="240" w:lineRule="auto"/>
              <w:jc w:val="center"/>
              <w:rPr>
                <w:rFonts w:ascii="Arial" w:eastAsia="Times New Roman" w:hAnsi="Arial" w:cs="Arial"/>
                <w:color w:val="000000"/>
                <w:sz w:val="20"/>
                <w:szCs w:val="20"/>
              </w:rPr>
            </w:pPr>
            <w:r w:rsidRPr="00F73E8D">
              <w:rPr>
                <w:rFonts w:ascii="Arial" w:eastAsia="Times New Roman" w:hAnsi="Arial" w:cs="Arial"/>
                <w:color w:val="000000"/>
                <w:sz w:val="20"/>
                <w:szCs w:val="20"/>
              </w:rPr>
              <w:t>60</w:t>
            </w:r>
          </w:p>
        </w:tc>
        <w:tc>
          <w:tcPr>
            <w:tcW w:w="989" w:type="dxa"/>
          </w:tcPr>
          <w:p w14:paraId="132F0A8C" w14:textId="77777777" w:rsidR="00BE2AAE" w:rsidRPr="00F73E8D" w:rsidRDefault="00BE2AAE" w:rsidP="00F73E8D">
            <w:pPr>
              <w:spacing w:line="240" w:lineRule="auto"/>
              <w:jc w:val="center"/>
              <w:rPr>
                <w:rFonts w:ascii="Arial" w:eastAsia="Times New Roman" w:hAnsi="Arial" w:cs="Arial"/>
                <w:color w:val="000000"/>
                <w:sz w:val="20"/>
                <w:szCs w:val="20"/>
              </w:rPr>
            </w:pPr>
            <w:r w:rsidRPr="00F73E8D">
              <w:rPr>
                <w:rFonts w:ascii="Arial" w:eastAsia="Times New Roman" w:hAnsi="Arial" w:cs="Arial"/>
                <w:color w:val="000000"/>
                <w:sz w:val="20"/>
                <w:szCs w:val="20"/>
              </w:rPr>
              <w:t>45</w:t>
            </w:r>
          </w:p>
        </w:tc>
        <w:tc>
          <w:tcPr>
            <w:tcW w:w="989" w:type="dxa"/>
          </w:tcPr>
          <w:p w14:paraId="0EB45C7A" w14:textId="77777777" w:rsidR="00BE2AAE" w:rsidRPr="00F73E8D" w:rsidRDefault="00BE2AAE" w:rsidP="00F73E8D">
            <w:pPr>
              <w:spacing w:line="240" w:lineRule="auto"/>
              <w:jc w:val="center"/>
              <w:rPr>
                <w:rFonts w:ascii="Arial" w:eastAsia="Times New Roman" w:hAnsi="Arial" w:cs="Arial"/>
                <w:color w:val="000000"/>
                <w:sz w:val="20"/>
                <w:szCs w:val="20"/>
              </w:rPr>
            </w:pPr>
            <w:r w:rsidRPr="00F73E8D">
              <w:rPr>
                <w:rFonts w:ascii="Arial" w:eastAsia="Times New Roman" w:hAnsi="Arial" w:cs="Arial"/>
                <w:color w:val="000000"/>
                <w:sz w:val="20"/>
                <w:szCs w:val="20"/>
              </w:rPr>
              <w:t>30</w:t>
            </w:r>
          </w:p>
        </w:tc>
      </w:tr>
    </w:tbl>
    <w:p w14:paraId="677020AF" w14:textId="77777777" w:rsidR="00BE2AAE" w:rsidRPr="00F73E8D" w:rsidRDefault="00BE2AAE" w:rsidP="00BE2AAE">
      <w:pPr>
        <w:autoSpaceDE w:val="0"/>
        <w:autoSpaceDN w:val="0"/>
        <w:adjustRightInd w:val="0"/>
        <w:spacing w:after="0" w:line="240" w:lineRule="auto"/>
        <w:ind w:left="1440"/>
        <w:rPr>
          <w:rFonts w:ascii="Arial" w:eastAsia="Times New Roman" w:hAnsi="Arial" w:cs="Arial"/>
          <w:b/>
          <w:bCs/>
          <w:sz w:val="20"/>
          <w:szCs w:val="20"/>
        </w:rPr>
      </w:pPr>
    </w:p>
    <w:p w14:paraId="2564C8B0" w14:textId="77777777" w:rsidR="00BE2AAE" w:rsidRPr="00F73E8D" w:rsidRDefault="00BE2AAE" w:rsidP="00BE2AAE">
      <w:pPr>
        <w:autoSpaceDE w:val="0"/>
        <w:autoSpaceDN w:val="0"/>
        <w:adjustRightInd w:val="0"/>
        <w:spacing w:after="0" w:line="240" w:lineRule="auto"/>
        <w:ind w:left="1440"/>
        <w:rPr>
          <w:rFonts w:ascii="Arial" w:eastAsia="Times New Roman" w:hAnsi="Arial" w:cs="Arial"/>
          <w:sz w:val="20"/>
          <w:szCs w:val="20"/>
        </w:rPr>
      </w:pPr>
    </w:p>
    <w:p w14:paraId="2673D378" w14:textId="77777777" w:rsidR="00BE2AAE" w:rsidRPr="00F73E8D" w:rsidRDefault="00BE2AAE" w:rsidP="00BE2AAE">
      <w:pPr>
        <w:pStyle w:val="ListParagraph"/>
        <w:numPr>
          <w:ilvl w:val="0"/>
          <w:numId w:val="4"/>
        </w:numPr>
        <w:spacing w:after="200" w:line="276" w:lineRule="auto"/>
        <w:rPr>
          <w:rFonts w:ascii="Arial" w:eastAsia="Times New Roman" w:hAnsi="Arial" w:cs="Arial"/>
          <w:sz w:val="20"/>
          <w:szCs w:val="20"/>
        </w:rPr>
      </w:pPr>
      <w:r w:rsidRPr="00F73E8D">
        <w:rPr>
          <w:rFonts w:ascii="Arial" w:eastAsia="Times New Roman" w:hAnsi="Arial" w:cs="Arial"/>
          <w:b/>
          <w:bCs/>
          <w:sz w:val="20"/>
          <w:szCs w:val="20"/>
          <w:u w:val="single"/>
        </w:rPr>
        <w:t>Emergency Department Patient Satisfaction</w:t>
      </w:r>
      <w:r w:rsidRPr="00F73E8D">
        <w:rPr>
          <w:rFonts w:ascii="Arial" w:eastAsia="Times New Roman" w:hAnsi="Arial" w:cs="Arial"/>
          <w:b/>
          <w:bCs/>
          <w:sz w:val="20"/>
          <w:szCs w:val="20"/>
        </w:rPr>
        <w:t>:</w:t>
      </w:r>
      <w:r w:rsidRPr="00F73E8D">
        <w:rPr>
          <w:rFonts w:ascii="Arial" w:hAnsi="Arial" w:cs="Arial"/>
          <w:sz w:val="20"/>
          <w:szCs w:val="20"/>
        </w:rPr>
        <w:t xml:space="preserve"> </w:t>
      </w:r>
      <w:r w:rsidRPr="00F73E8D">
        <w:rPr>
          <w:rFonts w:ascii="Arial" w:eastAsia="Times New Roman" w:hAnsi="Arial" w:cs="Arial"/>
          <w:sz w:val="20"/>
          <w:szCs w:val="20"/>
        </w:rPr>
        <w:t xml:space="preserve">The Hospital expects patient satisfaction, as reported through the HCAHPS Survey, in three areas to improve as a result of the Proposed Project: Comfort in Waiting Area, </w:t>
      </w:r>
      <w:proofErr w:type="gramStart"/>
      <w:r w:rsidRPr="00F73E8D">
        <w:rPr>
          <w:rFonts w:ascii="Arial" w:eastAsia="Times New Roman" w:hAnsi="Arial" w:cs="Arial"/>
          <w:sz w:val="20"/>
          <w:szCs w:val="20"/>
        </w:rPr>
        <w:t>Waiting</w:t>
      </w:r>
      <w:proofErr w:type="gramEnd"/>
      <w:r w:rsidRPr="00F73E8D">
        <w:rPr>
          <w:rFonts w:ascii="Arial" w:eastAsia="Times New Roman" w:hAnsi="Arial" w:cs="Arial"/>
          <w:sz w:val="20"/>
          <w:szCs w:val="20"/>
        </w:rPr>
        <w:t xml:space="preserve"> time to treatment areas, and Informed about delays. As these measures are established and reported by HCAHPS, a numerator and denominator </w:t>
      </w:r>
      <w:proofErr w:type="gramStart"/>
      <w:r w:rsidRPr="00F73E8D">
        <w:rPr>
          <w:rFonts w:ascii="Arial" w:eastAsia="Times New Roman" w:hAnsi="Arial" w:cs="Arial"/>
          <w:sz w:val="20"/>
          <w:szCs w:val="20"/>
        </w:rPr>
        <w:t>is</w:t>
      </w:r>
      <w:proofErr w:type="gramEnd"/>
      <w:r w:rsidRPr="00F73E8D">
        <w:rPr>
          <w:rFonts w:ascii="Arial" w:eastAsia="Times New Roman" w:hAnsi="Arial" w:cs="Arial"/>
          <w:sz w:val="20"/>
          <w:szCs w:val="20"/>
        </w:rPr>
        <w:t xml:space="preserve"> not available.  </w:t>
      </w:r>
    </w:p>
    <w:tbl>
      <w:tblPr>
        <w:tblStyle w:val="TableGrid"/>
        <w:tblW w:w="0" w:type="auto"/>
        <w:tblInd w:w="715" w:type="dxa"/>
        <w:tblLook w:val="04A0" w:firstRow="1" w:lastRow="0" w:firstColumn="1" w:lastColumn="0" w:noHBand="0" w:noVBand="1"/>
      </w:tblPr>
      <w:tblGrid>
        <w:gridCol w:w="4770"/>
        <w:gridCol w:w="990"/>
        <w:gridCol w:w="990"/>
        <w:gridCol w:w="900"/>
        <w:gridCol w:w="985"/>
      </w:tblGrid>
      <w:tr w:rsidR="00BE2AAE" w:rsidRPr="00F73E8D" w14:paraId="207D6741" w14:textId="77777777" w:rsidTr="00BB19F6">
        <w:tc>
          <w:tcPr>
            <w:tcW w:w="4770" w:type="dxa"/>
          </w:tcPr>
          <w:p w14:paraId="448459AB" w14:textId="77777777" w:rsidR="00BE2AAE" w:rsidRPr="00F73E8D" w:rsidRDefault="00BE2AAE" w:rsidP="00607FAE">
            <w:pPr>
              <w:rPr>
                <w:rFonts w:ascii="Arial" w:hAnsi="Arial" w:cs="Arial"/>
                <w:b/>
                <w:bCs/>
                <w:sz w:val="18"/>
                <w:szCs w:val="18"/>
              </w:rPr>
            </w:pPr>
            <w:r w:rsidRPr="00F73E8D">
              <w:rPr>
                <w:rFonts w:ascii="Arial" w:hAnsi="Arial" w:cs="Arial"/>
                <w:b/>
                <w:bCs/>
                <w:sz w:val="18"/>
                <w:szCs w:val="18"/>
              </w:rPr>
              <w:t>Quality Measure #3</w:t>
            </w:r>
          </w:p>
        </w:tc>
        <w:tc>
          <w:tcPr>
            <w:tcW w:w="990" w:type="dxa"/>
          </w:tcPr>
          <w:p w14:paraId="2470BC01" w14:textId="77777777" w:rsidR="00BE2AAE" w:rsidRPr="00F73E8D" w:rsidRDefault="00BE2AAE" w:rsidP="00607FAE">
            <w:pPr>
              <w:rPr>
                <w:rFonts w:ascii="Arial" w:hAnsi="Arial" w:cs="Arial"/>
                <w:b/>
                <w:bCs/>
                <w:sz w:val="18"/>
                <w:szCs w:val="18"/>
              </w:rPr>
            </w:pPr>
            <w:r w:rsidRPr="00F73E8D">
              <w:rPr>
                <w:rFonts w:ascii="Arial" w:hAnsi="Arial" w:cs="Arial"/>
                <w:b/>
                <w:bCs/>
                <w:sz w:val="18"/>
                <w:szCs w:val="18"/>
              </w:rPr>
              <w:t xml:space="preserve">Baseline </w:t>
            </w:r>
          </w:p>
        </w:tc>
        <w:tc>
          <w:tcPr>
            <w:tcW w:w="990" w:type="dxa"/>
          </w:tcPr>
          <w:p w14:paraId="13E945C3" w14:textId="77777777" w:rsidR="00BE2AAE" w:rsidRPr="00F73E8D" w:rsidRDefault="00BE2AAE" w:rsidP="00607FAE">
            <w:pPr>
              <w:rPr>
                <w:rFonts w:ascii="Arial" w:hAnsi="Arial" w:cs="Arial"/>
                <w:b/>
                <w:bCs/>
                <w:sz w:val="18"/>
                <w:szCs w:val="18"/>
              </w:rPr>
            </w:pPr>
            <w:r w:rsidRPr="00F73E8D">
              <w:rPr>
                <w:rFonts w:ascii="Arial" w:hAnsi="Arial" w:cs="Arial"/>
                <w:b/>
                <w:bCs/>
                <w:sz w:val="18"/>
                <w:szCs w:val="18"/>
              </w:rPr>
              <w:t>Year 1</w:t>
            </w:r>
          </w:p>
        </w:tc>
        <w:tc>
          <w:tcPr>
            <w:tcW w:w="900" w:type="dxa"/>
          </w:tcPr>
          <w:p w14:paraId="772603AE" w14:textId="77777777" w:rsidR="00BE2AAE" w:rsidRPr="00F73E8D" w:rsidRDefault="00BE2AAE" w:rsidP="00607FAE">
            <w:pPr>
              <w:rPr>
                <w:rFonts w:ascii="Arial" w:hAnsi="Arial" w:cs="Arial"/>
                <w:b/>
                <w:bCs/>
                <w:sz w:val="18"/>
                <w:szCs w:val="18"/>
              </w:rPr>
            </w:pPr>
            <w:r w:rsidRPr="00F73E8D">
              <w:rPr>
                <w:rFonts w:ascii="Arial" w:hAnsi="Arial" w:cs="Arial"/>
                <w:b/>
                <w:bCs/>
                <w:sz w:val="18"/>
                <w:szCs w:val="18"/>
              </w:rPr>
              <w:t>Year 2</w:t>
            </w:r>
          </w:p>
        </w:tc>
        <w:tc>
          <w:tcPr>
            <w:tcW w:w="985" w:type="dxa"/>
          </w:tcPr>
          <w:p w14:paraId="0868331C" w14:textId="77777777" w:rsidR="00BE2AAE" w:rsidRPr="00F73E8D" w:rsidRDefault="00BE2AAE" w:rsidP="00607FAE">
            <w:pPr>
              <w:rPr>
                <w:rFonts w:ascii="Arial" w:hAnsi="Arial" w:cs="Arial"/>
                <w:b/>
                <w:bCs/>
                <w:sz w:val="18"/>
                <w:szCs w:val="18"/>
              </w:rPr>
            </w:pPr>
            <w:r w:rsidRPr="00F73E8D">
              <w:rPr>
                <w:rFonts w:ascii="Arial" w:hAnsi="Arial" w:cs="Arial"/>
                <w:b/>
                <w:bCs/>
                <w:sz w:val="18"/>
                <w:szCs w:val="18"/>
              </w:rPr>
              <w:t>Year 3</w:t>
            </w:r>
          </w:p>
        </w:tc>
      </w:tr>
      <w:tr w:rsidR="00BE2AAE" w:rsidRPr="00F73E8D" w14:paraId="5CC17956" w14:textId="77777777" w:rsidTr="00BB19F6">
        <w:tc>
          <w:tcPr>
            <w:tcW w:w="4770" w:type="dxa"/>
          </w:tcPr>
          <w:p w14:paraId="05EEF74B" w14:textId="77777777" w:rsidR="00BE2AAE" w:rsidRPr="00F73E8D" w:rsidRDefault="00BE2AAE" w:rsidP="00607FAE">
            <w:pPr>
              <w:rPr>
                <w:rFonts w:ascii="Arial" w:hAnsi="Arial" w:cs="Arial"/>
                <w:sz w:val="20"/>
                <w:szCs w:val="20"/>
              </w:rPr>
            </w:pPr>
            <w:r w:rsidRPr="00F73E8D">
              <w:rPr>
                <w:rFonts w:ascii="Arial" w:hAnsi="Arial" w:cs="Arial"/>
                <w:sz w:val="20"/>
                <w:szCs w:val="20"/>
              </w:rPr>
              <w:t>Comfort in waiting area</w:t>
            </w:r>
          </w:p>
        </w:tc>
        <w:tc>
          <w:tcPr>
            <w:tcW w:w="990" w:type="dxa"/>
          </w:tcPr>
          <w:p w14:paraId="3B91A115" w14:textId="77777777" w:rsidR="00BE2AAE" w:rsidRPr="00F73E8D" w:rsidRDefault="00BE2AAE" w:rsidP="00F73E8D">
            <w:pPr>
              <w:jc w:val="center"/>
              <w:rPr>
                <w:rFonts w:ascii="Arial" w:hAnsi="Arial" w:cs="Arial"/>
                <w:sz w:val="20"/>
                <w:szCs w:val="20"/>
              </w:rPr>
            </w:pPr>
            <w:r w:rsidRPr="00F73E8D">
              <w:rPr>
                <w:rFonts w:ascii="Arial" w:hAnsi="Arial" w:cs="Arial"/>
                <w:sz w:val="20"/>
                <w:szCs w:val="20"/>
              </w:rPr>
              <w:t>67.41</w:t>
            </w:r>
          </w:p>
        </w:tc>
        <w:tc>
          <w:tcPr>
            <w:tcW w:w="990" w:type="dxa"/>
          </w:tcPr>
          <w:p w14:paraId="5CDD7C3E" w14:textId="15A07D5E" w:rsidR="00BE2AAE" w:rsidRPr="00F73E8D" w:rsidRDefault="00BE2AAE" w:rsidP="00F73E8D">
            <w:pPr>
              <w:jc w:val="center"/>
              <w:rPr>
                <w:rFonts w:ascii="Arial" w:hAnsi="Arial" w:cs="Arial"/>
                <w:sz w:val="20"/>
                <w:szCs w:val="20"/>
              </w:rPr>
            </w:pPr>
            <w:r w:rsidRPr="00F73E8D">
              <w:rPr>
                <w:rFonts w:ascii="Arial" w:hAnsi="Arial" w:cs="Arial"/>
                <w:sz w:val="20"/>
                <w:szCs w:val="20"/>
              </w:rPr>
              <w:t>7</w:t>
            </w:r>
            <w:r w:rsidR="00C67387">
              <w:rPr>
                <w:rFonts w:ascii="Arial" w:hAnsi="Arial" w:cs="Arial"/>
                <w:sz w:val="20"/>
                <w:szCs w:val="20"/>
              </w:rPr>
              <w:t>0</w:t>
            </w:r>
          </w:p>
        </w:tc>
        <w:tc>
          <w:tcPr>
            <w:tcW w:w="900" w:type="dxa"/>
          </w:tcPr>
          <w:p w14:paraId="37F439A8" w14:textId="04564B3A" w:rsidR="00BE2AAE" w:rsidRPr="00F73E8D" w:rsidRDefault="00C67387" w:rsidP="00F73E8D">
            <w:pPr>
              <w:jc w:val="center"/>
              <w:rPr>
                <w:rFonts w:ascii="Arial" w:hAnsi="Arial" w:cs="Arial"/>
                <w:sz w:val="20"/>
                <w:szCs w:val="20"/>
              </w:rPr>
            </w:pPr>
            <w:r>
              <w:rPr>
                <w:rFonts w:ascii="Arial" w:hAnsi="Arial" w:cs="Arial"/>
                <w:sz w:val="20"/>
                <w:szCs w:val="20"/>
              </w:rPr>
              <w:t>72</w:t>
            </w:r>
          </w:p>
        </w:tc>
        <w:tc>
          <w:tcPr>
            <w:tcW w:w="985" w:type="dxa"/>
          </w:tcPr>
          <w:p w14:paraId="2F54A16C" w14:textId="30384B09" w:rsidR="00BE2AAE" w:rsidRPr="00F73E8D" w:rsidRDefault="00C67387" w:rsidP="00F73E8D">
            <w:pPr>
              <w:jc w:val="center"/>
              <w:rPr>
                <w:rFonts w:ascii="Arial" w:hAnsi="Arial" w:cs="Arial"/>
                <w:sz w:val="20"/>
                <w:szCs w:val="20"/>
              </w:rPr>
            </w:pPr>
            <w:r>
              <w:rPr>
                <w:rFonts w:ascii="Arial" w:hAnsi="Arial" w:cs="Arial"/>
                <w:sz w:val="20"/>
                <w:szCs w:val="20"/>
              </w:rPr>
              <w:t>75</w:t>
            </w:r>
          </w:p>
        </w:tc>
      </w:tr>
      <w:tr w:rsidR="00BE2AAE" w:rsidRPr="00F73E8D" w14:paraId="07BFF5D9" w14:textId="77777777" w:rsidTr="00BB19F6">
        <w:tc>
          <w:tcPr>
            <w:tcW w:w="4770" w:type="dxa"/>
          </w:tcPr>
          <w:p w14:paraId="0558AE90" w14:textId="77777777" w:rsidR="00BE2AAE" w:rsidRPr="00F73E8D" w:rsidRDefault="00BE2AAE" w:rsidP="00607FAE">
            <w:pPr>
              <w:rPr>
                <w:rFonts w:ascii="Arial" w:hAnsi="Arial" w:cs="Arial"/>
                <w:sz w:val="20"/>
                <w:szCs w:val="20"/>
              </w:rPr>
            </w:pPr>
            <w:r w:rsidRPr="00F73E8D">
              <w:rPr>
                <w:rFonts w:ascii="Arial" w:hAnsi="Arial" w:cs="Arial"/>
                <w:sz w:val="20"/>
                <w:szCs w:val="20"/>
              </w:rPr>
              <w:t>Waiting time to treatment area</w:t>
            </w:r>
          </w:p>
        </w:tc>
        <w:tc>
          <w:tcPr>
            <w:tcW w:w="990" w:type="dxa"/>
          </w:tcPr>
          <w:p w14:paraId="362D8761" w14:textId="77777777" w:rsidR="00BE2AAE" w:rsidRPr="00F73E8D" w:rsidRDefault="00BE2AAE" w:rsidP="00F73E8D">
            <w:pPr>
              <w:jc w:val="center"/>
              <w:rPr>
                <w:rFonts w:ascii="Arial" w:hAnsi="Arial" w:cs="Arial"/>
                <w:sz w:val="20"/>
                <w:szCs w:val="20"/>
              </w:rPr>
            </w:pPr>
            <w:r w:rsidRPr="00F73E8D">
              <w:rPr>
                <w:rFonts w:ascii="Arial" w:hAnsi="Arial" w:cs="Arial"/>
                <w:sz w:val="20"/>
                <w:szCs w:val="20"/>
              </w:rPr>
              <w:t>66.15</w:t>
            </w:r>
          </w:p>
        </w:tc>
        <w:tc>
          <w:tcPr>
            <w:tcW w:w="990" w:type="dxa"/>
          </w:tcPr>
          <w:p w14:paraId="0BAF6F81" w14:textId="315C0A26" w:rsidR="00BE2AAE" w:rsidRPr="00F73E8D" w:rsidRDefault="00BE2AAE" w:rsidP="00F73E8D">
            <w:pPr>
              <w:jc w:val="center"/>
              <w:rPr>
                <w:rFonts w:ascii="Arial" w:hAnsi="Arial" w:cs="Arial"/>
                <w:sz w:val="20"/>
                <w:szCs w:val="20"/>
              </w:rPr>
            </w:pPr>
            <w:r w:rsidRPr="00F73E8D">
              <w:rPr>
                <w:rFonts w:ascii="Arial" w:hAnsi="Arial" w:cs="Arial"/>
                <w:sz w:val="20"/>
                <w:szCs w:val="20"/>
              </w:rPr>
              <w:t>7</w:t>
            </w:r>
            <w:r w:rsidR="00C67387">
              <w:rPr>
                <w:rFonts w:ascii="Arial" w:hAnsi="Arial" w:cs="Arial"/>
                <w:sz w:val="20"/>
                <w:szCs w:val="20"/>
              </w:rPr>
              <w:t>0</w:t>
            </w:r>
          </w:p>
        </w:tc>
        <w:tc>
          <w:tcPr>
            <w:tcW w:w="900" w:type="dxa"/>
          </w:tcPr>
          <w:p w14:paraId="6455647A" w14:textId="2C465CBF" w:rsidR="00BE2AAE" w:rsidRPr="00F73E8D" w:rsidRDefault="00C67387" w:rsidP="00F73E8D">
            <w:pPr>
              <w:jc w:val="center"/>
              <w:rPr>
                <w:rFonts w:ascii="Arial" w:hAnsi="Arial" w:cs="Arial"/>
                <w:sz w:val="20"/>
                <w:szCs w:val="20"/>
              </w:rPr>
            </w:pPr>
            <w:r>
              <w:rPr>
                <w:rFonts w:ascii="Arial" w:hAnsi="Arial" w:cs="Arial"/>
                <w:sz w:val="20"/>
                <w:szCs w:val="20"/>
              </w:rPr>
              <w:t>72</w:t>
            </w:r>
          </w:p>
        </w:tc>
        <w:tc>
          <w:tcPr>
            <w:tcW w:w="985" w:type="dxa"/>
          </w:tcPr>
          <w:p w14:paraId="3AFC9A80" w14:textId="756A0BBD" w:rsidR="00BE2AAE" w:rsidRPr="00F73E8D" w:rsidRDefault="00C67387" w:rsidP="00F73E8D">
            <w:pPr>
              <w:jc w:val="center"/>
              <w:rPr>
                <w:rFonts w:ascii="Arial" w:hAnsi="Arial" w:cs="Arial"/>
                <w:sz w:val="20"/>
                <w:szCs w:val="20"/>
              </w:rPr>
            </w:pPr>
            <w:r>
              <w:rPr>
                <w:rFonts w:ascii="Arial" w:hAnsi="Arial" w:cs="Arial"/>
                <w:sz w:val="20"/>
                <w:szCs w:val="20"/>
              </w:rPr>
              <w:t>75</w:t>
            </w:r>
          </w:p>
        </w:tc>
      </w:tr>
      <w:tr w:rsidR="00BE2AAE" w:rsidRPr="00F73E8D" w14:paraId="734F2179" w14:textId="77777777" w:rsidTr="00BB19F6">
        <w:tc>
          <w:tcPr>
            <w:tcW w:w="4770" w:type="dxa"/>
          </w:tcPr>
          <w:p w14:paraId="6A473509" w14:textId="77777777" w:rsidR="00BE2AAE" w:rsidRPr="00F73E8D" w:rsidRDefault="00BE2AAE" w:rsidP="00607FAE">
            <w:pPr>
              <w:rPr>
                <w:rFonts w:ascii="Arial" w:hAnsi="Arial" w:cs="Arial"/>
                <w:sz w:val="20"/>
                <w:szCs w:val="20"/>
              </w:rPr>
            </w:pPr>
            <w:r w:rsidRPr="00F73E8D">
              <w:rPr>
                <w:rFonts w:ascii="Arial" w:hAnsi="Arial" w:cs="Arial"/>
                <w:sz w:val="20"/>
                <w:szCs w:val="20"/>
              </w:rPr>
              <w:t>Informed about delays</w:t>
            </w:r>
          </w:p>
        </w:tc>
        <w:tc>
          <w:tcPr>
            <w:tcW w:w="990" w:type="dxa"/>
          </w:tcPr>
          <w:p w14:paraId="48CA84BE" w14:textId="77777777" w:rsidR="00BE2AAE" w:rsidRPr="00F73E8D" w:rsidRDefault="00BE2AAE" w:rsidP="00F73E8D">
            <w:pPr>
              <w:jc w:val="center"/>
              <w:rPr>
                <w:rFonts w:ascii="Arial" w:hAnsi="Arial" w:cs="Arial"/>
                <w:sz w:val="20"/>
                <w:szCs w:val="20"/>
              </w:rPr>
            </w:pPr>
            <w:r w:rsidRPr="00F73E8D">
              <w:rPr>
                <w:rFonts w:ascii="Arial" w:hAnsi="Arial" w:cs="Arial"/>
                <w:sz w:val="20"/>
                <w:szCs w:val="20"/>
              </w:rPr>
              <w:t>64.14</w:t>
            </w:r>
          </w:p>
        </w:tc>
        <w:tc>
          <w:tcPr>
            <w:tcW w:w="990" w:type="dxa"/>
          </w:tcPr>
          <w:p w14:paraId="1C534B23" w14:textId="77777777" w:rsidR="00BE2AAE" w:rsidRPr="00F73E8D" w:rsidRDefault="00BE2AAE" w:rsidP="00F73E8D">
            <w:pPr>
              <w:jc w:val="center"/>
              <w:rPr>
                <w:rFonts w:ascii="Arial" w:hAnsi="Arial" w:cs="Arial"/>
                <w:sz w:val="20"/>
                <w:szCs w:val="20"/>
              </w:rPr>
            </w:pPr>
            <w:r w:rsidRPr="00F73E8D">
              <w:rPr>
                <w:rFonts w:ascii="Arial" w:hAnsi="Arial" w:cs="Arial"/>
                <w:sz w:val="20"/>
                <w:szCs w:val="20"/>
              </w:rPr>
              <w:t>69</w:t>
            </w:r>
          </w:p>
        </w:tc>
        <w:tc>
          <w:tcPr>
            <w:tcW w:w="900" w:type="dxa"/>
          </w:tcPr>
          <w:p w14:paraId="42763696" w14:textId="47E15DEF" w:rsidR="00BE2AAE" w:rsidRPr="00F73E8D" w:rsidRDefault="00C67387" w:rsidP="00F73E8D">
            <w:pPr>
              <w:jc w:val="center"/>
              <w:rPr>
                <w:rFonts w:ascii="Arial" w:hAnsi="Arial" w:cs="Arial"/>
                <w:sz w:val="20"/>
                <w:szCs w:val="20"/>
              </w:rPr>
            </w:pPr>
            <w:r>
              <w:rPr>
                <w:rFonts w:ascii="Arial" w:hAnsi="Arial" w:cs="Arial"/>
                <w:sz w:val="20"/>
                <w:szCs w:val="20"/>
              </w:rPr>
              <w:t>72</w:t>
            </w:r>
          </w:p>
        </w:tc>
        <w:tc>
          <w:tcPr>
            <w:tcW w:w="985" w:type="dxa"/>
          </w:tcPr>
          <w:p w14:paraId="4C18ED29" w14:textId="6BDBA798" w:rsidR="00BE2AAE" w:rsidRPr="00F73E8D" w:rsidRDefault="00C67387" w:rsidP="00F73E8D">
            <w:pPr>
              <w:jc w:val="center"/>
              <w:rPr>
                <w:rFonts w:ascii="Arial" w:hAnsi="Arial" w:cs="Arial"/>
                <w:sz w:val="20"/>
                <w:szCs w:val="20"/>
              </w:rPr>
            </w:pPr>
            <w:r>
              <w:rPr>
                <w:rFonts w:ascii="Arial" w:hAnsi="Arial" w:cs="Arial"/>
                <w:sz w:val="20"/>
                <w:szCs w:val="20"/>
              </w:rPr>
              <w:t>75</w:t>
            </w:r>
          </w:p>
        </w:tc>
      </w:tr>
    </w:tbl>
    <w:p w14:paraId="3DC40828" w14:textId="77777777" w:rsidR="00BE2AAE" w:rsidRDefault="00BE2AAE" w:rsidP="00BE2AAE"/>
    <w:p w14:paraId="60CC8885" w14:textId="77777777" w:rsidR="00BB19F6" w:rsidRDefault="00BB19F6" w:rsidP="00BE2AAE"/>
    <w:p w14:paraId="5631FFC3" w14:textId="4011756B" w:rsidR="00BE2AAE" w:rsidRPr="00623EFA" w:rsidRDefault="00BE2AAE" w:rsidP="00623EFA">
      <w:pPr>
        <w:shd w:val="clear" w:color="auto" w:fill="FFFFFF"/>
        <w:spacing w:after="0" w:line="240" w:lineRule="auto"/>
        <w:rPr>
          <w:rFonts w:ascii="Calibri" w:eastAsia="Times New Roman" w:hAnsi="Calibri" w:cs="Calibri"/>
          <w:color w:val="000000"/>
        </w:rPr>
      </w:pPr>
      <w:r w:rsidRPr="00411DB8">
        <w:rPr>
          <w:rFonts w:ascii="Arial" w:hAnsi="Arial" w:cs="Arial"/>
          <w:b/>
          <w:kern w:val="2"/>
          <w:sz w:val="20"/>
          <w:szCs w:val="20"/>
        </w:rPr>
        <w:lastRenderedPageBreak/>
        <w:t>F1.b.iii</w:t>
      </w:r>
      <w:r w:rsidRPr="00411DB8">
        <w:rPr>
          <w:rFonts w:ascii="Arial" w:hAnsi="Arial" w:cs="Arial"/>
          <w:b/>
          <w:kern w:val="2"/>
          <w:sz w:val="20"/>
          <w:szCs w:val="20"/>
        </w:rPr>
        <w:tab/>
      </w:r>
      <w:r w:rsidRPr="00411DB8">
        <w:rPr>
          <w:rFonts w:ascii="Arial" w:hAnsi="Arial" w:cs="Arial"/>
          <w:kern w:val="2"/>
          <w:sz w:val="20"/>
          <w:szCs w:val="20"/>
        </w:rPr>
        <w:tab/>
      </w:r>
      <w:r w:rsidRPr="00411DB8">
        <w:rPr>
          <w:rFonts w:ascii="Arial" w:hAnsi="Arial" w:cs="Arial"/>
          <w:b/>
          <w:kern w:val="2"/>
          <w:sz w:val="20"/>
          <w:szCs w:val="20"/>
          <w:u w:val="single"/>
        </w:rPr>
        <w:t>Public Health Value /Health Equity-Focused:</w:t>
      </w:r>
    </w:p>
    <w:p w14:paraId="572DB5E7" w14:textId="77777777" w:rsidR="00BE2AAE" w:rsidRPr="00411DB8" w:rsidRDefault="00BE2AAE" w:rsidP="00BE2AAE">
      <w:pPr>
        <w:pStyle w:val="BodyText"/>
        <w:widowControl/>
        <w:spacing w:before="0" w:after="120"/>
        <w:ind w:left="1440"/>
        <w:jc w:val="both"/>
        <w:rPr>
          <w:rFonts w:ascii="Arial" w:hAnsi="Arial" w:cs="Arial"/>
          <w:b/>
          <w:kern w:val="2"/>
          <w:sz w:val="20"/>
          <w:szCs w:val="20"/>
        </w:rPr>
      </w:pPr>
      <w:r w:rsidRPr="00411DB8">
        <w:rPr>
          <w:rFonts w:ascii="Arial" w:hAnsi="Arial" w:cs="Arial"/>
          <w:b/>
          <w:kern w:val="2"/>
          <w:sz w:val="20"/>
          <w:szCs w:val="20"/>
        </w:rPr>
        <w:t xml:space="preserve">For Proposed Projects addressing health inequities identified within the Applicant's description of the Proposed Project's </w:t>
      </w:r>
      <w:proofErr w:type="spellStart"/>
      <w:r w:rsidRPr="00411DB8">
        <w:rPr>
          <w:rFonts w:ascii="Arial" w:hAnsi="Arial" w:cs="Arial"/>
          <w:b/>
          <w:kern w:val="2"/>
          <w:sz w:val="20"/>
          <w:szCs w:val="20"/>
        </w:rPr>
        <w:t>need</w:t>
      </w:r>
      <w:r w:rsidRPr="00411DB8">
        <w:rPr>
          <w:rFonts w:ascii="Arial" w:hAnsi="Arial" w:cs="Arial"/>
          <w:b/>
          <w:kern w:val="2"/>
          <w:sz w:val="20"/>
          <w:szCs w:val="20"/>
        </w:rPr>
        <w:softHyphen/>
        <w:t>base</w:t>
      </w:r>
      <w:proofErr w:type="spellEnd"/>
      <w:r w:rsidRPr="00411DB8">
        <w:rPr>
          <w:rFonts w:ascii="Arial" w:hAnsi="Arial" w:cs="Arial"/>
          <w:b/>
          <w:kern w:val="2"/>
          <w:sz w:val="20"/>
          <w:szCs w:val="20"/>
        </w:rPr>
        <w:t>, please justify how the Proposed Project will reduce the health inequity, including the operational components (e.g. culturally competent staffing). For Proposed Projects not specifically addressing a health disparity or inequity, please provide information about specific actions the Applicant is and will take to ensure equal access to the health benefits created by the Proposed Project and how these actions will promote health equity.</w:t>
      </w:r>
    </w:p>
    <w:p w14:paraId="0FA84580" w14:textId="14873E64" w:rsidR="00BE2AAE" w:rsidRPr="00A0112A" w:rsidRDefault="00BE2AAE" w:rsidP="00BE2AAE">
      <w:pPr>
        <w:spacing w:after="120" w:line="240" w:lineRule="auto"/>
        <w:jc w:val="both"/>
        <w:rPr>
          <w:rFonts w:ascii="Arial" w:hAnsi="Arial" w:cs="Arial"/>
          <w:sz w:val="20"/>
          <w:szCs w:val="20"/>
        </w:rPr>
      </w:pPr>
      <w:r w:rsidRPr="00411DB8">
        <w:rPr>
          <w:rFonts w:ascii="Arial" w:hAnsi="Arial" w:cs="Arial"/>
          <w:sz w:val="20"/>
          <w:szCs w:val="20"/>
        </w:rPr>
        <w:t xml:space="preserve">The Proposed Project will work to reduce health inequity through increasing and improving access to </w:t>
      </w:r>
      <w:r>
        <w:rPr>
          <w:rFonts w:ascii="Arial" w:hAnsi="Arial" w:cs="Arial"/>
          <w:sz w:val="20"/>
          <w:szCs w:val="20"/>
        </w:rPr>
        <w:t>emergency services</w:t>
      </w:r>
      <w:r w:rsidRPr="00411DB8">
        <w:rPr>
          <w:rFonts w:ascii="Arial" w:hAnsi="Arial" w:cs="Arial"/>
          <w:sz w:val="20"/>
          <w:szCs w:val="20"/>
        </w:rPr>
        <w:t xml:space="preserve"> to </w:t>
      </w:r>
      <w:r>
        <w:rPr>
          <w:rFonts w:ascii="Arial" w:hAnsi="Arial" w:cs="Arial"/>
          <w:sz w:val="20"/>
          <w:szCs w:val="20"/>
        </w:rPr>
        <w:t xml:space="preserve">the </w:t>
      </w:r>
      <w:r w:rsidR="00231A56" w:rsidRPr="00231A56">
        <w:rPr>
          <w:rFonts w:ascii="Arial" w:hAnsi="Arial" w:cs="Arial"/>
          <w:sz w:val="20"/>
          <w:szCs w:val="20"/>
        </w:rPr>
        <w:t>Plymouth</w:t>
      </w:r>
      <w:r>
        <w:rPr>
          <w:rFonts w:ascii="Arial" w:hAnsi="Arial" w:cs="Arial"/>
          <w:sz w:val="20"/>
          <w:szCs w:val="20"/>
        </w:rPr>
        <w:t xml:space="preserve"> community</w:t>
      </w:r>
      <w:r w:rsidRPr="00411DB8">
        <w:rPr>
          <w:rFonts w:ascii="Arial" w:hAnsi="Arial" w:cs="Arial"/>
          <w:sz w:val="20"/>
          <w:szCs w:val="20"/>
        </w:rPr>
        <w:t xml:space="preserve">.  </w:t>
      </w:r>
      <w:r w:rsidR="00F73E8D">
        <w:rPr>
          <w:rFonts w:ascii="Arial" w:hAnsi="Arial" w:cs="Arial"/>
          <w:sz w:val="20"/>
          <w:szCs w:val="20"/>
        </w:rPr>
        <w:t>BID-</w:t>
      </w:r>
      <w:r w:rsidR="00231A56">
        <w:rPr>
          <w:rFonts w:ascii="Arial" w:hAnsi="Arial" w:cs="Arial"/>
          <w:sz w:val="20"/>
          <w:szCs w:val="20"/>
        </w:rPr>
        <w:t>P</w:t>
      </w:r>
      <w:r w:rsidR="00623EFA">
        <w:rPr>
          <w:rFonts w:ascii="Arial" w:hAnsi="Arial" w:cs="Arial"/>
          <w:sz w:val="20"/>
          <w:szCs w:val="20"/>
        </w:rPr>
        <w:t>lymouth</w:t>
      </w:r>
      <w:r w:rsidRPr="00411DB8">
        <w:rPr>
          <w:rFonts w:ascii="Arial" w:hAnsi="Arial" w:cs="Arial"/>
          <w:sz w:val="20"/>
          <w:szCs w:val="20"/>
        </w:rPr>
        <w:t xml:space="preserve"> welcomes all patients and does not discriminate </w:t>
      </w:r>
      <w:proofErr w:type="gramStart"/>
      <w:r w:rsidRPr="00411DB8">
        <w:rPr>
          <w:rFonts w:ascii="Arial" w:hAnsi="Arial" w:cs="Arial"/>
          <w:sz w:val="20"/>
          <w:szCs w:val="20"/>
        </w:rPr>
        <w:t>on the basis of</w:t>
      </w:r>
      <w:proofErr w:type="gramEnd"/>
      <w:r w:rsidRPr="00411DB8">
        <w:rPr>
          <w:rFonts w:ascii="Arial" w:hAnsi="Arial" w:cs="Arial"/>
          <w:sz w:val="20"/>
          <w:szCs w:val="20"/>
        </w:rPr>
        <w:t xml:space="preserve"> age, race, ethnicity, gender/gender-identity, physical ability, sensory or speech limitations, or religious, spiritual and cultural beliefs, nor a patient’s ability to pay or payer source. </w:t>
      </w:r>
      <w:r w:rsidR="00F73E8D">
        <w:rPr>
          <w:rFonts w:ascii="Arial" w:hAnsi="Arial" w:cs="Arial"/>
          <w:sz w:val="20"/>
          <w:szCs w:val="20"/>
        </w:rPr>
        <w:t>BID-</w:t>
      </w:r>
      <w:r w:rsidR="00231A56">
        <w:rPr>
          <w:rFonts w:ascii="Arial" w:hAnsi="Arial" w:cs="Arial"/>
          <w:sz w:val="20"/>
          <w:szCs w:val="20"/>
        </w:rPr>
        <w:t>P</w:t>
      </w:r>
      <w:r w:rsidR="00623EFA">
        <w:rPr>
          <w:rFonts w:ascii="Arial" w:hAnsi="Arial" w:cs="Arial"/>
          <w:sz w:val="20"/>
          <w:szCs w:val="20"/>
        </w:rPr>
        <w:t>lymouth</w:t>
      </w:r>
      <w:r w:rsidRPr="00411DB8">
        <w:rPr>
          <w:rFonts w:ascii="Arial" w:hAnsi="Arial" w:cs="Arial"/>
          <w:sz w:val="20"/>
          <w:szCs w:val="20"/>
        </w:rPr>
        <w:t xml:space="preserve"> has implemented to following initiatives to facilitate equitable access to its services, including radiation oncology.</w:t>
      </w:r>
    </w:p>
    <w:p w14:paraId="457EE62A" w14:textId="77777777" w:rsidR="00BE2AAE" w:rsidRPr="00411DB8" w:rsidRDefault="00BE2AAE" w:rsidP="00BE2AAE">
      <w:pPr>
        <w:pStyle w:val="BodyText"/>
        <w:widowControl/>
        <w:numPr>
          <w:ilvl w:val="0"/>
          <w:numId w:val="5"/>
        </w:numPr>
        <w:spacing w:before="0"/>
        <w:jc w:val="both"/>
        <w:rPr>
          <w:rFonts w:ascii="Arial" w:eastAsiaTheme="minorHAnsi" w:hAnsi="Arial" w:cs="Arial"/>
          <w:sz w:val="20"/>
          <w:szCs w:val="20"/>
          <w:u w:val="single"/>
        </w:rPr>
      </w:pPr>
      <w:r w:rsidRPr="00411DB8">
        <w:rPr>
          <w:rFonts w:ascii="Arial" w:eastAsiaTheme="minorHAnsi" w:hAnsi="Arial" w:cs="Arial"/>
          <w:sz w:val="20"/>
          <w:szCs w:val="20"/>
          <w:u w:val="single"/>
        </w:rPr>
        <w:t xml:space="preserve">Ensuring Language Accessibility </w:t>
      </w:r>
    </w:p>
    <w:p w14:paraId="3050A89C" w14:textId="0C187D32" w:rsidR="00BE2AAE" w:rsidRPr="00192F00" w:rsidRDefault="00F73E8D" w:rsidP="00BE2AAE">
      <w:pPr>
        <w:pStyle w:val="NormalWeb"/>
        <w:shd w:val="clear" w:color="auto" w:fill="FFFFFF"/>
        <w:spacing w:before="120" w:beforeAutospacing="0" w:after="120" w:afterAutospacing="0"/>
        <w:jc w:val="both"/>
        <w:rPr>
          <w:rFonts w:ascii="Arial" w:hAnsi="Arial" w:cs="Arial"/>
          <w:sz w:val="20"/>
          <w:szCs w:val="20"/>
        </w:rPr>
      </w:pPr>
      <w:r>
        <w:rPr>
          <w:rFonts w:ascii="Arial" w:hAnsi="Arial" w:cs="Arial"/>
          <w:sz w:val="20"/>
          <w:szCs w:val="20"/>
        </w:rPr>
        <w:t>BID-</w:t>
      </w:r>
      <w:r w:rsidR="00231A56">
        <w:rPr>
          <w:rFonts w:ascii="Arial" w:hAnsi="Arial" w:cs="Arial"/>
          <w:sz w:val="20"/>
          <w:szCs w:val="20"/>
        </w:rPr>
        <w:t>P</w:t>
      </w:r>
      <w:r w:rsidR="00623EFA">
        <w:rPr>
          <w:rFonts w:ascii="Arial" w:hAnsi="Arial" w:cs="Arial"/>
          <w:sz w:val="20"/>
          <w:szCs w:val="20"/>
        </w:rPr>
        <w:t>lymouth</w:t>
      </w:r>
      <w:r w:rsidR="00BE2AAE" w:rsidRPr="00192F00">
        <w:rPr>
          <w:rFonts w:ascii="Arial" w:hAnsi="Arial" w:cs="Arial"/>
          <w:sz w:val="20"/>
          <w:szCs w:val="20"/>
        </w:rPr>
        <w:t xml:space="preserve"> is committed to ensuring </w:t>
      </w:r>
      <w:r w:rsidR="00BE2AAE">
        <w:rPr>
          <w:rFonts w:ascii="Arial" w:hAnsi="Arial" w:cs="Arial"/>
          <w:sz w:val="20"/>
          <w:szCs w:val="20"/>
        </w:rPr>
        <w:t>its</w:t>
      </w:r>
      <w:r w:rsidR="00BE2AAE" w:rsidRPr="00192F00">
        <w:rPr>
          <w:rFonts w:ascii="Arial" w:hAnsi="Arial" w:cs="Arial"/>
          <w:sz w:val="20"/>
          <w:szCs w:val="20"/>
        </w:rPr>
        <w:t xml:space="preserve"> healthcare providers and staff </w:t>
      </w:r>
      <w:proofErr w:type="gramStart"/>
      <w:r w:rsidR="00BE2AAE" w:rsidRPr="00192F00">
        <w:rPr>
          <w:rFonts w:ascii="Arial" w:hAnsi="Arial" w:cs="Arial"/>
          <w:sz w:val="20"/>
          <w:szCs w:val="20"/>
        </w:rPr>
        <w:t xml:space="preserve">have </w:t>
      </w:r>
      <w:r w:rsidR="00BE2AAE">
        <w:rPr>
          <w:rFonts w:ascii="Arial" w:hAnsi="Arial" w:cs="Arial"/>
          <w:sz w:val="20"/>
          <w:szCs w:val="20"/>
        </w:rPr>
        <w:t>the opportunity</w:t>
      </w:r>
      <w:r w:rsidR="00BE2AAE" w:rsidRPr="00192F00">
        <w:rPr>
          <w:rFonts w:ascii="Arial" w:hAnsi="Arial" w:cs="Arial"/>
          <w:sz w:val="20"/>
          <w:szCs w:val="20"/>
        </w:rPr>
        <w:t xml:space="preserve"> to</w:t>
      </w:r>
      <w:proofErr w:type="gramEnd"/>
      <w:r w:rsidR="00BE2AAE" w:rsidRPr="00192F00">
        <w:rPr>
          <w:rFonts w:ascii="Arial" w:hAnsi="Arial" w:cs="Arial"/>
          <w:sz w:val="20"/>
          <w:szCs w:val="20"/>
        </w:rPr>
        <w:t xml:space="preserve"> establish direct relationship</w:t>
      </w:r>
      <w:r w:rsidR="00BE2AAE">
        <w:rPr>
          <w:rFonts w:ascii="Arial" w:hAnsi="Arial" w:cs="Arial"/>
          <w:sz w:val="20"/>
          <w:szCs w:val="20"/>
        </w:rPr>
        <w:t xml:space="preserve">s with all patients. To that end, </w:t>
      </w:r>
      <w:r>
        <w:rPr>
          <w:rFonts w:ascii="Arial" w:hAnsi="Arial" w:cs="Arial"/>
          <w:sz w:val="20"/>
          <w:szCs w:val="20"/>
        </w:rPr>
        <w:t>BID-</w:t>
      </w:r>
      <w:r w:rsidR="00231A56">
        <w:rPr>
          <w:rFonts w:ascii="Arial" w:hAnsi="Arial" w:cs="Arial"/>
          <w:sz w:val="20"/>
          <w:szCs w:val="20"/>
        </w:rPr>
        <w:t>P</w:t>
      </w:r>
      <w:r w:rsidR="00623EFA">
        <w:rPr>
          <w:rFonts w:ascii="Arial" w:hAnsi="Arial" w:cs="Arial"/>
          <w:sz w:val="20"/>
          <w:szCs w:val="20"/>
        </w:rPr>
        <w:t>lymouth</w:t>
      </w:r>
      <w:r w:rsidR="00BE2AAE" w:rsidRPr="00192F00">
        <w:rPr>
          <w:rFonts w:ascii="Arial" w:hAnsi="Arial" w:cs="Arial"/>
          <w:sz w:val="20"/>
          <w:szCs w:val="20"/>
        </w:rPr>
        <w:t xml:space="preserve"> offers language services in person, </w:t>
      </w:r>
      <w:r w:rsidR="00BE2AAE">
        <w:rPr>
          <w:rFonts w:ascii="Arial" w:hAnsi="Arial" w:cs="Arial"/>
          <w:sz w:val="20"/>
          <w:szCs w:val="20"/>
        </w:rPr>
        <w:t>remote video</w:t>
      </w:r>
      <w:r w:rsidR="00BE2AAE" w:rsidRPr="00192F00">
        <w:rPr>
          <w:rFonts w:ascii="Arial" w:hAnsi="Arial" w:cs="Arial"/>
          <w:sz w:val="20"/>
          <w:szCs w:val="20"/>
        </w:rPr>
        <w:t>, and telephonically</w:t>
      </w:r>
      <w:r w:rsidR="00BE2AAE">
        <w:rPr>
          <w:rFonts w:ascii="Arial" w:hAnsi="Arial" w:cs="Arial"/>
          <w:sz w:val="20"/>
          <w:szCs w:val="20"/>
        </w:rPr>
        <w:t xml:space="preserve"> at no-charge </w:t>
      </w:r>
      <w:proofErr w:type="gramStart"/>
      <w:r w:rsidR="00BE2AAE">
        <w:rPr>
          <w:rFonts w:ascii="Arial" w:hAnsi="Arial" w:cs="Arial"/>
          <w:sz w:val="20"/>
          <w:szCs w:val="20"/>
        </w:rPr>
        <w:t>in order to</w:t>
      </w:r>
      <w:proofErr w:type="gramEnd"/>
      <w:r w:rsidR="00BE2AAE">
        <w:rPr>
          <w:rFonts w:ascii="Arial" w:hAnsi="Arial" w:cs="Arial"/>
          <w:sz w:val="20"/>
          <w:szCs w:val="20"/>
        </w:rPr>
        <w:t xml:space="preserve"> enable meaningful and accurate communication between staff and patients. Interpreter</w:t>
      </w:r>
      <w:r w:rsidR="00BE2AAE" w:rsidRPr="00192F00">
        <w:rPr>
          <w:rFonts w:ascii="Arial" w:hAnsi="Arial" w:cs="Arial"/>
          <w:sz w:val="20"/>
          <w:szCs w:val="20"/>
        </w:rPr>
        <w:t xml:space="preserve"> services are available for over 100 different languages</w:t>
      </w:r>
      <w:r w:rsidR="00BE2AAE">
        <w:rPr>
          <w:rFonts w:ascii="Arial" w:hAnsi="Arial" w:cs="Arial"/>
          <w:sz w:val="20"/>
          <w:szCs w:val="20"/>
        </w:rPr>
        <w:t xml:space="preserve">, including </w:t>
      </w:r>
      <w:r w:rsidR="00BE2AAE" w:rsidRPr="00411DB8">
        <w:rPr>
          <w:rFonts w:ascii="Arial" w:hAnsi="Arial" w:cs="Arial"/>
          <w:sz w:val="20"/>
          <w:szCs w:val="20"/>
        </w:rPr>
        <w:t>American Sign Language</w:t>
      </w:r>
      <w:r w:rsidR="00BE2AAE">
        <w:rPr>
          <w:rFonts w:ascii="Arial" w:hAnsi="Arial" w:cs="Arial"/>
          <w:sz w:val="20"/>
          <w:szCs w:val="20"/>
        </w:rPr>
        <w:t xml:space="preserve">, </w:t>
      </w:r>
      <w:r w:rsidR="00BE2AAE" w:rsidRPr="00192F00">
        <w:rPr>
          <w:rFonts w:ascii="Arial" w:hAnsi="Arial" w:cs="Arial"/>
          <w:sz w:val="20"/>
          <w:szCs w:val="20"/>
        </w:rPr>
        <w:t>and can be used 24 hours/7 days a week</w:t>
      </w:r>
      <w:r w:rsidR="00BE2AAE">
        <w:rPr>
          <w:rFonts w:ascii="Arial" w:hAnsi="Arial" w:cs="Arial"/>
          <w:sz w:val="20"/>
          <w:szCs w:val="20"/>
        </w:rPr>
        <w:t xml:space="preserve">. </w:t>
      </w:r>
      <w:r w:rsidR="00BE2AAE" w:rsidRPr="00192F00">
        <w:rPr>
          <w:rFonts w:ascii="Arial" w:hAnsi="Arial" w:cs="Arial"/>
          <w:sz w:val="20"/>
          <w:szCs w:val="20"/>
        </w:rPr>
        <w:t xml:space="preserve">Trained medical interpreters act as a conduit to </w:t>
      </w:r>
      <w:r w:rsidR="00BE2AAE">
        <w:rPr>
          <w:rFonts w:ascii="Arial" w:hAnsi="Arial" w:cs="Arial"/>
          <w:sz w:val="20"/>
          <w:szCs w:val="20"/>
        </w:rPr>
        <w:t>facilitate</w:t>
      </w:r>
      <w:r w:rsidR="00BE2AAE" w:rsidRPr="00192F00">
        <w:rPr>
          <w:rFonts w:ascii="Arial" w:hAnsi="Arial" w:cs="Arial"/>
          <w:sz w:val="20"/>
          <w:szCs w:val="20"/>
        </w:rPr>
        <w:t xml:space="preserve"> communication between patients, families, staff, and healthcare providers. In addition, </w:t>
      </w:r>
      <w:r>
        <w:rPr>
          <w:rFonts w:ascii="Arial" w:hAnsi="Arial" w:cs="Arial"/>
          <w:sz w:val="20"/>
          <w:szCs w:val="20"/>
        </w:rPr>
        <w:t>BID-</w:t>
      </w:r>
      <w:r w:rsidR="00231A56">
        <w:rPr>
          <w:rFonts w:ascii="Arial" w:hAnsi="Arial" w:cs="Arial"/>
          <w:sz w:val="20"/>
          <w:szCs w:val="20"/>
        </w:rPr>
        <w:t>P</w:t>
      </w:r>
      <w:r w:rsidR="00623EFA">
        <w:rPr>
          <w:rFonts w:ascii="Arial" w:hAnsi="Arial" w:cs="Arial"/>
          <w:sz w:val="20"/>
          <w:szCs w:val="20"/>
        </w:rPr>
        <w:t>lymouth</w:t>
      </w:r>
      <w:r w:rsidR="00BE2AAE" w:rsidRPr="00192F00">
        <w:rPr>
          <w:rFonts w:ascii="Arial" w:hAnsi="Arial" w:cs="Arial"/>
          <w:sz w:val="20"/>
          <w:szCs w:val="20"/>
        </w:rPr>
        <w:t>’s medical interpreters assist patients and family members with outpatient testing and treatment, during hospitalizations and in the Emergency Department. Trained medical interpreters inform patients and families about procedures, medications, social services, financial topics, and other important information.</w:t>
      </w:r>
    </w:p>
    <w:p w14:paraId="216129DD" w14:textId="4B139146" w:rsidR="00BE2AAE" w:rsidRPr="00411DB8" w:rsidRDefault="00BE2AAE" w:rsidP="00BE2AAE">
      <w:pPr>
        <w:pStyle w:val="NormalWeb"/>
        <w:shd w:val="clear" w:color="auto" w:fill="FFFFFF"/>
        <w:spacing w:before="0" w:beforeAutospacing="0" w:after="120" w:afterAutospacing="0"/>
        <w:jc w:val="both"/>
        <w:rPr>
          <w:rFonts w:ascii="Arial" w:hAnsi="Arial" w:cs="Arial"/>
          <w:sz w:val="20"/>
          <w:szCs w:val="20"/>
        </w:rPr>
      </w:pPr>
      <w:r w:rsidRPr="00411DB8">
        <w:rPr>
          <w:rFonts w:ascii="Arial" w:hAnsi="Arial" w:cs="Arial"/>
          <w:sz w:val="20"/>
          <w:szCs w:val="20"/>
        </w:rPr>
        <w:t xml:space="preserve">As its Patient Panel grows in both size and diversity, the Hospital's Interpreter Services Department has expanded to meet its patients’ needs. The number of requested and completed language services encounters in FY 2021 was 5,235 and increased </w:t>
      </w:r>
      <w:r>
        <w:rPr>
          <w:rFonts w:ascii="Arial" w:hAnsi="Arial" w:cs="Arial"/>
          <w:sz w:val="20"/>
          <w:szCs w:val="20"/>
        </w:rPr>
        <w:t xml:space="preserve">55% </w:t>
      </w:r>
      <w:r w:rsidRPr="00411DB8">
        <w:rPr>
          <w:rFonts w:ascii="Arial" w:hAnsi="Arial" w:cs="Arial"/>
          <w:sz w:val="20"/>
          <w:szCs w:val="20"/>
        </w:rPr>
        <w:t xml:space="preserve">to 8,111 in FY 2022. </w:t>
      </w:r>
      <w:r w:rsidR="00F73E8D">
        <w:rPr>
          <w:rFonts w:ascii="Arial" w:hAnsi="Arial" w:cs="Arial"/>
          <w:sz w:val="20"/>
          <w:szCs w:val="20"/>
        </w:rPr>
        <w:t>BID-</w:t>
      </w:r>
      <w:r w:rsidR="00231A56">
        <w:rPr>
          <w:rFonts w:ascii="Arial" w:hAnsi="Arial" w:cs="Arial"/>
          <w:sz w:val="20"/>
          <w:szCs w:val="20"/>
        </w:rPr>
        <w:t>P</w:t>
      </w:r>
      <w:r w:rsidR="00623EFA">
        <w:rPr>
          <w:rFonts w:ascii="Arial" w:hAnsi="Arial" w:cs="Arial"/>
          <w:sz w:val="20"/>
          <w:szCs w:val="20"/>
        </w:rPr>
        <w:t>lymouth</w:t>
      </w:r>
      <w:r w:rsidRPr="00411DB8">
        <w:rPr>
          <w:rFonts w:ascii="Arial" w:hAnsi="Arial" w:cs="Arial"/>
          <w:sz w:val="20"/>
          <w:szCs w:val="20"/>
        </w:rPr>
        <w:t xml:space="preserve"> currently employs one (1) full time medical interpreter/coordinator and one (1) per diem medical interpreter. In addition, </w:t>
      </w:r>
      <w:r w:rsidR="00F73E8D">
        <w:rPr>
          <w:rFonts w:ascii="Arial" w:hAnsi="Arial" w:cs="Arial"/>
          <w:sz w:val="20"/>
          <w:szCs w:val="20"/>
        </w:rPr>
        <w:t>BID-</w:t>
      </w:r>
      <w:r w:rsidR="00231A56">
        <w:rPr>
          <w:rFonts w:ascii="Arial" w:hAnsi="Arial" w:cs="Arial"/>
          <w:sz w:val="20"/>
          <w:szCs w:val="20"/>
        </w:rPr>
        <w:t>P</w:t>
      </w:r>
      <w:r w:rsidR="00623EFA">
        <w:rPr>
          <w:rFonts w:ascii="Arial" w:hAnsi="Arial" w:cs="Arial"/>
          <w:sz w:val="20"/>
          <w:szCs w:val="20"/>
        </w:rPr>
        <w:t>lymouth</w:t>
      </w:r>
      <w:r w:rsidRPr="00411DB8">
        <w:rPr>
          <w:rFonts w:ascii="Arial" w:hAnsi="Arial" w:cs="Arial"/>
          <w:sz w:val="20"/>
          <w:szCs w:val="20"/>
        </w:rPr>
        <w:t xml:space="preserve"> has 12+ iPads, at least one </w:t>
      </w:r>
      <w:r>
        <w:rPr>
          <w:rFonts w:ascii="Arial" w:hAnsi="Arial" w:cs="Arial"/>
          <w:sz w:val="20"/>
          <w:szCs w:val="20"/>
        </w:rPr>
        <w:t>for</w:t>
      </w:r>
      <w:r w:rsidRPr="00411DB8">
        <w:rPr>
          <w:rFonts w:ascii="Arial" w:hAnsi="Arial" w:cs="Arial"/>
          <w:sz w:val="20"/>
          <w:szCs w:val="20"/>
        </w:rPr>
        <w:t xml:space="preserve"> each unit, used for video remote interpreting (VRI), which helps reduce wait times and increases effectiveness and efficiency of language services. </w:t>
      </w:r>
      <w:r w:rsidR="00F73E8D">
        <w:rPr>
          <w:rFonts w:ascii="Arial" w:hAnsi="Arial" w:cs="Arial"/>
          <w:sz w:val="20"/>
          <w:szCs w:val="20"/>
        </w:rPr>
        <w:t>BID-</w:t>
      </w:r>
      <w:r w:rsidR="00231A56">
        <w:rPr>
          <w:rFonts w:ascii="Arial" w:hAnsi="Arial" w:cs="Arial"/>
          <w:sz w:val="20"/>
          <w:szCs w:val="20"/>
        </w:rPr>
        <w:t>P</w:t>
      </w:r>
      <w:r w:rsidR="00623EFA">
        <w:rPr>
          <w:rFonts w:ascii="Arial" w:hAnsi="Arial" w:cs="Arial"/>
          <w:sz w:val="20"/>
          <w:szCs w:val="20"/>
        </w:rPr>
        <w:t>lymouth</w:t>
      </w:r>
      <w:r w:rsidRPr="00411DB8">
        <w:rPr>
          <w:rFonts w:ascii="Arial" w:hAnsi="Arial" w:cs="Arial"/>
          <w:sz w:val="20"/>
          <w:szCs w:val="20"/>
        </w:rPr>
        <w:t xml:space="preserve"> is also currently contracted with three </w:t>
      </w:r>
      <w:r>
        <w:rPr>
          <w:rFonts w:ascii="Arial" w:hAnsi="Arial" w:cs="Arial"/>
          <w:sz w:val="20"/>
          <w:szCs w:val="20"/>
        </w:rPr>
        <w:t>vendors</w:t>
      </w:r>
      <w:r w:rsidRPr="00411DB8">
        <w:rPr>
          <w:rFonts w:ascii="Arial" w:hAnsi="Arial" w:cs="Arial"/>
          <w:sz w:val="20"/>
          <w:szCs w:val="20"/>
        </w:rPr>
        <w:t xml:space="preserve"> to meet language demands: two that provide VRI and OPI (over the phone) language services and two that provide in person/</w:t>
      </w:r>
      <w:proofErr w:type="spellStart"/>
      <w:r w:rsidRPr="00411DB8">
        <w:rPr>
          <w:rFonts w:ascii="Arial" w:hAnsi="Arial" w:cs="Arial"/>
          <w:sz w:val="20"/>
          <w:szCs w:val="20"/>
        </w:rPr>
        <w:t>on site</w:t>
      </w:r>
      <w:proofErr w:type="spellEnd"/>
      <w:r w:rsidRPr="00411DB8">
        <w:rPr>
          <w:rFonts w:ascii="Arial" w:hAnsi="Arial" w:cs="Arial"/>
          <w:sz w:val="20"/>
          <w:szCs w:val="20"/>
        </w:rPr>
        <w:t xml:space="preserve"> interpreters. In addition, assistive listening devices, such as </w:t>
      </w:r>
      <w:proofErr w:type="spellStart"/>
      <w:r w:rsidRPr="00411DB8">
        <w:rPr>
          <w:rFonts w:ascii="Arial" w:hAnsi="Arial" w:cs="Arial"/>
          <w:sz w:val="20"/>
          <w:szCs w:val="20"/>
        </w:rPr>
        <w:t>PocketTalkers</w:t>
      </w:r>
      <w:proofErr w:type="spellEnd"/>
      <w:r w:rsidRPr="00411DB8">
        <w:rPr>
          <w:rFonts w:ascii="Arial" w:hAnsi="Arial" w:cs="Arial"/>
          <w:sz w:val="20"/>
          <w:szCs w:val="20"/>
        </w:rPr>
        <w:t xml:space="preserve"> and telephone volume amplifiers, are available to assist </w:t>
      </w:r>
      <w:r>
        <w:rPr>
          <w:rFonts w:ascii="Arial" w:hAnsi="Arial" w:cs="Arial"/>
          <w:sz w:val="20"/>
          <w:szCs w:val="20"/>
        </w:rPr>
        <w:t>deaf and hard of hearing</w:t>
      </w:r>
      <w:r w:rsidRPr="00411DB8">
        <w:rPr>
          <w:rFonts w:ascii="Arial" w:hAnsi="Arial" w:cs="Arial"/>
          <w:sz w:val="20"/>
          <w:szCs w:val="20"/>
        </w:rPr>
        <w:t xml:space="preserve"> patients</w:t>
      </w:r>
      <w:r>
        <w:rPr>
          <w:rFonts w:ascii="Arial" w:hAnsi="Arial" w:cs="Arial"/>
          <w:sz w:val="20"/>
          <w:szCs w:val="20"/>
        </w:rPr>
        <w:t xml:space="preserve"> and family members</w:t>
      </w:r>
      <w:r w:rsidRPr="00411DB8">
        <w:rPr>
          <w:rFonts w:ascii="Arial" w:hAnsi="Arial" w:cs="Arial"/>
          <w:sz w:val="20"/>
          <w:szCs w:val="20"/>
        </w:rPr>
        <w:t>.</w:t>
      </w:r>
    </w:p>
    <w:p w14:paraId="278FB7D0" w14:textId="77777777" w:rsidR="00BE2AAE" w:rsidRPr="00411DB8" w:rsidRDefault="00BE2AAE" w:rsidP="00BE2AAE">
      <w:pPr>
        <w:pStyle w:val="NormalWeb"/>
        <w:numPr>
          <w:ilvl w:val="0"/>
          <w:numId w:val="5"/>
        </w:numPr>
        <w:shd w:val="clear" w:color="auto" w:fill="FFFFFF"/>
        <w:spacing w:before="0" w:beforeAutospacing="0" w:after="0" w:afterAutospacing="0"/>
        <w:rPr>
          <w:rFonts w:ascii="Arial" w:hAnsi="Arial" w:cs="Arial"/>
          <w:sz w:val="20"/>
          <w:szCs w:val="20"/>
          <w:u w:val="single"/>
        </w:rPr>
      </w:pPr>
      <w:r>
        <w:rPr>
          <w:rFonts w:ascii="Arial" w:hAnsi="Arial" w:cs="Arial"/>
          <w:sz w:val="20"/>
          <w:szCs w:val="20"/>
          <w:u w:val="single"/>
        </w:rPr>
        <w:t>Social Determinants of Health</w:t>
      </w:r>
    </w:p>
    <w:p w14:paraId="31EFCD73" w14:textId="22F85541" w:rsidR="00BE2AAE" w:rsidRDefault="00F73E8D" w:rsidP="00DE1FB6">
      <w:pPr>
        <w:pStyle w:val="NormalWeb"/>
        <w:shd w:val="clear" w:color="auto" w:fill="FFFFFF"/>
        <w:spacing w:before="120" w:beforeAutospacing="0" w:after="120" w:afterAutospacing="0"/>
        <w:jc w:val="both"/>
        <w:rPr>
          <w:rFonts w:ascii="Arial" w:hAnsi="Arial" w:cs="Arial"/>
          <w:sz w:val="20"/>
          <w:szCs w:val="20"/>
        </w:rPr>
      </w:pPr>
      <w:r>
        <w:rPr>
          <w:rFonts w:ascii="Arial" w:hAnsi="Arial" w:cs="Arial"/>
          <w:sz w:val="20"/>
          <w:szCs w:val="20"/>
        </w:rPr>
        <w:t>BID-</w:t>
      </w:r>
      <w:r w:rsidR="00231A56" w:rsidRPr="00231A56">
        <w:rPr>
          <w:rFonts w:ascii="Arial" w:hAnsi="Arial" w:cs="Arial"/>
          <w:sz w:val="20"/>
          <w:szCs w:val="20"/>
        </w:rPr>
        <w:t xml:space="preserve"> </w:t>
      </w:r>
      <w:r w:rsidR="00231A56">
        <w:rPr>
          <w:rFonts w:ascii="Arial" w:hAnsi="Arial" w:cs="Arial"/>
          <w:sz w:val="20"/>
          <w:szCs w:val="20"/>
        </w:rPr>
        <w:t>Plymouth</w:t>
      </w:r>
      <w:r w:rsidR="00BE2AAE" w:rsidRPr="00411DB8">
        <w:rPr>
          <w:rFonts w:ascii="Arial" w:hAnsi="Arial" w:cs="Arial"/>
          <w:sz w:val="20"/>
          <w:szCs w:val="20"/>
        </w:rPr>
        <w:t xml:space="preserve"> also addresses health equity by proactively addressing social determinants of health that may interfere with patient care. </w:t>
      </w:r>
      <w:r w:rsidR="00991158">
        <w:rPr>
          <w:rFonts w:ascii="Arial" w:hAnsi="Arial" w:cs="Arial"/>
          <w:sz w:val="20"/>
          <w:szCs w:val="20"/>
        </w:rPr>
        <w:t>P</w:t>
      </w:r>
      <w:r w:rsidR="00BE2AAE" w:rsidRPr="00411DB8">
        <w:rPr>
          <w:rFonts w:ascii="Arial" w:hAnsi="Arial" w:cs="Arial"/>
          <w:sz w:val="20"/>
          <w:szCs w:val="20"/>
        </w:rPr>
        <w:t xml:space="preserve">atients are screened to determine their home situation, smoking status, any drug and/or alcohol usage, and supportive services, including family members and any transportation barriers.  Patients are also screened for mental health concerns during this visit. Based on these assessments, appropriate interventions are arranged as needed. Social Work referrals may be made to connect patients with services, including financial counseling, mental health services in the community, ride assistance programs, and physical therapy programs for patients who qualify. </w:t>
      </w:r>
    </w:p>
    <w:p w14:paraId="1905EEEC" w14:textId="4F288D2A" w:rsidR="00906B58" w:rsidRDefault="00BE2AAE" w:rsidP="00906B58">
      <w:pPr>
        <w:pStyle w:val="NormalWeb"/>
        <w:shd w:val="clear" w:color="auto" w:fill="FFFFFF"/>
        <w:spacing w:before="0" w:beforeAutospacing="0" w:after="120" w:afterAutospacing="0"/>
        <w:jc w:val="both"/>
        <w:rPr>
          <w:rFonts w:ascii="Arial" w:hAnsi="Arial" w:cs="Arial"/>
          <w:sz w:val="20"/>
          <w:szCs w:val="20"/>
        </w:rPr>
      </w:pPr>
      <w:r>
        <w:rPr>
          <w:rFonts w:ascii="Arial" w:hAnsi="Arial" w:cs="Arial"/>
          <w:sz w:val="20"/>
          <w:szCs w:val="20"/>
        </w:rPr>
        <w:t xml:space="preserve">Additionally, the Hospital has partnered with NeighborWorks, the </w:t>
      </w:r>
      <w:r w:rsidR="00231A56">
        <w:rPr>
          <w:rFonts w:ascii="Arial" w:hAnsi="Arial" w:cs="Arial"/>
          <w:sz w:val="20"/>
          <w:szCs w:val="20"/>
        </w:rPr>
        <w:t>Plymouth</w:t>
      </w:r>
      <w:r>
        <w:rPr>
          <w:rFonts w:ascii="Arial" w:hAnsi="Arial" w:cs="Arial"/>
          <w:sz w:val="20"/>
          <w:szCs w:val="20"/>
        </w:rPr>
        <w:t xml:space="preserve"> Coalition for the Homeless, and Harbor Community Health to support the medical, social, physical, and economic needs of newly settled migrants in the community. Through its partnership, </w:t>
      </w:r>
      <w:r w:rsidR="00F73E8D">
        <w:rPr>
          <w:rFonts w:ascii="Arial" w:hAnsi="Arial" w:cs="Arial"/>
          <w:sz w:val="20"/>
          <w:szCs w:val="20"/>
        </w:rPr>
        <w:t>BID-</w:t>
      </w:r>
      <w:r w:rsidR="00231A56">
        <w:rPr>
          <w:rFonts w:ascii="Arial" w:hAnsi="Arial" w:cs="Arial"/>
          <w:sz w:val="20"/>
          <w:szCs w:val="20"/>
        </w:rPr>
        <w:t>Plymouth</w:t>
      </w:r>
      <w:r>
        <w:rPr>
          <w:rFonts w:ascii="Arial" w:hAnsi="Arial" w:cs="Arial"/>
          <w:sz w:val="20"/>
          <w:szCs w:val="20"/>
        </w:rPr>
        <w:t xml:space="preserve"> has donated over-the-counter medications, infant formula from its birth center as well as baby items collected from a </w:t>
      </w:r>
      <w:proofErr w:type="gramStart"/>
      <w:r>
        <w:rPr>
          <w:rFonts w:ascii="Arial" w:hAnsi="Arial" w:cs="Arial"/>
          <w:sz w:val="20"/>
          <w:szCs w:val="20"/>
        </w:rPr>
        <w:t>Hospital</w:t>
      </w:r>
      <w:proofErr w:type="gramEnd"/>
      <w:r>
        <w:rPr>
          <w:rFonts w:ascii="Arial" w:hAnsi="Arial" w:cs="Arial"/>
          <w:sz w:val="20"/>
          <w:szCs w:val="20"/>
        </w:rPr>
        <w:t xml:space="preserve"> drive and funding for </w:t>
      </w:r>
      <w:proofErr w:type="gramStart"/>
      <w:r>
        <w:rPr>
          <w:rFonts w:ascii="Arial" w:hAnsi="Arial" w:cs="Arial"/>
          <w:sz w:val="20"/>
          <w:szCs w:val="20"/>
        </w:rPr>
        <w:t>diaper</w:t>
      </w:r>
      <w:proofErr w:type="gramEnd"/>
      <w:r>
        <w:rPr>
          <w:rFonts w:ascii="Arial" w:hAnsi="Arial" w:cs="Arial"/>
          <w:sz w:val="20"/>
          <w:szCs w:val="20"/>
        </w:rPr>
        <w:t xml:space="preserve">, wipes and other infant care products. The Cancer Center has provided community cancer screenings with free transportation to and from treatment as well as funding for patients for food, fuel, and other necessities. </w:t>
      </w:r>
    </w:p>
    <w:p w14:paraId="1513802B" w14:textId="0FE33446" w:rsidR="00991158" w:rsidRPr="00991158" w:rsidRDefault="00991158" w:rsidP="00DE1FB6">
      <w:pPr>
        <w:pStyle w:val="NormalWeb"/>
        <w:shd w:val="clear" w:color="auto" w:fill="FFFFFF"/>
        <w:spacing w:before="0" w:beforeAutospacing="0" w:after="120" w:afterAutospacing="0"/>
        <w:jc w:val="both"/>
        <w:rPr>
          <w:rFonts w:ascii="Arial" w:hAnsi="Arial" w:cs="Arial"/>
          <w:sz w:val="20"/>
          <w:szCs w:val="20"/>
        </w:rPr>
      </w:pPr>
      <w:r>
        <w:rPr>
          <w:rFonts w:ascii="Arial" w:hAnsi="Arial" w:cs="Arial"/>
          <w:sz w:val="20"/>
          <w:szCs w:val="20"/>
        </w:rPr>
        <w:t xml:space="preserve">Recently, </w:t>
      </w:r>
      <w:r w:rsidRPr="00991158">
        <w:rPr>
          <w:rFonts w:ascii="Arial" w:hAnsi="Arial" w:cs="Arial"/>
          <w:sz w:val="20"/>
          <w:szCs w:val="20"/>
        </w:rPr>
        <w:t>BILH</w:t>
      </w:r>
      <w:r>
        <w:rPr>
          <w:rFonts w:ascii="Arial" w:hAnsi="Arial" w:cs="Arial"/>
          <w:sz w:val="20"/>
          <w:szCs w:val="20"/>
        </w:rPr>
        <w:t xml:space="preserve"> </w:t>
      </w:r>
      <w:r w:rsidRPr="00991158">
        <w:rPr>
          <w:rFonts w:ascii="Arial" w:hAnsi="Arial" w:cs="Arial"/>
          <w:sz w:val="20"/>
          <w:szCs w:val="20"/>
        </w:rPr>
        <w:t>creat</w:t>
      </w:r>
      <w:r>
        <w:rPr>
          <w:rFonts w:ascii="Arial" w:hAnsi="Arial" w:cs="Arial"/>
          <w:sz w:val="20"/>
          <w:szCs w:val="20"/>
        </w:rPr>
        <w:t xml:space="preserve">ed </w:t>
      </w:r>
      <w:r w:rsidRPr="00991158">
        <w:rPr>
          <w:rFonts w:ascii="Arial" w:hAnsi="Arial" w:cs="Arial"/>
          <w:sz w:val="20"/>
          <w:szCs w:val="20"/>
        </w:rPr>
        <w:t>the Massachusetts Institute for Equity-Focused Learning Health System Science</w:t>
      </w:r>
      <w:r>
        <w:rPr>
          <w:rFonts w:ascii="Arial" w:hAnsi="Arial" w:cs="Arial"/>
          <w:sz w:val="20"/>
          <w:szCs w:val="20"/>
        </w:rPr>
        <w:t xml:space="preserve"> </w:t>
      </w:r>
      <w:r w:rsidR="00AB490B">
        <w:rPr>
          <w:rFonts w:ascii="Arial" w:hAnsi="Arial" w:cs="Arial"/>
          <w:sz w:val="20"/>
          <w:szCs w:val="20"/>
        </w:rPr>
        <w:t xml:space="preserve">(the “Institute”) </w:t>
      </w:r>
      <w:r>
        <w:rPr>
          <w:rFonts w:ascii="Arial" w:hAnsi="Arial" w:cs="Arial"/>
          <w:sz w:val="20"/>
          <w:szCs w:val="20"/>
        </w:rPr>
        <w:t xml:space="preserve">in collaboration with </w:t>
      </w:r>
      <w:r w:rsidRPr="00991158">
        <w:rPr>
          <w:rFonts w:ascii="Arial" w:hAnsi="Arial" w:cs="Arial"/>
          <w:sz w:val="20"/>
          <w:szCs w:val="20"/>
        </w:rPr>
        <w:t>leaders from other Massachusetts healthcare systems</w:t>
      </w:r>
      <w:r>
        <w:rPr>
          <w:rFonts w:ascii="Arial" w:hAnsi="Arial" w:cs="Arial"/>
          <w:sz w:val="20"/>
          <w:szCs w:val="20"/>
        </w:rPr>
        <w:t xml:space="preserve">. </w:t>
      </w:r>
      <w:r w:rsidR="00AB490B">
        <w:rPr>
          <w:rFonts w:ascii="Arial" w:hAnsi="Arial" w:cs="Arial"/>
          <w:sz w:val="20"/>
          <w:szCs w:val="20"/>
        </w:rPr>
        <w:t>F</w:t>
      </w:r>
      <w:r w:rsidRPr="00991158">
        <w:rPr>
          <w:rFonts w:ascii="Arial" w:hAnsi="Arial" w:cs="Arial"/>
          <w:sz w:val="20"/>
          <w:szCs w:val="20"/>
        </w:rPr>
        <w:t>unded by a grant from the federal Agency for Healthcare Research and Quality (</w:t>
      </w:r>
      <w:r w:rsidR="00AB490B">
        <w:rPr>
          <w:rFonts w:ascii="Arial" w:hAnsi="Arial" w:cs="Arial"/>
          <w:sz w:val="20"/>
          <w:szCs w:val="20"/>
        </w:rPr>
        <w:t>“</w:t>
      </w:r>
      <w:r w:rsidRPr="00991158">
        <w:rPr>
          <w:rFonts w:ascii="Arial" w:hAnsi="Arial" w:cs="Arial"/>
          <w:sz w:val="20"/>
          <w:szCs w:val="20"/>
        </w:rPr>
        <w:t>AHRQ</w:t>
      </w:r>
      <w:r w:rsidR="00AB490B">
        <w:rPr>
          <w:rFonts w:ascii="Arial" w:hAnsi="Arial" w:cs="Arial"/>
          <w:sz w:val="20"/>
          <w:szCs w:val="20"/>
        </w:rPr>
        <w:t>”</w:t>
      </w:r>
      <w:r w:rsidRPr="00991158">
        <w:rPr>
          <w:rFonts w:ascii="Arial" w:hAnsi="Arial" w:cs="Arial"/>
          <w:sz w:val="20"/>
          <w:szCs w:val="20"/>
        </w:rPr>
        <w:t xml:space="preserve">), </w:t>
      </w:r>
      <w:r w:rsidR="00AB490B">
        <w:rPr>
          <w:rFonts w:ascii="Arial" w:hAnsi="Arial" w:cs="Arial"/>
          <w:sz w:val="20"/>
          <w:szCs w:val="20"/>
        </w:rPr>
        <w:t xml:space="preserve">the Institute seeks to </w:t>
      </w:r>
      <w:r w:rsidR="00AB490B">
        <w:rPr>
          <w:rFonts w:ascii="Arial" w:hAnsi="Arial" w:cs="Arial"/>
          <w:sz w:val="20"/>
          <w:szCs w:val="20"/>
        </w:rPr>
        <w:lastRenderedPageBreak/>
        <w:t>expedite</w:t>
      </w:r>
      <w:r w:rsidRPr="00991158">
        <w:rPr>
          <w:rFonts w:ascii="Arial" w:hAnsi="Arial" w:cs="Arial"/>
          <w:sz w:val="20"/>
          <w:szCs w:val="20"/>
        </w:rPr>
        <w:t xml:space="preserve"> equity-focused research to address health disparities</w:t>
      </w:r>
      <w:r w:rsidR="00AB490B">
        <w:rPr>
          <w:rFonts w:ascii="Arial" w:hAnsi="Arial" w:cs="Arial"/>
          <w:sz w:val="20"/>
          <w:szCs w:val="20"/>
        </w:rPr>
        <w:t xml:space="preserve"> and will work to ensure </w:t>
      </w:r>
      <w:r w:rsidRPr="00991158">
        <w:rPr>
          <w:rFonts w:ascii="Arial" w:hAnsi="Arial" w:cs="Arial"/>
          <w:sz w:val="20"/>
          <w:szCs w:val="20"/>
        </w:rPr>
        <w:t xml:space="preserve">research of equity measures and social determinants of health </w:t>
      </w:r>
      <w:r w:rsidR="00AB490B">
        <w:rPr>
          <w:rFonts w:ascii="Arial" w:hAnsi="Arial" w:cs="Arial"/>
          <w:sz w:val="20"/>
          <w:szCs w:val="20"/>
        </w:rPr>
        <w:t>is</w:t>
      </w:r>
      <w:r w:rsidRPr="00991158">
        <w:rPr>
          <w:rFonts w:ascii="Arial" w:hAnsi="Arial" w:cs="Arial"/>
          <w:sz w:val="20"/>
          <w:szCs w:val="20"/>
        </w:rPr>
        <w:t xml:space="preserve"> </w:t>
      </w:r>
      <w:r w:rsidR="00AB490B">
        <w:rPr>
          <w:rFonts w:ascii="Arial" w:hAnsi="Arial" w:cs="Arial"/>
          <w:sz w:val="20"/>
          <w:szCs w:val="20"/>
        </w:rPr>
        <w:t>guided</w:t>
      </w:r>
      <w:r w:rsidRPr="00991158">
        <w:rPr>
          <w:rFonts w:ascii="Arial" w:hAnsi="Arial" w:cs="Arial"/>
          <w:sz w:val="20"/>
          <w:szCs w:val="20"/>
        </w:rPr>
        <w:t xml:space="preserve"> by common data </w:t>
      </w:r>
      <w:r w:rsidR="00DE1FB6" w:rsidRPr="00991158">
        <w:rPr>
          <w:rFonts w:ascii="Arial" w:hAnsi="Arial" w:cs="Arial"/>
          <w:sz w:val="20"/>
          <w:szCs w:val="20"/>
        </w:rPr>
        <w:t>standards and</w:t>
      </w:r>
      <w:r w:rsidRPr="00991158">
        <w:rPr>
          <w:rFonts w:ascii="Arial" w:hAnsi="Arial" w:cs="Arial"/>
          <w:sz w:val="20"/>
          <w:szCs w:val="20"/>
        </w:rPr>
        <w:t xml:space="preserve"> </w:t>
      </w:r>
      <w:r w:rsidR="00AB490B">
        <w:rPr>
          <w:rFonts w:ascii="Arial" w:hAnsi="Arial" w:cs="Arial"/>
          <w:sz w:val="20"/>
          <w:szCs w:val="20"/>
        </w:rPr>
        <w:t>led</w:t>
      </w:r>
      <w:r w:rsidRPr="00991158">
        <w:rPr>
          <w:rFonts w:ascii="Arial" w:hAnsi="Arial" w:cs="Arial"/>
          <w:sz w:val="20"/>
          <w:szCs w:val="20"/>
        </w:rPr>
        <w:t xml:space="preserve"> by </w:t>
      </w:r>
      <w:r w:rsidR="00AB490B">
        <w:rPr>
          <w:rFonts w:ascii="Arial" w:hAnsi="Arial" w:cs="Arial"/>
          <w:sz w:val="20"/>
          <w:szCs w:val="20"/>
        </w:rPr>
        <w:t xml:space="preserve">a diverse group of </w:t>
      </w:r>
      <w:proofErr w:type="gramStart"/>
      <w:r w:rsidR="00AB490B">
        <w:rPr>
          <w:rFonts w:ascii="Arial" w:hAnsi="Arial" w:cs="Arial"/>
          <w:sz w:val="20"/>
          <w:szCs w:val="20"/>
        </w:rPr>
        <w:t>researchers</w:t>
      </w:r>
      <w:proofErr w:type="gramEnd"/>
      <w:r w:rsidR="00AB490B">
        <w:rPr>
          <w:rFonts w:ascii="Arial" w:hAnsi="Arial" w:cs="Arial"/>
          <w:sz w:val="20"/>
          <w:szCs w:val="20"/>
        </w:rPr>
        <w:t xml:space="preserve"> representative of the Commonwealth’s residents and their lived experiences. </w:t>
      </w:r>
    </w:p>
    <w:p w14:paraId="1DDCC011" w14:textId="77777777" w:rsidR="00BE2AAE" w:rsidRPr="00411DB8" w:rsidRDefault="00BE2AAE" w:rsidP="00BE2AAE">
      <w:pPr>
        <w:pStyle w:val="NormalWeb"/>
        <w:numPr>
          <w:ilvl w:val="0"/>
          <w:numId w:val="5"/>
        </w:numPr>
        <w:shd w:val="clear" w:color="auto" w:fill="FFFFFF"/>
        <w:spacing w:before="0" w:beforeAutospacing="0" w:after="0" w:afterAutospacing="0"/>
        <w:rPr>
          <w:rFonts w:ascii="Arial" w:hAnsi="Arial" w:cs="Arial"/>
          <w:sz w:val="20"/>
          <w:szCs w:val="20"/>
          <w:u w:val="single"/>
        </w:rPr>
      </w:pPr>
      <w:r w:rsidRPr="00411DB8">
        <w:rPr>
          <w:rFonts w:ascii="Arial" w:hAnsi="Arial" w:cs="Arial"/>
          <w:sz w:val="20"/>
          <w:szCs w:val="20"/>
          <w:u w:val="single"/>
        </w:rPr>
        <w:t xml:space="preserve">REAL Data Collection </w:t>
      </w:r>
    </w:p>
    <w:p w14:paraId="60172C55" w14:textId="6CBB3117" w:rsidR="00906B58" w:rsidRDefault="00BE2AAE" w:rsidP="00906B58">
      <w:pPr>
        <w:pStyle w:val="NormalWeb"/>
        <w:shd w:val="clear" w:color="auto" w:fill="FFFFFF"/>
        <w:spacing w:before="120" w:beforeAutospacing="0"/>
        <w:jc w:val="both"/>
        <w:rPr>
          <w:rFonts w:ascii="Arial" w:hAnsi="Arial" w:cs="Arial"/>
          <w:sz w:val="20"/>
          <w:szCs w:val="20"/>
        </w:rPr>
      </w:pPr>
      <w:r w:rsidRPr="00906B58">
        <w:rPr>
          <w:rFonts w:ascii="Arial" w:hAnsi="Arial" w:cs="Arial"/>
          <w:sz w:val="20"/>
          <w:szCs w:val="20"/>
        </w:rPr>
        <w:t>BILH recently launched a new initiative to consistently capture more detailed and complete demographic information from patients in furtherance of an organizational culture that embraces diversity, equity, and inclusion.  Capturing patient diversity demographics, including gender and race, ethnicity, and language (“REAL Data”) is foundational to understanding and addressing health disparities in the community.</w:t>
      </w:r>
    </w:p>
    <w:p w14:paraId="5FCBD373" w14:textId="4490D345" w:rsidR="00BE2AAE" w:rsidRPr="00DE1FB6" w:rsidRDefault="00906B58" w:rsidP="00DE1FB6">
      <w:pPr>
        <w:pStyle w:val="NormalWeb"/>
        <w:shd w:val="clear" w:color="auto" w:fill="FFFFFF"/>
        <w:spacing w:before="120" w:beforeAutospacing="0"/>
        <w:jc w:val="both"/>
        <w:rPr>
          <w:rFonts w:ascii="Arial" w:hAnsi="Arial" w:cs="Arial"/>
          <w:bCs/>
          <w:kern w:val="2"/>
          <w:sz w:val="20"/>
          <w:szCs w:val="20"/>
        </w:rPr>
      </w:pPr>
      <w:r>
        <w:rPr>
          <w:rFonts w:ascii="Arial" w:hAnsi="Arial" w:cs="Arial"/>
          <w:sz w:val="20"/>
          <w:szCs w:val="20"/>
        </w:rPr>
        <w:t>Through this initiative</w:t>
      </w:r>
      <w:r w:rsidR="00BE2AAE" w:rsidRPr="00DE1FB6">
        <w:rPr>
          <w:rFonts w:ascii="Arial" w:hAnsi="Arial" w:cs="Arial"/>
          <w:sz w:val="20"/>
          <w:szCs w:val="20"/>
        </w:rPr>
        <w:t xml:space="preserve">, BILH created a multidisciplinary team of representatives from across the System including staff from patient access services, information services, nursing, social work, community benefits and community relations teams. Working with patient representatives, the multidisciplinary team established a standard set of data along with best practices and processes </w:t>
      </w:r>
      <w:proofErr w:type="gramStart"/>
      <w:r w:rsidR="00BE2AAE" w:rsidRPr="00DE1FB6">
        <w:rPr>
          <w:rFonts w:ascii="Arial" w:hAnsi="Arial" w:cs="Arial"/>
          <w:sz w:val="20"/>
          <w:szCs w:val="20"/>
        </w:rPr>
        <w:t>in order to</w:t>
      </w:r>
      <w:proofErr w:type="gramEnd"/>
      <w:r w:rsidR="00BE2AAE" w:rsidRPr="00DE1FB6">
        <w:rPr>
          <w:rFonts w:ascii="Arial" w:hAnsi="Arial" w:cs="Arial"/>
          <w:sz w:val="20"/>
          <w:szCs w:val="20"/>
        </w:rPr>
        <w:t xml:space="preserve"> more consistent capture the data in the</w:t>
      </w:r>
      <w:r w:rsidR="00BE2AAE" w:rsidRPr="00DE1FB6">
        <w:rPr>
          <w:rFonts w:ascii="Arial" w:hAnsi="Arial" w:cs="Arial"/>
          <w:bCs/>
          <w:kern w:val="2"/>
          <w:sz w:val="20"/>
          <w:szCs w:val="20"/>
        </w:rPr>
        <w:t xml:space="preserve"> EMR</w:t>
      </w:r>
      <w:r>
        <w:rPr>
          <w:rFonts w:ascii="Arial" w:hAnsi="Arial" w:cs="Arial"/>
          <w:bCs/>
          <w:kern w:val="2"/>
          <w:sz w:val="20"/>
          <w:szCs w:val="20"/>
        </w:rPr>
        <w:t xml:space="preserve"> which will better inform the decisions made by BILH to improve care delivery. </w:t>
      </w:r>
    </w:p>
    <w:p w14:paraId="297BCD54" w14:textId="77777777" w:rsidR="00BE2AAE" w:rsidRPr="00411DB8" w:rsidRDefault="00BE2AAE" w:rsidP="00BE2AAE">
      <w:pPr>
        <w:pStyle w:val="BodyText"/>
        <w:widowControl/>
        <w:spacing w:before="0" w:after="120"/>
        <w:ind w:left="1440" w:hanging="1440"/>
        <w:jc w:val="both"/>
        <w:rPr>
          <w:rFonts w:ascii="Arial" w:hAnsi="Arial" w:cs="Arial"/>
          <w:b/>
          <w:kern w:val="2"/>
          <w:sz w:val="20"/>
          <w:szCs w:val="20"/>
        </w:rPr>
      </w:pPr>
      <w:r w:rsidRPr="00411DB8">
        <w:rPr>
          <w:rFonts w:ascii="Arial" w:hAnsi="Arial" w:cs="Arial"/>
          <w:b/>
          <w:kern w:val="2"/>
          <w:sz w:val="20"/>
          <w:szCs w:val="20"/>
        </w:rPr>
        <w:t>F1.</w:t>
      </w:r>
      <w:proofErr w:type="gramStart"/>
      <w:r w:rsidRPr="00411DB8">
        <w:rPr>
          <w:rFonts w:ascii="Arial" w:hAnsi="Arial" w:cs="Arial"/>
          <w:b/>
          <w:kern w:val="2"/>
          <w:sz w:val="20"/>
          <w:szCs w:val="20"/>
        </w:rPr>
        <w:t>b.iv</w:t>
      </w:r>
      <w:proofErr w:type="gramEnd"/>
      <w:r w:rsidRPr="00411DB8">
        <w:rPr>
          <w:rFonts w:ascii="Arial" w:hAnsi="Arial" w:cs="Arial"/>
          <w:b/>
          <w:kern w:val="2"/>
          <w:sz w:val="20"/>
          <w:szCs w:val="20"/>
        </w:rPr>
        <w:tab/>
        <w:t>Provide additional information to demonstrate that the Proposed Project will result in improved health outcomes and quality of life of the Applicant's existing Patient Panel, while providing reasonable assurances of health equity.</w:t>
      </w:r>
    </w:p>
    <w:p w14:paraId="0D80CE3C" w14:textId="37468D35" w:rsidR="00BE2AAE" w:rsidRPr="00411DB8" w:rsidRDefault="00BE2AAE" w:rsidP="00BE2AAE">
      <w:pPr>
        <w:pStyle w:val="BodyText"/>
        <w:widowControl/>
        <w:spacing w:before="0" w:after="120"/>
        <w:ind w:left="0" w:right="136"/>
        <w:jc w:val="both"/>
        <w:rPr>
          <w:rFonts w:ascii="Arial" w:hAnsi="Arial" w:cs="Arial"/>
          <w:kern w:val="2"/>
          <w:sz w:val="20"/>
          <w:szCs w:val="20"/>
        </w:rPr>
      </w:pPr>
      <w:r w:rsidRPr="007A6A79">
        <w:rPr>
          <w:rFonts w:ascii="Arial" w:hAnsi="Arial" w:cs="Arial"/>
          <w:kern w:val="2"/>
          <w:sz w:val="20"/>
          <w:szCs w:val="20"/>
        </w:rPr>
        <w:t xml:space="preserve">The Proposed Project will improve health outcomes and quality of life for </w:t>
      </w:r>
      <w:r w:rsidR="00231A56">
        <w:rPr>
          <w:rFonts w:ascii="Arial" w:hAnsi="Arial" w:cs="Arial"/>
          <w:kern w:val="2"/>
          <w:sz w:val="20"/>
          <w:szCs w:val="20"/>
        </w:rPr>
        <w:t>BID-</w:t>
      </w:r>
      <w:r w:rsidR="00231A56" w:rsidRPr="00231A56">
        <w:rPr>
          <w:rFonts w:ascii="Arial" w:hAnsi="Arial" w:cs="Arial"/>
          <w:sz w:val="20"/>
          <w:szCs w:val="20"/>
        </w:rPr>
        <w:t xml:space="preserve"> </w:t>
      </w:r>
      <w:r w:rsidR="00231A56">
        <w:rPr>
          <w:rFonts w:ascii="Arial" w:hAnsi="Arial" w:cs="Arial"/>
          <w:sz w:val="20"/>
          <w:szCs w:val="20"/>
        </w:rPr>
        <w:t>Plymouth</w:t>
      </w:r>
      <w:r w:rsidRPr="007A6A79">
        <w:rPr>
          <w:rFonts w:ascii="Arial" w:hAnsi="Arial" w:cs="Arial"/>
          <w:kern w:val="2"/>
          <w:sz w:val="20"/>
          <w:szCs w:val="20"/>
        </w:rPr>
        <w:t xml:space="preserve">’s patient panel by improving the delivery of emergency services to </w:t>
      </w:r>
      <w:r w:rsidR="00231A56">
        <w:rPr>
          <w:rFonts w:ascii="Arial" w:hAnsi="Arial" w:cs="Arial"/>
          <w:kern w:val="2"/>
          <w:sz w:val="20"/>
          <w:szCs w:val="20"/>
        </w:rPr>
        <w:t>Plymouth</w:t>
      </w:r>
      <w:r w:rsidRPr="007A6A79">
        <w:rPr>
          <w:rFonts w:ascii="Arial" w:hAnsi="Arial" w:cs="Arial"/>
          <w:kern w:val="2"/>
          <w:sz w:val="20"/>
          <w:szCs w:val="20"/>
        </w:rPr>
        <w:t xml:space="preserve"> and</w:t>
      </w:r>
      <w:r w:rsidRPr="00411DB8">
        <w:rPr>
          <w:rFonts w:ascii="Arial" w:hAnsi="Arial" w:cs="Arial"/>
          <w:kern w:val="2"/>
          <w:sz w:val="20"/>
          <w:szCs w:val="20"/>
        </w:rPr>
        <w:t xml:space="preserve"> the community it serves. </w:t>
      </w:r>
      <w:r>
        <w:rPr>
          <w:rFonts w:ascii="Arial" w:hAnsi="Arial" w:cs="Arial"/>
          <w:kern w:val="2"/>
          <w:sz w:val="20"/>
          <w:szCs w:val="20"/>
        </w:rPr>
        <w:t xml:space="preserve">Moreover, </w:t>
      </w:r>
      <w:r w:rsidR="00231A56">
        <w:rPr>
          <w:rFonts w:ascii="Arial" w:hAnsi="Arial" w:cs="Arial"/>
          <w:kern w:val="2"/>
          <w:sz w:val="20"/>
          <w:szCs w:val="20"/>
        </w:rPr>
        <w:t>BID-</w:t>
      </w:r>
      <w:r w:rsidR="00231A56" w:rsidRPr="00231A56">
        <w:rPr>
          <w:rFonts w:ascii="Arial" w:hAnsi="Arial" w:cs="Arial"/>
          <w:sz w:val="20"/>
          <w:szCs w:val="20"/>
        </w:rPr>
        <w:t xml:space="preserve"> </w:t>
      </w:r>
      <w:r w:rsidR="00231A56">
        <w:rPr>
          <w:rFonts w:ascii="Arial" w:hAnsi="Arial" w:cs="Arial"/>
          <w:sz w:val="20"/>
          <w:szCs w:val="20"/>
        </w:rPr>
        <w:t>Plymouth</w:t>
      </w:r>
      <w:r w:rsidRPr="00411DB8">
        <w:rPr>
          <w:rFonts w:ascii="Arial" w:hAnsi="Arial" w:cs="Arial"/>
          <w:kern w:val="2"/>
          <w:sz w:val="20"/>
          <w:szCs w:val="20"/>
        </w:rPr>
        <w:t xml:space="preserve"> is committed to promoting health equity and will ensure </w:t>
      </w:r>
      <w:r>
        <w:rPr>
          <w:rFonts w:ascii="Arial" w:hAnsi="Arial" w:cs="Arial"/>
          <w:kern w:val="2"/>
          <w:sz w:val="20"/>
          <w:szCs w:val="20"/>
        </w:rPr>
        <w:t xml:space="preserve">all </w:t>
      </w:r>
      <w:r w:rsidRPr="00411DB8">
        <w:rPr>
          <w:rFonts w:ascii="Arial" w:hAnsi="Arial" w:cs="Arial"/>
          <w:kern w:val="2"/>
          <w:sz w:val="20"/>
          <w:szCs w:val="20"/>
        </w:rPr>
        <w:t xml:space="preserve">patients can access the Hospital’s services, can effectively communicate with their providers, and will be connected to services outside of the Hospital as required. </w:t>
      </w:r>
      <w:r w:rsidR="00B57074">
        <w:rPr>
          <w:rFonts w:ascii="Arial" w:hAnsi="Arial" w:cs="Arial"/>
          <w:kern w:val="2"/>
          <w:sz w:val="20"/>
          <w:szCs w:val="20"/>
        </w:rPr>
        <w:t>By</w:t>
      </w:r>
      <w:r>
        <w:rPr>
          <w:rFonts w:ascii="Arial" w:hAnsi="Arial" w:cs="Arial"/>
          <w:kern w:val="2"/>
          <w:sz w:val="20"/>
          <w:szCs w:val="20"/>
        </w:rPr>
        <w:t xml:space="preserve"> </w:t>
      </w:r>
      <w:proofErr w:type="gramStart"/>
      <w:r>
        <w:rPr>
          <w:rFonts w:ascii="Arial" w:hAnsi="Arial" w:cs="Arial"/>
          <w:kern w:val="2"/>
          <w:sz w:val="20"/>
          <w:szCs w:val="20"/>
        </w:rPr>
        <w:t>right-sizing</w:t>
      </w:r>
      <w:proofErr w:type="gramEnd"/>
      <w:r>
        <w:rPr>
          <w:rFonts w:ascii="Arial" w:hAnsi="Arial" w:cs="Arial"/>
          <w:kern w:val="2"/>
          <w:sz w:val="20"/>
          <w:szCs w:val="20"/>
        </w:rPr>
        <w:t xml:space="preserve"> the Hospital’s ED through the Proposed Project</w:t>
      </w:r>
      <w:r w:rsidRPr="00411DB8">
        <w:rPr>
          <w:rFonts w:ascii="Arial" w:hAnsi="Arial" w:cs="Arial"/>
          <w:kern w:val="2"/>
          <w:sz w:val="20"/>
          <w:szCs w:val="20"/>
        </w:rPr>
        <w:t xml:space="preserve">, the Hospital will be able to provide </w:t>
      </w:r>
      <w:r>
        <w:rPr>
          <w:rFonts w:ascii="Arial" w:hAnsi="Arial" w:cs="Arial"/>
          <w:kern w:val="2"/>
          <w:sz w:val="20"/>
          <w:szCs w:val="20"/>
        </w:rPr>
        <w:t xml:space="preserve">more timely emergency </w:t>
      </w:r>
      <w:r w:rsidRPr="00411DB8">
        <w:rPr>
          <w:rFonts w:ascii="Arial" w:hAnsi="Arial" w:cs="Arial"/>
          <w:kern w:val="2"/>
          <w:sz w:val="20"/>
          <w:szCs w:val="20"/>
        </w:rPr>
        <w:t>services</w:t>
      </w:r>
      <w:r>
        <w:rPr>
          <w:rFonts w:ascii="Arial" w:hAnsi="Arial" w:cs="Arial"/>
          <w:kern w:val="2"/>
          <w:sz w:val="20"/>
          <w:szCs w:val="20"/>
        </w:rPr>
        <w:t xml:space="preserve"> in the most appropriate care setting for the patients who rely </w:t>
      </w:r>
      <w:proofErr w:type="gramStart"/>
      <w:r>
        <w:rPr>
          <w:rFonts w:ascii="Arial" w:hAnsi="Arial" w:cs="Arial"/>
          <w:kern w:val="2"/>
          <w:sz w:val="20"/>
          <w:szCs w:val="20"/>
        </w:rPr>
        <w:t>of</w:t>
      </w:r>
      <w:proofErr w:type="gramEnd"/>
      <w:r>
        <w:rPr>
          <w:rFonts w:ascii="Arial" w:hAnsi="Arial" w:cs="Arial"/>
          <w:kern w:val="2"/>
          <w:sz w:val="20"/>
          <w:szCs w:val="20"/>
        </w:rPr>
        <w:t xml:space="preserve"> the Hospital’s ED</w:t>
      </w:r>
      <w:r w:rsidRPr="00411DB8">
        <w:rPr>
          <w:rFonts w:ascii="Arial" w:hAnsi="Arial" w:cs="Arial"/>
          <w:kern w:val="2"/>
          <w:sz w:val="20"/>
          <w:szCs w:val="20"/>
        </w:rPr>
        <w:t xml:space="preserve">. As further described in Section F1.b.i, </w:t>
      </w:r>
      <w:r>
        <w:rPr>
          <w:rFonts w:ascii="Arial" w:hAnsi="Arial" w:cs="Arial"/>
          <w:kern w:val="2"/>
          <w:sz w:val="20"/>
          <w:szCs w:val="20"/>
        </w:rPr>
        <w:t>waiting times and overcrowding in the ED negatively impact patients as well as staff</w:t>
      </w:r>
      <w:r w:rsidRPr="00411DB8">
        <w:rPr>
          <w:rFonts w:ascii="Arial" w:hAnsi="Arial" w:cs="Arial"/>
          <w:kern w:val="2"/>
          <w:sz w:val="20"/>
          <w:szCs w:val="20"/>
        </w:rPr>
        <w:t xml:space="preserve">. To that end, the Proposed Project seeks to </w:t>
      </w:r>
      <w:r>
        <w:rPr>
          <w:rFonts w:ascii="Arial" w:hAnsi="Arial" w:cs="Arial"/>
          <w:kern w:val="2"/>
          <w:sz w:val="20"/>
          <w:szCs w:val="20"/>
        </w:rPr>
        <w:t>ensure the physical footprint of the Hospital’s ED matches the needs of the community</w:t>
      </w:r>
      <w:r w:rsidRPr="00411DB8">
        <w:rPr>
          <w:rFonts w:ascii="Arial" w:hAnsi="Arial" w:cs="Arial"/>
          <w:kern w:val="2"/>
          <w:sz w:val="20"/>
          <w:szCs w:val="20"/>
        </w:rPr>
        <w:t>.</w:t>
      </w:r>
      <w:r>
        <w:rPr>
          <w:rFonts w:ascii="Arial" w:hAnsi="Arial" w:cs="Arial"/>
          <w:kern w:val="2"/>
          <w:sz w:val="20"/>
          <w:szCs w:val="20"/>
        </w:rPr>
        <w:t xml:space="preserve"> Therefore</w:t>
      </w:r>
      <w:r w:rsidRPr="00411DB8">
        <w:rPr>
          <w:rFonts w:ascii="Arial" w:hAnsi="Arial" w:cs="Arial"/>
          <w:kern w:val="2"/>
          <w:sz w:val="20"/>
          <w:szCs w:val="20"/>
        </w:rPr>
        <w:t xml:space="preserve">, the Applicant </w:t>
      </w:r>
      <w:r>
        <w:rPr>
          <w:rFonts w:ascii="Arial" w:hAnsi="Arial" w:cs="Arial"/>
          <w:kern w:val="2"/>
          <w:sz w:val="20"/>
          <w:szCs w:val="20"/>
        </w:rPr>
        <w:t>expects</w:t>
      </w:r>
      <w:r w:rsidRPr="00411DB8">
        <w:rPr>
          <w:rFonts w:ascii="Arial" w:hAnsi="Arial" w:cs="Arial"/>
          <w:kern w:val="2"/>
          <w:sz w:val="20"/>
          <w:szCs w:val="20"/>
        </w:rPr>
        <w:t xml:space="preserve"> the Proposed Project </w:t>
      </w:r>
      <w:r>
        <w:rPr>
          <w:rFonts w:ascii="Arial" w:hAnsi="Arial" w:cs="Arial"/>
          <w:kern w:val="2"/>
          <w:sz w:val="20"/>
          <w:szCs w:val="20"/>
        </w:rPr>
        <w:t xml:space="preserve">to </w:t>
      </w:r>
      <w:r w:rsidRPr="00411DB8">
        <w:rPr>
          <w:rFonts w:ascii="Arial" w:hAnsi="Arial" w:cs="Arial"/>
          <w:kern w:val="2"/>
          <w:sz w:val="20"/>
          <w:szCs w:val="20"/>
        </w:rPr>
        <w:t xml:space="preserve">result in improved </w:t>
      </w:r>
      <w:r>
        <w:rPr>
          <w:rFonts w:ascii="Arial" w:hAnsi="Arial" w:cs="Arial"/>
          <w:kern w:val="2"/>
          <w:sz w:val="20"/>
          <w:szCs w:val="20"/>
        </w:rPr>
        <w:t xml:space="preserve">health </w:t>
      </w:r>
      <w:r w:rsidRPr="00411DB8">
        <w:rPr>
          <w:rFonts w:ascii="Arial" w:hAnsi="Arial" w:cs="Arial"/>
          <w:kern w:val="2"/>
          <w:sz w:val="20"/>
          <w:szCs w:val="20"/>
        </w:rPr>
        <w:t xml:space="preserve">and quality outcomes </w:t>
      </w:r>
      <w:r>
        <w:rPr>
          <w:rFonts w:ascii="Arial" w:hAnsi="Arial" w:cs="Arial"/>
          <w:kern w:val="2"/>
          <w:sz w:val="20"/>
          <w:szCs w:val="20"/>
        </w:rPr>
        <w:t>in furtherance of</w:t>
      </w:r>
      <w:r w:rsidRPr="00411DB8">
        <w:rPr>
          <w:rFonts w:ascii="Arial" w:hAnsi="Arial" w:cs="Arial"/>
          <w:kern w:val="2"/>
          <w:sz w:val="20"/>
          <w:szCs w:val="20"/>
        </w:rPr>
        <w:t xml:space="preserve"> health equity.  </w:t>
      </w:r>
    </w:p>
    <w:p w14:paraId="2174888C" w14:textId="77777777" w:rsidR="00BE2AAE" w:rsidRDefault="00BE2AAE" w:rsidP="00BE2AAE">
      <w:pPr>
        <w:pStyle w:val="BodyText"/>
        <w:widowControl/>
        <w:spacing w:before="0" w:after="120"/>
        <w:ind w:left="0" w:right="136"/>
        <w:jc w:val="both"/>
        <w:rPr>
          <w:rFonts w:ascii="Arial" w:hAnsi="Arial" w:cs="Arial"/>
          <w:b/>
          <w:kern w:val="2"/>
          <w:sz w:val="20"/>
          <w:szCs w:val="20"/>
        </w:rPr>
      </w:pPr>
      <w:r w:rsidRPr="00411DB8">
        <w:rPr>
          <w:rFonts w:ascii="Arial" w:hAnsi="Arial" w:cs="Arial"/>
          <w:b/>
          <w:kern w:val="2"/>
          <w:sz w:val="20"/>
          <w:szCs w:val="20"/>
        </w:rPr>
        <w:t>F1.c</w:t>
      </w:r>
      <w:r w:rsidRPr="00411DB8">
        <w:rPr>
          <w:rFonts w:ascii="Arial" w:hAnsi="Arial" w:cs="Arial"/>
          <w:b/>
          <w:kern w:val="2"/>
          <w:sz w:val="20"/>
          <w:szCs w:val="20"/>
        </w:rPr>
        <w:tab/>
        <w:t>Provide evidence that the Proposed Project will operate efficiently and effectively by furthering and improving continuity and coordination of care for the Applicant's Patient Panel, including, how the Proposed Project will create or ensure appropriate linkages to patients' primary care services.</w:t>
      </w:r>
    </w:p>
    <w:p w14:paraId="39864778" w14:textId="2CCFFF88" w:rsidR="003535CA" w:rsidRDefault="003535CA" w:rsidP="006C6606">
      <w:pPr>
        <w:pStyle w:val="BodyText"/>
        <w:widowControl/>
        <w:spacing w:before="0" w:after="120"/>
        <w:ind w:left="0" w:right="136"/>
        <w:jc w:val="both"/>
        <w:rPr>
          <w:rFonts w:ascii="Arial" w:hAnsi="Arial" w:cs="Arial"/>
          <w:bCs/>
          <w:kern w:val="2"/>
          <w:sz w:val="20"/>
          <w:szCs w:val="20"/>
        </w:rPr>
      </w:pPr>
      <w:r>
        <w:rPr>
          <w:rFonts w:ascii="Arial" w:hAnsi="Arial" w:cs="Arial"/>
          <w:bCs/>
          <w:kern w:val="2"/>
          <w:sz w:val="20"/>
          <w:szCs w:val="20"/>
        </w:rPr>
        <w:t>As previously discussed in Section F.1.a.ii., the Proposed Project is centered on improving care continuity within the Hospital’s ED, from triage to treatment to discharge from the ED. The renovated</w:t>
      </w:r>
      <w:r w:rsidR="009D4F3F">
        <w:rPr>
          <w:rFonts w:ascii="Arial" w:hAnsi="Arial" w:cs="Arial"/>
          <w:bCs/>
          <w:kern w:val="2"/>
          <w:sz w:val="20"/>
          <w:szCs w:val="20"/>
        </w:rPr>
        <w:t xml:space="preserve"> space</w:t>
      </w:r>
      <w:r>
        <w:rPr>
          <w:rFonts w:ascii="Arial" w:hAnsi="Arial" w:cs="Arial"/>
          <w:bCs/>
          <w:kern w:val="2"/>
          <w:sz w:val="20"/>
          <w:szCs w:val="20"/>
        </w:rPr>
        <w:t xml:space="preserve"> will </w:t>
      </w:r>
      <w:r w:rsidR="009D4F3F">
        <w:rPr>
          <w:rFonts w:ascii="Arial" w:hAnsi="Arial" w:cs="Arial"/>
          <w:bCs/>
          <w:kern w:val="2"/>
          <w:sz w:val="20"/>
          <w:szCs w:val="20"/>
        </w:rPr>
        <w:t xml:space="preserve">enhance the ED’s clinical capabilities by offering dedicated spaces for </w:t>
      </w:r>
      <w:r w:rsidR="00BF34D4">
        <w:rPr>
          <w:rFonts w:ascii="Arial" w:hAnsi="Arial" w:cs="Arial"/>
          <w:bCs/>
          <w:kern w:val="2"/>
          <w:sz w:val="20"/>
          <w:szCs w:val="20"/>
        </w:rPr>
        <w:t>different</w:t>
      </w:r>
      <w:r w:rsidR="009D4F3F">
        <w:rPr>
          <w:rFonts w:ascii="Arial" w:hAnsi="Arial" w:cs="Arial"/>
          <w:bCs/>
          <w:kern w:val="2"/>
          <w:sz w:val="20"/>
          <w:szCs w:val="20"/>
        </w:rPr>
        <w:t xml:space="preserve"> acuity levels that can be flexed up</w:t>
      </w:r>
      <w:r w:rsidR="00BF34D4">
        <w:rPr>
          <w:rFonts w:ascii="Arial" w:hAnsi="Arial" w:cs="Arial"/>
          <w:bCs/>
          <w:kern w:val="2"/>
          <w:sz w:val="20"/>
          <w:szCs w:val="20"/>
        </w:rPr>
        <w:t xml:space="preserve"> or down</w:t>
      </w:r>
      <w:r w:rsidR="009D4F3F">
        <w:rPr>
          <w:rFonts w:ascii="Arial" w:hAnsi="Arial" w:cs="Arial"/>
          <w:bCs/>
          <w:kern w:val="2"/>
          <w:sz w:val="20"/>
          <w:szCs w:val="20"/>
        </w:rPr>
        <w:t xml:space="preserve"> to </w:t>
      </w:r>
      <w:r w:rsidR="00BF34D4">
        <w:rPr>
          <w:rFonts w:ascii="Arial" w:hAnsi="Arial" w:cs="Arial"/>
          <w:bCs/>
          <w:kern w:val="2"/>
          <w:sz w:val="20"/>
          <w:szCs w:val="20"/>
        </w:rPr>
        <w:t>meet the needs of the community</w:t>
      </w:r>
      <w:r w:rsidR="009D4F3F">
        <w:rPr>
          <w:rFonts w:ascii="Arial" w:hAnsi="Arial" w:cs="Arial"/>
          <w:bCs/>
          <w:kern w:val="2"/>
          <w:sz w:val="20"/>
          <w:szCs w:val="20"/>
        </w:rPr>
        <w:t xml:space="preserve">. One of these dedicated spaces is for the exclusive use by patients experiencing a behavioral health emergency. The behavioral health unit will be designed to best meet the needs of this patient population during an acute emergency </w:t>
      </w:r>
      <w:r w:rsidR="00FA5A00">
        <w:rPr>
          <w:rFonts w:ascii="Arial" w:hAnsi="Arial" w:cs="Arial"/>
          <w:bCs/>
          <w:kern w:val="2"/>
          <w:sz w:val="20"/>
          <w:szCs w:val="20"/>
        </w:rPr>
        <w:t xml:space="preserve">and establish a smooth transition to </w:t>
      </w:r>
      <w:r w:rsidR="00DE1FB6">
        <w:rPr>
          <w:rFonts w:ascii="Arial" w:hAnsi="Arial" w:cs="Arial"/>
          <w:bCs/>
          <w:kern w:val="2"/>
          <w:sz w:val="20"/>
          <w:szCs w:val="20"/>
        </w:rPr>
        <w:t>the next appropriate level of care</w:t>
      </w:r>
      <w:r w:rsidR="00BF34D4">
        <w:rPr>
          <w:rFonts w:ascii="Arial" w:hAnsi="Arial" w:cs="Arial"/>
          <w:bCs/>
          <w:kern w:val="2"/>
          <w:sz w:val="20"/>
          <w:szCs w:val="20"/>
        </w:rPr>
        <w:t xml:space="preserve"> </w:t>
      </w:r>
      <w:r w:rsidR="009D4F3F">
        <w:rPr>
          <w:rFonts w:ascii="Arial" w:hAnsi="Arial" w:cs="Arial"/>
          <w:bCs/>
          <w:kern w:val="2"/>
          <w:sz w:val="20"/>
          <w:szCs w:val="20"/>
        </w:rPr>
        <w:t xml:space="preserve">through an inpatient admission or </w:t>
      </w:r>
      <w:r w:rsidR="00BC3C15">
        <w:rPr>
          <w:rFonts w:ascii="Arial" w:hAnsi="Arial" w:cs="Arial"/>
          <w:bCs/>
          <w:kern w:val="2"/>
          <w:sz w:val="20"/>
          <w:szCs w:val="20"/>
        </w:rPr>
        <w:t xml:space="preserve">in the community. </w:t>
      </w:r>
      <w:r w:rsidR="00FA5A00">
        <w:rPr>
          <w:rFonts w:ascii="Arial" w:hAnsi="Arial" w:cs="Arial"/>
          <w:bCs/>
          <w:kern w:val="2"/>
          <w:sz w:val="20"/>
          <w:szCs w:val="20"/>
        </w:rPr>
        <w:t xml:space="preserve">A core tenet of the care provided in the behavioral health unit is to </w:t>
      </w:r>
      <w:r w:rsidR="00FC1DFE">
        <w:rPr>
          <w:rFonts w:ascii="Arial" w:hAnsi="Arial" w:cs="Arial"/>
          <w:bCs/>
          <w:kern w:val="2"/>
          <w:sz w:val="20"/>
          <w:szCs w:val="20"/>
        </w:rPr>
        <w:t xml:space="preserve">stabilize the patient so that they can </w:t>
      </w:r>
      <w:r w:rsidR="00DE1FB6">
        <w:rPr>
          <w:rFonts w:ascii="Arial" w:hAnsi="Arial" w:cs="Arial"/>
          <w:bCs/>
          <w:kern w:val="2"/>
          <w:sz w:val="20"/>
          <w:szCs w:val="20"/>
        </w:rPr>
        <w:t>be referred to</w:t>
      </w:r>
      <w:r w:rsidR="00FA5A00">
        <w:rPr>
          <w:rFonts w:ascii="Arial" w:hAnsi="Arial" w:cs="Arial"/>
          <w:bCs/>
          <w:kern w:val="2"/>
          <w:sz w:val="20"/>
          <w:szCs w:val="20"/>
        </w:rPr>
        <w:t xml:space="preserve"> the least intensive setting following the ED</w:t>
      </w:r>
      <w:r w:rsidR="00FC1DFE">
        <w:rPr>
          <w:rFonts w:ascii="Arial" w:hAnsi="Arial" w:cs="Arial"/>
          <w:bCs/>
          <w:kern w:val="2"/>
          <w:sz w:val="20"/>
          <w:szCs w:val="20"/>
        </w:rPr>
        <w:t xml:space="preserve">. </w:t>
      </w:r>
    </w:p>
    <w:p w14:paraId="35140E74" w14:textId="2791EEFA" w:rsidR="004A689C" w:rsidRDefault="00DE1FB6" w:rsidP="006C6606">
      <w:pPr>
        <w:pStyle w:val="BodyText"/>
        <w:widowControl/>
        <w:spacing w:before="0" w:after="120"/>
        <w:ind w:left="0" w:right="136"/>
        <w:jc w:val="both"/>
        <w:rPr>
          <w:rFonts w:ascii="Arial" w:hAnsi="Arial" w:cs="Arial"/>
          <w:bCs/>
          <w:kern w:val="2"/>
          <w:sz w:val="20"/>
          <w:szCs w:val="20"/>
        </w:rPr>
      </w:pPr>
      <w:r>
        <w:rPr>
          <w:rFonts w:ascii="Arial" w:hAnsi="Arial" w:cs="Arial"/>
          <w:bCs/>
          <w:kern w:val="2"/>
          <w:sz w:val="20"/>
          <w:szCs w:val="20"/>
        </w:rPr>
        <w:t xml:space="preserve">In addition to promote access to care in the most appropriate setting, </w:t>
      </w:r>
      <w:r w:rsidR="00BE2AAE" w:rsidRPr="006C6606">
        <w:rPr>
          <w:rFonts w:ascii="Arial" w:hAnsi="Arial" w:cs="Arial"/>
          <w:bCs/>
          <w:kern w:val="2"/>
          <w:sz w:val="20"/>
          <w:szCs w:val="20"/>
        </w:rPr>
        <w:t xml:space="preserve">BILH and </w:t>
      </w:r>
      <w:r w:rsidR="00231A56">
        <w:rPr>
          <w:rFonts w:ascii="Arial" w:hAnsi="Arial" w:cs="Arial"/>
          <w:bCs/>
          <w:kern w:val="2"/>
          <w:sz w:val="20"/>
          <w:szCs w:val="20"/>
        </w:rPr>
        <w:t>BID-Plymouth</w:t>
      </w:r>
      <w:r w:rsidR="00BE2AAE" w:rsidRPr="006C6606">
        <w:rPr>
          <w:rFonts w:ascii="Arial" w:hAnsi="Arial" w:cs="Arial"/>
          <w:bCs/>
          <w:kern w:val="2"/>
          <w:sz w:val="20"/>
          <w:szCs w:val="20"/>
        </w:rPr>
        <w:t xml:space="preserve"> have implemented several measures to </w:t>
      </w:r>
      <w:r w:rsidR="00F73E8D">
        <w:rPr>
          <w:rFonts w:ascii="Arial" w:hAnsi="Arial" w:cs="Arial"/>
          <w:bCs/>
          <w:kern w:val="2"/>
          <w:sz w:val="20"/>
          <w:szCs w:val="20"/>
        </w:rPr>
        <w:t>ensure patients are accessing the</w:t>
      </w:r>
      <w:r w:rsidR="00BE2AAE" w:rsidRPr="006C6606">
        <w:rPr>
          <w:rFonts w:ascii="Arial" w:hAnsi="Arial" w:cs="Arial"/>
          <w:bCs/>
          <w:kern w:val="2"/>
          <w:sz w:val="20"/>
          <w:szCs w:val="20"/>
        </w:rPr>
        <w:t xml:space="preserve"> best point of care for their condition. These initiatives seek to encourage patients who do not require emergency care to access care at an urgent care clinic or from the</w:t>
      </w:r>
      <w:r w:rsidR="00F73E8D">
        <w:rPr>
          <w:rFonts w:ascii="Arial" w:hAnsi="Arial" w:cs="Arial"/>
          <w:bCs/>
          <w:kern w:val="2"/>
          <w:sz w:val="20"/>
          <w:szCs w:val="20"/>
        </w:rPr>
        <w:t>ir</w:t>
      </w:r>
      <w:r w:rsidR="00BE2AAE" w:rsidRPr="006C6606">
        <w:rPr>
          <w:rFonts w:ascii="Arial" w:hAnsi="Arial" w:cs="Arial"/>
          <w:bCs/>
          <w:kern w:val="2"/>
          <w:sz w:val="20"/>
          <w:szCs w:val="20"/>
        </w:rPr>
        <w:t xml:space="preserve"> PCP. First, </w:t>
      </w:r>
      <w:r w:rsidR="00231A56">
        <w:rPr>
          <w:rFonts w:ascii="Arial" w:hAnsi="Arial" w:cs="Arial"/>
          <w:bCs/>
          <w:kern w:val="2"/>
          <w:sz w:val="20"/>
          <w:szCs w:val="20"/>
        </w:rPr>
        <w:t>BID-</w:t>
      </w:r>
      <w:r w:rsidR="00231A56" w:rsidRPr="00231A56">
        <w:rPr>
          <w:rFonts w:ascii="Arial" w:hAnsi="Arial" w:cs="Arial"/>
          <w:sz w:val="20"/>
          <w:szCs w:val="20"/>
        </w:rPr>
        <w:t xml:space="preserve"> </w:t>
      </w:r>
      <w:r w:rsidR="00231A56">
        <w:rPr>
          <w:rFonts w:ascii="Arial" w:hAnsi="Arial" w:cs="Arial"/>
          <w:sz w:val="20"/>
          <w:szCs w:val="20"/>
        </w:rPr>
        <w:t>Plymouth</w:t>
      </w:r>
      <w:r w:rsidR="00BE2AAE" w:rsidRPr="006C6606">
        <w:rPr>
          <w:rFonts w:ascii="Arial" w:hAnsi="Arial" w:cs="Arial"/>
          <w:bCs/>
          <w:kern w:val="2"/>
          <w:sz w:val="20"/>
          <w:szCs w:val="20"/>
        </w:rPr>
        <w:t xml:space="preserve"> is working with both primary care and urgent care to get patients to consider going to urgent care as first option for many health concerns that do not require emergency care. There are incentives in place for primary care providers to have patients call their office first to help them decide the best course of care</w:t>
      </w:r>
      <w:r w:rsidR="00AB3B59">
        <w:rPr>
          <w:rFonts w:ascii="Arial" w:hAnsi="Arial" w:cs="Arial"/>
          <w:bCs/>
          <w:kern w:val="2"/>
          <w:sz w:val="20"/>
          <w:szCs w:val="20"/>
        </w:rPr>
        <w:t>. One such example is BID-Plymouth’s agreement with Atrius Health which recently opened a new location in Plymouth. Patients will be encouraged to speak with a primary care physician or specialist for urgent issues but will be directed to BID-Plymouth for conditions that require a higher level of care.</w:t>
      </w:r>
      <w:r w:rsidR="006C6606">
        <w:rPr>
          <w:rFonts w:ascii="Arial" w:hAnsi="Arial" w:cs="Arial"/>
          <w:bCs/>
          <w:kern w:val="2"/>
          <w:sz w:val="20"/>
          <w:szCs w:val="20"/>
        </w:rPr>
        <w:t xml:space="preserve"> </w:t>
      </w:r>
      <w:r w:rsidR="004A689C" w:rsidRPr="006C6606">
        <w:rPr>
          <w:rFonts w:ascii="Arial" w:hAnsi="Arial" w:cs="Arial"/>
          <w:bCs/>
          <w:kern w:val="2"/>
          <w:sz w:val="20"/>
          <w:szCs w:val="20"/>
        </w:rPr>
        <w:t xml:space="preserve">Furthermore, BILH recently launched a resource guide for </w:t>
      </w:r>
      <w:r w:rsidR="004A689C" w:rsidRPr="006C6606">
        <w:rPr>
          <w:rFonts w:ascii="Arial" w:hAnsi="Arial" w:cs="Arial"/>
          <w:bCs/>
          <w:kern w:val="2"/>
          <w:sz w:val="20"/>
          <w:szCs w:val="20"/>
        </w:rPr>
        <w:lastRenderedPageBreak/>
        <w:t xml:space="preserve">newly arrived migrants, </w:t>
      </w:r>
      <w:r w:rsidR="004A689C" w:rsidRPr="006C6606">
        <w:rPr>
          <w:rFonts w:ascii="Arial" w:hAnsi="Arial" w:cs="Arial"/>
          <w:bCs/>
          <w:i/>
          <w:iCs/>
          <w:kern w:val="2"/>
          <w:sz w:val="20"/>
          <w:szCs w:val="20"/>
        </w:rPr>
        <w:t xml:space="preserve">Healthcare in Massachusetts: Important Information for Your First Few Months. </w:t>
      </w:r>
      <w:r w:rsidR="004A689C" w:rsidRPr="006C6606">
        <w:rPr>
          <w:rFonts w:ascii="Arial" w:hAnsi="Arial" w:cs="Arial"/>
          <w:bCs/>
          <w:kern w:val="2"/>
          <w:sz w:val="20"/>
          <w:szCs w:val="20"/>
        </w:rPr>
        <w:t xml:space="preserve">The resource guide, which is available in English, Spanish, and Haitian Creole, provides an explanation of care available in the state, how and when to access various levels of care, and other important information such as health insurance enrollment and cash assistance programs. </w:t>
      </w:r>
      <w:r w:rsidR="006C6606">
        <w:rPr>
          <w:rFonts w:ascii="Arial" w:hAnsi="Arial" w:cs="Arial"/>
          <w:bCs/>
          <w:kern w:val="2"/>
          <w:sz w:val="20"/>
          <w:szCs w:val="20"/>
        </w:rPr>
        <w:t xml:space="preserve">Through these efforts to educate patients and providers, as well as expand access to urgent care in the community, </w:t>
      </w:r>
      <w:r w:rsidR="00231A56">
        <w:rPr>
          <w:rFonts w:ascii="Arial" w:hAnsi="Arial" w:cs="Arial"/>
          <w:bCs/>
          <w:kern w:val="2"/>
          <w:sz w:val="20"/>
          <w:szCs w:val="20"/>
        </w:rPr>
        <w:t>BID-Plymouth</w:t>
      </w:r>
      <w:r w:rsidR="006C6606">
        <w:rPr>
          <w:rFonts w:ascii="Arial" w:hAnsi="Arial" w:cs="Arial"/>
          <w:bCs/>
          <w:kern w:val="2"/>
          <w:sz w:val="20"/>
          <w:szCs w:val="20"/>
        </w:rPr>
        <w:t xml:space="preserve"> is taking appropriate steps to facilitate </w:t>
      </w:r>
      <w:r w:rsidR="00F73E8D">
        <w:rPr>
          <w:rFonts w:ascii="Arial" w:hAnsi="Arial" w:cs="Arial"/>
          <w:bCs/>
          <w:kern w:val="2"/>
          <w:sz w:val="20"/>
          <w:szCs w:val="20"/>
        </w:rPr>
        <w:t xml:space="preserve">the appropriate utilization of emergency services, further maximizing the limited capacity it currently has available. </w:t>
      </w:r>
    </w:p>
    <w:p w14:paraId="41D7D097" w14:textId="6439D02C" w:rsidR="00F73E8D" w:rsidRDefault="00F73E8D" w:rsidP="00F73E8D">
      <w:pPr>
        <w:pStyle w:val="BodyText"/>
        <w:widowControl/>
        <w:spacing w:before="0"/>
        <w:ind w:left="0" w:right="136"/>
        <w:jc w:val="both"/>
        <w:rPr>
          <w:rFonts w:ascii="Arial" w:hAnsi="Arial" w:cs="Arial"/>
          <w:bCs/>
          <w:kern w:val="2"/>
          <w:sz w:val="20"/>
          <w:szCs w:val="20"/>
        </w:rPr>
      </w:pPr>
      <w:r>
        <w:rPr>
          <w:rFonts w:ascii="Arial" w:hAnsi="Arial" w:cs="Arial"/>
          <w:bCs/>
          <w:kern w:val="2"/>
          <w:sz w:val="20"/>
          <w:szCs w:val="20"/>
        </w:rPr>
        <w:t xml:space="preserve">Additionally, </w:t>
      </w:r>
      <w:r w:rsidR="00231A56">
        <w:rPr>
          <w:rFonts w:ascii="Arial" w:hAnsi="Arial" w:cs="Arial"/>
          <w:bCs/>
          <w:kern w:val="2"/>
          <w:sz w:val="20"/>
          <w:szCs w:val="20"/>
        </w:rPr>
        <w:t>BID-Plymouth</w:t>
      </w:r>
      <w:r w:rsidRPr="00411DB8">
        <w:rPr>
          <w:rFonts w:ascii="Arial" w:hAnsi="Arial" w:cs="Arial"/>
          <w:bCs/>
          <w:kern w:val="2"/>
          <w:sz w:val="20"/>
          <w:szCs w:val="20"/>
        </w:rPr>
        <w:t xml:space="preserve"> participates in the MassHealth ACO Program through BIDCO, part of BILHPN and its clinically integrated network. In furtherance of the goals of the Program, BIDCO strives to increase access to high quality care for members who are more likely to have unmet </w:t>
      </w:r>
      <w:proofErr w:type="spellStart"/>
      <w:r w:rsidRPr="00411DB8">
        <w:rPr>
          <w:rFonts w:ascii="Arial" w:hAnsi="Arial" w:cs="Arial"/>
          <w:bCs/>
          <w:kern w:val="2"/>
          <w:sz w:val="20"/>
          <w:szCs w:val="20"/>
        </w:rPr>
        <w:t>SDoH</w:t>
      </w:r>
      <w:proofErr w:type="spellEnd"/>
      <w:r w:rsidRPr="00411DB8">
        <w:rPr>
          <w:rFonts w:ascii="Arial" w:hAnsi="Arial" w:cs="Arial"/>
          <w:bCs/>
          <w:kern w:val="2"/>
          <w:sz w:val="20"/>
          <w:szCs w:val="20"/>
        </w:rPr>
        <w:t xml:space="preserve"> needs than the commercially insured population.  A significant portion of BIDCO’s efforts to improve health care are accomplished through care coordination. Specifically, BIDCO’s data analysis and risk management tools are provided to </w:t>
      </w:r>
      <w:r w:rsidR="00231A56">
        <w:rPr>
          <w:rFonts w:ascii="Arial" w:hAnsi="Arial" w:cs="Arial"/>
          <w:bCs/>
          <w:kern w:val="2"/>
          <w:sz w:val="20"/>
          <w:szCs w:val="20"/>
        </w:rPr>
        <w:t>BID-Plymouth</w:t>
      </w:r>
      <w:r w:rsidRPr="00411DB8">
        <w:rPr>
          <w:rFonts w:ascii="Arial" w:hAnsi="Arial" w:cs="Arial"/>
          <w:bCs/>
          <w:kern w:val="2"/>
          <w:sz w:val="20"/>
          <w:szCs w:val="20"/>
        </w:rPr>
        <w:t xml:space="preserve"> providers, including a Population Health Management Tool that helps primary care physicians monitor patients’ health and manage chronic conditions.  </w:t>
      </w:r>
      <w:r w:rsidR="00231A56">
        <w:rPr>
          <w:rFonts w:ascii="Arial" w:hAnsi="Arial" w:cs="Arial"/>
          <w:bCs/>
          <w:kern w:val="2"/>
          <w:sz w:val="20"/>
          <w:szCs w:val="20"/>
        </w:rPr>
        <w:t>BID-Plymouth</w:t>
      </w:r>
      <w:r w:rsidRPr="00411DB8">
        <w:rPr>
          <w:rFonts w:ascii="Arial" w:hAnsi="Arial" w:cs="Arial"/>
          <w:bCs/>
          <w:kern w:val="2"/>
          <w:sz w:val="20"/>
          <w:szCs w:val="20"/>
        </w:rPr>
        <w:t xml:space="preserve">’s links to primary care providers are vital to providing high-quality care and promoting coordination of care.  These primary care linkages will continue to enhance care for </w:t>
      </w:r>
      <w:r w:rsidR="00231A56">
        <w:rPr>
          <w:rFonts w:ascii="Arial" w:hAnsi="Arial" w:cs="Arial"/>
          <w:bCs/>
          <w:kern w:val="2"/>
          <w:sz w:val="20"/>
          <w:szCs w:val="20"/>
        </w:rPr>
        <w:t>BID-Plymouth</w:t>
      </w:r>
      <w:r w:rsidRPr="00411DB8">
        <w:rPr>
          <w:rFonts w:ascii="Arial" w:hAnsi="Arial" w:cs="Arial"/>
          <w:bCs/>
          <w:kern w:val="2"/>
          <w:sz w:val="20"/>
          <w:szCs w:val="20"/>
        </w:rPr>
        <w:t xml:space="preserve"> patients, </w:t>
      </w:r>
      <w:r>
        <w:rPr>
          <w:rFonts w:ascii="Arial" w:hAnsi="Arial" w:cs="Arial"/>
          <w:bCs/>
          <w:kern w:val="2"/>
          <w:sz w:val="20"/>
          <w:szCs w:val="20"/>
        </w:rPr>
        <w:t>spec</w:t>
      </w:r>
      <w:r w:rsidR="00286BC0">
        <w:rPr>
          <w:rFonts w:ascii="Arial" w:hAnsi="Arial" w:cs="Arial"/>
          <w:bCs/>
          <w:kern w:val="2"/>
          <w:sz w:val="20"/>
          <w:szCs w:val="20"/>
        </w:rPr>
        <w:t>ificall</w:t>
      </w:r>
      <w:r>
        <w:rPr>
          <w:rFonts w:ascii="Arial" w:hAnsi="Arial" w:cs="Arial"/>
          <w:bCs/>
          <w:kern w:val="2"/>
          <w:sz w:val="20"/>
          <w:szCs w:val="20"/>
        </w:rPr>
        <w:t xml:space="preserve">y in promoting appropriate and timely care utilization. </w:t>
      </w:r>
    </w:p>
    <w:p w14:paraId="06DD9407" w14:textId="77777777" w:rsidR="00F73E8D" w:rsidRPr="006C6606" w:rsidRDefault="00F73E8D" w:rsidP="00F73E8D">
      <w:pPr>
        <w:pStyle w:val="BodyText"/>
        <w:widowControl/>
        <w:spacing w:before="0"/>
        <w:ind w:left="0" w:right="136"/>
        <w:jc w:val="both"/>
        <w:rPr>
          <w:rFonts w:ascii="Arial" w:hAnsi="Arial" w:cs="Arial"/>
          <w:bCs/>
          <w:kern w:val="2"/>
          <w:sz w:val="20"/>
          <w:szCs w:val="20"/>
        </w:rPr>
      </w:pPr>
    </w:p>
    <w:p w14:paraId="5F52361E" w14:textId="18F425B7" w:rsidR="00BE2AAE" w:rsidRPr="00411DB8" w:rsidRDefault="00BE2AAE" w:rsidP="00BE2AAE">
      <w:pPr>
        <w:autoSpaceDE w:val="0"/>
        <w:autoSpaceDN w:val="0"/>
        <w:adjustRightInd w:val="0"/>
        <w:spacing w:after="120" w:line="240" w:lineRule="auto"/>
        <w:jc w:val="both"/>
        <w:rPr>
          <w:rFonts w:ascii="Arial" w:hAnsi="Arial" w:cs="Arial"/>
          <w:bCs/>
          <w:kern w:val="2"/>
          <w:sz w:val="20"/>
          <w:szCs w:val="20"/>
        </w:rPr>
      </w:pPr>
      <w:r>
        <w:rPr>
          <w:rFonts w:ascii="Arial" w:eastAsia="Times New Roman" w:hAnsi="Arial" w:cs="Arial"/>
          <w:sz w:val="20"/>
          <w:szCs w:val="20"/>
        </w:rPr>
        <w:t xml:space="preserve">With respect to the services provided by the Hospital, </w:t>
      </w:r>
      <w:r w:rsidR="00231A56">
        <w:rPr>
          <w:rFonts w:ascii="Arial" w:eastAsia="Times New Roman" w:hAnsi="Arial" w:cs="Arial"/>
          <w:sz w:val="20"/>
          <w:szCs w:val="20"/>
        </w:rPr>
        <w:t>BID-</w:t>
      </w:r>
      <w:r w:rsidR="00231A56">
        <w:rPr>
          <w:rFonts w:ascii="Arial" w:hAnsi="Arial" w:cs="Arial"/>
          <w:sz w:val="20"/>
          <w:szCs w:val="20"/>
        </w:rPr>
        <w:t>Plymouth</w:t>
      </w:r>
      <w:r w:rsidRPr="00411DB8">
        <w:rPr>
          <w:rFonts w:ascii="Arial" w:eastAsia="Times New Roman" w:hAnsi="Arial" w:cs="Arial"/>
          <w:sz w:val="20"/>
          <w:szCs w:val="20"/>
        </w:rPr>
        <w:t xml:space="preserve"> prom</w:t>
      </w:r>
      <w:r w:rsidRPr="00ED1583">
        <w:rPr>
          <w:rFonts w:ascii="Arial" w:eastAsia="Times New Roman" w:hAnsi="Arial" w:cs="Arial"/>
          <w:sz w:val="20"/>
          <w:szCs w:val="20"/>
        </w:rPr>
        <w:t xml:space="preserve">otes care coordination and effective communication with primary care providers and specialists through an integrated medical record system. </w:t>
      </w:r>
      <w:r w:rsidRPr="00ED1583">
        <w:rPr>
          <w:rFonts w:ascii="Arial" w:hAnsi="Arial" w:cs="Arial"/>
          <w:bCs/>
          <w:kern w:val="2"/>
          <w:sz w:val="20"/>
          <w:szCs w:val="20"/>
        </w:rPr>
        <w:t xml:space="preserve">With respect to the Proposed Project, </w:t>
      </w:r>
      <w:r w:rsidR="00231A56">
        <w:rPr>
          <w:rFonts w:ascii="Arial" w:hAnsi="Arial" w:cs="Arial"/>
          <w:bCs/>
          <w:kern w:val="2"/>
          <w:sz w:val="20"/>
          <w:szCs w:val="20"/>
        </w:rPr>
        <w:t>BID-</w:t>
      </w:r>
      <w:r w:rsidR="00231A56" w:rsidRPr="00231A56">
        <w:rPr>
          <w:rFonts w:ascii="Arial" w:hAnsi="Arial" w:cs="Arial"/>
          <w:sz w:val="20"/>
          <w:szCs w:val="20"/>
        </w:rPr>
        <w:t xml:space="preserve"> </w:t>
      </w:r>
      <w:r w:rsidR="00231A56">
        <w:rPr>
          <w:rFonts w:ascii="Arial" w:hAnsi="Arial" w:cs="Arial"/>
          <w:sz w:val="20"/>
          <w:szCs w:val="20"/>
        </w:rPr>
        <w:t>Plymouth</w:t>
      </w:r>
      <w:r w:rsidRPr="00ED1583">
        <w:rPr>
          <w:rFonts w:ascii="Arial" w:hAnsi="Arial" w:cs="Arial"/>
          <w:bCs/>
          <w:kern w:val="2"/>
          <w:sz w:val="20"/>
          <w:szCs w:val="20"/>
        </w:rPr>
        <w:t>’s EMR serves as the primary linkage between the Hospital’s ED, inpatient floors, affiliated specialists, and community primary care providers (“PCP”).  The Hospital’s EMR allows for patients’ medical information created in the ED to be immediately accessible by other Hospital providers, allowing the real-time transfer of information as patients move from the ED to an inpatient floor. Similarly, information is available to community providers once a patient is discharged from the ED or an inpatient admission for follow-up either with a specialist or their PCP.  The EMR also allows authorized providers outside of the Applicant to view their patients’ records and send progress notes back</w:t>
      </w:r>
      <w:r w:rsidRPr="00B1238C">
        <w:rPr>
          <w:rFonts w:ascii="Arial" w:hAnsi="Arial" w:cs="Arial"/>
          <w:bCs/>
          <w:kern w:val="2"/>
          <w:sz w:val="20"/>
          <w:szCs w:val="20"/>
        </w:rPr>
        <w:t xml:space="preserve"> for improved continuity of care. This integration ensures that the </w:t>
      </w:r>
      <w:r w:rsidR="00231A56">
        <w:rPr>
          <w:rFonts w:ascii="Arial" w:hAnsi="Arial" w:cs="Arial"/>
          <w:bCs/>
          <w:kern w:val="2"/>
          <w:sz w:val="20"/>
          <w:szCs w:val="20"/>
        </w:rPr>
        <w:t>BID-</w:t>
      </w:r>
      <w:r w:rsidR="00231A56" w:rsidRPr="00231A56">
        <w:rPr>
          <w:rFonts w:ascii="Arial" w:hAnsi="Arial" w:cs="Arial"/>
          <w:sz w:val="20"/>
          <w:szCs w:val="20"/>
        </w:rPr>
        <w:t xml:space="preserve"> </w:t>
      </w:r>
      <w:r w:rsidR="00231A56">
        <w:rPr>
          <w:rFonts w:ascii="Arial" w:hAnsi="Arial" w:cs="Arial"/>
          <w:sz w:val="20"/>
          <w:szCs w:val="20"/>
        </w:rPr>
        <w:t>Plymouth</w:t>
      </w:r>
      <w:r w:rsidRPr="00B1238C">
        <w:rPr>
          <w:rFonts w:ascii="Arial" w:hAnsi="Arial" w:cs="Arial"/>
          <w:bCs/>
          <w:kern w:val="2"/>
          <w:sz w:val="20"/>
          <w:szCs w:val="20"/>
        </w:rPr>
        <w:t xml:space="preserve"> patient panel benefits from care coordination through better outcomes and improved quality of life as discussed </w:t>
      </w:r>
      <w:r w:rsidRPr="009716E1">
        <w:rPr>
          <w:rFonts w:ascii="Arial" w:hAnsi="Arial" w:cs="Arial"/>
          <w:bCs/>
          <w:kern w:val="2"/>
          <w:sz w:val="20"/>
          <w:szCs w:val="20"/>
        </w:rPr>
        <w:t>in F1.</w:t>
      </w:r>
      <w:proofErr w:type="gramStart"/>
      <w:r w:rsidRPr="009716E1">
        <w:rPr>
          <w:rFonts w:ascii="Arial" w:hAnsi="Arial" w:cs="Arial"/>
          <w:bCs/>
          <w:kern w:val="2"/>
          <w:sz w:val="20"/>
          <w:szCs w:val="20"/>
        </w:rPr>
        <w:t>b.ii.</w:t>
      </w:r>
      <w:proofErr w:type="gramEnd"/>
      <w:r w:rsidRPr="00411DB8">
        <w:rPr>
          <w:rFonts w:ascii="Arial" w:hAnsi="Arial" w:cs="Arial"/>
          <w:bCs/>
          <w:kern w:val="2"/>
          <w:sz w:val="20"/>
          <w:szCs w:val="20"/>
        </w:rPr>
        <w:t xml:space="preserve">    </w:t>
      </w:r>
    </w:p>
    <w:p w14:paraId="459708E5" w14:textId="385E63D3" w:rsidR="00BC5F4A" w:rsidRDefault="00286BC0" w:rsidP="00F73E8D">
      <w:pPr>
        <w:pStyle w:val="BodyText"/>
        <w:widowControl/>
        <w:spacing w:before="0"/>
        <w:ind w:left="0" w:right="136"/>
        <w:jc w:val="both"/>
        <w:rPr>
          <w:rFonts w:ascii="Arial" w:hAnsi="Arial" w:cs="Arial"/>
          <w:bCs/>
          <w:kern w:val="2"/>
          <w:sz w:val="20"/>
          <w:szCs w:val="20"/>
        </w:rPr>
      </w:pPr>
      <w:r>
        <w:rPr>
          <w:rFonts w:ascii="Arial" w:hAnsi="Arial" w:cs="Arial"/>
          <w:bCs/>
          <w:kern w:val="2"/>
          <w:sz w:val="20"/>
          <w:szCs w:val="20"/>
        </w:rPr>
        <w:t xml:space="preserve">In conclusion, these measures demonstrate BID-Plymouth’s commitment to delivering the right care in the right setting at the right time and the Proposed Project </w:t>
      </w:r>
      <w:r w:rsidR="00BC5F4A">
        <w:rPr>
          <w:rFonts w:ascii="Arial" w:hAnsi="Arial" w:cs="Arial"/>
          <w:bCs/>
          <w:kern w:val="2"/>
          <w:sz w:val="20"/>
          <w:szCs w:val="20"/>
        </w:rPr>
        <w:t xml:space="preserve">seeks to ensure the Hospital </w:t>
      </w:r>
      <w:proofErr w:type="gramStart"/>
      <w:r w:rsidR="00BC5F4A">
        <w:rPr>
          <w:rFonts w:ascii="Arial" w:hAnsi="Arial" w:cs="Arial"/>
          <w:bCs/>
          <w:kern w:val="2"/>
          <w:sz w:val="20"/>
          <w:szCs w:val="20"/>
        </w:rPr>
        <w:t>is able to</w:t>
      </w:r>
      <w:proofErr w:type="gramEnd"/>
      <w:r w:rsidR="00BC5F4A">
        <w:rPr>
          <w:rFonts w:ascii="Arial" w:hAnsi="Arial" w:cs="Arial"/>
          <w:bCs/>
          <w:kern w:val="2"/>
          <w:sz w:val="20"/>
          <w:szCs w:val="20"/>
        </w:rPr>
        <w:t xml:space="preserve"> continue serving the community with timely, high-quality health care. </w:t>
      </w:r>
      <w:r w:rsidR="00D760F2">
        <w:rPr>
          <w:rFonts w:ascii="Arial" w:hAnsi="Arial" w:cs="Arial"/>
          <w:bCs/>
          <w:kern w:val="2"/>
          <w:sz w:val="20"/>
          <w:szCs w:val="20"/>
        </w:rPr>
        <w:t xml:space="preserve">Timely access to emergency care is an essential component of the care BID-Plymouth provides the community and therefore is needed </w:t>
      </w:r>
      <w:r w:rsidR="00D760F2" w:rsidRPr="00D760F2">
        <w:rPr>
          <w:rFonts w:ascii="Arial" w:hAnsi="Arial" w:cs="Arial"/>
          <w:bCs/>
          <w:kern w:val="2"/>
          <w:sz w:val="20"/>
          <w:szCs w:val="20"/>
        </w:rPr>
        <w:t>to improve continuity and coordination of care for the Applicant's Patient Panel</w:t>
      </w:r>
      <w:r w:rsidR="00D760F2">
        <w:rPr>
          <w:rFonts w:ascii="Arial" w:hAnsi="Arial" w:cs="Arial"/>
          <w:bCs/>
          <w:kern w:val="2"/>
          <w:sz w:val="20"/>
          <w:szCs w:val="20"/>
        </w:rPr>
        <w:t>.</w:t>
      </w:r>
    </w:p>
    <w:p w14:paraId="61419257" w14:textId="77777777" w:rsidR="00D760F2" w:rsidRDefault="00D760F2" w:rsidP="00906B58">
      <w:pPr>
        <w:spacing w:before="120" w:after="0" w:line="240" w:lineRule="auto"/>
        <w:jc w:val="both"/>
        <w:rPr>
          <w:rFonts w:ascii="Arial" w:hAnsi="Arial" w:cs="Arial"/>
          <w:b/>
          <w:sz w:val="20"/>
          <w:szCs w:val="20"/>
        </w:rPr>
      </w:pPr>
    </w:p>
    <w:p w14:paraId="0E62F929" w14:textId="3B25A09E" w:rsidR="00BE2AAE" w:rsidRPr="00411DB8" w:rsidRDefault="00BE2AAE" w:rsidP="00906B58">
      <w:pPr>
        <w:spacing w:before="120" w:after="0" w:line="240" w:lineRule="auto"/>
        <w:jc w:val="both"/>
        <w:rPr>
          <w:rFonts w:ascii="Arial" w:hAnsi="Arial" w:cs="Arial"/>
          <w:b/>
          <w:sz w:val="20"/>
          <w:szCs w:val="20"/>
        </w:rPr>
      </w:pPr>
      <w:r w:rsidRPr="00411DB8">
        <w:rPr>
          <w:rFonts w:ascii="Arial" w:hAnsi="Arial" w:cs="Arial"/>
          <w:b/>
          <w:sz w:val="20"/>
          <w:szCs w:val="20"/>
        </w:rPr>
        <w:t>F</w:t>
      </w:r>
      <w:proofErr w:type="gramStart"/>
      <w:r w:rsidRPr="00411DB8">
        <w:rPr>
          <w:rFonts w:ascii="Arial" w:hAnsi="Arial" w:cs="Arial"/>
          <w:b/>
          <w:sz w:val="20"/>
          <w:szCs w:val="20"/>
        </w:rPr>
        <w:t>1.d</w:t>
      </w:r>
      <w:proofErr w:type="gramEnd"/>
      <w:r w:rsidRPr="00411DB8">
        <w:rPr>
          <w:rFonts w:ascii="Arial" w:hAnsi="Arial" w:cs="Arial"/>
          <w:b/>
          <w:sz w:val="20"/>
          <w:szCs w:val="20"/>
        </w:rPr>
        <w:tab/>
      </w:r>
      <w:bookmarkStart w:id="4" w:name="_Hlk5267844"/>
      <w:r w:rsidRPr="00411DB8">
        <w:rPr>
          <w:rFonts w:ascii="Arial" w:hAnsi="Arial" w:cs="Arial"/>
          <w:b/>
          <w:bCs/>
          <w:sz w:val="20"/>
          <w:szCs w:val="20"/>
        </w:rPr>
        <w:t>Provide evidence of consultation, both prior to and after the Filing Date, with all Government Agencies with relevant licensure, certification, or other regulatory oversight of the Applicant or the Proposed Project</w:t>
      </w:r>
      <w:bookmarkEnd w:id="4"/>
      <w:r w:rsidRPr="00411DB8">
        <w:rPr>
          <w:rFonts w:ascii="Arial" w:hAnsi="Arial" w:cs="Arial"/>
          <w:b/>
          <w:bCs/>
          <w:sz w:val="20"/>
          <w:szCs w:val="20"/>
        </w:rPr>
        <w:t>.</w:t>
      </w:r>
    </w:p>
    <w:p w14:paraId="05FD444F" w14:textId="77777777" w:rsidR="00BE2AAE" w:rsidRDefault="00BE2AAE" w:rsidP="00BE2AAE">
      <w:pPr>
        <w:spacing w:before="120" w:after="120" w:line="240" w:lineRule="auto"/>
        <w:jc w:val="both"/>
        <w:rPr>
          <w:rFonts w:ascii="Arial" w:eastAsia="Arial" w:hAnsi="Arial" w:cs="Arial"/>
          <w:spacing w:val="-1"/>
          <w:sz w:val="20"/>
          <w:szCs w:val="20"/>
        </w:rPr>
      </w:pPr>
      <w:r w:rsidRPr="00411DB8">
        <w:rPr>
          <w:rFonts w:ascii="Arial" w:hAnsi="Arial" w:cs="Arial"/>
          <w:spacing w:val="-1"/>
          <w:sz w:val="20"/>
          <w:szCs w:val="20"/>
        </w:rPr>
        <w:t xml:space="preserve">The </w:t>
      </w:r>
      <w:r w:rsidRPr="00411DB8">
        <w:rPr>
          <w:rFonts w:ascii="Arial" w:hAnsi="Arial" w:cs="Arial"/>
          <w:spacing w:val="-2"/>
          <w:sz w:val="20"/>
          <w:szCs w:val="20"/>
        </w:rPr>
        <w:t>Applicant carried out a</w:t>
      </w:r>
      <w:r w:rsidRPr="00411DB8">
        <w:rPr>
          <w:rFonts w:ascii="Arial" w:hAnsi="Arial" w:cs="Arial"/>
          <w:spacing w:val="-5"/>
          <w:sz w:val="20"/>
          <w:szCs w:val="20"/>
        </w:rPr>
        <w:t xml:space="preserve"> </w:t>
      </w:r>
      <w:r w:rsidRPr="00411DB8">
        <w:rPr>
          <w:rFonts w:ascii="Arial" w:hAnsi="Arial" w:cs="Arial"/>
          <w:spacing w:val="-2"/>
          <w:sz w:val="20"/>
          <w:szCs w:val="20"/>
        </w:rPr>
        <w:t>diverse</w:t>
      </w:r>
      <w:r w:rsidRPr="00411DB8">
        <w:rPr>
          <w:rFonts w:ascii="Arial" w:hAnsi="Arial" w:cs="Arial"/>
          <w:spacing w:val="-6"/>
          <w:sz w:val="20"/>
          <w:szCs w:val="20"/>
        </w:rPr>
        <w:t xml:space="preserve"> </w:t>
      </w:r>
      <w:r w:rsidRPr="00411DB8">
        <w:rPr>
          <w:rFonts w:ascii="Arial" w:hAnsi="Arial" w:cs="Arial"/>
          <w:spacing w:val="-2"/>
          <w:sz w:val="20"/>
          <w:szCs w:val="20"/>
        </w:rPr>
        <w:t>consultative</w:t>
      </w:r>
      <w:r w:rsidRPr="00411DB8">
        <w:rPr>
          <w:rFonts w:ascii="Arial" w:hAnsi="Arial" w:cs="Arial"/>
          <w:spacing w:val="-6"/>
          <w:sz w:val="20"/>
          <w:szCs w:val="20"/>
        </w:rPr>
        <w:t xml:space="preserve"> </w:t>
      </w:r>
      <w:r w:rsidRPr="00411DB8">
        <w:rPr>
          <w:rFonts w:ascii="Arial" w:hAnsi="Arial" w:cs="Arial"/>
          <w:spacing w:val="-1"/>
          <w:sz w:val="20"/>
          <w:szCs w:val="20"/>
        </w:rPr>
        <w:t xml:space="preserve">process with individuals at various regulatory agencies and departments regarding the Proposed Project. </w:t>
      </w:r>
      <w:r w:rsidRPr="00411DB8">
        <w:rPr>
          <w:rFonts w:ascii="Arial" w:eastAsia="Arial" w:hAnsi="Arial" w:cs="Arial"/>
          <w:spacing w:val="-1"/>
          <w:sz w:val="20"/>
          <w:szCs w:val="20"/>
        </w:rPr>
        <w:t>The following individuals and agencies are some of those consulted regarding this Project:</w:t>
      </w:r>
    </w:p>
    <w:p w14:paraId="603236D5" w14:textId="77777777" w:rsidR="00BE2AAE" w:rsidRPr="008F3331" w:rsidRDefault="00BE2AAE" w:rsidP="00BE2AAE">
      <w:pPr>
        <w:pStyle w:val="ListParagraph"/>
        <w:numPr>
          <w:ilvl w:val="1"/>
          <w:numId w:val="8"/>
        </w:numPr>
        <w:spacing w:after="0" w:line="240" w:lineRule="auto"/>
        <w:ind w:left="1080"/>
        <w:jc w:val="both"/>
        <w:rPr>
          <w:rFonts w:ascii="Arial" w:hAnsi="Arial" w:cs="Arial"/>
          <w:kern w:val="2"/>
          <w:sz w:val="20"/>
          <w:szCs w:val="20"/>
        </w:rPr>
      </w:pPr>
      <w:r w:rsidRPr="00AA7B7D">
        <w:rPr>
          <w:rFonts w:ascii="Arial" w:hAnsi="Arial" w:cs="Arial"/>
          <w:kern w:val="2"/>
          <w:sz w:val="20"/>
          <w:szCs w:val="20"/>
        </w:rPr>
        <w:t>Massachusetts Department of Public Health, including</w:t>
      </w:r>
      <w:r w:rsidRPr="00B0782C">
        <w:rPr>
          <w:rFonts w:ascii="Arial" w:hAnsi="Arial" w:cs="Arial"/>
          <w:kern w:val="2"/>
          <w:sz w:val="20"/>
          <w:szCs w:val="20"/>
        </w:rPr>
        <w:t xml:space="preserve"> but not limited to: Dennis Renaud, Director, Determination of Need Program; </w:t>
      </w:r>
      <w:r w:rsidRPr="008F3331">
        <w:rPr>
          <w:rFonts w:ascii="Arial" w:hAnsi="Arial" w:cs="Arial"/>
          <w:kern w:val="2"/>
          <w:sz w:val="20"/>
          <w:szCs w:val="20"/>
        </w:rPr>
        <w:t>Jennica Allen, Manager</w:t>
      </w:r>
      <w:r>
        <w:rPr>
          <w:rFonts w:ascii="Arial" w:hAnsi="Arial" w:cs="Arial"/>
          <w:kern w:val="2"/>
          <w:sz w:val="20"/>
          <w:szCs w:val="20"/>
        </w:rPr>
        <w:t xml:space="preserve"> </w:t>
      </w:r>
      <w:r w:rsidRPr="008F3331">
        <w:rPr>
          <w:rFonts w:ascii="Arial" w:hAnsi="Arial" w:cs="Arial"/>
          <w:kern w:val="2"/>
          <w:sz w:val="20"/>
          <w:szCs w:val="20"/>
        </w:rPr>
        <w:t xml:space="preserve">of Community Engagement Practices, </w:t>
      </w:r>
      <w:r w:rsidRPr="00140D88">
        <w:rPr>
          <w:rFonts w:ascii="Arial" w:hAnsi="Arial" w:cs="Arial"/>
          <w:kern w:val="2"/>
          <w:sz w:val="20"/>
          <w:szCs w:val="20"/>
        </w:rPr>
        <w:t>Bureau of Community Health and Prevention</w:t>
      </w:r>
      <w:r w:rsidRPr="008F3331">
        <w:rPr>
          <w:rFonts w:ascii="Arial" w:hAnsi="Arial" w:cs="Arial"/>
          <w:kern w:val="2"/>
          <w:sz w:val="20"/>
          <w:szCs w:val="20"/>
        </w:rPr>
        <w:t xml:space="preserve">; Elizabeth Maffei, Program Manager, </w:t>
      </w:r>
      <w:r w:rsidRPr="00140D88">
        <w:rPr>
          <w:rFonts w:ascii="Arial" w:hAnsi="Arial" w:cs="Arial"/>
          <w:kern w:val="2"/>
          <w:sz w:val="20"/>
          <w:szCs w:val="20"/>
        </w:rPr>
        <w:t>Bureau of Community Health and Prevention</w:t>
      </w:r>
      <w:r>
        <w:rPr>
          <w:rFonts w:ascii="Arial" w:hAnsi="Arial" w:cs="Arial"/>
          <w:kern w:val="2"/>
          <w:sz w:val="20"/>
          <w:szCs w:val="20"/>
        </w:rPr>
        <w:t xml:space="preserve">; </w:t>
      </w:r>
      <w:r w:rsidRPr="008F3331">
        <w:rPr>
          <w:rFonts w:ascii="Arial" w:hAnsi="Arial" w:cs="Arial"/>
          <w:kern w:val="2"/>
          <w:sz w:val="20"/>
          <w:szCs w:val="20"/>
        </w:rPr>
        <w:t xml:space="preserve">Katelyn Teague, </w:t>
      </w:r>
      <w:r w:rsidRPr="00140D88">
        <w:rPr>
          <w:rFonts w:ascii="Arial" w:hAnsi="Arial" w:cs="Arial"/>
          <w:kern w:val="2"/>
          <w:sz w:val="20"/>
          <w:szCs w:val="20"/>
        </w:rPr>
        <w:t>Community Health Planning + Engagement Specialist</w:t>
      </w:r>
      <w:r w:rsidRPr="008F3331">
        <w:rPr>
          <w:rFonts w:ascii="Arial" w:hAnsi="Arial" w:cs="Arial"/>
          <w:kern w:val="2"/>
          <w:sz w:val="20"/>
          <w:szCs w:val="20"/>
        </w:rPr>
        <w:t xml:space="preserve">, </w:t>
      </w:r>
      <w:r w:rsidRPr="00140D88">
        <w:rPr>
          <w:rFonts w:ascii="Arial" w:hAnsi="Arial" w:cs="Arial"/>
          <w:kern w:val="2"/>
          <w:sz w:val="20"/>
          <w:szCs w:val="20"/>
        </w:rPr>
        <w:t>Bureau of Community Health and Prevention</w:t>
      </w:r>
    </w:p>
    <w:p w14:paraId="016E62B3" w14:textId="77777777" w:rsidR="00BE2AAE" w:rsidRPr="008F3331" w:rsidRDefault="00BE2AAE" w:rsidP="00BE2AAE">
      <w:pPr>
        <w:pStyle w:val="ListParagraph"/>
        <w:numPr>
          <w:ilvl w:val="1"/>
          <w:numId w:val="8"/>
        </w:numPr>
        <w:spacing w:after="0" w:line="240" w:lineRule="auto"/>
        <w:ind w:left="1080"/>
        <w:jc w:val="both"/>
        <w:rPr>
          <w:rFonts w:ascii="Arial" w:hAnsi="Arial" w:cs="Arial"/>
          <w:kern w:val="2"/>
          <w:sz w:val="20"/>
          <w:szCs w:val="20"/>
        </w:rPr>
      </w:pPr>
      <w:r w:rsidRPr="008F3331">
        <w:rPr>
          <w:rFonts w:ascii="Arial" w:hAnsi="Arial" w:cs="Arial"/>
          <w:kern w:val="2"/>
          <w:sz w:val="20"/>
          <w:szCs w:val="20"/>
        </w:rPr>
        <w:t>Massachusetts Executive Office of Health and Human Services</w:t>
      </w:r>
    </w:p>
    <w:p w14:paraId="02CD0DED" w14:textId="77777777" w:rsidR="00BE2AAE" w:rsidRPr="0012060D" w:rsidRDefault="00BE2AAE" w:rsidP="00BE2AAE">
      <w:pPr>
        <w:pStyle w:val="ListParagraph"/>
        <w:numPr>
          <w:ilvl w:val="3"/>
          <w:numId w:val="7"/>
        </w:numPr>
        <w:spacing w:after="0" w:line="240" w:lineRule="auto"/>
        <w:ind w:left="1080" w:hanging="360"/>
        <w:jc w:val="both"/>
        <w:rPr>
          <w:rFonts w:ascii="Arial" w:hAnsi="Arial" w:cs="Arial"/>
          <w:kern w:val="2"/>
          <w:sz w:val="20"/>
          <w:szCs w:val="20"/>
        </w:rPr>
      </w:pPr>
      <w:r w:rsidRPr="0012060D">
        <w:rPr>
          <w:rFonts w:ascii="Arial" w:hAnsi="Arial" w:cs="Arial"/>
          <w:kern w:val="2"/>
          <w:sz w:val="20"/>
          <w:szCs w:val="20"/>
        </w:rPr>
        <w:t>Health Policy Commission</w:t>
      </w:r>
    </w:p>
    <w:p w14:paraId="0F9BE69D" w14:textId="77777777" w:rsidR="00BE2AAE" w:rsidRPr="0012060D" w:rsidRDefault="00BE2AAE" w:rsidP="00BE2AAE">
      <w:pPr>
        <w:pStyle w:val="ListParagraph"/>
        <w:numPr>
          <w:ilvl w:val="3"/>
          <w:numId w:val="7"/>
        </w:numPr>
        <w:spacing w:after="0" w:line="240" w:lineRule="auto"/>
        <w:ind w:left="1080" w:hanging="360"/>
        <w:jc w:val="both"/>
        <w:rPr>
          <w:rFonts w:ascii="Arial" w:hAnsi="Arial" w:cs="Arial"/>
          <w:kern w:val="2"/>
          <w:sz w:val="20"/>
          <w:szCs w:val="20"/>
        </w:rPr>
      </w:pPr>
      <w:r w:rsidRPr="0012060D">
        <w:rPr>
          <w:rFonts w:ascii="Arial" w:hAnsi="Arial" w:cs="Arial"/>
          <w:kern w:val="2"/>
          <w:sz w:val="20"/>
          <w:szCs w:val="20"/>
        </w:rPr>
        <w:t>Center for Health Information and Analysis</w:t>
      </w:r>
    </w:p>
    <w:p w14:paraId="6AEAC5C5" w14:textId="77777777" w:rsidR="00BE2AAE" w:rsidRPr="0012060D" w:rsidRDefault="00BE2AAE" w:rsidP="00BE2AAE">
      <w:pPr>
        <w:pStyle w:val="ListParagraph"/>
        <w:numPr>
          <w:ilvl w:val="3"/>
          <w:numId w:val="7"/>
        </w:numPr>
        <w:spacing w:after="0" w:line="240" w:lineRule="auto"/>
        <w:ind w:left="1080" w:hanging="360"/>
        <w:contextualSpacing w:val="0"/>
        <w:jc w:val="both"/>
        <w:rPr>
          <w:rFonts w:ascii="Arial" w:hAnsi="Arial" w:cs="Arial"/>
          <w:b/>
          <w:kern w:val="2"/>
          <w:sz w:val="20"/>
          <w:szCs w:val="20"/>
        </w:rPr>
      </w:pPr>
      <w:r w:rsidRPr="0012060D">
        <w:rPr>
          <w:rFonts w:ascii="Arial" w:hAnsi="Arial" w:cs="Arial"/>
          <w:kern w:val="2"/>
          <w:sz w:val="20"/>
          <w:szCs w:val="20"/>
        </w:rPr>
        <w:t>The Centers for Medicare &amp; Medicaid Services</w:t>
      </w:r>
    </w:p>
    <w:p w14:paraId="4BB218FB" w14:textId="77777777" w:rsidR="00BE2AAE" w:rsidRDefault="00BE2AAE" w:rsidP="00BE2AAE">
      <w:pPr>
        <w:pStyle w:val="ListParagraph"/>
        <w:spacing w:after="0" w:line="240" w:lineRule="auto"/>
        <w:contextualSpacing w:val="0"/>
        <w:jc w:val="both"/>
        <w:rPr>
          <w:rFonts w:ascii="Arial" w:hAnsi="Arial" w:cs="Arial"/>
          <w:b/>
          <w:kern w:val="2"/>
          <w:sz w:val="20"/>
          <w:szCs w:val="20"/>
        </w:rPr>
      </w:pPr>
    </w:p>
    <w:p w14:paraId="67971C5D" w14:textId="77777777" w:rsidR="00BB19F6" w:rsidRDefault="00BB19F6" w:rsidP="00BE2AAE">
      <w:pPr>
        <w:pStyle w:val="ListParagraph"/>
        <w:spacing w:after="0" w:line="240" w:lineRule="auto"/>
        <w:contextualSpacing w:val="0"/>
        <w:jc w:val="both"/>
        <w:rPr>
          <w:rFonts w:ascii="Arial" w:hAnsi="Arial" w:cs="Arial"/>
          <w:b/>
          <w:kern w:val="2"/>
          <w:sz w:val="20"/>
          <w:szCs w:val="20"/>
        </w:rPr>
      </w:pPr>
    </w:p>
    <w:p w14:paraId="38291FBC" w14:textId="77777777" w:rsidR="00BB19F6" w:rsidRPr="00192F00" w:rsidRDefault="00BB19F6" w:rsidP="00BE2AAE">
      <w:pPr>
        <w:pStyle w:val="ListParagraph"/>
        <w:spacing w:after="0" w:line="240" w:lineRule="auto"/>
        <w:contextualSpacing w:val="0"/>
        <w:jc w:val="both"/>
        <w:rPr>
          <w:rFonts w:ascii="Arial" w:hAnsi="Arial" w:cs="Arial"/>
          <w:b/>
          <w:kern w:val="2"/>
          <w:sz w:val="20"/>
          <w:szCs w:val="20"/>
        </w:rPr>
      </w:pPr>
    </w:p>
    <w:p w14:paraId="0A75218A" w14:textId="77777777" w:rsidR="00BE2AAE" w:rsidRPr="00411DB8" w:rsidRDefault="00BE2AAE" w:rsidP="00BE2AAE">
      <w:pPr>
        <w:pStyle w:val="Heading1"/>
        <w:spacing w:after="120" w:line="257" w:lineRule="auto"/>
        <w:rPr>
          <w:rFonts w:ascii="Arial" w:hAnsi="Arial" w:cs="Arial"/>
          <w:b/>
          <w:bCs/>
          <w:sz w:val="20"/>
          <w:szCs w:val="20"/>
        </w:rPr>
      </w:pPr>
      <w:bookmarkStart w:id="5" w:name="_Hlk497463738"/>
      <w:r w:rsidRPr="00411DB8">
        <w:rPr>
          <w:rFonts w:ascii="Arial" w:hAnsi="Arial" w:cs="Arial"/>
          <w:b/>
          <w:bCs/>
          <w:sz w:val="20"/>
          <w:szCs w:val="20"/>
        </w:rPr>
        <w:t>F1.</w:t>
      </w:r>
      <w:proofErr w:type="gramStart"/>
      <w:r w:rsidRPr="00411DB8">
        <w:rPr>
          <w:rFonts w:ascii="Arial" w:hAnsi="Arial" w:cs="Arial"/>
          <w:b/>
          <w:bCs/>
          <w:sz w:val="20"/>
          <w:szCs w:val="20"/>
        </w:rPr>
        <w:t>e.i</w:t>
      </w:r>
      <w:bookmarkEnd w:id="5"/>
      <w:proofErr w:type="gramEnd"/>
      <w:r w:rsidRPr="00411DB8">
        <w:rPr>
          <w:rFonts w:ascii="Arial" w:hAnsi="Arial" w:cs="Arial"/>
          <w:b/>
          <w:bCs/>
          <w:sz w:val="20"/>
          <w:szCs w:val="20"/>
        </w:rPr>
        <w:tab/>
      </w:r>
      <w:r w:rsidRPr="00411DB8">
        <w:rPr>
          <w:rFonts w:ascii="Arial" w:hAnsi="Arial" w:cs="Arial"/>
          <w:b/>
          <w:bCs/>
          <w:sz w:val="20"/>
          <w:szCs w:val="20"/>
        </w:rPr>
        <w:tab/>
      </w:r>
      <w:r w:rsidRPr="00411DB8">
        <w:rPr>
          <w:rFonts w:ascii="Arial" w:hAnsi="Arial" w:cs="Arial"/>
          <w:b/>
          <w:bCs/>
          <w:sz w:val="20"/>
          <w:szCs w:val="20"/>
          <w:u w:val="single"/>
        </w:rPr>
        <w:t>Process for Determining Need/Evidence of Community Engagement</w:t>
      </w:r>
      <w:r w:rsidRPr="00411DB8">
        <w:rPr>
          <w:rFonts w:ascii="Arial" w:hAnsi="Arial" w:cs="Arial"/>
          <w:b/>
          <w:bCs/>
          <w:sz w:val="20"/>
          <w:szCs w:val="20"/>
        </w:rPr>
        <w:t xml:space="preserve">: </w:t>
      </w:r>
    </w:p>
    <w:p w14:paraId="4A946221" w14:textId="77777777" w:rsidR="00BE2AAE" w:rsidRPr="00411DB8" w:rsidRDefault="00BE2AAE" w:rsidP="00BE2AAE">
      <w:pPr>
        <w:spacing w:after="0" w:line="240" w:lineRule="auto"/>
        <w:ind w:left="1440"/>
        <w:jc w:val="both"/>
        <w:rPr>
          <w:rFonts w:ascii="Arial" w:hAnsi="Arial" w:cs="Arial"/>
          <w:b/>
          <w:kern w:val="2"/>
          <w:sz w:val="20"/>
          <w:szCs w:val="20"/>
        </w:rPr>
      </w:pPr>
      <w:r w:rsidRPr="00411DB8">
        <w:rPr>
          <w:rFonts w:ascii="Arial" w:hAnsi="Arial" w:cs="Arial"/>
          <w:b/>
          <w:kern w:val="2"/>
          <w:sz w:val="20"/>
          <w:szCs w:val="20"/>
        </w:rPr>
        <w:t xml:space="preserve">For assistance in responding to this portion of the Application, Applicant is encouraged to review </w:t>
      </w:r>
      <w:r w:rsidRPr="00411DB8">
        <w:rPr>
          <w:rFonts w:ascii="Arial" w:hAnsi="Arial" w:cs="Arial"/>
          <w:b/>
          <w:i/>
          <w:kern w:val="2"/>
          <w:sz w:val="20"/>
          <w:szCs w:val="20"/>
        </w:rPr>
        <w:t xml:space="preserve">Community Engagement Standards for Community Health Planning Guideline. </w:t>
      </w:r>
      <w:r w:rsidRPr="00411DB8">
        <w:rPr>
          <w:rFonts w:ascii="Arial" w:hAnsi="Arial" w:cs="Arial"/>
          <w:b/>
          <w:kern w:val="2"/>
          <w:sz w:val="20"/>
          <w:szCs w:val="20"/>
        </w:rPr>
        <w:t>With respect to the existing Patient Panel, please describe the process through which Applicant determined the need for the Proposed Project.</w:t>
      </w:r>
    </w:p>
    <w:p w14:paraId="39857244" w14:textId="6641DDF7" w:rsidR="00BE2AAE" w:rsidRDefault="00BE2AAE" w:rsidP="00BE2AAE">
      <w:pPr>
        <w:spacing w:before="120" w:after="0" w:line="240" w:lineRule="auto"/>
        <w:jc w:val="both"/>
        <w:rPr>
          <w:rFonts w:ascii="Arial" w:eastAsia="Arial" w:hAnsi="Arial" w:cs="Arial"/>
          <w:kern w:val="2"/>
          <w:sz w:val="20"/>
          <w:szCs w:val="20"/>
        </w:rPr>
      </w:pPr>
      <w:r w:rsidRPr="00411DB8">
        <w:rPr>
          <w:rFonts w:ascii="Arial" w:eastAsia="Arial" w:hAnsi="Arial" w:cs="Arial"/>
          <w:kern w:val="2"/>
          <w:sz w:val="20"/>
          <w:szCs w:val="20"/>
        </w:rPr>
        <w:t>As more fully described in Section F1.</w:t>
      </w:r>
      <w:proofErr w:type="gramStart"/>
      <w:r w:rsidRPr="00411DB8">
        <w:rPr>
          <w:rFonts w:ascii="Arial" w:eastAsia="Arial" w:hAnsi="Arial" w:cs="Arial"/>
          <w:kern w:val="2"/>
          <w:sz w:val="20"/>
          <w:szCs w:val="20"/>
        </w:rPr>
        <w:t>a.ii</w:t>
      </w:r>
      <w:proofErr w:type="gramEnd"/>
      <w:r w:rsidRPr="00411DB8">
        <w:rPr>
          <w:rFonts w:ascii="Arial" w:eastAsia="Arial" w:hAnsi="Arial" w:cs="Arial"/>
          <w:kern w:val="2"/>
          <w:sz w:val="20"/>
          <w:szCs w:val="20"/>
        </w:rPr>
        <w:t xml:space="preserve">, the Applicant </w:t>
      </w:r>
      <w:r>
        <w:rPr>
          <w:rFonts w:ascii="Arial" w:eastAsia="Arial" w:hAnsi="Arial" w:cs="Arial"/>
          <w:kern w:val="2"/>
          <w:sz w:val="20"/>
          <w:szCs w:val="20"/>
        </w:rPr>
        <w:t xml:space="preserve">primarily </w:t>
      </w:r>
      <w:r w:rsidRPr="00411DB8">
        <w:rPr>
          <w:rFonts w:ascii="Arial" w:eastAsia="Arial" w:hAnsi="Arial" w:cs="Arial"/>
          <w:kern w:val="2"/>
          <w:sz w:val="20"/>
          <w:szCs w:val="20"/>
        </w:rPr>
        <w:t xml:space="preserve">determined the need for the Proposed Project </w:t>
      </w:r>
      <w:r>
        <w:rPr>
          <w:rFonts w:ascii="Arial" w:eastAsia="Arial" w:hAnsi="Arial" w:cs="Arial"/>
          <w:kern w:val="2"/>
          <w:sz w:val="20"/>
          <w:szCs w:val="20"/>
        </w:rPr>
        <w:t xml:space="preserve">due to significant increases in emergency department utilization illustrated in annual patient visits to the ED. To more fully engage the </w:t>
      </w:r>
      <w:r w:rsidR="00D760F2">
        <w:rPr>
          <w:rFonts w:ascii="Arial" w:eastAsia="Arial" w:hAnsi="Arial" w:cs="Arial"/>
          <w:kern w:val="2"/>
          <w:sz w:val="20"/>
          <w:szCs w:val="20"/>
        </w:rPr>
        <w:t>c</w:t>
      </w:r>
      <w:r>
        <w:rPr>
          <w:rFonts w:ascii="Arial" w:eastAsia="Arial" w:hAnsi="Arial" w:cs="Arial"/>
          <w:kern w:val="2"/>
          <w:sz w:val="20"/>
          <w:szCs w:val="20"/>
        </w:rPr>
        <w:t xml:space="preserve">ommunity in the </w:t>
      </w:r>
      <w:r w:rsidR="00D760F2">
        <w:rPr>
          <w:rFonts w:ascii="Arial" w:eastAsia="Arial" w:hAnsi="Arial" w:cs="Arial"/>
          <w:kern w:val="2"/>
          <w:sz w:val="20"/>
          <w:szCs w:val="20"/>
        </w:rPr>
        <w:t xml:space="preserve">development of the </w:t>
      </w:r>
      <w:r>
        <w:rPr>
          <w:rFonts w:ascii="Arial" w:eastAsia="Arial" w:hAnsi="Arial" w:cs="Arial"/>
          <w:kern w:val="2"/>
          <w:sz w:val="20"/>
          <w:szCs w:val="20"/>
        </w:rPr>
        <w:t>Proposed Project, the Hospital hosted serval meetings to inform the community on the state of the current ED, what the Proposed Project includes, and to answer any questions</w:t>
      </w:r>
      <w:r w:rsidR="00906B58">
        <w:rPr>
          <w:rFonts w:ascii="Arial" w:eastAsia="Arial" w:hAnsi="Arial" w:cs="Arial"/>
          <w:kern w:val="2"/>
          <w:sz w:val="20"/>
          <w:szCs w:val="20"/>
        </w:rPr>
        <w:t xml:space="preserve">. </w:t>
      </w:r>
    </w:p>
    <w:p w14:paraId="4F7D7238" w14:textId="77777777" w:rsidR="00BE2AAE" w:rsidRPr="00411DB8" w:rsidRDefault="00BE2AAE" w:rsidP="00BE2AAE">
      <w:pPr>
        <w:spacing w:before="120" w:after="0" w:line="240" w:lineRule="auto"/>
        <w:jc w:val="both"/>
        <w:rPr>
          <w:rFonts w:ascii="Arial" w:eastAsia="Arial" w:hAnsi="Arial" w:cs="Arial"/>
          <w:kern w:val="2"/>
          <w:sz w:val="20"/>
          <w:szCs w:val="20"/>
        </w:rPr>
      </w:pPr>
      <w:r>
        <w:rPr>
          <w:rFonts w:ascii="Arial" w:eastAsia="Arial" w:hAnsi="Arial" w:cs="Arial"/>
          <w:kern w:val="2"/>
          <w:sz w:val="20"/>
          <w:szCs w:val="20"/>
        </w:rPr>
        <w:t>T</w:t>
      </w:r>
      <w:r w:rsidRPr="00535C49">
        <w:rPr>
          <w:rFonts w:ascii="Arial" w:eastAsia="Arial" w:hAnsi="Arial" w:cs="Arial"/>
          <w:kern w:val="2"/>
          <w:sz w:val="20"/>
          <w:szCs w:val="20"/>
        </w:rPr>
        <w:t xml:space="preserve">he </w:t>
      </w:r>
      <w:r>
        <w:rPr>
          <w:rFonts w:ascii="Arial" w:eastAsia="Arial" w:hAnsi="Arial" w:cs="Arial"/>
          <w:kern w:val="2"/>
          <w:sz w:val="20"/>
          <w:szCs w:val="20"/>
        </w:rPr>
        <w:t xml:space="preserve">Hospital </w:t>
      </w:r>
      <w:r w:rsidRPr="00535C49">
        <w:rPr>
          <w:rFonts w:ascii="Arial" w:eastAsia="Arial" w:hAnsi="Arial" w:cs="Arial"/>
          <w:kern w:val="2"/>
          <w:sz w:val="20"/>
          <w:szCs w:val="20"/>
        </w:rPr>
        <w:t>presented the Proposed Project to the Hospital’s Patient and Family Advisory Committee</w:t>
      </w:r>
      <w:r>
        <w:rPr>
          <w:rFonts w:ascii="Arial" w:eastAsia="Arial" w:hAnsi="Arial" w:cs="Arial"/>
          <w:kern w:val="2"/>
          <w:sz w:val="20"/>
          <w:szCs w:val="20"/>
        </w:rPr>
        <w:t xml:space="preserve"> (“PFAC”)</w:t>
      </w:r>
      <w:r w:rsidRPr="00535C49">
        <w:rPr>
          <w:rFonts w:ascii="Arial" w:eastAsia="Arial" w:hAnsi="Arial" w:cs="Arial"/>
          <w:kern w:val="2"/>
          <w:sz w:val="20"/>
          <w:szCs w:val="20"/>
        </w:rPr>
        <w:t xml:space="preserve"> and the Hospital’s Community Benefits Advisory Committee </w:t>
      </w:r>
      <w:r>
        <w:rPr>
          <w:rFonts w:ascii="Arial" w:eastAsia="Arial" w:hAnsi="Arial" w:cs="Arial"/>
          <w:kern w:val="2"/>
          <w:sz w:val="20"/>
          <w:szCs w:val="20"/>
        </w:rPr>
        <w:t xml:space="preserve">(“CBAC”) </w:t>
      </w:r>
      <w:r w:rsidRPr="00535C49">
        <w:rPr>
          <w:rFonts w:ascii="Arial" w:eastAsia="Arial" w:hAnsi="Arial" w:cs="Arial"/>
          <w:kern w:val="2"/>
          <w:sz w:val="20"/>
          <w:szCs w:val="20"/>
        </w:rPr>
        <w:t>to inform them of the Proposed Project and solicit their feedback in the development of the Proposed Project.</w:t>
      </w:r>
      <w:r>
        <w:rPr>
          <w:rFonts w:ascii="Arial" w:eastAsia="Arial" w:hAnsi="Arial" w:cs="Arial"/>
          <w:kern w:val="2"/>
          <w:sz w:val="20"/>
          <w:szCs w:val="20"/>
        </w:rPr>
        <w:t xml:space="preserve"> </w:t>
      </w:r>
      <w:r w:rsidRPr="00411DB8">
        <w:rPr>
          <w:rFonts w:ascii="Arial" w:eastAsia="Arial" w:hAnsi="Arial" w:cs="Arial"/>
          <w:kern w:val="2"/>
          <w:sz w:val="20"/>
          <w:szCs w:val="20"/>
        </w:rPr>
        <w:t xml:space="preserve">During each of the presentations described below, attendees were educated on the Applicant’s proposed plans, including how the Proposed Project will benefit the Hospital’s Patient Panel. Following the presentation, attendees were able to share feedback and ask the presenters questions. </w:t>
      </w:r>
    </w:p>
    <w:p w14:paraId="1A93AE2E" w14:textId="77777777" w:rsidR="00BE2AAE" w:rsidRPr="00411DB8" w:rsidRDefault="00BE2AAE" w:rsidP="00BE2AAE">
      <w:pPr>
        <w:spacing w:before="120" w:after="0" w:line="257" w:lineRule="auto"/>
        <w:jc w:val="both"/>
        <w:rPr>
          <w:rFonts w:ascii="Arial" w:eastAsia="Arial" w:hAnsi="Arial" w:cs="Arial"/>
          <w:kern w:val="2"/>
          <w:sz w:val="20"/>
          <w:szCs w:val="20"/>
        </w:rPr>
      </w:pPr>
      <w:r>
        <w:rPr>
          <w:rFonts w:ascii="Arial" w:eastAsia="Arial" w:hAnsi="Arial" w:cs="Arial"/>
          <w:kern w:val="2"/>
          <w:sz w:val="20"/>
          <w:szCs w:val="20"/>
        </w:rPr>
        <w:t>First</w:t>
      </w:r>
      <w:r w:rsidRPr="00535C49">
        <w:rPr>
          <w:rFonts w:ascii="Arial" w:eastAsia="Arial" w:hAnsi="Arial" w:cs="Arial"/>
          <w:kern w:val="2"/>
          <w:sz w:val="20"/>
          <w:szCs w:val="20"/>
        </w:rPr>
        <w:t xml:space="preserve">, the Proposed Project was presented to the Hospital’s </w:t>
      </w:r>
      <w:r>
        <w:rPr>
          <w:rFonts w:ascii="Arial" w:eastAsia="Arial" w:hAnsi="Arial" w:cs="Arial"/>
          <w:kern w:val="2"/>
          <w:sz w:val="20"/>
          <w:szCs w:val="20"/>
        </w:rPr>
        <w:t>CBAC on December 11, 2023</w:t>
      </w:r>
      <w:r w:rsidRPr="00535C49">
        <w:rPr>
          <w:rFonts w:ascii="Arial" w:eastAsia="Arial" w:hAnsi="Arial" w:cs="Arial"/>
          <w:kern w:val="2"/>
          <w:sz w:val="20"/>
          <w:szCs w:val="20"/>
        </w:rPr>
        <w:t xml:space="preserve">. The presentation was attended by </w:t>
      </w:r>
      <w:r>
        <w:rPr>
          <w:rFonts w:ascii="Arial" w:eastAsia="Arial" w:hAnsi="Arial" w:cs="Arial"/>
          <w:kern w:val="2"/>
          <w:sz w:val="20"/>
          <w:szCs w:val="20"/>
        </w:rPr>
        <w:t>12 members of the CBAC and led by Donna Doherty,</w:t>
      </w:r>
      <w:r w:rsidRPr="00AA7B7D">
        <w:t xml:space="preserve"> </w:t>
      </w:r>
      <w:r>
        <w:t xml:space="preserve">the Hospital’s </w:t>
      </w:r>
      <w:r w:rsidRPr="00AA7B7D">
        <w:rPr>
          <w:rFonts w:ascii="Arial" w:eastAsia="Arial" w:hAnsi="Arial" w:cs="Arial"/>
          <w:kern w:val="2"/>
          <w:sz w:val="20"/>
          <w:szCs w:val="20"/>
        </w:rPr>
        <w:t>V</w:t>
      </w:r>
      <w:r>
        <w:rPr>
          <w:rFonts w:ascii="Arial" w:eastAsia="Arial" w:hAnsi="Arial" w:cs="Arial"/>
          <w:kern w:val="2"/>
          <w:sz w:val="20"/>
          <w:szCs w:val="20"/>
        </w:rPr>
        <w:t xml:space="preserve">ice President </w:t>
      </w:r>
      <w:r w:rsidRPr="00AA7B7D">
        <w:rPr>
          <w:rFonts w:ascii="Arial" w:eastAsia="Arial" w:hAnsi="Arial" w:cs="Arial"/>
          <w:kern w:val="2"/>
          <w:sz w:val="20"/>
          <w:szCs w:val="20"/>
        </w:rPr>
        <w:t>of Patient Care Services and Chief Nursing Office</w:t>
      </w:r>
      <w:r>
        <w:rPr>
          <w:rFonts w:ascii="Arial" w:eastAsia="Arial" w:hAnsi="Arial" w:cs="Arial"/>
          <w:kern w:val="2"/>
          <w:sz w:val="20"/>
          <w:szCs w:val="20"/>
        </w:rPr>
        <w:t xml:space="preserve">. Committee members asked about utilization trends and how the Proposed Project will meet the community’s need for emergency, inpatient, and behavioral health care.  </w:t>
      </w:r>
    </w:p>
    <w:p w14:paraId="2E8DDA67" w14:textId="54958BA8" w:rsidR="00BE2AAE" w:rsidRDefault="00BE2AAE" w:rsidP="00BE2AAE">
      <w:pPr>
        <w:spacing w:before="120" w:after="0"/>
        <w:jc w:val="both"/>
        <w:rPr>
          <w:rFonts w:ascii="Arial" w:eastAsia="Arial" w:hAnsi="Arial" w:cs="Arial"/>
          <w:kern w:val="2"/>
          <w:sz w:val="20"/>
          <w:szCs w:val="20"/>
        </w:rPr>
      </w:pPr>
      <w:r w:rsidRPr="00535C49">
        <w:rPr>
          <w:rFonts w:ascii="Arial" w:eastAsia="Arial" w:hAnsi="Arial" w:cs="Arial"/>
          <w:kern w:val="2"/>
          <w:sz w:val="20"/>
          <w:szCs w:val="20"/>
        </w:rPr>
        <w:t xml:space="preserve">Second, the Proposed Project was presented to the Hospital’s </w:t>
      </w:r>
      <w:r>
        <w:rPr>
          <w:rFonts w:ascii="Arial" w:eastAsia="Arial" w:hAnsi="Arial" w:cs="Arial"/>
          <w:kern w:val="2"/>
          <w:sz w:val="20"/>
          <w:szCs w:val="20"/>
        </w:rPr>
        <w:t>PFAC</w:t>
      </w:r>
      <w:r w:rsidRPr="00535C49">
        <w:rPr>
          <w:rFonts w:ascii="Arial" w:eastAsia="Arial" w:hAnsi="Arial" w:cs="Arial"/>
          <w:kern w:val="2"/>
          <w:sz w:val="20"/>
          <w:szCs w:val="20"/>
        </w:rPr>
        <w:t xml:space="preserve"> on </w:t>
      </w:r>
      <w:r>
        <w:rPr>
          <w:rFonts w:ascii="Arial" w:eastAsia="Arial" w:hAnsi="Arial" w:cs="Arial"/>
          <w:kern w:val="2"/>
          <w:sz w:val="20"/>
          <w:szCs w:val="20"/>
        </w:rPr>
        <w:t>January 10, 2024</w:t>
      </w:r>
      <w:r w:rsidRPr="00535C49">
        <w:rPr>
          <w:rFonts w:ascii="Arial" w:eastAsia="Arial" w:hAnsi="Arial" w:cs="Arial"/>
          <w:kern w:val="2"/>
          <w:sz w:val="20"/>
          <w:szCs w:val="20"/>
        </w:rPr>
        <w:t xml:space="preserve">. The presentation was attended by </w:t>
      </w:r>
      <w:r>
        <w:rPr>
          <w:rFonts w:ascii="Arial" w:eastAsia="Arial" w:hAnsi="Arial" w:cs="Arial"/>
          <w:kern w:val="2"/>
          <w:sz w:val="20"/>
          <w:szCs w:val="20"/>
        </w:rPr>
        <w:t>nine (9) individuals</w:t>
      </w:r>
      <w:r w:rsidRPr="00535C49">
        <w:rPr>
          <w:rFonts w:ascii="Arial" w:eastAsia="Arial" w:hAnsi="Arial" w:cs="Arial"/>
          <w:kern w:val="2"/>
          <w:sz w:val="20"/>
          <w:szCs w:val="20"/>
        </w:rPr>
        <w:t xml:space="preserve">, including </w:t>
      </w:r>
      <w:r>
        <w:rPr>
          <w:rFonts w:ascii="Arial" w:eastAsia="Arial" w:hAnsi="Arial" w:cs="Arial"/>
          <w:kern w:val="2"/>
          <w:sz w:val="20"/>
          <w:szCs w:val="20"/>
        </w:rPr>
        <w:t xml:space="preserve">four (4) members of the PFAC. Members asked measures to take pressure off the ED. Examples provided were the Hospital’s new Clinical Decision Unit, new urgent care locations in </w:t>
      </w:r>
      <w:r w:rsidR="00231A56">
        <w:rPr>
          <w:rFonts w:ascii="Arial" w:eastAsia="Arial" w:hAnsi="Arial" w:cs="Arial"/>
          <w:kern w:val="2"/>
          <w:sz w:val="20"/>
          <w:szCs w:val="20"/>
        </w:rPr>
        <w:t>Plymouth</w:t>
      </w:r>
      <w:r>
        <w:rPr>
          <w:rFonts w:ascii="Arial" w:eastAsia="Arial" w:hAnsi="Arial" w:cs="Arial"/>
          <w:kern w:val="2"/>
          <w:sz w:val="20"/>
          <w:szCs w:val="20"/>
        </w:rPr>
        <w:t xml:space="preserve"> and Middleboro, and an initiative led by the Hospital asking</w:t>
      </w:r>
      <w:r w:rsidRPr="00DB0AFF">
        <w:rPr>
          <w:rFonts w:ascii="Arial" w:eastAsia="Arial" w:hAnsi="Arial" w:cs="Arial"/>
          <w:kern w:val="2"/>
          <w:sz w:val="20"/>
          <w:szCs w:val="20"/>
        </w:rPr>
        <w:t xml:space="preserve"> primary care and urgent care </w:t>
      </w:r>
      <w:r>
        <w:rPr>
          <w:rFonts w:ascii="Arial" w:eastAsia="Arial" w:hAnsi="Arial" w:cs="Arial"/>
          <w:kern w:val="2"/>
          <w:sz w:val="20"/>
          <w:szCs w:val="20"/>
        </w:rPr>
        <w:t xml:space="preserve">providers </w:t>
      </w:r>
      <w:r w:rsidRPr="00DB0AFF">
        <w:rPr>
          <w:rFonts w:ascii="Arial" w:eastAsia="Arial" w:hAnsi="Arial" w:cs="Arial"/>
          <w:kern w:val="2"/>
          <w:sz w:val="20"/>
          <w:szCs w:val="20"/>
        </w:rPr>
        <w:t xml:space="preserve">to </w:t>
      </w:r>
      <w:r>
        <w:rPr>
          <w:rFonts w:ascii="Arial" w:eastAsia="Arial" w:hAnsi="Arial" w:cs="Arial"/>
          <w:kern w:val="2"/>
          <w:sz w:val="20"/>
          <w:szCs w:val="20"/>
        </w:rPr>
        <w:t>encourage patients to utilize</w:t>
      </w:r>
      <w:r w:rsidRPr="00DB0AFF">
        <w:rPr>
          <w:rFonts w:ascii="Arial" w:eastAsia="Arial" w:hAnsi="Arial" w:cs="Arial"/>
          <w:kern w:val="2"/>
          <w:sz w:val="20"/>
          <w:szCs w:val="20"/>
        </w:rPr>
        <w:t xml:space="preserve"> urgent care </w:t>
      </w:r>
      <w:r>
        <w:rPr>
          <w:rFonts w:ascii="Arial" w:eastAsia="Arial" w:hAnsi="Arial" w:cs="Arial"/>
          <w:kern w:val="2"/>
          <w:sz w:val="20"/>
          <w:szCs w:val="20"/>
        </w:rPr>
        <w:t xml:space="preserve">centers </w:t>
      </w:r>
      <w:r w:rsidRPr="00DB0AFF">
        <w:rPr>
          <w:rFonts w:ascii="Arial" w:eastAsia="Arial" w:hAnsi="Arial" w:cs="Arial"/>
          <w:kern w:val="2"/>
          <w:sz w:val="20"/>
          <w:szCs w:val="20"/>
        </w:rPr>
        <w:t>as first option for health concerns that do not require emergency care.</w:t>
      </w:r>
    </w:p>
    <w:p w14:paraId="110A4CBE" w14:textId="7BC4BACA" w:rsidR="00BE2AAE" w:rsidRDefault="00BE2AAE" w:rsidP="00BE2AAE">
      <w:pPr>
        <w:spacing w:before="120" w:after="0"/>
        <w:jc w:val="both"/>
        <w:rPr>
          <w:rFonts w:ascii="Arial" w:eastAsia="Arial" w:hAnsi="Arial" w:cs="Arial"/>
          <w:kern w:val="2"/>
          <w:sz w:val="20"/>
          <w:szCs w:val="20"/>
        </w:rPr>
      </w:pPr>
      <w:r>
        <w:rPr>
          <w:rFonts w:ascii="Arial" w:eastAsia="Arial" w:hAnsi="Arial" w:cs="Arial"/>
          <w:kern w:val="2"/>
          <w:sz w:val="20"/>
          <w:szCs w:val="20"/>
        </w:rPr>
        <w:t xml:space="preserve">Lastly, the Hospital hosted a public meeting on January 8, 2024. Ten (10) members of the community joined the virtual presentation hosted by </w:t>
      </w:r>
      <w:bookmarkStart w:id="6" w:name="_Hlk497463745"/>
      <w:r w:rsidRPr="0000733D">
        <w:rPr>
          <w:rFonts w:ascii="Arial" w:eastAsia="Arial" w:hAnsi="Arial" w:cs="Arial"/>
          <w:kern w:val="2"/>
          <w:sz w:val="20"/>
          <w:szCs w:val="20"/>
        </w:rPr>
        <w:t>Karen Peterson, Manager of Community Benefits and Community Relations</w:t>
      </w:r>
      <w:r>
        <w:rPr>
          <w:rFonts w:ascii="Arial" w:eastAsia="Arial" w:hAnsi="Arial" w:cs="Arial"/>
          <w:kern w:val="2"/>
          <w:sz w:val="20"/>
          <w:szCs w:val="20"/>
        </w:rPr>
        <w:t xml:space="preserve">, and Keven Coughlin, Present and Chief Executive Officer of </w:t>
      </w:r>
      <w:r w:rsidR="00231A56">
        <w:rPr>
          <w:rFonts w:ascii="Arial" w:eastAsia="Arial" w:hAnsi="Arial" w:cs="Arial"/>
          <w:kern w:val="2"/>
          <w:sz w:val="20"/>
          <w:szCs w:val="20"/>
        </w:rPr>
        <w:t>BID-Plymouth</w:t>
      </w:r>
      <w:r>
        <w:rPr>
          <w:rFonts w:ascii="Arial" w:eastAsia="Arial" w:hAnsi="Arial" w:cs="Arial"/>
          <w:kern w:val="2"/>
          <w:sz w:val="20"/>
          <w:szCs w:val="20"/>
        </w:rPr>
        <w:t xml:space="preserve">. Feedback was overwhelming positive of the Proposed </w:t>
      </w:r>
      <w:r w:rsidR="00FC5C21">
        <w:rPr>
          <w:rFonts w:ascii="Arial" w:eastAsia="Arial" w:hAnsi="Arial" w:cs="Arial"/>
          <w:kern w:val="2"/>
          <w:sz w:val="20"/>
          <w:szCs w:val="20"/>
        </w:rPr>
        <w:t>Project,</w:t>
      </w:r>
      <w:r>
        <w:rPr>
          <w:rFonts w:ascii="Arial" w:eastAsia="Arial" w:hAnsi="Arial" w:cs="Arial"/>
          <w:kern w:val="2"/>
          <w:sz w:val="20"/>
          <w:szCs w:val="20"/>
        </w:rPr>
        <w:t xml:space="preserve"> and the community is excited about the Hospital’s plans for emergency care. </w:t>
      </w:r>
    </w:p>
    <w:p w14:paraId="532ED396" w14:textId="77777777" w:rsidR="00BE2AAE" w:rsidRPr="00411DB8" w:rsidRDefault="00BE2AAE" w:rsidP="00BE2AAE">
      <w:pPr>
        <w:spacing w:before="120" w:after="0"/>
        <w:jc w:val="both"/>
        <w:rPr>
          <w:rFonts w:ascii="Arial" w:hAnsi="Arial" w:cs="Arial"/>
          <w:b/>
          <w:bCs/>
          <w:sz w:val="20"/>
          <w:szCs w:val="20"/>
        </w:rPr>
      </w:pPr>
      <w:r w:rsidRPr="00411DB8">
        <w:rPr>
          <w:rFonts w:ascii="Arial" w:hAnsi="Arial" w:cs="Arial"/>
          <w:b/>
          <w:bCs/>
          <w:sz w:val="20"/>
          <w:szCs w:val="20"/>
        </w:rPr>
        <w:t>F1.</w:t>
      </w:r>
      <w:proofErr w:type="gramStart"/>
      <w:r w:rsidRPr="00411DB8">
        <w:rPr>
          <w:rFonts w:ascii="Arial" w:hAnsi="Arial" w:cs="Arial"/>
          <w:b/>
          <w:bCs/>
          <w:sz w:val="20"/>
          <w:szCs w:val="20"/>
        </w:rPr>
        <w:t>e.ii</w:t>
      </w:r>
      <w:bookmarkEnd w:id="6"/>
      <w:proofErr w:type="gramEnd"/>
      <w:r w:rsidRPr="00411DB8">
        <w:rPr>
          <w:rFonts w:ascii="Arial" w:hAnsi="Arial" w:cs="Arial"/>
          <w:b/>
          <w:bCs/>
          <w:sz w:val="20"/>
          <w:szCs w:val="20"/>
        </w:rPr>
        <w:tab/>
        <w:t>Please provide evidence of sound Community Engagement and consultation throughout the development of the Proposed Project. A successful Applicant will, at a minimum, describe the process whereby the "Public Health Value" of the Proposed Project was considered, and will describe the Community Engagement process as it occurred and is occurring currently in, at least, the following contexts: Identification of Patient Panel Need; Design/selection of DoN Project in response to "Patient Panel" need; and Linking the Proposed Project to "Public Health Value".</w:t>
      </w:r>
    </w:p>
    <w:p w14:paraId="46781508" w14:textId="77777777" w:rsidR="00BE2AAE" w:rsidRDefault="00BE2AAE" w:rsidP="00BE2AAE">
      <w:pPr>
        <w:autoSpaceDE w:val="0"/>
        <w:autoSpaceDN w:val="0"/>
        <w:adjustRightInd w:val="0"/>
        <w:spacing w:after="0" w:line="240" w:lineRule="auto"/>
        <w:rPr>
          <w:rFonts w:ascii="Arial" w:eastAsia="Times New Roman" w:hAnsi="Arial" w:cs="Arial"/>
          <w:sz w:val="20"/>
          <w:szCs w:val="20"/>
        </w:rPr>
      </w:pPr>
    </w:p>
    <w:p w14:paraId="07CBB132" w14:textId="1DB9527D" w:rsidR="00BE2AAE" w:rsidRPr="00B67141" w:rsidRDefault="00BE2AAE" w:rsidP="00BE2AAE">
      <w:pPr>
        <w:autoSpaceDE w:val="0"/>
        <w:autoSpaceDN w:val="0"/>
        <w:adjustRightInd w:val="0"/>
        <w:spacing w:after="0" w:line="240" w:lineRule="auto"/>
        <w:jc w:val="both"/>
        <w:rPr>
          <w:rFonts w:ascii="Arial" w:eastAsia="Times New Roman" w:hAnsi="Arial" w:cs="Arial"/>
          <w:sz w:val="20"/>
          <w:szCs w:val="20"/>
        </w:rPr>
      </w:pPr>
      <w:r w:rsidRPr="00B67141">
        <w:rPr>
          <w:rFonts w:ascii="Arial" w:eastAsia="Times New Roman" w:hAnsi="Arial" w:cs="Arial"/>
          <w:sz w:val="20"/>
          <w:szCs w:val="20"/>
        </w:rPr>
        <w:t>To ensure sound community engagement throughout the development of the Proposed Project,</w:t>
      </w:r>
      <w:r>
        <w:rPr>
          <w:rFonts w:ascii="Arial" w:eastAsia="Times New Roman" w:hAnsi="Arial" w:cs="Arial"/>
          <w:sz w:val="20"/>
          <w:szCs w:val="20"/>
        </w:rPr>
        <w:t xml:space="preserve"> </w:t>
      </w:r>
      <w:r w:rsidRPr="00B67141">
        <w:rPr>
          <w:rFonts w:ascii="Arial" w:eastAsia="Times New Roman" w:hAnsi="Arial" w:cs="Arial"/>
          <w:sz w:val="20"/>
          <w:szCs w:val="20"/>
        </w:rPr>
        <w:t xml:space="preserve">the Applicant and </w:t>
      </w:r>
      <w:r w:rsidR="00231A56">
        <w:rPr>
          <w:rFonts w:ascii="Arial" w:eastAsia="Times New Roman" w:hAnsi="Arial" w:cs="Arial"/>
          <w:sz w:val="20"/>
          <w:szCs w:val="20"/>
        </w:rPr>
        <w:t>BID-Plymouth</w:t>
      </w:r>
      <w:r w:rsidRPr="00B67141">
        <w:rPr>
          <w:rFonts w:ascii="Arial" w:eastAsia="Times New Roman" w:hAnsi="Arial" w:cs="Arial"/>
          <w:sz w:val="20"/>
          <w:szCs w:val="20"/>
        </w:rPr>
        <w:t xml:space="preserve"> took the actions detailed in Factor F</w:t>
      </w:r>
      <w:proofErr w:type="gramStart"/>
      <w:r w:rsidRPr="00B67141">
        <w:rPr>
          <w:rFonts w:ascii="Arial" w:eastAsia="Times New Roman" w:hAnsi="Arial" w:cs="Arial"/>
          <w:sz w:val="20"/>
          <w:szCs w:val="20"/>
        </w:rPr>
        <w:t>1.e.i.</w:t>
      </w:r>
      <w:proofErr w:type="gramEnd"/>
      <w:r w:rsidRPr="00B67141">
        <w:rPr>
          <w:rFonts w:ascii="Arial" w:eastAsia="Times New Roman" w:hAnsi="Arial" w:cs="Arial"/>
          <w:sz w:val="20"/>
          <w:szCs w:val="20"/>
        </w:rPr>
        <w:t xml:space="preserve"> In addition, the Applicant published two legal notices announcing the Proposed Project in </w:t>
      </w:r>
      <w:r w:rsidR="00620498">
        <w:rPr>
          <w:rFonts w:ascii="Arial" w:eastAsia="Times New Roman" w:hAnsi="Arial" w:cs="Arial"/>
          <w:sz w:val="20"/>
          <w:szCs w:val="20"/>
        </w:rPr>
        <w:t xml:space="preserve">the </w:t>
      </w:r>
      <w:r w:rsidR="00BA715D">
        <w:rPr>
          <w:rFonts w:ascii="Arial" w:eastAsia="Times New Roman" w:hAnsi="Arial" w:cs="Arial"/>
          <w:sz w:val="20"/>
          <w:szCs w:val="20"/>
        </w:rPr>
        <w:t>Patriot Ledger</w:t>
      </w:r>
      <w:r w:rsidR="00620498">
        <w:rPr>
          <w:rFonts w:ascii="Arial" w:eastAsia="Times New Roman" w:hAnsi="Arial" w:cs="Arial"/>
          <w:sz w:val="20"/>
          <w:szCs w:val="20"/>
        </w:rPr>
        <w:t xml:space="preserve"> on July </w:t>
      </w:r>
      <w:r w:rsidR="00BA715D">
        <w:rPr>
          <w:rFonts w:ascii="Arial" w:eastAsia="Times New Roman" w:hAnsi="Arial" w:cs="Arial"/>
          <w:sz w:val="20"/>
          <w:szCs w:val="20"/>
        </w:rPr>
        <w:t>25</w:t>
      </w:r>
      <w:r w:rsidR="00620498">
        <w:rPr>
          <w:rFonts w:ascii="Arial" w:eastAsia="Times New Roman" w:hAnsi="Arial" w:cs="Arial"/>
          <w:sz w:val="20"/>
          <w:szCs w:val="20"/>
        </w:rPr>
        <w:t>, 2024,</w:t>
      </w:r>
      <w:r w:rsidRPr="00B67141">
        <w:rPr>
          <w:rFonts w:ascii="Arial" w:eastAsia="Times New Roman" w:hAnsi="Arial" w:cs="Arial"/>
          <w:sz w:val="20"/>
          <w:szCs w:val="20"/>
        </w:rPr>
        <w:t xml:space="preserve"> </w:t>
      </w:r>
      <w:proofErr w:type="gramStart"/>
      <w:r w:rsidRPr="00B67141">
        <w:rPr>
          <w:rFonts w:ascii="Arial" w:eastAsia="Times New Roman" w:hAnsi="Arial" w:cs="Arial"/>
          <w:sz w:val="20"/>
          <w:szCs w:val="20"/>
        </w:rPr>
        <w:t>and also</w:t>
      </w:r>
      <w:proofErr w:type="gramEnd"/>
      <w:r w:rsidRPr="00B67141">
        <w:rPr>
          <w:rFonts w:ascii="Arial" w:eastAsia="Times New Roman" w:hAnsi="Arial" w:cs="Arial"/>
          <w:sz w:val="20"/>
          <w:szCs w:val="20"/>
        </w:rPr>
        <w:t xml:space="preserve"> posted a copy of such legal notice prominently on the </w:t>
      </w:r>
      <w:r w:rsidR="00231A56">
        <w:rPr>
          <w:rFonts w:ascii="Arial" w:eastAsia="Times New Roman" w:hAnsi="Arial" w:cs="Arial"/>
          <w:sz w:val="20"/>
          <w:szCs w:val="20"/>
        </w:rPr>
        <w:t>BID-Plymouth</w:t>
      </w:r>
      <w:r w:rsidRPr="00B67141">
        <w:rPr>
          <w:rFonts w:ascii="Arial" w:eastAsia="Times New Roman" w:hAnsi="Arial" w:cs="Arial"/>
          <w:sz w:val="20"/>
          <w:szCs w:val="20"/>
        </w:rPr>
        <w:t xml:space="preserve"> website. </w:t>
      </w:r>
      <w:r w:rsidRPr="00FC5C21">
        <w:rPr>
          <w:rFonts w:ascii="Arial" w:eastAsia="Times New Roman" w:hAnsi="Arial" w:cs="Arial"/>
          <w:sz w:val="20"/>
          <w:szCs w:val="20"/>
        </w:rPr>
        <w:t xml:space="preserve">Please refer to Appendix </w:t>
      </w:r>
      <w:r w:rsidR="007918A4" w:rsidRPr="00FC5C21">
        <w:rPr>
          <w:rFonts w:ascii="Arial" w:eastAsia="Times New Roman" w:hAnsi="Arial" w:cs="Arial"/>
          <w:sz w:val="20"/>
          <w:szCs w:val="20"/>
        </w:rPr>
        <w:t>6</w:t>
      </w:r>
      <w:r w:rsidRPr="00FC5C21">
        <w:rPr>
          <w:rFonts w:ascii="Arial" w:eastAsia="Times New Roman" w:hAnsi="Arial" w:cs="Arial"/>
          <w:sz w:val="20"/>
          <w:szCs w:val="20"/>
        </w:rPr>
        <w:t xml:space="preserve"> for copies of the legal notices.</w:t>
      </w:r>
    </w:p>
    <w:p w14:paraId="2C59841C" w14:textId="77777777" w:rsidR="00BE2AAE" w:rsidRDefault="00BE2AAE" w:rsidP="00BE2AAE"/>
    <w:p w14:paraId="40C4F533" w14:textId="77777777" w:rsidR="003C1B64" w:rsidRDefault="003C1B64" w:rsidP="00BE2AAE">
      <w:pPr>
        <w:autoSpaceDE w:val="0"/>
        <w:autoSpaceDN w:val="0"/>
        <w:adjustRightInd w:val="0"/>
        <w:rPr>
          <w:rFonts w:ascii="Arial-BoldMT" w:hAnsi="Arial-BoldMT" w:cs="Arial-BoldMT"/>
          <w:b/>
          <w:bCs/>
          <w:sz w:val="20"/>
          <w:szCs w:val="20"/>
        </w:rPr>
      </w:pPr>
    </w:p>
    <w:p w14:paraId="09619ADC" w14:textId="77777777" w:rsidR="003C1B64" w:rsidRDefault="003C1B64" w:rsidP="00BE2AAE">
      <w:pPr>
        <w:autoSpaceDE w:val="0"/>
        <w:autoSpaceDN w:val="0"/>
        <w:adjustRightInd w:val="0"/>
        <w:rPr>
          <w:rFonts w:ascii="Arial-BoldMT" w:hAnsi="Arial-BoldMT" w:cs="Arial-BoldMT"/>
          <w:b/>
          <w:bCs/>
          <w:sz w:val="20"/>
          <w:szCs w:val="20"/>
        </w:rPr>
      </w:pPr>
    </w:p>
    <w:p w14:paraId="3B0696D8" w14:textId="5EFF7613" w:rsidR="00BE2AAE" w:rsidRDefault="00BE2AAE" w:rsidP="00BE2AAE">
      <w:pPr>
        <w:autoSpaceDE w:val="0"/>
        <w:autoSpaceDN w:val="0"/>
        <w:adjustRightInd w:val="0"/>
        <w:rPr>
          <w:rFonts w:ascii="Arial-BoldMT" w:hAnsi="Arial-BoldMT" w:cs="Arial-BoldMT"/>
          <w:b/>
          <w:bCs/>
          <w:sz w:val="20"/>
          <w:szCs w:val="20"/>
        </w:rPr>
      </w:pPr>
      <w:r>
        <w:rPr>
          <w:rFonts w:ascii="Arial-BoldMT" w:hAnsi="Arial-BoldMT" w:cs="Arial-BoldMT"/>
          <w:b/>
          <w:bCs/>
          <w:sz w:val="20"/>
          <w:szCs w:val="20"/>
        </w:rPr>
        <w:lastRenderedPageBreak/>
        <w:t>Factor 2: Health Priorities</w:t>
      </w:r>
    </w:p>
    <w:p w14:paraId="4D83C01B" w14:textId="77777777" w:rsidR="00BE2AAE" w:rsidRDefault="00BE2AAE" w:rsidP="00BE2AAE">
      <w:pPr>
        <w:autoSpaceDE w:val="0"/>
        <w:autoSpaceDN w:val="0"/>
        <w:adjustRightInd w:val="0"/>
        <w:ind w:left="720"/>
        <w:rPr>
          <w:rFonts w:ascii="Arial-BoldMT" w:hAnsi="Arial-BoldMT" w:cs="Arial-BoldMT"/>
          <w:b/>
          <w:bCs/>
          <w:sz w:val="20"/>
          <w:szCs w:val="20"/>
        </w:rPr>
      </w:pPr>
      <w:r>
        <w:rPr>
          <w:rFonts w:ascii="Arial-BoldMT" w:hAnsi="Arial-BoldMT" w:cs="Arial-BoldMT"/>
          <w:b/>
          <w:bCs/>
          <w:sz w:val="20"/>
          <w:szCs w:val="20"/>
        </w:rPr>
        <w:t>Addresses the impact of the Proposed Project on health more broadly (that is, beyond the Patient Panel) requiring that the Applicant demonstrate that the Proposed Project will meaningfully contribute to the Commonwealth's goals for cost containment, improved public health outcomes, and delivery system transformation.</w:t>
      </w:r>
    </w:p>
    <w:p w14:paraId="55922ACB" w14:textId="77777777" w:rsidR="00BE2AAE" w:rsidRDefault="00BE2AAE" w:rsidP="00BE2AAE">
      <w:pPr>
        <w:autoSpaceDE w:val="0"/>
        <w:autoSpaceDN w:val="0"/>
        <w:adjustRightInd w:val="0"/>
        <w:rPr>
          <w:rFonts w:ascii="Arial-BoldMT" w:hAnsi="Arial-BoldMT" w:cs="Arial-BoldMT"/>
          <w:b/>
          <w:bCs/>
          <w:sz w:val="20"/>
          <w:szCs w:val="20"/>
        </w:rPr>
      </w:pPr>
      <w:r>
        <w:rPr>
          <w:rFonts w:ascii="Arial-BoldMT" w:hAnsi="Arial-BoldMT" w:cs="Arial-BoldMT"/>
          <w:b/>
          <w:bCs/>
          <w:sz w:val="20"/>
          <w:szCs w:val="20"/>
        </w:rPr>
        <w:t xml:space="preserve">F2.a. </w:t>
      </w:r>
      <w:r>
        <w:rPr>
          <w:rFonts w:ascii="Arial-BoldMT" w:hAnsi="Arial-BoldMT" w:cs="Arial-BoldMT"/>
          <w:b/>
          <w:bCs/>
          <w:sz w:val="20"/>
          <w:szCs w:val="20"/>
        </w:rPr>
        <w:tab/>
        <w:t>Cost Containment:</w:t>
      </w:r>
    </w:p>
    <w:p w14:paraId="78BBA738" w14:textId="6056D475" w:rsidR="00BE2AAE" w:rsidRPr="00B772BB" w:rsidRDefault="00BE2AAE" w:rsidP="00B772BB">
      <w:pPr>
        <w:autoSpaceDE w:val="0"/>
        <w:autoSpaceDN w:val="0"/>
        <w:adjustRightInd w:val="0"/>
        <w:ind w:left="720"/>
        <w:jc w:val="both"/>
        <w:rPr>
          <w:rFonts w:ascii="Arial-BoldMT" w:hAnsi="Arial-BoldMT" w:cs="Arial-BoldMT"/>
          <w:b/>
          <w:bCs/>
          <w:sz w:val="20"/>
          <w:szCs w:val="20"/>
        </w:rPr>
      </w:pPr>
      <w:r>
        <w:rPr>
          <w:rFonts w:ascii="Arial-BoldMT" w:hAnsi="Arial-BoldMT" w:cs="Arial-BoldMT"/>
          <w:b/>
          <w:bCs/>
          <w:sz w:val="20"/>
          <w:szCs w:val="20"/>
        </w:rPr>
        <w:t>Using objective data, please describe, for each new or expanded service, how the Proposed Project will meaningfully contribute to the Commonwealth's goals for cost containment.</w:t>
      </w:r>
    </w:p>
    <w:p w14:paraId="520B1730" w14:textId="091AC449" w:rsidR="00BE2AAE" w:rsidRDefault="00BE2AAE" w:rsidP="00BE2AAE">
      <w:pPr>
        <w:autoSpaceDE w:val="0"/>
        <w:autoSpaceDN w:val="0"/>
        <w:adjustRightInd w:val="0"/>
        <w:jc w:val="both"/>
        <w:rPr>
          <w:rFonts w:ascii="ArialMT" w:hAnsi="ArialMT" w:cs="ArialMT"/>
          <w:sz w:val="20"/>
          <w:szCs w:val="20"/>
        </w:rPr>
      </w:pPr>
      <w:r>
        <w:rPr>
          <w:rFonts w:ascii="ArialMT" w:hAnsi="ArialMT" w:cs="ArialMT"/>
          <w:sz w:val="20"/>
          <w:szCs w:val="20"/>
        </w:rPr>
        <w:t>The Proposed Project will meaningfully contribute to and further the Commonwealth’s goals for cost containment by ensuring timely and equitable access to emergency services at the lowest reasonable aggregate cost. The Proposed Project seeks to improve access to an essential component of health care that, when impacted by inefficiency, can negatively impact health outcomes and increase health care costs. As discussed previously, timely access to emergency care can reduce the cost of care and improve health outcomes, further reducing health care spending.</w:t>
      </w:r>
      <w:r w:rsidR="00FC1DFE">
        <w:rPr>
          <w:rFonts w:ascii="ArialMT" w:hAnsi="ArialMT" w:cs="ArialMT"/>
          <w:sz w:val="20"/>
          <w:szCs w:val="20"/>
        </w:rPr>
        <w:t xml:space="preserve"> Additionally, expanding</w:t>
      </w:r>
      <w:r w:rsidR="00FC1DFE" w:rsidRPr="00FC1DFE">
        <w:rPr>
          <w:rFonts w:ascii="ArialMT" w:hAnsi="ArialMT" w:cs="ArialMT"/>
          <w:sz w:val="20"/>
          <w:szCs w:val="20"/>
        </w:rPr>
        <w:t xml:space="preserve"> dedicated behavioral health </w:t>
      </w:r>
      <w:r w:rsidR="00FC1DFE">
        <w:rPr>
          <w:rFonts w:ascii="ArialMT" w:hAnsi="ArialMT" w:cs="ArialMT"/>
          <w:sz w:val="20"/>
          <w:szCs w:val="20"/>
        </w:rPr>
        <w:t>resources is expected to reduced spending for</w:t>
      </w:r>
      <w:r w:rsidR="00FC1DFE" w:rsidRPr="00FC1DFE">
        <w:rPr>
          <w:rFonts w:ascii="ArialMT" w:hAnsi="ArialMT" w:cs="ArialMT"/>
          <w:sz w:val="20"/>
          <w:szCs w:val="20"/>
        </w:rPr>
        <w:t xml:space="preserve"> ancillary </w:t>
      </w:r>
      <w:r w:rsidR="00FC1DFE">
        <w:rPr>
          <w:rFonts w:ascii="ArialMT" w:hAnsi="ArialMT" w:cs="ArialMT"/>
          <w:sz w:val="20"/>
          <w:szCs w:val="20"/>
        </w:rPr>
        <w:t>services</w:t>
      </w:r>
      <w:r w:rsidR="00FC1DFE" w:rsidRPr="00FC1DFE">
        <w:rPr>
          <w:rFonts w:ascii="ArialMT" w:hAnsi="ArialMT" w:cs="ArialMT"/>
          <w:sz w:val="20"/>
          <w:szCs w:val="20"/>
        </w:rPr>
        <w:t xml:space="preserve"> </w:t>
      </w:r>
      <w:r w:rsidR="00FC1DFE">
        <w:rPr>
          <w:rFonts w:ascii="ArialMT" w:hAnsi="ArialMT" w:cs="ArialMT"/>
          <w:sz w:val="20"/>
          <w:szCs w:val="20"/>
        </w:rPr>
        <w:t>when</w:t>
      </w:r>
      <w:r w:rsidR="00FC1DFE" w:rsidRPr="00FC1DFE">
        <w:rPr>
          <w:rFonts w:ascii="ArialMT" w:hAnsi="ArialMT" w:cs="ArialMT"/>
          <w:sz w:val="20"/>
          <w:szCs w:val="20"/>
        </w:rPr>
        <w:t xml:space="preserve"> care for this patient population</w:t>
      </w:r>
      <w:r w:rsidR="00FC1DFE">
        <w:rPr>
          <w:rFonts w:ascii="ArialMT" w:hAnsi="ArialMT" w:cs="ArialMT"/>
          <w:sz w:val="20"/>
          <w:szCs w:val="20"/>
        </w:rPr>
        <w:t xml:space="preserve"> is provided in the ED’s main area</w:t>
      </w:r>
      <w:r w:rsidR="00FC1DFE" w:rsidRPr="00FC1DFE">
        <w:rPr>
          <w:rFonts w:ascii="ArialMT" w:hAnsi="ArialMT" w:cs="ArialMT"/>
          <w:sz w:val="20"/>
          <w:szCs w:val="20"/>
        </w:rPr>
        <w:t xml:space="preserve">. </w:t>
      </w:r>
      <w:r>
        <w:rPr>
          <w:rFonts w:ascii="ArialMT" w:hAnsi="ArialMT" w:cs="ArialMT"/>
          <w:sz w:val="20"/>
          <w:szCs w:val="20"/>
        </w:rPr>
        <w:t xml:space="preserve"> To that end, the Proposed Project will meaningfully contribute to the Commonwealth’s goals of cost containment by improving access to emergency care</w:t>
      </w:r>
      <w:r w:rsidR="00FC1DFE">
        <w:rPr>
          <w:rFonts w:ascii="ArialMT" w:hAnsi="ArialMT" w:cs="ArialMT"/>
          <w:sz w:val="20"/>
          <w:szCs w:val="20"/>
        </w:rPr>
        <w:t xml:space="preserve"> in the most appropriate setting</w:t>
      </w:r>
      <w:r>
        <w:rPr>
          <w:rFonts w:ascii="ArialMT" w:hAnsi="ArialMT" w:cs="ArialMT"/>
          <w:sz w:val="20"/>
          <w:szCs w:val="20"/>
        </w:rPr>
        <w:t xml:space="preserve"> and thereby lowering the overall cost of care.</w:t>
      </w:r>
    </w:p>
    <w:p w14:paraId="30832E84" w14:textId="199C4787" w:rsidR="00BE2AAE" w:rsidRDefault="00BE2AAE" w:rsidP="00BE2AAE">
      <w:pPr>
        <w:autoSpaceDE w:val="0"/>
        <w:autoSpaceDN w:val="0"/>
        <w:adjustRightInd w:val="0"/>
        <w:rPr>
          <w:rFonts w:ascii="Arial-BoldMT" w:hAnsi="Arial-BoldMT" w:cs="Arial-BoldMT"/>
          <w:b/>
          <w:bCs/>
          <w:sz w:val="20"/>
          <w:szCs w:val="20"/>
        </w:rPr>
      </w:pPr>
      <w:r>
        <w:rPr>
          <w:rFonts w:ascii="Arial-BoldMT" w:hAnsi="Arial-BoldMT" w:cs="Arial-BoldMT"/>
          <w:b/>
          <w:bCs/>
          <w:sz w:val="20"/>
          <w:szCs w:val="20"/>
        </w:rPr>
        <w:t xml:space="preserve">F2.b. </w:t>
      </w:r>
      <w:r>
        <w:rPr>
          <w:rFonts w:ascii="Arial-BoldMT" w:hAnsi="Arial-BoldMT" w:cs="Arial-BoldMT"/>
          <w:b/>
          <w:bCs/>
          <w:sz w:val="20"/>
          <w:szCs w:val="20"/>
        </w:rPr>
        <w:tab/>
        <w:t>Public Health Outcomes:</w:t>
      </w:r>
    </w:p>
    <w:p w14:paraId="0D7F73D7" w14:textId="77777777" w:rsidR="00BE2AAE" w:rsidRDefault="00BE2AAE" w:rsidP="00BE2AAE">
      <w:pPr>
        <w:autoSpaceDE w:val="0"/>
        <w:autoSpaceDN w:val="0"/>
        <w:adjustRightInd w:val="0"/>
        <w:ind w:left="720"/>
        <w:rPr>
          <w:rFonts w:ascii="Arial-BoldMT" w:hAnsi="Arial-BoldMT" w:cs="Arial-BoldMT"/>
          <w:b/>
          <w:bCs/>
          <w:sz w:val="20"/>
          <w:szCs w:val="20"/>
        </w:rPr>
      </w:pPr>
      <w:r>
        <w:rPr>
          <w:rFonts w:ascii="Arial-BoldMT" w:hAnsi="Arial-BoldMT" w:cs="Arial-BoldMT"/>
          <w:b/>
          <w:bCs/>
          <w:sz w:val="20"/>
          <w:szCs w:val="20"/>
        </w:rPr>
        <w:t>Describe, as relevant, for each new or expanded service, how the Proposed Project will improve public health outcomes.</w:t>
      </w:r>
    </w:p>
    <w:p w14:paraId="21F01F95" w14:textId="0435C60C" w:rsidR="00BE2AAE" w:rsidRDefault="00BE2AAE" w:rsidP="00BE2AAE">
      <w:pPr>
        <w:autoSpaceDE w:val="0"/>
        <w:autoSpaceDN w:val="0"/>
        <w:adjustRightInd w:val="0"/>
        <w:jc w:val="both"/>
        <w:rPr>
          <w:rFonts w:ascii="ArialMT" w:hAnsi="ArialMT" w:cs="ArialMT"/>
          <w:sz w:val="20"/>
          <w:szCs w:val="20"/>
        </w:rPr>
      </w:pPr>
      <w:r>
        <w:rPr>
          <w:rFonts w:ascii="ArialMT" w:hAnsi="ArialMT" w:cs="ArialMT"/>
          <w:sz w:val="20"/>
          <w:szCs w:val="20"/>
        </w:rPr>
        <w:t>The Proposed Project will improve public health outcomes by providing patients timely access to high-quality emergency care in the most appropriate care environment for their condition, in turn reducing delays in diagnosis and treatment. As discussed in Factor F1.</w:t>
      </w:r>
      <w:proofErr w:type="gramStart"/>
      <w:r>
        <w:rPr>
          <w:rFonts w:ascii="ArialMT" w:hAnsi="ArialMT" w:cs="ArialMT"/>
          <w:sz w:val="20"/>
          <w:szCs w:val="20"/>
        </w:rPr>
        <w:t>a.ii</w:t>
      </w:r>
      <w:proofErr w:type="gramEnd"/>
      <w:r>
        <w:rPr>
          <w:rFonts w:ascii="ArialMT" w:hAnsi="ArialMT" w:cs="ArialMT"/>
          <w:sz w:val="20"/>
          <w:szCs w:val="20"/>
        </w:rPr>
        <w:t xml:space="preserve">, </w:t>
      </w:r>
      <w:r w:rsidR="00231A56">
        <w:rPr>
          <w:rFonts w:ascii="ArialMT" w:hAnsi="ArialMT" w:cs="ArialMT"/>
          <w:sz w:val="20"/>
          <w:szCs w:val="20"/>
        </w:rPr>
        <w:t>BID-Plymouth</w:t>
      </w:r>
      <w:r>
        <w:rPr>
          <w:rFonts w:ascii="ArialMT" w:hAnsi="ArialMT" w:cs="ArialMT"/>
          <w:sz w:val="20"/>
          <w:szCs w:val="20"/>
        </w:rPr>
        <w:t xml:space="preserve">’s ED was built in 1993 to serve 25,000 visits annually. </w:t>
      </w:r>
      <w:r w:rsidR="00B57074">
        <w:rPr>
          <w:rFonts w:ascii="ArialMT" w:hAnsi="ArialMT" w:cs="ArialMT"/>
          <w:sz w:val="20"/>
          <w:szCs w:val="20"/>
        </w:rPr>
        <w:t xml:space="preserve">Thirty </w:t>
      </w:r>
      <w:r>
        <w:rPr>
          <w:rFonts w:ascii="ArialMT" w:hAnsi="ArialMT" w:cs="ArialMT"/>
          <w:sz w:val="20"/>
          <w:szCs w:val="20"/>
        </w:rPr>
        <w:t xml:space="preserve">years later, the ED </w:t>
      </w:r>
      <w:r w:rsidR="00B57074">
        <w:rPr>
          <w:rFonts w:ascii="ArialMT" w:hAnsi="ArialMT" w:cs="ArialMT"/>
          <w:sz w:val="20"/>
          <w:szCs w:val="20"/>
        </w:rPr>
        <w:t xml:space="preserve">sees </w:t>
      </w:r>
      <w:r>
        <w:rPr>
          <w:rFonts w:ascii="ArialMT" w:hAnsi="ArialMT" w:cs="ArialMT"/>
          <w:sz w:val="20"/>
          <w:szCs w:val="20"/>
        </w:rPr>
        <w:t xml:space="preserve">almost twice as many visits as it was built to accommodate. This mismatch between </w:t>
      </w:r>
      <w:r w:rsidR="00B57074">
        <w:rPr>
          <w:rFonts w:ascii="ArialMT" w:hAnsi="ArialMT" w:cs="ArialMT"/>
          <w:sz w:val="20"/>
          <w:szCs w:val="20"/>
        </w:rPr>
        <w:t xml:space="preserve">capacity </w:t>
      </w:r>
      <w:r>
        <w:rPr>
          <w:rFonts w:ascii="ArialMT" w:hAnsi="ArialMT" w:cs="ArialMT"/>
          <w:sz w:val="20"/>
          <w:szCs w:val="20"/>
        </w:rPr>
        <w:t xml:space="preserve">and </w:t>
      </w:r>
      <w:r w:rsidR="00B57074">
        <w:rPr>
          <w:rFonts w:ascii="ArialMT" w:hAnsi="ArialMT" w:cs="ArialMT"/>
          <w:sz w:val="20"/>
          <w:szCs w:val="20"/>
        </w:rPr>
        <w:t xml:space="preserve">volume </w:t>
      </w:r>
      <w:r>
        <w:rPr>
          <w:rFonts w:ascii="ArialMT" w:hAnsi="ArialMT" w:cs="ArialMT"/>
          <w:sz w:val="20"/>
          <w:szCs w:val="20"/>
        </w:rPr>
        <w:t xml:space="preserve">is resulting in increased wait times, more patients leaving without being seen, and high levels of patient dissatisfaction. Historical utilization trends coupled with population projections demonstrate a clear need for the Hospital to expand </w:t>
      </w:r>
      <w:proofErr w:type="gramStart"/>
      <w:r>
        <w:rPr>
          <w:rFonts w:ascii="ArialMT" w:hAnsi="ArialMT" w:cs="ArialMT"/>
          <w:sz w:val="20"/>
          <w:szCs w:val="20"/>
        </w:rPr>
        <w:t>capacity</w:t>
      </w:r>
      <w:proofErr w:type="gramEnd"/>
      <w:r>
        <w:rPr>
          <w:rFonts w:ascii="ArialMT" w:hAnsi="ArialMT" w:cs="ArialMT"/>
          <w:sz w:val="20"/>
          <w:szCs w:val="20"/>
        </w:rPr>
        <w:t xml:space="preserve"> </w:t>
      </w:r>
      <w:proofErr w:type="gramStart"/>
      <w:r>
        <w:rPr>
          <w:rFonts w:ascii="ArialMT" w:hAnsi="ArialMT" w:cs="ArialMT"/>
          <w:sz w:val="20"/>
          <w:szCs w:val="20"/>
        </w:rPr>
        <w:t>in order to</w:t>
      </w:r>
      <w:proofErr w:type="gramEnd"/>
      <w:r>
        <w:rPr>
          <w:rFonts w:ascii="ArialMT" w:hAnsi="ArialMT" w:cs="ArialMT"/>
          <w:sz w:val="20"/>
          <w:szCs w:val="20"/>
        </w:rPr>
        <w:t xml:space="preserve"> meet current and future demand for emergency care in the community.</w:t>
      </w:r>
      <w:r w:rsidR="00FC1DFE">
        <w:rPr>
          <w:rFonts w:ascii="ArialMT" w:hAnsi="ArialMT" w:cs="ArialMT"/>
          <w:sz w:val="20"/>
          <w:szCs w:val="20"/>
        </w:rPr>
        <w:t xml:space="preserve"> In addition to improved access to address volume, the Proposed Project will also address the need of the community for dedicated behavioral health resources within the ED to ensure care is available for all emergency situations. These specialized behavioral health services will better equip the ED to provide high-quality care for all patients, </w:t>
      </w:r>
      <w:r w:rsidR="00991158">
        <w:rPr>
          <w:rFonts w:ascii="ArialMT" w:hAnsi="ArialMT" w:cs="ArialMT"/>
          <w:sz w:val="20"/>
          <w:szCs w:val="20"/>
        </w:rPr>
        <w:t xml:space="preserve">driving improved health outcomes. </w:t>
      </w:r>
      <w:r>
        <w:rPr>
          <w:rFonts w:ascii="ArialMT" w:hAnsi="ArialMT" w:cs="ArialMT"/>
          <w:sz w:val="20"/>
          <w:szCs w:val="20"/>
        </w:rPr>
        <w:t xml:space="preserve">Improved access to </w:t>
      </w:r>
      <w:r w:rsidR="00991158">
        <w:rPr>
          <w:rFonts w:ascii="ArialMT" w:hAnsi="ArialMT" w:cs="ArialMT"/>
          <w:sz w:val="20"/>
          <w:szCs w:val="20"/>
        </w:rPr>
        <w:t xml:space="preserve">medical and behavioral health </w:t>
      </w:r>
      <w:r>
        <w:rPr>
          <w:rFonts w:ascii="ArialMT" w:hAnsi="ArialMT" w:cs="ArialMT"/>
          <w:sz w:val="20"/>
          <w:szCs w:val="20"/>
        </w:rPr>
        <w:t xml:space="preserve">emergency services will reduce wait times, in turn improving the patient care experience and health outcomes through more timely treatment. </w:t>
      </w:r>
    </w:p>
    <w:p w14:paraId="37DCE7C6" w14:textId="77777777" w:rsidR="00BE2AAE" w:rsidRDefault="00BE2AAE" w:rsidP="00BE2AAE">
      <w:pPr>
        <w:autoSpaceDE w:val="0"/>
        <w:autoSpaceDN w:val="0"/>
        <w:adjustRightInd w:val="0"/>
        <w:rPr>
          <w:rFonts w:ascii="Arial-BoldMT" w:hAnsi="Arial-BoldMT" w:cs="Arial-BoldMT"/>
          <w:b/>
          <w:bCs/>
          <w:sz w:val="20"/>
          <w:szCs w:val="20"/>
        </w:rPr>
      </w:pPr>
      <w:r>
        <w:rPr>
          <w:rFonts w:ascii="Arial-BoldMT" w:hAnsi="Arial-BoldMT" w:cs="Arial-BoldMT"/>
          <w:b/>
          <w:bCs/>
          <w:sz w:val="20"/>
          <w:szCs w:val="20"/>
        </w:rPr>
        <w:t>F2.c. Delivery System Transformation:</w:t>
      </w:r>
    </w:p>
    <w:p w14:paraId="145FD25D" w14:textId="77777777" w:rsidR="00BE2AAE" w:rsidRDefault="00BE2AAE" w:rsidP="00BE2AAE">
      <w:pPr>
        <w:autoSpaceDE w:val="0"/>
        <w:autoSpaceDN w:val="0"/>
        <w:adjustRightInd w:val="0"/>
        <w:ind w:left="720"/>
        <w:rPr>
          <w:rFonts w:ascii="Arial-BoldMT" w:hAnsi="Arial-BoldMT" w:cs="Arial-BoldMT"/>
          <w:b/>
          <w:bCs/>
          <w:sz w:val="20"/>
          <w:szCs w:val="20"/>
        </w:rPr>
      </w:pPr>
      <w:r>
        <w:rPr>
          <w:rFonts w:ascii="Arial-BoldMT" w:hAnsi="Arial-BoldMT" w:cs="Arial-BoldMT"/>
          <w:b/>
          <w:bCs/>
          <w:sz w:val="20"/>
          <w:szCs w:val="20"/>
        </w:rPr>
        <w:t>Because the integration of social services and community-based expertise is central to goal of delivery system transformation, discuss how the needs of their patient panel have been assessed and linkages to social services organizations have been created and how the social determinants of health have been incorporated into care planning.</w:t>
      </w:r>
    </w:p>
    <w:p w14:paraId="54896602" w14:textId="2845B1DA" w:rsidR="00BE2AAE" w:rsidRDefault="00BE2AAE" w:rsidP="00BE2AAE">
      <w:pPr>
        <w:autoSpaceDE w:val="0"/>
        <w:autoSpaceDN w:val="0"/>
        <w:adjustRightInd w:val="0"/>
        <w:jc w:val="both"/>
        <w:rPr>
          <w:rFonts w:ascii="ArialMT" w:hAnsi="ArialMT" w:cs="ArialMT"/>
          <w:sz w:val="20"/>
          <w:szCs w:val="20"/>
        </w:rPr>
      </w:pPr>
      <w:r>
        <w:rPr>
          <w:rFonts w:ascii="ArialMT" w:hAnsi="ArialMT" w:cs="ArialMT"/>
          <w:sz w:val="20"/>
          <w:szCs w:val="20"/>
        </w:rPr>
        <w:t xml:space="preserve">The Applicant will continue to work with patients and primary care providers to </w:t>
      </w:r>
      <w:r w:rsidR="00991158">
        <w:rPr>
          <w:rFonts w:ascii="ArialMT" w:hAnsi="ArialMT" w:cs="ArialMT"/>
          <w:sz w:val="20"/>
          <w:szCs w:val="20"/>
        </w:rPr>
        <w:t>connect patients to</w:t>
      </w:r>
      <w:r>
        <w:rPr>
          <w:rFonts w:ascii="ArialMT" w:hAnsi="ArialMT" w:cs="ArialMT"/>
          <w:sz w:val="20"/>
          <w:szCs w:val="20"/>
        </w:rPr>
        <w:t xml:space="preserve"> services as needed. As described in Section F1.b.iii., </w:t>
      </w:r>
      <w:r w:rsidR="00231A56">
        <w:rPr>
          <w:rFonts w:ascii="ArialMT" w:hAnsi="ArialMT" w:cs="ArialMT"/>
          <w:sz w:val="20"/>
          <w:szCs w:val="20"/>
        </w:rPr>
        <w:t>BID-</w:t>
      </w:r>
      <w:r w:rsidR="00231A56" w:rsidRPr="00231A56">
        <w:rPr>
          <w:rFonts w:ascii="Arial" w:hAnsi="Arial" w:cs="Arial"/>
          <w:sz w:val="20"/>
          <w:szCs w:val="20"/>
        </w:rPr>
        <w:t xml:space="preserve"> </w:t>
      </w:r>
      <w:r w:rsidR="00231A56">
        <w:rPr>
          <w:rFonts w:ascii="Arial" w:hAnsi="Arial" w:cs="Arial"/>
          <w:sz w:val="20"/>
          <w:szCs w:val="20"/>
        </w:rPr>
        <w:t>Plymouth</w:t>
      </w:r>
      <w:r>
        <w:rPr>
          <w:rFonts w:ascii="ArialMT" w:hAnsi="ArialMT" w:cs="ArialMT"/>
          <w:sz w:val="20"/>
          <w:szCs w:val="20"/>
        </w:rPr>
        <w:t xml:space="preserve"> conducts comprehensive admission screenings that address social determinants of health, including financial barriers to care, social support, housing and transportation issues, mental health problems, and other barriers to access. </w:t>
      </w:r>
    </w:p>
    <w:p w14:paraId="162F4F4C" w14:textId="77777777" w:rsidR="003C1B64" w:rsidRDefault="003C1B64" w:rsidP="00BE2AAE">
      <w:pPr>
        <w:autoSpaceDE w:val="0"/>
        <w:autoSpaceDN w:val="0"/>
        <w:adjustRightInd w:val="0"/>
        <w:rPr>
          <w:rFonts w:ascii="Arial" w:hAnsi="Arial" w:cs="Arial"/>
          <w:b/>
          <w:bCs/>
          <w:sz w:val="20"/>
          <w:szCs w:val="20"/>
        </w:rPr>
      </w:pPr>
    </w:p>
    <w:p w14:paraId="13313F20" w14:textId="007EA93E" w:rsidR="00BE2AAE" w:rsidRPr="00623EFA" w:rsidRDefault="00BE2AAE" w:rsidP="00BE2AAE">
      <w:pPr>
        <w:autoSpaceDE w:val="0"/>
        <w:autoSpaceDN w:val="0"/>
        <w:adjustRightInd w:val="0"/>
        <w:rPr>
          <w:rFonts w:ascii="Arial" w:hAnsi="Arial" w:cs="Arial"/>
          <w:b/>
          <w:bCs/>
          <w:sz w:val="20"/>
          <w:szCs w:val="20"/>
        </w:rPr>
      </w:pPr>
      <w:r w:rsidRPr="00623EFA">
        <w:rPr>
          <w:rFonts w:ascii="Arial" w:hAnsi="Arial" w:cs="Arial"/>
          <w:b/>
          <w:bCs/>
          <w:sz w:val="20"/>
          <w:szCs w:val="20"/>
        </w:rPr>
        <w:lastRenderedPageBreak/>
        <w:t xml:space="preserve">Factor 5: </w:t>
      </w:r>
      <w:r w:rsidRPr="00623EFA">
        <w:rPr>
          <w:rFonts w:ascii="Arial" w:hAnsi="Arial" w:cs="Arial"/>
          <w:b/>
          <w:bCs/>
          <w:sz w:val="20"/>
          <w:szCs w:val="20"/>
        </w:rPr>
        <w:tab/>
        <w:t>Relative Merit</w:t>
      </w:r>
    </w:p>
    <w:p w14:paraId="79535B84" w14:textId="77777777" w:rsidR="00BE2AAE" w:rsidRPr="00623EFA" w:rsidRDefault="00BE2AAE" w:rsidP="00BE2AAE">
      <w:pPr>
        <w:autoSpaceDE w:val="0"/>
        <w:autoSpaceDN w:val="0"/>
        <w:adjustRightInd w:val="0"/>
        <w:ind w:left="1440"/>
        <w:jc w:val="both"/>
        <w:rPr>
          <w:rFonts w:ascii="Arial" w:hAnsi="Arial" w:cs="Arial"/>
          <w:b/>
          <w:bCs/>
          <w:sz w:val="20"/>
          <w:szCs w:val="20"/>
        </w:rPr>
      </w:pPr>
      <w:r w:rsidRPr="00623EFA">
        <w:rPr>
          <w:rFonts w:ascii="Arial" w:hAnsi="Arial" w:cs="Arial"/>
          <w:b/>
          <w:bCs/>
          <w:sz w:val="20"/>
          <w:szCs w:val="20"/>
        </w:rPr>
        <w:t xml:space="preserve">F5.a.i Describe the process of analysis and the conclusion that the Proposed Project, on balance, is superior to alternative and substitute methods for meeting the existing Patient Panel needs as those have been identified by the Applicant pursuant to 105 CMR 100.210(A)(1). When conducting this evaluation and articulating the relative merit determination, Applicant shall </w:t>
      </w:r>
      <w:proofErr w:type="gramStart"/>
      <w:r w:rsidRPr="00623EFA">
        <w:rPr>
          <w:rFonts w:ascii="Arial" w:hAnsi="Arial" w:cs="Arial"/>
          <w:b/>
          <w:bCs/>
          <w:sz w:val="20"/>
          <w:szCs w:val="20"/>
        </w:rPr>
        <w:t>take into account</w:t>
      </w:r>
      <w:proofErr w:type="gramEnd"/>
      <w:r w:rsidRPr="00623EFA">
        <w:rPr>
          <w:rFonts w:ascii="Arial" w:hAnsi="Arial" w:cs="Arial"/>
          <w:b/>
          <w:bCs/>
          <w:sz w:val="20"/>
          <w:szCs w:val="20"/>
        </w:rPr>
        <w:t>, at a minimum, the quality, efficiency, and capital and operating costs of the Proposed Project relative to potential alternatives or substitutes, including alternative evidence-based strategies and public health interventions.</w:t>
      </w:r>
    </w:p>
    <w:p w14:paraId="0594C7F9" w14:textId="5B6E9072" w:rsidR="00BE2AAE" w:rsidRPr="00623EFA" w:rsidRDefault="00BE2AAE" w:rsidP="00BE2AAE">
      <w:pPr>
        <w:autoSpaceDE w:val="0"/>
        <w:autoSpaceDN w:val="0"/>
        <w:adjustRightInd w:val="0"/>
        <w:spacing w:before="120" w:after="120"/>
        <w:jc w:val="both"/>
        <w:rPr>
          <w:rFonts w:ascii="Arial" w:hAnsi="Arial" w:cs="Arial"/>
          <w:sz w:val="20"/>
          <w:szCs w:val="20"/>
        </w:rPr>
      </w:pPr>
      <w:r w:rsidRPr="00623EFA">
        <w:rPr>
          <w:rFonts w:ascii="Arial" w:hAnsi="Arial" w:cs="Arial"/>
          <w:b/>
          <w:bCs/>
          <w:sz w:val="20"/>
          <w:szCs w:val="20"/>
        </w:rPr>
        <w:t xml:space="preserve">This Proposal: </w:t>
      </w:r>
      <w:r w:rsidRPr="00623EFA">
        <w:rPr>
          <w:rFonts w:ascii="Arial" w:hAnsi="Arial" w:cs="Arial"/>
          <w:sz w:val="20"/>
          <w:szCs w:val="20"/>
        </w:rPr>
        <w:t xml:space="preserve">The Proposed Project is to renovate and expand </w:t>
      </w:r>
      <w:r w:rsidR="00231A56" w:rsidRPr="00623EFA">
        <w:rPr>
          <w:rFonts w:ascii="Arial" w:hAnsi="Arial" w:cs="Arial"/>
          <w:sz w:val="20"/>
          <w:szCs w:val="20"/>
        </w:rPr>
        <w:t>BID-P</w:t>
      </w:r>
      <w:r w:rsidR="00623EFA">
        <w:rPr>
          <w:rFonts w:ascii="Arial" w:hAnsi="Arial" w:cs="Arial"/>
          <w:sz w:val="20"/>
          <w:szCs w:val="20"/>
        </w:rPr>
        <w:t>lymouth</w:t>
      </w:r>
      <w:r w:rsidRPr="00623EFA">
        <w:rPr>
          <w:rFonts w:ascii="Arial" w:hAnsi="Arial" w:cs="Arial"/>
          <w:sz w:val="20"/>
          <w:szCs w:val="20"/>
        </w:rPr>
        <w:t xml:space="preserve">’s existing emergency department. </w:t>
      </w:r>
    </w:p>
    <w:p w14:paraId="37C85A8C" w14:textId="7C648DD5" w:rsidR="00BE2AAE" w:rsidRDefault="00BE2AAE" w:rsidP="00BE2AAE">
      <w:pPr>
        <w:autoSpaceDE w:val="0"/>
        <w:autoSpaceDN w:val="0"/>
        <w:adjustRightInd w:val="0"/>
        <w:spacing w:before="120" w:after="120"/>
        <w:ind w:left="720"/>
        <w:jc w:val="both"/>
        <w:rPr>
          <w:rFonts w:ascii="ArialMT" w:hAnsi="ArialMT" w:cs="ArialMT"/>
          <w:sz w:val="20"/>
          <w:szCs w:val="20"/>
        </w:rPr>
      </w:pPr>
      <w:r>
        <w:rPr>
          <w:rFonts w:ascii="Arial-BoldMT" w:hAnsi="Arial-BoldMT" w:cs="Arial-BoldMT"/>
          <w:b/>
          <w:bCs/>
          <w:sz w:val="20"/>
          <w:szCs w:val="20"/>
        </w:rPr>
        <w:t xml:space="preserve">Quality: </w:t>
      </w:r>
      <w:r>
        <w:rPr>
          <w:rFonts w:ascii="ArialMT" w:hAnsi="ArialMT" w:cs="ArialMT"/>
          <w:sz w:val="20"/>
          <w:szCs w:val="20"/>
        </w:rPr>
        <w:t xml:space="preserve">The Proposed Project is a superior option because of the significant impact it will have on patient outcomes, quality of life, and patient satisfaction. By right-sizing the Hospital’s ED to accommodate current patient need, </w:t>
      </w:r>
      <w:r w:rsidR="00231A56">
        <w:rPr>
          <w:rFonts w:ascii="ArialMT" w:hAnsi="ArialMT" w:cs="ArialMT"/>
          <w:sz w:val="20"/>
          <w:szCs w:val="20"/>
        </w:rPr>
        <w:t>BID-</w:t>
      </w:r>
      <w:r w:rsidR="00231A56" w:rsidRPr="00231A56">
        <w:rPr>
          <w:rFonts w:ascii="Arial" w:hAnsi="Arial" w:cs="Arial"/>
          <w:sz w:val="20"/>
          <w:szCs w:val="20"/>
        </w:rPr>
        <w:t xml:space="preserve"> </w:t>
      </w:r>
      <w:r w:rsidR="00231A56">
        <w:rPr>
          <w:rFonts w:ascii="Arial" w:hAnsi="Arial" w:cs="Arial"/>
          <w:sz w:val="20"/>
          <w:szCs w:val="20"/>
        </w:rPr>
        <w:t>Plymouth</w:t>
      </w:r>
      <w:r>
        <w:rPr>
          <w:rFonts w:ascii="ArialMT" w:hAnsi="ArialMT" w:cs="ArialMT"/>
          <w:sz w:val="20"/>
          <w:szCs w:val="20"/>
        </w:rPr>
        <w:t xml:space="preserve"> will improve timely access to emergency services, eliminate the use of hallway beds, and provide a dedicated space for patients seeking emergency behavioral health care. </w:t>
      </w:r>
    </w:p>
    <w:p w14:paraId="1C468474" w14:textId="77777777" w:rsidR="00BE2AAE" w:rsidRPr="00FA2D24" w:rsidRDefault="00BE2AAE" w:rsidP="00BE2AAE">
      <w:pPr>
        <w:autoSpaceDE w:val="0"/>
        <w:autoSpaceDN w:val="0"/>
        <w:adjustRightInd w:val="0"/>
        <w:spacing w:before="120" w:after="120"/>
        <w:ind w:left="720"/>
        <w:jc w:val="both"/>
        <w:rPr>
          <w:rFonts w:ascii="ArialMT" w:hAnsi="ArialMT" w:cs="ArialMT"/>
          <w:sz w:val="20"/>
          <w:szCs w:val="20"/>
        </w:rPr>
      </w:pPr>
      <w:r>
        <w:rPr>
          <w:rFonts w:ascii="Arial-BoldMT" w:hAnsi="Arial-BoldMT" w:cs="Arial-BoldMT"/>
          <w:b/>
          <w:bCs/>
          <w:sz w:val="20"/>
          <w:szCs w:val="20"/>
        </w:rPr>
        <w:t xml:space="preserve">Efficiency: </w:t>
      </w:r>
      <w:r>
        <w:rPr>
          <w:rFonts w:ascii="Arial-BoldMT" w:hAnsi="Arial-BoldMT" w:cs="Arial-BoldMT"/>
          <w:sz w:val="20"/>
          <w:szCs w:val="20"/>
        </w:rPr>
        <w:t xml:space="preserve">The Proposed Project seeks to maximize the ED’s efficiency by providing sufficient capacity for the Hospital to treat patients seeking emergency care in dedicated spaces appropriate for the level of need required. Moreover, the Proposed Project will improve patient flow, create adequate clinical </w:t>
      </w:r>
      <w:proofErr w:type="gramStart"/>
      <w:r>
        <w:rPr>
          <w:rFonts w:ascii="Arial-BoldMT" w:hAnsi="Arial-BoldMT" w:cs="Arial-BoldMT"/>
          <w:sz w:val="20"/>
          <w:szCs w:val="20"/>
        </w:rPr>
        <w:t>work space</w:t>
      </w:r>
      <w:proofErr w:type="gramEnd"/>
      <w:r>
        <w:rPr>
          <w:rFonts w:ascii="Arial-BoldMT" w:hAnsi="Arial-BoldMT" w:cs="Arial-BoldMT"/>
          <w:sz w:val="20"/>
          <w:szCs w:val="20"/>
        </w:rPr>
        <w:t xml:space="preserve">, and modernize the Department’s patient monitoring equipment. </w:t>
      </w:r>
    </w:p>
    <w:p w14:paraId="58541694" w14:textId="1BA6D34C" w:rsidR="00BE2AAE" w:rsidRDefault="00BE2AAE" w:rsidP="00BE2AAE">
      <w:pPr>
        <w:autoSpaceDE w:val="0"/>
        <w:autoSpaceDN w:val="0"/>
        <w:adjustRightInd w:val="0"/>
        <w:spacing w:before="120" w:after="120"/>
        <w:ind w:firstLine="720"/>
        <w:jc w:val="both"/>
        <w:rPr>
          <w:rFonts w:ascii="ArialMT" w:hAnsi="ArialMT" w:cs="ArialMT"/>
          <w:sz w:val="20"/>
          <w:szCs w:val="20"/>
        </w:rPr>
      </w:pPr>
      <w:r>
        <w:rPr>
          <w:rFonts w:ascii="Arial-BoldMT" w:hAnsi="Arial-BoldMT" w:cs="Arial-BoldMT"/>
          <w:b/>
          <w:bCs/>
          <w:sz w:val="20"/>
          <w:szCs w:val="20"/>
        </w:rPr>
        <w:t xml:space="preserve">Capital Expense: </w:t>
      </w:r>
      <w:r>
        <w:rPr>
          <w:rFonts w:ascii="ArialMT" w:hAnsi="ArialMT" w:cs="ArialMT"/>
          <w:sz w:val="20"/>
          <w:szCs w:val="20"/>
        </w:rPr>
        <w:t xml:space="preserve">The capital expenses for the Proposed Project are </w:t>
      </w:r>
      <w:r w:rsidR="00541842" w:rsidRPr="00541842">
        <w:rPr>
          <w:rFonts w:ascii="ArialMT" w:hAnsi="ArialMT" w:cs="ArialMT"/>
          <w:sz w:val="20"/>
          <w:szCs w:val="20"/>
        </w:rPr>
        <w:t>$</w:t>
      </w:r>
      <w:r w:rsidR="00E24C85">
        <w:rPr>
          <w:rFonts w:ascii="ArialMT" w:hAnsi="ArialMT" w:cs="ArialMT"/>
          <w:sz w:val="20"/>
          <w:szCs w:val="20"/>
        </w:rPr>
        <w:t xml:space="preserve">50,237,091. </w:t>
      </w:r>
    </w:p>
    <w:p w14:paraId="2CF30DB3" w14:textId="27EB14FE" w:rsidR="00BE2AAE" w:rsidRDefault="00BE2AAE" w:rsidP="00BE2AAE">
      <w:pPr>
        <w:autoSpaceDE w:val="0"/>
        <w:autoSpaceDN w:val="0"/>
        <w:adjustRightInd w:val="0"/>
        <w:spacing w:before="120" w:after="120"/>
        <w:ind w:left="720"/>
        <w:jc w:val="both"/>
        <w:rPr>
          <w:rFonts w:ascii="ArialMT" w:hAnsi="ArialMT" w:cs="ArialMT"/>
          <w:sz w:val="20"/>
          <w:szCs w:val="20"/>
        </w:rPr>
      </w:pPr>
      <w:r>
        <w:rPr>
          <w:rFonts w:ascii="Arial-BoldMT" w:hAnsi="Arial-BoldMT" w:cs="Arial-BoldMT"/>
          <w:b/>
          <w:bCs/>
          <w:sz w:val="20"/>
          <w:szCs w:val="20"/>
        </w:rPr>
        <w:t xml:space="preserve">Operating Costs: </w:t>
      </w:r>
      <w:r>
        <w:rPr>
          <w:rFonts w:ascii="ArialMT" w:hAnsi="ArialMT" w:cs="ArialMT"/>
          <w:sz w:val="20"/>
          <w:szCs w:val="20"/>
        </w:rPr>
        <w:t xml:space="preserve">The </w:t>
      </w:r>
      <w:r w:rsidR="00250206">
        <w:rPr>
          <w:rFonts w:ascii="ArialMT" w:hAnsi="ArialMT" w:cs="ArialMT"/>
          <w:sz w:val="20"/>
          <w:szCs w:val="20"/>
        </w:rPr>
        <w:t>maximum incremental</w:t>
      </w:r>
      <w:r>
        <w:rPr>
          <w:rFonts w:ascii="ArialMT" w:hAnsi="ArialMT" w:cs="ArialMT"/>
          <w:sz w:val="20"/>
          <w:szCs w:val="20"/>
        </w:rPr>
        <w:t xml:space="preserve"> operating expenses associated with the ED expansion are anticipated to be </w:t>
      </w:r>
      <w:r w:rsidR="00E24C85" w:rsidRPr="00E24C85">
        <w:rPr>
          <w:rFonts w:ascii="ArialMT" w:hAnsi="ArialMT" w:cs="ArialMT"/>
          <w:sz w:val="20"/>
          <w:szCs w:val="20"/>
        </w:rPr>
        <w:t>$24,451,485</w:t>
      </w:r>
      <w:r>
        <w:rPr>
          <w:rFonts w:ascii="ArialMT" w:hAnsi="ArialMT" w:cs="ArialMT"/>
          <w:sz w:val="20"/>
          <w:szCs w:val="20"/>
        </w:rPr>
        <w:t xml:space="preserve">. </w:t>
      </w:r>
    </w:p>
    <w:p w14:paraId="03614F04" w14:textId="77777777" w:rsidR="00BE2AAE" w:rsidRDefault="00BE2AAE" w:rsidP="00BE2AAE">
      <w:pPr>
        <w:autoSpaceDE w:val="0"/>
        <w:autoSpaceDN w:val="0"/>
        <w:adjustRightInd w:val="0"/>
        <w:spacing w:before="120" w:after="120"/>
        <w:jc w:val="both"/>
        <w:rPr>
          <w:rFonts w:ascii="Arial-BoldMT" w:hAnsi="Arial-BoldMT" w:cs="Arial-BoldMT"/>
          <w:b/>
          <w:bCs/>
          <w:sz w:val="20"/>
          <w:szCs w:val="20"/>
        </w:rPr>
      </w:pPr>
    </w:p>
    <w:p w14:paraId="47210EC4" w14:textId="77777777" w:rsidR="00BE2AAE" w:rsidRDefault="00BE2AAE" w:rsidP="00BE2AAE">
      <w:pPr>
        <w:autoSpaceDE w:val="0"/>
        <w:autoSpaceDN w:val="0"/>
        <w:adjustRightInd w:val="0"/>
        <w:spacing w:before="120" w:after="120"/>
        <w:jc w:val="both"/>
        <w:rPr>
          <w:rFonts w:ascii="ArialMT" w:hAnsi="ArialMT" w:cs="ArialMT"/>
          <w:sz w:val="20"/>
          <w:szCs w:val="20"/>
        </w:rPr>
      </w:pPr>
      <w:r>
        <w:rPr>
          <w:rFonts w:ascii="Arial-BoldMT" w:hAnsi="Arial-BoldMT" w:cs="Arial-BoldMT"/>
          <w:b/>
          <w:bCs/>
          <w:sz w:val="20"/>
          <w:szCs w:val="20"/>
        </w:rPr>
        <w:t xml:space="preserve">Alternative Proposal: </w:t>
      </w:r>
      <w:r>
        <w:rPr>
          <w:rFonts w:ascii="ArialMT" w:hAnsi="ArialMT" w:cs="ArialMT"/>
          <w:sz w:val="20"/>
          <w:szCs w:val="20"/>
        </w:rPr>
        <w:t>Do not renovate and expand the Hospital’s ED, and continue to serve patients in the existing ED.</w:t>
      </w:r>
    </w:p>
    <w:p w14:paraId="5A404586" w14:textId="50071167" w:rsidR="00BE2AAE" w:rsidRDefault="00BE2AAE" w:rsidP="00BE2AAE">
      <w:pPr>
        <w:autoSpaceDE w:val="0"/>
        <w:autoSpaceDN w:val="0"/>
        <w:adjustRightInd w:val="0"/>
        <w:spacing w:before="120" w:after="120"/>
        <w:ind w:left="720"/>
        <w:jc w:val="both"/>
        <w:rPr>
          <w:rFonts w:ascii="ArialMT" w:hAnsi="ArialMT" w:cs="ArialMT"/>
          <w:sz w:val="20"/>
          <w:szCs w:val="20"/>
        </w:rPr>
      </w:pPr>
      <w:r>
        <w:rPr>
          <w:rFonts w:ascii="Arial-BoldMT" w:hAnsi="Arial-BoldMT" w:cs="Arial-BoldMT"/>
          <w:b/>
          <w:bCs/>
          <w:sz w:val="20"/>
          <w:szCs w:val="20"/>
        </w:rPr>
        <w:t xml:space="preserve">Alternative Quality: </w:t>
      </w:r>
      <w:r>
        <w:rPr>
          <w:rFonts w:ascii="ArialMT" w:hAnsi="ArialMT" w:cs="ArialMT"/>
          <w:sz w:val="20"/>
          <w:szCs w:val="20"/>
        </w:rPr>
        <w:t xml:space="preserve">This alternative does not address the need of </w:t>
      </w:r>
      <w:r w:rsidR="00231A56">
        <w:rPr>
          <w:rFonts w:ascii="ArialMT" w:hAnsi="ArialMT" w:cs="ArialMT"/>
          <w:sz w:val="20"/>
          <w:szCs w:val="20"/>
        </w:rPr>
        <w:t>BID-</w:t>
      </w:r>
      <w:r w:rsidR="00231A56">
        <w:rPr>
          <w:rFonts w:ascii="Arial" w:hAnsi="Arial" w:cs="Arial"/>
          <w:sz w:val="20"/>
          <w:szCs w:val="20"/>
        </w:rPr>
        <w:t>Plymouth</w:t>
      </w:r>
      <w:r>
        <w:rPr>
          <w:rFonts w:ascii="ArialMT" w:hAnsi="ArialMT" w:cs="ArialMT"/>
          <w:sz w:val="20"/>
          <w:szCs w:val="20"/>
        </w:rPr>
        <w:t xml:space="preserve">’s patient population to receive timely access to emergency services in the most appropriate setting. This option would continue to drive wait times and ED overcrowding, resulting in decreased patient satisfaction, worse patient outcomes, and reduced quality of life. </w:t>
      </w:r>
    </w:p>
    <w:p w14:paraId="6EB81B17" w14:textId="3A336E17" w:rsidR="00BE2AAE" w:rsidRDefault="00BE2AAE" w:rsidP="00BE2AAE">
      <w:pPr>
        <w:autoSpaceDE w:val="0"/>
        <w:autoSpaceDN w:val="0"/>
        <w:adjustRightInd w:val="0"/>
        <w:spacing w:before="120" w:after="120"/>
        <w:ind w:left="720"/>
        <w:jc w:val="both"/>
        <w:rPr>
          <w:rFonts w:ascii="ArialMT" w:hAnsi="ArialMT" w:cs="ArialMT"/>
          <w:sz w:val="20"/>
          <w:szCs w:val="20"/>
        </w:rPr>
      </w:pPr>
      <w:r>
        <w:rPr>
          <w:rFonts w:ascii="Arial-BoldMT" w:hAnsi="Arial-BoldMT" w:cs="Arial-BoldMT"/>
          <w:b/>
          <w:bCs/>
          <w:sz w:val="20"/>
          <w:szCs w:val="20"/>
        </w:rPr>
        <w:t xml:space="preserve">Alternative Efficiency: </w:t>
      </w:r>
      <w:r w:rsidR="00231A56">
        <w:rPr>
          <w:rFonts w:ascii="ArialMT" w:hAnsi="ArialMT" w:cs="ArialMT"/>
          <w:sz w:val="20"/>
          <w:szCs w:val="20"/>
        </w:rPr>
        <w:t>BID-</w:t>
      </w:r>
      <w:r w:rsidR="00231A56">
        <w:rPr>
          <w:rFonts w:ascii="Arial" w:hAnsi="Arial" w:cs="Arial"/>
          <w:sz w:val="20"/>
          <w:szCs w:val="20"/>
        </w:rPr>
        <w:t>Plymouth</w:t>
      </w:r>
      <w:r>
        <w:rPr>
          <w:rFonts w:ascii="ArialMT" w:hAnsi="ArialMT" w:cs="ArialMT"/>
          <w:sz w:val="20"/>
          <w:szCs w:val="20"/>
        </w:rPr>
        <w:t xml:space="preserve"> resources are significantly strained through the operation of the existing ED and will continue to be strained under this alternative. Because the ED was built to serve half as many patients, it cannot accommodate current demand for care and as a result, patients must wait longer to be seen, which negatively impacts care delivery and places significant pressure on staff to manage large numbers of patients in a space designed for less patients. Resulting staff burnout and turnover create significant inefficiencies for the ED’s operation. </w:t>
      </w:r>
    </w:p>
    <w:p w14:paraId="27F43366" w14:textId="77777777" w:rsidR="00BE2AAE" w:rsidRDefault="00BE2AAE" w:rsidP="00BE2AAE">
      <w:pPr>
        <w:autoSpaceDE w:val="0"/>
        <w:autoSpaceDN w:val="0"/>
        <w:adjustRightInd w:val="0"/>
        <w:spacing w:before="120" w:after="120"/>
        <w:ind w:firstLine="720"/>
        <w:jc w:val="both"/>
        <w:rPr>
          <w:rFonts w:ascii="ArialMT" w:hAnsi="ArialMT" w:cs="ArialMT"/>
          <w:sz w:val="20"/>
          <w:szCs w:val="20"/>
        </w:rPr>
      </w:pPr>
      <w:r>
        <w:rPr>
          <w:rFonts w:ascii="Arial-BoldMT" w:hAnsi="Arial-BoldMT" w:cs="Arial-BoldMT"/>
          <w:b/>
          <w:bCs/>
          <w:sz w:val="20"/>
          <w:szCs w:val="20"/>
        </w:rPr>
        <w:t xml:space="preserve">Alternative Capital Expenses: </w:t>
      </w:r>
      <w:r>
        <w:rPr>
          <w:rFonts w:ascii="ArialMT" w:hAnsi="ArialMT" w:cs="ArialMT"/>
          <w:sz w:val="20"/>
          <w:szCs w:val="20"/>
        </w:rPr>
        <w:t>There are no capital expenses under this alternative.</w:t>
      </w:r>
    </w:p>
    <w:p w14:paraId="5E649536" w14:textId="3A1F7370" w:rsidR="00BE2AAE" w:rsidRPr="00E70130" w:rsidRDefault="00BE2AAE" w:rsidP="00BE2AAE">
      <w:pPr>
        <w:autoSpaceDE w:val="0"/>
        <w:autoSpaceDN w:val="0"/>
        <w:adjustRightInd w:val="0"/>
        <w:spacing w:before="120" w:after="120"/>
        <w:ind w:left="720"/>
        <w:jc w:val="both"/>
        <w:rPr>
          <w:rFonts w:ascii="ArialMT" w:hAnsi="ArialMT" w:cs="ArialMT"/>
          <w:sz w:val="20"/>
          <w:szCs w:val="20"/>
        </w:rPr>
      </w:pPr>
      <w:r>
        <w:rPr>
          <w:rFonts w:ascii="Arial-BoldMT" w:hAnsi="Arial-BoldMT" w:cs="Arial-BoldMT"/>
          <w:b/>
          <w:bCs/>
          <w:sz w:val="20"/>
          <w:szCs w:val="20"/>
        </w:rPr>
        <w:t xml:space="preserve">Alternative Operating Costs: </w:t>
      </w:r>
      <w:r>
        <w:rPr>
          <w:rFonts w:ascii="ArialMT" w:hAnsi="ArialMT" w:cs="ArialMT"/>
          <w:sz w:val="20"/>
          <w:szCs w:val="20"/>
        </w:rPr>
        <w:t xml:space="preserve">The operating costs </w:t>
      </w:r>
      <w:r w:rsidR="00541842">
        <w:rPr>
          <w:rFonts w:ascii="ArialMT" w:hAnsi="ArialMT" w:cs="ArialMT"/>
          <w:sz w:val="20"/>
          <w:szCs w:val="20"/>
        </w:rPr>
        <w:t xml:space="preserve">under this alternative option include expenses for temporary staff needed to accommodate higher periods of volume which will be eliminated </w:t>
      </w:r>
      <w:proofErr w:type="gramStart"/>
      <w:r w:rsidR="00541842">
        <w:rPr>
          <w:rFonts w:ascii="ArialMT" w:hAnsi="ArialMT" w:cs="ArialMT"/>
          <w:sz w:val="20"/>
          <w:szCs w:val="20"/>
        </w:rPr>
        <w:t>by the use of</w:t>
      </w:r>
      <w:proofErr w:type="gramEnd"/>
      <w:r w:rsidR="00541842">
        <w:rPr>
          <w:rFonts w:ascii="ArialMT" w:hAnsi="ArialMT" w:cs="ArialMT"/>
          <w:sz w:val="20"/>
          <w:szCs w:val="20"/>
        </w:rPr>
        <w:t xml:space="preserve"> permanent staff under the Proposed Project.</w:t>
      </w:r>
    </w:p>
    <w:p w14:paraId="7988FBF0" w14:textId="77777777" w:rsidR="003C1B64" w:rsidRDefault="003C1B64" w:rsidP="00BE2AAE">
      <w:pPr>
        <w:spacing w:after="0" w:line="240" w:lineRule="auto"/>
        <w:rPr>
          <w:rFonts w:ascii="Arial" w:hAnsi="Arial" w:cs="Arial"/>
          <w:b/>
        </w:rPr>
      </w:pPr>
    </w:p>
    <w:p w14:paraId="1EA75EC3" w14:textId="77777777" w:rsidR="003C1B64" w:rsidRDefault="003C1B64" w:rsidP="00BE2AAE">
      <w:pPr>
        <w:spacing w:after="0" w:line="240" w:lineRule="auto"/>
        <w:rPr>
          <w:rFonts w:ascii="Arial" w:hAnsi="Arial" w:cs="Arial"/>
          <w:b/>
        </w:rPr>
      </w:pPr>
    </w:p>
    <w:p w14:paraId="4FC98A21" w14:textId="77777777" w:rsidR="003C1B64" w:rsidRDefault="003C1B64" w:rsidP="00BE2AAE">
      <w:pPr>
        <w:spacing w:after="0" w:line="240" w:lineRule="auto"/>
        <w:rPr>
          <w:rFonts w:ascii="Arial" w:hAnsi="Arial" w:cs="Arial"/>
          <w:b/>
        </w:rPr>
      </w:pPr>
    </w:p>
    <w:p w14:paraId="549FB2AD" w14:textId="77777777" w:rsidR="00072DB8" w:rsidRDefault="00072DB8" w:rsidP="00BE2AAE">
      <w:pPr>
        <w:spacing w:after="0" w:line="240" w:lineRule="auto"/>
        <w:rPr>
          <w:rFonts w:ascii="Arial" w:hAnsi="Arial" w:cs="Arial"/>
          <w:b/>
        </w:rPr>
      </w:pPr>
    </w:p>
    <w:p w14:paraId="7DD45DE7" w14:textId="77777777" w:rsidR="003C1B64" w:rsidRDefault="003C1B64" w:rsidP="00BE2AAE">
      <w:pPr>
        <w:spacing w:after="0" w:line="240" w:lineRule="auto"/>
        <w:rPr>
          <w:rFonts w:ascii="Arial" w:hAnsi="Arial" w:cs="Arial"/>
          <w:b/>
        </w:rPr>
      </w:pPr>
    </w:p>
    <w:p w14:paraId="7924E262" w14:textId="0426B9B7" w:rsidR="00BE2AAE" w:rsidRPr="00286BC0" w:rsidRDefault="00BE2AAE" w:rsidP="00BE2AAE">
      <w:pPr>
        <w:spacing w:after="0" w:line="240" w:lineRule="auto"/>
        <w:rPr>
          <w:rFonts w:ascii="Arial" w:hAnsi="Arial" w:cs="Arial"/>
          <w:b/>
        </w:rPr>
      </w:pPr>
      <w:r w:rsidRPr="00286BC0">
        <w:rPr>
          <w:rFonts w:ascii="Arial" w:hAnsi="Arial" w:cs="Arial"/>
          <w:b/>
        </w:rPr>
        <w:lastRenderedPageBreak/>
        <w:t xml:space="preserve">6.1 </w:t>
      </w:r>
      <w:r w:rsidRPr="00286BC0">
        <w:rPr>
          <w:rFonts w:ascii="Arial" w:hAnsi="Arial" w:cs="Arial"/>
          <w:b/>
        </w:rPr>
        <w:tab/>
        <w:t>C</w:t>
      </w:r>
      <w:r w:rsidR="003C1B64">
        <w:rPr>
          <w:rFonts w:ascii="Arial" w:hAnsi="Arial" w:cs="Arial"/>
          <w:b/>
        </w:rPr>
        <w:t>om</w:t>
      </w:r>
      <w:r w:rsidRPr="00286BC0">
        <w:rPr>
          <w:rFonts w:ascii="Arial" w:hAnsi="Arial" w:cs="Arial"/>
          <w:b/>
        </w:rPr>
        <w:t>munity Health Initiative Narrative</w:t>
      </w:r>
    </w:p>
    <w:p w14:paraId="170DD319" w14:textId="77777777" w:rsidR="00BE2AAE" w:rsidRPr="00286BC0" w:rsidRDefault="00BE2AAE" w:rsidP="00BE2AAE">
      <w:pPr>
        <w:pStyle w:val="ListParagraph"/>
        <w:ind w:left="1080"/>
        <w:jc w:val="both"/>
        <w:rPr>
          <w:rFonts w:ascii="Arial" w:hAnsi="Arial" w:cs="Arial"/>
          <w:sz w:val="20"/>
          <w:szCs w:val="20"/>
        </w:rPr>
      </w:pPr>
    </w:p>
    <w:p w14:paraId="0868258D" w14:textId="77777777" w:rsidR="00BE2AAE" w:rsidRPr="00526899" w:rsidRDefault="00BE2AAE" w:rsidP="00BE2AAE">
      <w:pPr>
        <w:pStyle w:val="ListParagraph"/>
        <w:numPr>
          <w:ilvl w:val="1"/>
          <w:numId w:val="9"/>
        </w:numPr>
        <w:spacing w:after="200" w:line="276" w:lineRule="auto"/>
        <w:jc w:val="both"/>
        <w:rPr>
          <w:rFonts w:ascii="Arial" w:hAnsi="Arial" w:cs="Arial"/>
          <w:sz w:val="20"/>
          <w:szCs w:val="20"/>
          <w:u w:val="single"/>
        </w:rPr>
      </w:pPr>
      <w:r w:rsidRPr="00526899">
        <w:rPr>
          <w:rFonts w:ascii="Arial" w:hAnsi="Arial" w:cs="Arial"/>
          <w:sz w:val="20"/>
          <w:szCs w:val="20"/>
          <w:u w:val="single"/>
        </w:rPr>
        <w:t>Community Health Initiative Monies</w:t>
      </w:r>
      <w:r>
        <w:rPr>
          <w:rFonts w:ascii="Arial" w:hAnsi="Arial" w:cs="Arial"/>
          <w:sz w:val="20"/>
          <w:szCs w:val="20"/>
          <w:u w:val="single"/>
        </w:rPr>
        <w:t xml:space="preserve"> for the Proposed Project</w:t>
      </w:r>
    </w:p>
    <w:p w14:paraId="28BC93D6" w14:textId="1BCD1086" w:rsidR="00BE2AAE" w:rsidRPr="00526899" w:rsidRDefault="00BE2AAE" w:rsidP="00BE2AAE">
      <w:pPr>
        <w:spacing w:after="0" w:line="240" w:lineRule="auto"/>
        <w:jc w:val="both"/>
        <w:rPr>
          <w:rFonts w:ascii="Arial" w:hAnsi="Arial" w:cs="Arial"/>
          <w:sz w:val="20"/>
          <w:szCs w:val="20"/>
        </w:rPr>
      </w:pPr>
      <w:bookmarkStart w:id="7" w:name="_Hlk3556169"/>
      <w:r w:rsidRPr="003C3840">
        <w:rPr>
          <w:rFonts w:ascii="Arial" w:hAnsi="Arial" w:cs="Arial"/>
          <w:sz w:val="20"/>
          <w:szCs w:val="20"/>
        </w:rPr>
        <w:t xml:space="preserve">This </w:t>
      </w:r>
      <w:r>
        <w:rPr>
          <w:rFonts w:ascii="Arial" w:hAnsi="Arial" w:cs="Arial"/>
          <w:sz w:val="20"/>
          <w:szCs w:val="20"/>
        </w:rPr>
        <w:t>A</w:t>
      </w:r>
      <w:r w:rsidRPr="003C3840">
        <w:rPr>
          <w:rFonts w:ascii="Arial" w:hAnsi="Arial" w:cs="Arial"/>
          <w:sz w:val="20"/>
          <w:szCs w:val="20"/>
        </w:rPr>
        <w:t xml:space="preserve">pplication requests approval for the </w:t>
      </w:r>
      <w:r>
        <w:rPr>
          <w:rFonts w:ascii="Arial" w:hAnsi="Arial" w:cs="Arial"/>
          <w:sz w:val="20"/>
          <w:szCs w:val="20"/>
        </w:rPr>
        <w:t xml:space="preserve">renovation and expansion of the Emergency Department at </w:t>
      </w:r>
      <w:r w:rsidR="00231A56">
        <w:rPr>
          <w:rFonts w:ascii="Arial" w:hAnsi="Arial" w:cs="Arial"/>
          <w:sz w:val="20"/>
          <w:szCs w:val="20"/>
        </w:rPr>
        <w:t>BID-Plymout</w:t>
      </w:r>
      <w:r w:rsidR="00072DB8">
        <w:rPr>
          <w:rFonts w:ascii="Arial" w:hAnsi="Arial" w:cs="Arial"/>
          <w:sz w:val="20"/>
          <w:szCs w:val="20"/>
        </w:rPr>
        <w:t>h (</w:t>
      </w:r>
      <w:r>
        <w:rPr>
          <w:rFonts w:ascii="Arial" w:hAnsi="Arial" w:cs="Arial"/>
          <w:sz w:val="20"/>
          <w:szCs w:val="20"/>
        </w:rPr>
        <w:t>the “Proposed Project”)</w:t>
      </w:r>
      <w:r w:rsidRPr="003C3840">
        <w:rPr>
          <w:rFonts w:ascii="Arial" w:hAnsi="Arial" w:cs="Arial"/>
          <w:sz w:val="20"/>
          <w:szCs w:val="20"/>
        </w:rPr>
        <w:t xml:space="preserve">. </w:t>
      </w:r>
      <w:r w:rsidRPr="004F4262">
        <w:rPr>
          <w:rFonts w:ascii="Arial" w:hAnsi="Arial" w:cs="Arial"/>
          <w:sz w:val="20"/>
          <w:szCs w:val="20"/>
        </w:rPr>
        <w:t>The Maximum Capital Expenditure (“MCE”) for the Proposed Project i</w:t>
      </w:r>
      <w:r w:rsidRPr="00BF5F7D">
        <w:rPr>
          <w:rFonts w:ascii="Arial" w:hAnsi="Arial" w:cs="Arial"/>
          <w:sz w:val="20"/>
          <w:szCs w:val="20"/>
        </w:rPr>
        <w:t xml:space="preserve">s </w:t>
      </w:r>
      <w:r w:rsidR="00AB4E9C" w:rsidRPr="00AB4E9C">
        <w:rPr>
          <w:rFonts w:ascii="Arial" w:hAnsi="Arial" w:cs="Arial"/>
          <w:sz w:val="20"/>
          <w:szCs w:val="20"/>
        </w:rPr>
        <w:t>$</w:t>
      </w:r>
      <w:r w:rsidR="00E24C85">
        <w:rPr>
          <w:rFonts w:ascii="ArialMT" w:hAnsi="ArialMT" w:cs="ArialMT"/>
          <w:sz w:val="20"/>
          <w:szCs w:val="20"/>
        </w:rPr>
        <w:t>50,237,091.</w:t>
      </w:r>
      <w:r w:rsidR="00E24C85">
        <w:rPr>
          <w:rFonts w:ascii="Arial" w:hAnsi="Arial" w:cs="Arial"/>
          <w:sz w:val="20"/>
          <w:szCs w:val="20"/>
        </w:rPr>
        <w:t xml:space="preserve"> </w:t>
      </w:r>
      <w:r w:rsidRPr="00526899">
        <w:rPr>
          <w:rFonts w:ascii="Arial" w:hAnsi="Arial" w:cs="Arial"/>
          <w:sz w:val="20"/>
          <w:szCs w:val="20"/>
        </w:rPr>
        <w:t>The breakdown of Community Health Initiative (“CHI”) monies for the Proposed Project is as follows</w:t>
      </w:r>
      <w:r>
        <w:rPr>
          <w:rFonts w:ascii="Arial" w:hAnsi="Arial" w:cs="Arial"/>
          <w:sz w:val="20"/>
          <w:szCs w:val="20"/>
        </w:rPr>
        <w:t xml:space="preserve">, beginning with the MCE. </w:t>
      </w:r>
    </w:p>
    <w:bookmarkEnd w:id="7"/>
    <w:p w14:paraId="6580507B" w14:textId="77777777" w:rsidR="00BE2AAE" w:rsidRDefault="00BE2AAE" w:rsidP="00BE2AAE">
      <w:pPr>
        <w:spacing w:after="0" w:line="240" w:lineRule="auto"/>
        <w:rPr>
          <w:rFonts w:ascii="Arial" w:hAnsi="Arial" w:cs="Arial"/>
        </w:rPr>
      </w:pPr>
    </w:p>
    <w:tbl>
      <w:tblPr>
        <w:tblStyle w:val="TableGrid"/>
        <w:tblW w:w="945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5"/>
        <w:gridCol w:w="1980"/>
        <w:gridCol w:w="5130"/>
      </w:tblGrid>
      <w:tr w:rsidR="00BE2AAE" w14:paraId="7ADA1F02" w14:textId="77777777" w:rsidTr="00C13E1D">
        <w:trPr>
          <w:cantSplit/>
          <w:tblHeader/>
        </w:trPr>
        <w:tc>
          <w:tcPr>
            <w:tcW w:w="2345" w:type="dxa"/>
            <w:vAlign w:val="center"/>
          </w:tcPr>
          <w:p w14:paraId="069C736D" w14:textId="77777777" w:rsidR="00BE2AAE" w:rsidRPr="00B772BB" w:rsidRDefault="00BE2AAE" w:rsidP="00607FAE">
            <w:pPr>
              <w:spacing w:after="40"/>
              <w:rPr>
                <w:rFonts w:ascii="Arial" w:hAnsi="Arial" w:cs="Arial"/>
                <w:sz w:val="20"/>
                <w:szCs w:val="20"/>
              </w:rPr>
            </w:pPr>
          </w:p>
        </w:tc>
        <w:tc>
          <w:tcPr>
            <w:tcW w:w="1980" w:type="dxa"/>
            <w:vAlign w:val="center"/>
            <w:hideMark/>
          </w:tcPr>
          <w:p w14:paraId="3B04CFED" w14:textId="77777777" w:rsidR="00BE2AAE" w:rsidRPr="00B772BB" w:rsidRDefault="00BE2AAE" w:rsidP="00607FAE">
            <w:pPr>
              <w:spacing w:after="40"/>
              <w:jc w:val="right"/>
              <w:rPr>
                <w:rFonts w:ascii="Arial" w:hAnsi="Arial" w:cs="Arial"/>
                <w:b/>
                <w:bCs/>
                <w:sz w:val="20"/>
                <w:szCs w:val="20"/>
              </w:rPr>
            </w:pPr>
            <w:r w:rsidRPr="00B772BB">
              <w:rPr>
                <w:rFonts w:ascii="Arial" w:hAnsi="Arial" w:cs="Arial"/>
                <w:b/>
                <w:bCs/>
                <w:sz w:val="20"/>
                <w:szCs w:val="20"/>
              </w:rPr>
              <w:t>Total</w:t>
            </w:r>
          </w:p>
        </w:tc>
        <w:tc>
          <w:tcPr>
            <w:tcW w:w="5130" w:type="dxa"/>
            <w:vAlign w:val="center"/>
            <w:hideMark/>
          </w:tcPr>
          <w:p w14:paraId="42A97AD5" w14:textId="77777777" w:rsidR="00BE2AAE" w:rsidRPr="00B772BB" w:rsidRDefault="00BE2AAE" w:rsidP="00607FAE">
            <w:pPr>
              <w:spacing w:after="40"/>
              <w:jc w:val="right"/>
              <w:rPr>
                <w:rFonts w:ascii="Arial" w:hAnsi="Arial" w:cs="Arial"/>
                <w:b/>
                <w:bCs/>
                <w:sz w:val="20"/>
                <w:szCs w:val="20"/>
              </w:rPr>
            </w:pPr>
            <w:r w:rsidRPr="00B772BB">
              <w:rPr>
                <w:rFonts w:ascii="Arial" w:hAnsi="Arial" w:cs="Arial"/>
                <w:b/>
                <w:bCs/>
                <w:sz w:val="20"/>
                <w:szCs w:val="20"/>
              </w:rPr>
              <w:t>Description</w:t>
            </w:r>
          </w:p>
        </w:tc>
      </w:tr>
      <w:tr w:rsidR="00BE2AAE" w14:paraId="7C9D1D92" w14:textId="77777777" w:rsidTr="00C13E1D">
        <w:trPr>
          <w:cantSplit/>
        </w:trPr>
        <w:tc>
          <w:tcPr>
            <w:tcW w:w="2345" w:type="dxa"/>
            <w:tcBorders>
              <w:top w:val="nil"/>
              <w:left w:val="nil"/>
              <w:bottom w:val="single" w:sz="4" w:space="0" w:color="auto"/>
              <w:right w:val="nil"/>
            </w:tcBorders>
            <w:vAlign w:val="center"/>
            <w:hideMark/>
          </w:tcPr>
          <w:p w14:paraId="1CE48391" w14:textId="77777777" w:rsidR="00BE2AAE" w:rsidRPr="00B772BB" w:rsidRDefault="00BE2AAE" w:rsidP="00607FAE">
            <w:pPr>
              <w:spacing w:after="40"/>
              <w:jc w:val="right"/>
              <w:rPr>
                <w:rFonts w:ascii="Arial" w:hAnsi="Arial" w:cs="Arial"/>
                <w:b/>
                <w:bCs/>
                <w:sz w:val="20"/>
                <w:szCs w:val="20"/>
              </w:rPr>
            </w:pPr>
            <w:r w:rsidRPr="00B772BB">
              <w:rPr>
                <w:rFonts w:ascii="Arial" w:hAnsi="Arial" w:cs="Arial"/>
                <w:b/>
                <w:bCs/>
                <w:sz w:val="20"/>
                <w:szCs w:val="20"/>
              </w:rPr>
              <w:t>MCE</w:t>
            </w:r>
          </w:p>
        </w:tc>
        <w:tc>
          <w:tcPr>
            <w:tcW w:w="1980" w:type="dxa"/>
            <w:tcBorders>
              <w:top w:val="nil"/>
              <w:left w:val="nil"/>
              <w:bottom w:val="single" w:sz="4" w:space="0" w:color="auto"/>
              <w:right w:val="nil"/>
            </w:tcBorders>
            <w:vAlign w:val="center"/>
          </w:tcPr>
          <w:p w14:paraId="059824A0" w14:textId="1B04F7B1" w:rsidR="00BE2AAE" w:rsidRPr="00B772BB" w:rsidRDefault="00E24C85" w:rsidP="00607FAE">
            <w:pPr>
              <w:spacing w:after="40"/>
              <w:jc w:val="right"/>
              <w:rPr>
                <w:rFonts w:ascii="Arial" w:hAnsi="Arial" w:cs="Arial"/>
                <w:sz w:val="20"/>
                <w:szCs w:val="20"/>
              </w:rPr>
            </w:pPr>
            <w:r w:rsidRPr="00541842">
              <w:rPr>
                <w:rFonts w:ascii="ArialMT" w:hAnsi="ArialMT" w:cs="ArialMT"/>
                <w:sz w:val="20"/>
                <w:szCs w:val="20"/>
              </w:rPr>
              <w:t>$</w:t>
            </w:r>
            <w:r>
              <w:rPr>
                <w:rFonts w:ascii="ArialMT" w:hAnsi="ArialMT" w:cs="ArialMT"/>
                <w:sz w:val="20"/>
                <w:szCs w:val="20"/>
              </w:rPr>
              <w:t>50,237,091</w:t>
            </w:r>
            <w:r w:rsidR="00AB4E9C">
              <w:rPr>
                <w:rFonts w:ascii="Arial" w:hAnsi="Arial" w:cs="Arial"/>
                <w:sz w:val="20"/>
                <w:szCs w:val="20"/>
              </w:rPr>
              <w:t>.00</w:t>
            </w:r>
          </w:p>
        </w:tc>
        <w:tc>
          <w:tcPr>
            <w:tcW w:w="5130" w:type="dxa"/>
            <w:tcBorders>
              <w:top w:val="nil"/>
              <w:left w:val="nil"/>
              <w:bottom w:val="single" w:sz="4" w:space="0" w:color="auto"/>
              <w:right w:val="nil"/>
            </w:tcBorders>
            <w:vAlign w:val="center"/>
          </w:tcPr>
          <w:p w14:paraId="38C1C486" w14:textId="77777777" w:rsidR="00BE2AAE" w:rsidRPr="00B772BB" w:rsidRDefault="00BE2AAE" w:rsidP="00607FAE">
            <w:pPr>
              <w:spacing w:after="40"/>
              <w:jc w:val="right"/>
              <w:rPr>
                <w:rFonts w:ascii="Arial" w:hAnsi="Arial" w:cs="Arial"/>
                <w:sz w:val="20"/>
                <w:szCs w:val="20"/>
              </w:rPr>
            </w:pPr>
          </w:p>
        </w:tc>
      </w:tr>
      <w:tr w:rsidR="00BE2AAE" w14:paraId="6B2979EC" w14:textId="77777777" w:rsidTr="00C13E1D">
        <w:trPr>
          <w:cantSplit/>
        </w:trPr>
        <w:tc>
          <w:tcPr>
            <w:tcW w:w="2345" w:type="dxa"/>
            <w:tcBorders>
              <w:top w:val="single" w:sz="4" w:space="0" w:color="auto"/>
              <w:left w:val="nil"/>
              <w:bottom w:val="single" w:sz="4" w:space="0" w:color="auto"/>
              <w:right w:val="nil"/>
            </w:tcBorders>
            <w:vAlign w:val="center"/>
            <w:hideMark/>
          </w:tcPr>
          <w:p w14:paraId="32846286" w14:textId="77777777" w:rsidR="00BE2AAE" w:rsidRPr="00B772BB" w:rsidRDefault="00BE2AAE" w:rsidP="00607FAE">
            <w:pPr>
              <w:spacing w:after="40"/>
              <w:jc w:val="right"/>
              <w:rPr>
                <w:rFonts w:ascii="Arial" w:hAnsi="Arial" w:cs="Arial"/>
                <w:b/>
                <w:bCs/>
                <w:sz w:val="20"/>
                <w:szCs w:val="20"/>
              </w:rPr>
            </w:pPr>
            <w:r w:rsidRPr="00B772BB">
              <w:rPr>
                <w:rFonts w:ascii="Arial" w:hAnsi="Arial" w:cs="Arial"/>
                <w:b/>
                <w:bCs/>
                <w:sz w:val="20"/>
                <w:szCs w:val="20"/>
              </w:rPr>
              <w:t xml:space="preserve">CHI Monies </w:t>
            </w:r>
          </w:p>
        </w:tc>
        <w:tc>
          <w:tcPr>
            <w:tcW w:w="1980" w:type="dxa"/>
            <w:tcBorders>
              <w:top w:val="single" w:sz="4" w:space="0" w:color="auto"/>
              <w:left w:val="nil"/>
              <w:bottom w:val="single" w:sz="4" w:space="0" w:color="auto"/>
              <w:right w:val="nil"/>
            </w:tcBorders>
            <w:vAlign w:val="center"/>
          </w:tcPr>
          <w:p w14:paraId="1BC48B85" w14:textId="31254181" w:rsidR="00BE2AAE" w:rsidRPr="00C912FB" w:rsidRDefault="00C912FB" w:rsidP="00607FAE">
            <w:pPr>
              <w:tabs>
                <w:tab w:val="left" w:pos="1425"/>
              </w:tabs>
              <w:spacing w:after="40"/>
              <w:jc w:val="right"/>
              <w:rPr>
                <w:rFonts w:ascii="Arial" w:hAnsi="Arial" w:cs="Arial"/>
                <w:sz w:val="20"/>
                <w:szCs w:val="20"/>
              </w:rPr>
            </w:pPr>
            <w:r w:rsidRPr="00C912FB">
              <w:rPr>
                <w:rFonts w:ascii="Arial" w:hAnsi="Arial" w:cs="Arial"/>
                <w:sz w:val="20"/>
                <w:szCs w:val="20"/>
              </w:rPr>
              <w:t>$2,511,854.55</w:t>
            </w:r>
          </w:p>
        </w:tc>
        <w:tc>
          <w:tcPr>
            <w:tcW w:w="5130" w:type="dxa"/>
            <w:tcBorders>
              <w:top w:val="single" w:sz="4" w:space="0" w:color="auto"/>
              <w:left w:val="nil"/>
              <w:bottom w:val="single" w:sz="4" w:space="0" w:color="auto"/>
              <w:right w:val="nil"/>
            </w:tcBorders>
            <w:vAlign w:val="center"/>
            <w:hideMark/>
          </w:tcPr>
          <w:p w14:paraId="5E2922D0" w14:textId="77777777" w:rsidR="00BE2AAE" w:rsidRPr="00B772BB" w:rsidRDefault="00BE2AAE" w:rsidP="00607FAE">
            <w:pPr>
              <w:tabs>
                <w:tab w:val="left" w:pos="1425"/>
              </w:tabs>
              <w:spacing w:after="40"/>
              <w:jc w:val="right"/>
              <w:rPr>
                <w:rFonts w:ascii="Arial" w:hAnsi="Arial" w:cs="Arial"/>
                <w:sz w:val="20"/>
                <w:szCs w:val="20"/>
              </w:rPr>
            </w:pPr>
            <w:r w:rsidRPr="00B772BB">
              <w:rPr>
                <w:rFonts w:ascii="Arial" w:hAnsi="Arial" w:cs="Arial"/>
                <w:sz w:val="20"/>
                <w:szCs w:val="20"/>
              </w:rPr>
              <w:t>(5% of Maximum Capital Expenditure)</w:t>
            </w:r>
          </w:p>
        </w:tc>
      </w:tr>
      <w:tr w:rsidR="00BE2AAE" w:rsidRPr="00241423" w14:paraId="3547736A" w14:textId="77777777" w:rsidTr="00C13E1D">
        <w:trPr>
          <w:cantSplit/>
        </w:trPr>
        <w:tc>
          <w:tcPr>
            <w:tcW w:w="2345" w:type="dxa"/>
            <w:tcBorders>
              <w:top w:val="single" w:sz="4" w:space="0" w:color="auto"/>
              <w:left w:val="nil"/>
              <w:bottom w:val="single" w:sz="4" w:space="0" w:color="auto"/>
              <w:right w:val="nil"/>
            </w:tcBorders>
            <w:vAlign w:val="center"/>
            <w:hideMark/>
          </w:tcPr>
          <w:p w14:paraId="3137564F" w14:textId="77777777" w:rsidR="00BE2AAE" w:rsidRPr="00B772BB" w:rsidRDefault="00BE2AAE" w:rsidP="00607FAE">
            <w:pPr>
              <w:spacing w:after="40"/>
              <w:jc w:val="right"/>
              <w:rPr>
                <w:rFonts w:ascii="Arial" w:hAnsi="Arial" w:cs="Arial"/>
                <w:b/>
                <w:bCs/>
                <w:sz w:val="20"/>
                <w:szCs w:val="20"/>
              </w:rPr>
            </w:pPr>
            <w:r w:rsidRPr="00B772BB">
              <w:rPr>
                <w:rFonts w:ascii="Arial" w:hAnsi="Arial" w:cs="Arial"/>
                <w:b/>
                <w:bCs/>
                <w:sz w:val="20"/>
                <w:szCs w:val="20"/>
              </w:rPr>
              <w:t xml:space="preserve">Administrative Fee </w:t>
            </w:r>
          </w:p>
        </w:tc>
        <w:tc>
          <w:tcPr>
            <w:tcW w:w="1980" w:type="dxa"/>
            <w:tcBorders>
              <w:top w:val="single" w:sz="4" w:space="0" w:color="auto"/>
              <w:left w:val="nil"/>
              <w:bottom w:val="single" w:sz="4" w:space="0" w:color="auto"/>
              <w:right w:val="nil"/>
            </w:tcBorders>
            <w:vAlign w:val="center"/>
          </w:tcPr>
          <w:p w14:paraId="32F6ED0A" w14:textId="2CB8D6DD" w:rsidR="00BE2AAE" w:rsidRPr="00C912FB" w:rsidRDefault="00C912FB" w:rsidP="00607FAE">
            <w:pPr>
              <w:spacing w:after="40"/>
              <w:jc w:val="right"/>
              <w:rPr>
                <w:rFonts w:ascii="Arial" w:hAnsi="Arial" w:cs="Arial"/>
                <w:sz w:val="20"/>
                <w:szCs w:val="20"/>
              </w:rPr>
            </w:pPr>
            <w:r w:rsidRPr="00C912FB">
              <w:rPr>
                <w:rFonts w:ascii="Arial" w:hAnsi="Arial" w:cs="Arial"/>
                <w:sz w:val="20"/>
                <w:szCs w:val="20"/>
              </w:rPr>
              <w:t>$75,355.64</w:t>
            </w:r>
          </w:p>
        </w:tc>
        <w:tc>
          <w:tcPr>
            <w:tcW w:w="5130" w:type="dxa"/>
            <w:tcBorders>
              <w:top w:val="single" w:sz="4" w:space="0" w:color="auto"/>
              <w:left w:val="nil"/>
              <w:bottom w:val="single" w:sz="4" w:space="0" w:color="auto"/>
              <w:right w:val="nil"/>
            </w:tcBorders>
            <w:vAlign w:val="center"/>
            <w:hideMark/>
          </w:tcPr>
          <w:p w14:paraId="45F07864" w14:textId="77777777" w:rsidR="00BE2AAE" w:rsidRPr="00AB4E9C" w:rsidRDefault="00BE2AAE" w:rsidP="00607FAE">
            <w:pPr>
              <w:spacing w:after="40"/>
              <w:jc w:val="right"/>
              <w:rPr>
                <w:rFonts w:ascii="Arial" w:hAnsi="Arial" w:cs="Arial"/>
                <w:sz w:val="20"/>
                <w:szCs w:val="20"/>
              </w:rPr>
            </w:pPr>
            <w:r w:rsidRPr="00AB4E9C">
              <w:rPr>
                <w:rFonts w:ascii="Arial" w:hAnsi="Arial" w:cs="Arial"/>
                <w:sz w:val="20"/>
                <w:szCs w:val="20"/>
              </w:rPr>
              <w:t>(3% of the CHI Monies, retained by Applicant)</w:t>
            </w:r>
          </w:p>
        </w:tc>
      </w:tr>
      <w:tr w:rsidR="00BE2AAE" w14:paraId="0FD370A3" w14:textId="77777777" w:rsidTr="00C13E1D">
        <w:trPr>
          <w:cantSplit/>
        </w:trPr>
        <w:tc>
          <w:tcPr>
            <w:tcW w:w="2345" w:type="dxa"/>
            <w:tcBorders>
              <w:top w:val="single" w:sz="4" w:space="0" w:color="auto"/>
              <w:left w:val="nil"/>
              <w:bottom w:val="single" w:sz="4" w:space="0" w:color="auto"/>
              <w:right w:val="nil"/>
            </w:tcBorders>
            <w:vAlign w:val="center"/>
            <w:hideMark/>
          </w:tcPr>
          <w:p w14:paraId="1123703E" w14:textId="77777777" w:rsidR="00BE2AAE" w:rsidRPr="00B772BB" w:rsidRDefault="00BE2AAE" w:rsidP="00607FAE">
            <w:pPr>
              <w:spacing w:after="40"/>
              <w:jc w:val="right"/>
              <w:rPr>
                <w:rFonts w:ascii="Arial" w:hAnsi="Arial" w:cs="Arial"/>
                <w:b/>
                <w:bCs/>
                <w:sz w:val="20"/>
                <w:szCs w:val="20"/>
              </w:rPr>
            </w:pPr>
            <w:r w:rsidRPr="00B772BB">
              <w:rPr>
                <w:rFonts w:ascii="Arial" w:hAnsi="Arial" w:cs="Arial"/>
                <w:b/>
                <w:bCs/>
                <w:sz w:val="20"/>
                <w:szCs w:val="20"/>
              </w:rPr>
              <w:t xml:space="preserve">Remaining Monies </w:t>
            </w:r>
          </w:p>
        </w:tc>
        <w:tc>
          <w:tcPr>
            <w:tcW w:w="1980" w:type="dxa"/>
            <w:tcBorders>
              <w:top w:val="single" w:sz="4" w:space="0" w:color="auto"/>
              <w:left w:val="nil"/>
              <w:bottom w:val="single" w:sz="4" w:space="0" w:color="auto"/>
              <w:right w:val="nil"/>
            </w:tcBorders>
            <w:vAlign w:val="center"/>
          </w:tcPr>
          <w:p w14:paraId="1795BFFC" w14:textId="48E79DEE" w:rsidR="00BE2AAE" w:rsidRPr="00C912FB" w:rsidRDefault="00C912FB" w:rsidP="00607FAE">
            <w:pPr>
              <w:spacing w:after="40"/>
              <w:jc w:val="right"/>
              <w:rPr>
                <w:rFonts w:ascii="Arial" w:hAnsi="Arial" w:cs="Arial"/>
                <w:sz w:val="20"/>
                <w:szCs w:val="20"/>
              </w:rPr>
            </w:pPr>
            <w:r w:rsidRPr="00C912FB">
              <w:rPr>
                <w:rFonts w:ascii="Arial" w:hAnsi="Arial" w:cs="Arial"/>
                <w:sz w:val="20"/>
                <w:szCs w:val="20"/>
              </w:rPr>
              <w:t>$2,436,498.91</w:t>
            </w:r>
          </w:p>
        </w:tc>
        <w:tc>
          <w:tcPr>
            <w:tcW w:w="5130" w:type="dxa"/>
            <w:tcBorders>
              <w:top w:val="single" w:sz="4" w:space="0" w:color="auto"/>
              <w:left w:val="nil"/>
              <w:bottom w:val="single" w:sz="4" w:space="0" w:color="auto"/>
              <w:right w:val="nil"/>
            </w:tcBorders>
            <w:vAlign w:val="center"/>
            <w:hideMark/>
          </w:tcPr>
          <w:p w14:paraId="66F2E8A2" w14:textId="77777777" w:rsidR="00BE2AAE" w:rsidRPr="00AB4E9C" w:rsidRDefault="00BE2AAE" w:rsidP="00607FAE">
            <w:pPr>
              <w:spacing w:after="40"/>
              <w:jc w:val="right"/>
              <w:rPr>
                <w:rFonts w:ascii="Arial" w:hAnsi="Arial" w:cs="Arial"/>
                <w:sz w:val="20"/>
                <w:szCs w:val="20"/>
              </w:rPr>
            </w:pPr>
            <w:r w:rsidRPr="00AB4E9C">
              <w:rPr>
                <w:rFonts w:ascii="Arial" w:hAnsi="Arial" w:cs="Arial"/>
                <w:sz w:val="20"/>
                <w:szCs w:val="20"/>
              </w:rPr>
              <w:t>(CHI Monies minus the Administrative fee)</w:t>
            </w:r>
          </w:p>
        </w:tc>
      </w:tr>
      <w:tr w:rsidR="00BE2AAE" w14:paraId="60452B50" w14:textId="77777777" w:rsidTr="00C13E1D">
        <w:trPr>
          <w:cantSplit/>
        </w:trPr>
        <w:tc>
          <w:tcPr>
            <w:tcW w:w="2345" w:type="dxa"/>
            <w:tcBorders>
              <w:top w:val="single" w:sz="4" w:space="0" w:color="auto"/>
              <w:left w:val="nil"/>
              <w:bottom w:val="single" w:sz="4" w:space="0" w:color="auto"/>
              <w:right w:val="nil"/>
            </w:tcBorders>
            <w:vAlign w:val="center"/>
            <w:hideMark/>
          </w:tcPr>
          <w:p w14:paraId="3D94D244" w14:textId="77777777" w:rsidR="00BE2AAE" w:rsidRPr="00B772BB" w:rsidRDefault="00BE2AAE" w:rsidP="00607FAE">
            <w:pPr>
              <w:spacing w:after="40"/>
              <w:jc w:val="right"/>
              <w:rPr>
                <w:rFonts w:ascii="Arial" w:hAnsi="Arial" w:cs="Arial"/>
                <w:b/>
                <w:bCs/>
                <w:sz w:val="20"/>
                <w:szCs w:val="20"/>
              </w:rPr>
            </w:pPr>
            <w:r w:rsidRPr="00B772BB">
              <w:rPr>
                <w:rFonts w:ascii="Arial" w:hAnsi="Arial" w:cs="Arial"/>
                <w:b/>
                <w:bCs/>
                <w:sz w:val="20"/>
                <w:szCs w:val="20"/>
              </w:rPr>
              <w:t xml:space="preserve">Statewide Initiative </w:t>
            </w:r>
          </w:p>
        </w:tc>
        <w:tc>
          <w:tcPr>
            <w:tcW w:w="1980" w:type="dxa"/>
            <w:tcBorders>
              <w:top w:val="single" w:sz="4" w:space="0" w:color="auto"/>
              <w:left w:val="nil"/>
              <w:bottom w:val="single" w:sz="4" w:space="0" w:color="auto"/>
              <w:right w:val="nil"/>
            </w:tcBorders>
            <w:vAlign w:val="center"/>
          </w:tcPr>
          <w:p w14:paraId="11534543" w14:textId="04428ED4" w:rsidR="00BE2AAE" w:rsidRPr="00557DC2" w:rsidRDefault="00557DC2" w:rsidP="00607FAE">
            <w:pPr>
              <w:spacing w:after="40"/>
              <w:jc w:val="right"/>
              <w:rPr>
                <w:rFonts w:ascii="Arial" w:hAnsi="Arial" w:cs="Arial"/>
                <w:sz w:val="20"/>
                <w:szCs w:val="20"/>
              </w:rPr>
            </w:pPr>
            <w:r w:rsidRPr="00557DC2">
              <w:rPr>
                <w:rFonts w:ascii="Arial" w:hAnsi="Arial" w:cs="Arial"/>
                <w:sz w:val="20"/>
                <w:szCs w:val="20"/>
              </w:rPr>
              <w:t>$609,124.73</w:t>
            </w:r>
          </w:p>
        </w:tc>
        <w:tc>
          <w:tcPr>
            <w:tcW w:w="5130" w:type="dxa"/>
            <w:tcBorders>
              <w:top w:val="single" w:sz="4" w:space="0" w:color="auto"/>
              <w:left w:val="nil"/>
              <w:bottom w:val="single" w:sz="4" w:space="0" w:color="auto"/>
              <w:right w:val="nil"/>
            </w:tcBorders>
            <w:vAlign w:val="center"/>
            <w:hideMark/>
          </w:tcPr>
          <w:p w14:paraId="4294C48D" w14:textId="77777777" w:rsidR="00BE2AAE" w:rsidRPr="00AB4E9C" w:rsidRDefault="00BE2AAE" w:rsidP="00607FAE">
            <w:pPr>
              <w:spacing w:after="40"/>
              <w:jc w:val="right"/>
              <w:rPr>
                <w:rFonts w:ascii="Arial" w:hAnsi="Arial" w:cs="Arial"/>
                <w:sz w:val="20"/>
                <w:szCs w:val="20"/>
              </w:rPr>
            </w:pPr>
            <w:r w:rsidRPr="00AB4E9C">
              <w:rPr>
                <w:rFonts w:ascii="Arial" w:hAnsi="Arial" w:cs="Arial"/>
                <w:sz w:val="20"/>
                <w:szCs w:val="20"/>
              </w:rPr>
              <w:t>(25% of remaining monies, paid to State-wide fund)</w:t>
            </w:r>
          </w:p>
        </w:tc>
      </w:tr>
      <w:tr w:rsidR="00BE2AAE" w14:paraId="2D551A50" w14:textId="77777777" w:rsidTr="00C13E1D">
        <w:trPr>
          <w:cantSplit/>
        </w:trPr>
        <w:tc>
          <w:tcPr>
            <w:tcW w:w="2345" w:type="dxa"/>
            <w:tcBorders>
              <w:top w:val="single" w:sz="4" w:space="0" w:color="auto"/>
              <w:left w:val="nil"/>
              <w:bottom w:val="single" w:sz="4" w:space="0" w:color="auto"/>
              <w:right w:val="nil"/>
            </w:tcBorders>
            <w:vAlign w:val="center"/>
            <w:hideMark/>
          </w:tcPr>
          <w:p w14:paraId="589B90F3" w14:textId="77777777" w:rsidR="00BE2AAE" w:rsidRPr="00B772BB" w:rsidRDefault="00BE2AAE" w:rsidP="00607FAE">
            <w:pPr>
              <w:spacing w:after="40"/>
              <w:jc w:val="right"/>
              <w:rPr>
                <w:rFonts w:ascii="Arial" w:hAnsi="Arial" w:cs="Arial"/>
                <w:b/>
                <w:bCs/>
                <w:sz w:val="20"/>
                <w:szCs w:val="20"/>
              </w:rPr>
            </w:pPr>
            <w:r w:rsidRPr="00B772BB">
              <w:rPr>
                <w:rFonts w:ascii="Arial" w:hAnsi="Arial" w:cs="Arial"/>
                <w:b/>
                <w:bCs/>
                <w:sz w:val="20"/>
                <w:szCs w:val="20"/>
              </w:rPr>
              <w:t xml:space="preserve">Local Initiative </w:t>
            </w:r>
          </w:p>
        </w:tc>
        <w:tc>
          <w:tcPr>
            <w:tcW w:w="1980" w:type="dxa"/>
            <w:tcBorders>
              <w:top w:val="single" w:sz="4" w:space="0" w:color="auto"/>
              <w:left w:val="nil"/>
              <w:bottom w:val="single" w:sz="4" w:space="0" w:color="auto"/>
              <w:right w:val="nil"/>
            </w:tcBorders>
            <w:vAlign w:val="center"/>
          </w:tcPr>
          <w:p w14:paraId="6314A1E7" w14:textId="0FF55AAF" w:rsidR="00BE2AAE" w:rsidRPr="00557DC2" w:rsidRDefault="00557DC2" w:rsidP="00607FAE">
            <w:pPr>
              <w:spacing w:after="40"/>
              <w:jc w:val="right"/>
              <w:rPr>
                <w:rFonts w:ascii="Arial" w:hAnsi="Arial" w:cs="Arial"/>
                <w:sz w:val="20"/>
                <w:szCs w:val="20"/>
              </w:rPr>
            </w:pPr>
            <w:r w:rsidRPr="00557DC2">
              <w:rPr>
                <w:rFonts w:ascii="Arial" w:hAnsi="Arial" w:cs="Arial"/>
                <w:sz w:val="20"/>
                <w:szCs w:val="20"/>
              </w:rPr>
              <w:t>$1,827,374.18</w:t>
            </w:r>
          </w:p>
        </w:tc>
        <w:tc>
          <w:tcPr>
            <w:tcW w:w="5130" w:type="dxa"/>
            <w:tcBorders>
              <w:top w:val="single" w:sz="4" w:space="0" w:color="auto"/>
              <w:left w:val="nil"/>
              <w:bottom w:val="single" w:sz="4" w:space="0" w:color="auto"/>
              <w:right w:val="nil"/>
            </w:tcBorders>
            <w:vAlign w:val="center"/>
            <w:hideMark/>
          </w:tcPr>
          <w:p w14:paraId="2993FCC7" w14:textId="77777777" w:rsidR="00BE2AAE" w:rsidRPr="00B772BB" w:rsidRDefault="00BE2AAE" w:rsidP="00607FAE">
            <w:pPr>
              <w:spacing w:after="40"/>
              <w:jc w:val="right"/>
              <w:rPr>
                <w:rFonts w:ascii="Arial" w:hAnsi="Arial" w:cs="Arial"/>
                <w:sz w:val="20"/>
                <w:szCs w:val="20"/>
              </w:rPr>
            </w:pPr>
            <w:r w:rsidRPr="00B772BB">
              <w:rPr>
                <w:rFonts w:ascii="Arial" w:hAnsi="Arial" w:cs="Arial"/>
                <w:sz w:val="20"/>
                <w:szCs w:val="20"/>
              </w:rPr>
              <w:t>(75% of remaining monies)</w:t>
            </w:r>
          </w:p>
        </w:tc>
      </w:tr>
      <w:tr w:rsidR="00BE2AAE" w14:paraId="63ADFBBE" w14:textId="77777777" w:rsidTr="00C13E1D">
        <w:trPr>
          <w:cantSplit/>
        </w:trPr>
        <w:tc>
          <w:tcPr>
            <w:tcW w:w="2345" w:type="dxa"/>
            <w:tcBorders>
              <w:top w:val="single" w:sz="4" w:space="0" w:color="auto"/>
              <w:left w:val="nil"/>
              <w:bottom w:val="single" w:sz="4" w:space="0" w:color="auto"/>
              <w:right w:val="nil"/>
            </w:tcBorders>
            <w:vAlign w:val="center"/>
            <w:hideMark/>
          </w:tcPr>
          <w:p w14:paraId="34DF357F" w14:textId="77777777" w:rsidR="00BE2AAE" w:rsidRPr="00B772BB" w:rsidRDefault="00BE2AAE" w:rsidP="00607FAE">
            <w:pPr>
              <w:spacing w:after="40"/>
              <w:jc w:val="right"/>
              <w:rPr>
                <w:rFonts w:ascii="Arial" w:hAnsi="Arial" w:cs="Arial"/>
                <w:b/>
                <w:bCs/>
                <w:sz w:val="20"/>
                <w:szCs w:val="20"/>
              </w:rPr>
            </w:pPr>
            <w:r w:rsidRPr="00B772BB">
              <w:rPr>
                <w:rFonts w:ascii="Arial" w:hAnsi="Arial" w:cs="Arial"/>
                <w:b/>
                <w:bCs/>
                <w:sz w:val="20"/>
                <w:szCs w:val="20"/>
              </w:rPr>
              <w:t xml:space="preserve">Evaluation Monies </w:t>
            </w:r>
          </w:p>
        </w:tc>
        <w:tc>
          <w:tcPr>
            <w:tcW w:w="1980" w:type="dxa"/>
            <w:tcBorders>
              <w:top w:val="single" w:sz="4" w:space="0" w:color="auto"/>
              <w:left w:val="nil"/>
              <w:bottom w:val="single" w:sz="4" w:space="0" w:color="auto"/>
              <w:right w:val="nil"/>
            </w:tcBorders>
            <w:vAlign w:val="center"/>
          </w:tcPr>
          <w:p w14:paraId="72141915" w14:textId="4214DC7A" w:rsidR="00BE2AAE" w:rsidRPr="00E24C85" w:rsidRDefault="00557DC2" w:rsidP="00607FAE">
            <w:pPr>
              <w:spacing w:after="40"/>
              <w:jc w:val="right"/>
              <w:rPr>
                <w:rFonts w:ascii="Arial" w:hAnsi="Arial" w:cs="Arial"/>
                <w:sz w:val="20"/>
                <w:szCs w:val="20"/>
                <w:highlight w:val="yellow"/>
              </w:rPr>
            </w:pPr>
            <w:r w:rsidRPr="00557DC2">
              <w:rPr>
                <w:rFonts w:ascii="Arial" w:hAnsi="Arial" w:cs="Arial"/>
                <w:sz w:val="20"/>
                <w:szCs w:val="20"/>
              </w:rPr>
              <w:t>$182,737.42</w:t>
            </w:r>
          </w:p>
        </w:tc>
        <w:tc>
          <w:tcPr>
            <w:tcW w:w="5130" w:type="dxa"/>
            <w:tcBorders>
              <w:top w:val="single" w:sz="4" w:space="0" w:color="auto"/>
              <w:left w:val="nil"/>
              <w:bottom w:val="single" w:sz="4" w:space="0" w:color="auto"/>
              <w:right w:val="nil"/>
            </w:tcBorders>
            <w:vAlign w:val="center"/>
            <w:hideMark/>
          </w:tcPr>
          <w:p w14:paraId="08133391" w14:textId="77777777" w:rsidR="00BE2AAE" w:rsidRPr="00B772BB" w:rsidRDefault="00BE2AAE" w:rsidP="00607FAE">
            <w:pPr>
              <w:spacing w:after="40"/>
              <w:jc w:val="right"/>
              <w:rPr>
                <w:rFonts w:ascii="Arial" w:hAnsi="Arial" w:cs="Arial"/>
                <w:sz w:val="20"/>
                <w:szCs w:val="20"/>
              </w:rPr>
            </w:pPr>
            <w:r w:rsidRPr="00B772BB">
              <w:rPr>
                <w:rFonts w:ascii="Arial" w:hAnsi="Arial" w:cs="Arial"/>
                <w:sz w:val="20"/>
                <w:szCs w:val="20"/>
              </w:rPr>
              <w:t>(10% of Local Initiative Monies, retained by Applicant)</w:t>
            </w:r>
          </w:p>
        </w:tc>
      </w:tr>
      <w:tr w:rsidR="00BE2AAE" w14:paraId="26A62D03" w14:textId="77777777" w:rsidTr="00C13E1D">
        <w:trPr>
          <w:cantSplit/>
        </w:trPr>
        <w:tc>
          <w:tcPr>
            <w:tcW w:w="2345" w:type="dxa"/>
            <w:tcBorders>
              <w:top w:val="single" w:sz="4" w:space="0" w:color="auto"/>
              <w:left w:val="nil"/>
              <w:bottom w:val="nil"/>
              <w:right w:val="nil"/>
            </w:tcBorders>
            <w:shd w:val="clear" w:color="auto" w:fill="F2F2F2" w:themeFill="background1" w:themeFillShade="F2"/>
            <w:vAlign w:val="center"/>
            <w:hideMark/>
          </w:tcPr>
          <w:p w14:paraId="249F9F76" w14:textId="77777777" w:rsidR="00BE2AAE" w:rsidRPr="00B772BB" w:rsidRDefault="00BE2AAE" w:rsidP="00607FAE">
            <w:pPr>
              <w:spacing w:after="40"/>
              <w:jc w:val="right"/>
              <w:rPr>
                <w:rFonts w:ascii="Arial" w:hAnsi="Arial" w:cs="Arial"/>
                <w:b/>
                <w:bCs/>
                <w:sz w:val="20"/>
                <w:szCs w:val="20"/>
              </w:rPr>
            </w:pPr>
            <w:r w:rsidRPr="00B772BB">
              <w:rPr>
                <w:rFonts w:ascii="Arial" w:hAnsi="Arial" w:cs="Arial"/>
                <w:b/>
                <w:bCs/>
                <w:sz w:val="20"/>
                <w:szCs w:val="20"/>
              </w:rPr>
              <w:t xml:space="preserve">CHI Monies for Local Disbursement </w:t>
            </w:r>
          </w:p>
        </w:tc>
        <w:tc>
          <w:tcPr>
            <w:tcW w:w="1980" w:type="dxa"/>
            <w:tcBorders>
              <w:top w:val="single" w:sz="4" w:space="0" w:color="auto"/>
              <w:left w:val="nil"/>
              <w:bottom w:val="nil"/>
              <w:right w:val="nil"/>
            </w:tcBorders>
            <w:shd w:val="clear" w:color="auto" w:fill="F2F2F2" w:themeFill="background1" w:themeFillShade="F2"/>
            <w:vAlign w:val="center"/>
          </w:tcPr>
          <w:p w14:paraId="1AB539E0" w14:textId="1DA20B87" w:rsidR="00BE2AAE" w:rsidRPr="00E24C85" w:rsidRDefault="002F0557" w:rsidP="00607FAE">
            <w:pPr>
              <w:spacing w:after="40"/>
              <w:jc w:val="right"/>
              <w:rPr>
                <w:rFonts w:ascii="Arial" w:hAnsi="Arial" w:cs="Arial"/>
                <w:sz w:val="20"/>
                <w:szCs w:val="20"/>
                <w:highlight w:val="yellow"/>
              </w:rPr>
            </w:pPr>
            <w:r w:rsidRPr="00557DC2">
              <w:rPr>
                <w:rFonts w:ascii="Arial" w:hAnsi="Arial" w:cs="Arial"/>
                <w:sz w:val="20"/>
                <w:szCs w:val="20"/>
              </w:rPr>
              <w:t>$</w:t>
            </w:r>
            <w:r w:rsidR="00557DC2" w:rsidRPr="00557DC2">
              <w:rPr>
                <w:rFonts w:ascii="Arial" w:hAnsi="Arial" w:cs="Arial"/>
                <w:sz w:val="20"/>
                <w:szCs w:val="20"/>
              </w:rPr>
              <w:t>1,644,636.76</w:t>
            </w:r>
          </w:p>
        </w:tc>
        <w:tc>
          <w:tcPr>
            <w:tcW w:w="5130" w:type="dxa"/>
            <w:tcBorders>
              <w:top w:val="single" w:sz="4" w:space="0" w:color="auto"/>
              <w:left w:val="nil"/>
              <w:bottom w:val="nil"/>
              <w:right w:val="nil"/>
            </w:tcBorders>
            <w:shd w:val="clear" w:color="auto" w:fill="F2F2F2" w:themeFill="background1" w:themeFillShade="F2"/>
            <w:vAlign w:val="center"/>
          </w:tcPr>
          <w:p w14:paraId="357A0F35" w14:textId="77777777" w:rsidR="00BE2AAE" w:rsidRPr="00B772BB" w:rsidRDefault="00BE2AAE" w:rsidP="00607FAE">
            <w:pPr>
              <w:spacing w:after="40"/>
              <w:jc w:val="right"/>
              <w:rPr>
                <w:rFonts w:ascii="Arial" w:hAnsi="Arial" w:cs="Arial"/>
                <w:sz w:val="20"/>
                <w:szCs w:val="20"/>
              </w:rPr>
            </w:pPr>
          </w:p>
        </w:tc>
      </w:tr>
    </w:tbl>
    <w:p w14:paraId="50198DE0" w14:textId="77777777" w:rsidR="00BE2AAE" w:rsidRDefault="00BE2AAE" w:rsidP="00BE2AAE">
      <w:pPr>
        <w:spacing w:after="40" w:line="240" w:lineRule="auto"/>
        <w:rPr>
          <w:rFonts w:ascii="Arial" w:hAnsi="Arial" w:cs="Arial"/>
        </w:rPr>
      </w:pPr>
    </w:p>
    <w:p w14:paraId="7F64B6A5" w14:textId="2BA50527" w:rsidR="00BE2AAE" w:rsidRDefault="00BE2AAE" w:rsidP="00BE2AAE">
      <w:pPr>
        <w:pStyle w:val="ListParagraph"/>
        <w:numPr>
          <w:ilvl w:val="1"/>
          <w:numId w:val="9"/>
        </w:numPr>
        <w:spacing w:after="200" w:line="276" w:lineRule="auto"/>
        <w:jc w:val="both"/>
        <w:rPr>
          <w:rFonts w:ascii="Arial" w:hAnsi="Arial" w:cs="Arial"/>
          <w:sz w:val="20"/>
          <w:szCs w:val="20"/>
          <w:u w:val="single"/>
        </w:rPr>
      </w:pPr>
      <w:r>
        <w:rPr>
          <w:rFonts w:ascii="Arial" w:hAnsi="Arial" w:cs="Arial"/>
          <w:sz w:val="20"/>
          <w:szCs w:val="20"/>
          <w:u w:val="single"/>
        </w:rPr>
        <w:t>Request to Pool Funding with Another Project for the Hospital</w:t>
      </w:r>
    </w:p>
    <w:p w14:paraId="55BFC3D6" w14:textId="20C6ED3D" w:rsidR="00BE2AAE" w:rsidRPr="00240972" w:rsidRDefault="00BE2AAE" w:rsidP="00BE2AAE">
      <w:pPr>
        <w:jc w:val="both"/>
        <w:rPr>
          <w:rFonts w:ascii="Arial" w:hAnsi="Arial" w:cs="Arial"/>
          <w:sz w:val="20"/>
          <w:szCs w:val="20"/>
        </w:rPr>
      </w:pPr>
      <w:r>
        <w:rPr>
          <w:rFonts w:ascii="Arial" w:hAnsi="Arial" w:cs="Arial"/>
          <w:sz w:val="20"/>
          <w:szCs w:val="20"/>
        </w:rPr>
        <w:t xml:space="preserve">At the time of this DoN filing, </w:t>
      </w:r>
      <w:r w:rsidR="00072DB8">
        <w:rPr>
          <w:rFonts w:ascii="Arial" w:hAnsi="Arial" w:cs="Arial"/>
          <w:sz w:val="20"/>
          <w:szCs w:val="20"/>
        </w:rPr>
        <w:t>BILH</w:t>
      </w:r>
      <w:r w:rsidR="005B3F03">
        <w:rPr>
          <w:rFonts w:ascii="Arial" w:hAnsi="Arial" w:cs="Arial"/>
          <w:sz w:val="20"/>
          <w:szCs w:val="20"/>
        </w:rPr>
        <w:t xml:space="preserve"> recently received approval </w:t>
      </w:r>
      <w:r w:rsidR="003C1B64">
        <w:rPr>
          <w:rFonts w:ascii="Arial" w:hAnsi="Arial" w:cs="Arial"/>
          <w:sz w:val="20"/>
          <w:szCs w:val="20"/>
        </w:rPr>
        <w:t xml:space="preserve">from DPH </w:t>
      </w:r>
      <w:r w:rsidR="00072DB8">
        <w:rPr>
          <w:rFonts w:ascii="Arial" w:hAnsi="Arial" w:cs="Arial"/>
          <w:sz w:val="20"/>
          <w:szCs w:val="20"/>
        </w:rPr>
        <w:t xml:space="preserve">for BID-Plymouth to </w:t>
      </w:r>
      <w:r w:rsidR="005B3F03">
        <w:rPr>
          <w:rFonts w:ascii="Arial" w:hAnsi="Arial" w:cs="Arial"/>
          <w:sz w:val="20"/>
          <w:szCs w:val="20"/>
        </w:rPr>
        <w:t xml:space="preserve">carry out the CHI for DoN Application </w:t>
      </w:r>
      <w:r>
        <w:rPr>
          <w:rFonts w:ascii="Arial" w:hAnsi="Arial" w:cs="Arial"/>
          <w:sz w:val="20"/>
          <w:szCs w:val="20"/>
        </w:rPr>
        <w:t xml:space="preserve"># </w:t>
      </w:r>
      <w:r w:rsidR="007820F0" w:rsidRPr="007820F0">
        <w:rPr>
          <w:rFonts w:ascii="Arial" w:hAnsi="Arial" w:cs="Arial"/>
          <w:sz w:val="20"/>
          <w:szCs w:val="20"/>
        </w:rPr>
        <w:t>22062915-AS</w:t>
      </w:r>
      <w:r w:rsidR="005B3F03">
        <w:rPr>
          <w:rFonts w:ascii="Arial" w:hAnsi="Arial" w:cs="Arial"/>
          <w:sz w:val="20"/>
          <w:szCs w:val="20"/>
        </w:rPr>
        <w:t xml:space="preserve">. The DoN </w:t>
      </w:r>
      <w:r>
        <w:rPr>
          <w:rFonts w:ascii="Arial" w:hAnsi="Arial" w:cs="Arial"/>
          <w:sz w:val="20"/>
          <w:szCs w:val="20"/>
        </w:rPr>
        <w:t xml:space="preserve">was submitted by Beth Israel Lahey Health Surgery Center, LLC for the creation of a new freestanding orthopedic surgery center to </w:t>
      </w:r>
      <w:proofErr w:type="gramStart"/>
      <w:r>
        <w:rPr>
          <w:rFonts w:ascii="Arial" w:hAnsi="Arial" w:cs="Arial"/>
          <w:sz w:val="20"/>
          <w:szCs w:val="20"/>
        </w:rPr>
        <w:t>be located in</w:t>
      </w:r>
      <w:proofErr w:type="gramEnd"/>
      <w:r>
        <w:rPr>
          <w:rFonts w:ascii="Arial" w:hAnsi="Arial" w:cs="Arial"/>
          <w:sz w:val="20"/>
          <w:szCs w:val="20"/>
        </w:rPr>
        <w:t xml:space="preserve"> </w:t>
      </w:r>
      <w:r w:rsidR="00231A56">
        <w:rPr>
          <w:rFonts w:ascii="Arial" w:hAnsi="Arial" w:cs="Arial"/>
          <w:sz w:val="20"/>
          <w:szCs w:val="20"/>
        </w:rPr>
        <w:t>Plymouth</w:t>
      </w:r>
      <w:r>
        <w:rPr>
          <w:rFonts w:ascii="Arial" w:hAnsi="Arial" w:cs="Arial"/>
          <w:sz w:val="20"/>
          <w:szCs w:val="20"/>
        </w:rPr>
        <w:t xml:space="preserve">, MA. </w:t>
      </w:r>
      <w:r w:rsidR="005B3F03">
        <w:rPr>
          <w:rFonts w:ascii="Arial" w:hAnsi="Arial" w:cs="Arial"/>
          <w:sz w:val="20"/>
          <w:szCs w:val="20"/>
        </w:rPr>
        <w:t>In furtherance of its CHI duties, BID</w:t>
      </w:r>
      <w:r w:rsidR="003C1B64">
        <w:rPr>
          <w:rFonts w:ascii="Arial" w:hAnsi="Arial" w:cs="Arial"/>
          <w:sz w:val="20"/>
          <w:szCs w:val="20"/>
        </w:rPr>
        <w:t>-</w:t>
      </w:r>
      <w:r w:rsidR="005B3F03">
        <w:rPr>
          <w:rFonts w:ascii="Arial" w:hAnsi="Arial" w:cs="Arial"/>
          <w:sz w:val="20"/>
          <w:szCs w:val="20"/>
        </w:rPr>
        <w:t xml:space="preserve">Plymouth </w:t>
      </w:r>
      <w:r>
        <w:rPr>
          <w:rFonts w:ascii="Arial" w:hAnsi="Arial" w:cs="Arial"/>
          <w:sz w:val="20"/>
          <w:szCs w:val="20"/>
        </w:rPr>
        <w:t xml:space="preserve">will convene its Community and Benefits Advisory Committee (“CBAC”) to advise on the </w:t>
      </w:r>
      <w:r w:rsidR="005B3F03">
        <w:rPr>
          <w:rFonts w:ascii="Arial" w:hAnsi="Arial" w:cs="Arial"/>
          <w:sz w:val="20"/>
          <w:szCs w:val="20"/>
        </w:rPr>
        <w:t>surgery center</w:t>
      </w:r>
      <w:r>
        <w:rPr>
          <w:rFonts w:ascii="Arial" w:hAnsi="Arial" w:cs="Arial"/>
          <w:sz w:val="20"/>
          <w:szCs w:val="20"/>
        </w:rPr>
        <w:t>’s CHI</w:t>
      </w:r>
      <w:r w:rsidR="005B3F03">
        <w:rPr>
          <w:rFonts w:ascii="Arial" w:hAnsi="Arial" w:cs="Arial"/>
          <w:sz w:val="20"/>
          <w:szCs w:val="20"/>
        </w:rPr>
        <w:t xml:space="preserve">. Should this DoN application also receive approval, </w:t>
      </w:r>
      <w:r>
        <w:rPr>
          <w:rFonts w:ascii="Arial" w:hAnsi="Arial" w:cs="Arial"/>
          <w:sz w:val="20"/>
          <w:szCs w:val="20"/>
        </w:rPr>
        <w:t xml:space="preserve">the Hospital believes the community </w:t>
      </w:r>
      <w:r w:rsidR="005B3F03">
        <w:rPr>
          <w:rFonts w:ascii="Arial" w:hAnsi="Arial" w:cs="Arial"/>
          <w:sz w:val="20"/>
          <w:szCs w:val="20"/>
        </w:rPr>
        <w:t>will receive the most benefit</w:t>
      </w:r>
      <w:r>
        <w:rPr>
          <w:rFonts w:ascii="Arial" w:hAnsi="Arial" w:cs="Arial"/>
          <w:sz w:val="20"/>
          <w:szCs w:val="20"/>
        </w:rPr>
        <w:t xml:space="preserve"> from a joint CHI that not only maximizes the CBAC’s resources but creates a pool of funding more likely to create sustainable grants and lasting change in the community. To that end, </w:t>
      </w:r>
      <w:r w:rsidR="00231A56">
        <w:rPr>
          <w:rFonts w:ascii="Arial" w:hAnsi="Arial" w:cs="Arial"/>
          <w:sz w:val="20"/>
          <w:szCs w:val="20"/>
        </w:rPr>
        <w:t>BID-Plymouth</w:t>
      </w:r>
      <w:r>
        <w:rPr>
          <w:rFonts w:ascii="Arial" w:hAnsi="Arial" w:cs="Arial"/>
          <w:sz w:val="20"/>
          <w:szCs w:val="20"/>
        </w:rPr>
        <w:t xml:space="preserve"> is requesting approval to carry out one CHI </w:t>
      </w:r>
      <w:r w:rsidR="007820F0">
        <w:rPr>
          <w:rFonts w:ascii="Arial" w:hAnsi="Arial" w:cs="Arial"/>
          <w:sz w:val="20"/>
          <w:szCs w:val="20"/>
        </w:rPr>
        <w:t xml:space="preserve">for both Plymouth-based </w:t>
      </w:r>
      <w:proofErr w:type="spellStart"/>
      <w:r w:rsidR="007820F0">
        <w:rPr>
          <w:rFonts w:ascii="Arial" w:hAnsi="Arial" w:cs="Arial"/>
          <w:sz w:val="20"/>
          <w:szCs w:val="20"/>
        </w:rPr>
        <w:t>DoNs</w:t>
      </w:r>
      <w:proofErr w:type="spellEnd"/>
      <w:r w:rsidR="007820F0">
        <w:rPr>
          <w:rFonts w:ascii="Arial" w:hAnsi="Arial" w:cs="Arial"/>
          <w:sz w:val="20"/>
          <w:szCs w:val="20"/>
        </w:rPr>
        <w:t xml:space="preserve">. </w:t>
      </w:r>
      <w:r>
        <w:rPr>
          <w:rFonts w:ascii="Arial" w:hAnsi="Arial" w:cs="Arial"/>
          <w:sz w:val="20"/>
          <w:szCs w:val="20"/>
        </w:rPr>
        <w:t xml:space="preserve"> </w:t>
      </w:r>
    </w:p>
    <w:p w14:paraId="38C8D829" w14:textId="77777777" w:rsidR="00BE2AAE" w:rsidRPr="00526899" w:rsidRDefault="00BE2AAE" w:rsidP="00BE2AAE">
      <w:pPr>
        <w:pStyle w:val="ListParagraph"/>
        <w:numPr>
          <w:ilvl w:val="1"/>
          <w:numId w:val="9"/>
        </w:numPr>
        <w:spacing w:after="200" w:line="276" w:lineRule="auto"/>
        <w:rPr>
          <w:rFonts w:ascii="Arial" w:hAnsi="Arial" w:cs="Arial"/>
          <w:sz w:val="20"/>
          <w:szCs w:val="20"/>
          <w:u w:val="single"/>
        </w:rPr>
      </w:pPr>
      <w:bookmarkStart w:id="8" w:name="_Hlk171417122"/>
      <w:r w:rsidRPr="00526899">
        <w:rPr>
          <w:rFonts w:ascii="Arial" w:hAnsi="Arial" w:cs="Arial"/>
          <w:sz w:val="20"/>
          <w:szCs w:val="20"/>
          <w:u w:val="single"/>
        </w:rPr>
        <w:t>Timeline for CHI Activities</w:t>
      </w:r>
    </w:p>
    <w:p w14:paraId="5CEAAAB8" w14:textId="0A880E3C" w:rsidR="00BE2AAE" w:rsidRPr="003C1B64" w:rsidRDefault="00231A56" w:rsidP="003C1B64">
      <w:pPr>
        <w:jc w:val="both"/>
        <w:rPr>
          <w:rFonts w:ascii="Arial" w:hAnsi="Arial" w:cs="Arial"/>
          <w:sz w:val="20"/>
          <w:szCs w:val="20"/>
        </w:rPr>
      </w:pPr>
      <w:r>
        <w:rPr>
          <w:rFonts w:ascii="Arial" w:hAnsi="Arial" w:cs="Arial"/>
          <w:sz w:val="20"/>
          <w:szCs w:val="20"/>
        </w:rPr>
        <w:t>BID-Plymouth</w:t>
      </w:r>
      <w:r w:rsidR="00BE2AAE">
        <w:rPr>
          <w:rFonts w:ascii="Arial" w:hAnsi="Arial" w:cs="Arial"/>
          <w:sz w:val="20"/>
          <w:szCs w:val="20"/>
        </w:rPr>
        <w:t xml:space="preserve"> </w:t>
      </w:r>
      <w:r w:rsidR="005B3F03">
        <w:rPr>
          <w:rFonts w:ascii="Arial" w:hAnsi="Arial" w:cs="Arial"/>
          <w:sz w:val="20"/>
          <w:szCs w:val="20"/>
        </w:rPr>
        <w:t xml:space="preserve">will begin work on the </w:t>
      </w:r>
      <w:r w:rsidR="00C912FB">
        <w:rPr>
          <w:rFonts w:ascii="Arial" w:hAnsi="Arial" w:cs="Arial"/>
          <w:sz w:val="20"/>
          <w:szCs w:val="20"/>
        </w:rPr>
        <w:t xml:space="preserve">joint </w:t>
      </w:r>
      <w:r w:rsidR="005B3F03">
        <w:rPr>
          <w:rFonts w:ascii="Arial" w:hAnsi="Arial" w:cs="Arial"/>
          <w:sz w:val="20"/>
          <w:szCs w:val="20"/>
        </w:rPr>
        <w:t xml:space="preserve">CHI </w:t>
      </w:r>
      <w:r w:rsidR="00C912FB">
        <w:rPr>
          <w:rFonts w:ascii="Arial" w:hAnsi="Arial" w:cs="Arial"/>
          <w:sz w:val="20"/>
          <w:szCs w:val="20"/>
        </w:rPr>
        <w:t xml:space="preserve">following the approval of DoN Application # </w:t>
      </w:r>
      <w:r w:rsidR="00C912FB" w:rsidRPr="007820F0">
        <w:rPr>
          <w:rFonts w:ascii="Arial" w:hAnsi="Arial" w:cs="Arial"/>
          <w:sz w:val="20"/>
          <w:szCs w:val="20"/>
        </w:rPr>
        <w:t>22062915-AS</w:t>
      </w:r>
      <w:r w:rsidR="005B3F03">
        <w:rPr>
          <w:rFonts w:ascii="Arial" w:hAnsi="Arial" w:cs="Arial"/>
          <w:sz w:val="20"/>
          <w:szCs w:val="20"/>
        </w:rPr>
        <w:t>.</w:t>
      </w:r>
      <w:r w:rsidR="00C912FB">
        <w:rPr>
          <w:rFonts w:ascii="Arial" w:hAnsi="Arial" w:cs="Arial"/>
          <w:sz w:val="20"/>
          <w:szCs w:val="20"/>
        </w:rPr>
        <w:t xml:space="preserve"> As such, the timeline for the present application will follow the previous timeline submitted with funds to be distributed in early 2025. However, given the increase in size of the local initiative, the </w:t>
      </w:r>
      <w:r w:rsidR="003C1B64">
        <w:rPr>
          <w:rFonts w:ascii="Arial" w:hAnsi="Arial" w:cs="Arial"/>
          <w:sz w:val="20"/>
          <w:szCs w:val="20"/>
        </w:rPr>
        <w:t xml:space="preserve">Hospital is requesting additional time to distribute funds over multiple years. </w:t>
      </w:r>
      <w:r w:rsidR="00C912FB">
        <w:rPr>
          <w:rFonts w:ascii="Arial" w:hAnsi="Arial" w:cs="Arial"/>
          <w:sz w:val="20"/>
          <w:szCs w:val="20"/>
        </w:rPr>
        <w:t xml:space="preserve"> </w:t>
      </w:r>
      <w:bookmarkEnd w:id="8"/>
    </w:p>
    <w:p w14:paraId="31A42D56" w14:textId="77777777" w:rsidR="00BE2AAE" w:rsidRPr="00526899" w:rsidRDefault="00BE2AAE" w:rsidP="00072DB8">
      <w:pPr>
        <w:pStyle w:val="ListParagraph"/>
        <w:numPr>
          <w:ilvl w:val="1"/>
          <w:numId w:val="9"/>
        </w:numPr>
        <w:spacing w:after="200" w:line="276" w:lineRule="auto"/>
        <w:jc w:val="both"/>
        <w:rPr>
          <w:rFonts w:ascii="Arial" w:hAnsi="Arial" w:cs="Arial"/>
          <w:sz w:val="20"/>
          <w:szCs w:val="20"/>
          <w:u w:val="single"/>
        </w:rPr>
      </w:pPr>
      <w:r w:rsidRPr="00526899">
        <w:rPr>
          <w:rFonts w:ascii="Arial" w:hAnsi="Arial" w:cs="Arial"/>
          <w:sz w:val="20"/>
          <w:szCs w:val="20"/>
          <w:u w:val="single"/>
        </w:rPr>
        <w:t>Administrative Monies</w:t>
      </w:r>
    </w:p>
    <w:p w14:paraId="026C0394" w14:textId="23103E2C" w:rsidR="00BE2AAE" w:rsidRPr="00526899" w:rsidRDefault="00BE2AAE" w:rsidP="00072DB8">
      <w:pPr>
        <w:jc w:val="both"/>
        <w:rPr>
          <w:rFonts w:ascii="Arial" w:hAnsi="Arial" w:cs="Arial"/>
          <w:sz w:val="20"/>
          <w:szCs w:val="20"/>
        </w:rPr>
      </w:pPr>
      <w:r w:rsidRPr="00526899">
        <w:rPr>
          <w:rFonts w:ascii="Arial" w:hAnsi="Arial" w:cs="Arial"/>
          <w:sz w:val="20"/>
          <w:szCs w:val="20"/>
        </w:rPr>
        <w:t xml:space="preserve">Applicants </w:t>
      </w:r>
      <w:r w:rsidRPr="00BF5F7D">
        <w:rPr>
          <w:rFonts w:ascii="Arial" w:hAnsi="Arial" w:cs="Arial"/>
          <w:sz w:val="20"/>
          <w:szCs w:val="20"/>
        </w:rPr>
        <w:t>submitting a Tier 2 CHI</w:t>
      </w:r>
      <w:r w:rsidRPr="004F4262">
        <w:rPr>
          <w:rFonts w:ascii="Arial" w:hAnsi="Arial" w:cs="Arial"/>
          <w:sz w:val="20"/>
          <w:szCs w:val="20"/>
        </w:rPr>
        <w:t xml:space="preserve"> are eligible to retain a </w:t>
      </w:r>
      <w:r>
        <w:rPr>
          <w:rFonts w:ascii="Arial" w:hAnsi="Arial" w:cs="Arial"/>
          <w:sz w:val="20"/>
          <w:szCs w:val="20"/>
        </w:rPr>
        <w:t>three</w:t>
      </w:r>
      <w:r w:rsidRPr="004F4262">
        <w:rPr>
          <w:rFonts w:ascii="Arial" w:hAnsi="Arial" w:cs="Arial"/>
          <w:sz w:val="20"/>
          <w:szCs w:val="20"/>
        </w:rPr>
        <w:t xml:space="preserve"> percent (</w:t>
      </w:r>
      <w:r>
        <w:rPr>
          <w:rFonts w:ascii="Arial" w:hAnsi="Arial" w:cs="Arial"/>
          <w:sz w:val="20"/>
          <w:szCs w:val="20"/>
        </w:rPr>
        <w:t>3</w:t>
      </w:r>
      <w:r w:rsidRPr="004F4262">
        <w:rPr>
          <w:rFonts w:ascii="Arial" w:hAnsi="Arial" w:cs="Arial"/>
          <w:sz w:val="20"/>
          <w:szCs w:val="20"/>
        </w:rPr>
        <w:t xml:space="preserve">%) administrative fee. Accordingly, </w:t>
      </w:r>
      <w:r w:rsidR="00231A56">
        <w:rPr>
          <w:rFonts w:ascii="Arial" w:hAnsi="Arial" w:cs="Arial"/>
          <w:sz w:val="20"/>
          <w:szCs w:val="20"/>
        </w:rPr>
        <w:t>BID-Plymouth</w:t>
      </w:r>
      <w:r w:rsidRPr="004F4262">
        <w:rPr>
          <w:rFonts w:ascii="Arial" w:hAnsi="Arial" w:cs="Arial"/>
          <w:sz w:val="20"/>
          <w:szCs w:val="20"/>
        </w:rPr>
        <w:t xml:space="preserve"> is requesting </w:t>
      </w:r>
      <w:r w:rsidR="00557DC2" w:rsidRPr="00C912FB">
        <w:rPr>
          <w:rFonts w:ascii="Arial" w:hAnsi="Arial" w:cs="Arial"/>
          <w:sz w:val="20"/>
          <w:szCs w:val="20"/>
        </w:rPr>
        <w:t>$75,355.64</w:t>
      </w:r>
      <w:r w:rsidR="00557DC2">
        <w:rPr>
          <w:rFonts w:ascii="Arial" w:hAnsi="Arial" w:cs="Arial"/>
          <w:sz w:val="20"/>
          <w:szCs w:val="20"/>
        </w:rPr>
        <w:t xml:space="preserve"> </w:t>
      </w:r>
      <w:r w:rsidRPr="004F4262">
        <w:rPr>
          <w:rFonts w:ascii="Arial" w:hAnsi="Arial" w:cs="Arial"/>
          <w:sz w:val="20"/>
          <w:szCs w:val="20"/>
        </w:rPr>
        <w:t>in administrative</w:t>
      </w:r>
      <w:r w:rsidRPr="00526899">
        <w:rPr>
          <w:rFonts w:ascii="Arial" w:hAnsi="Arial" w:cs="Arial"/>
          <w:sz w:val="20"/>
          <w:szCs w:val="20"/>
        </w:rPr>
        <w:t xml:space="preserve"> funding. These monies will support</w:t>
      </w:r>
      <w:r>
        <w:rPr>
          <w:rFonts w:ascii="Arial" w:hAnsi="Arial" w:cs="Arial"/>
          <w:sz w:val="20"/>
          <w:szCs w:val="20"/>
        </w:rPr>
        <w:t xml:space="preserve"> </w:t>
      </w:r>
      <w:r w:rsidRPr="00526899">
        <w:rPr>
          <w:rFonts w:ascii="Arial" w:hAnsi="Arial" w:cs="Arial"/>
          <w:sz w:val="20"/>
          <w:szCs w:val="20"/>
        </w:rPr>
        <w:t xml:space="preserve">promotion of meetings, interpretation/translation, community engagement, stipends for community resident participation, additional staff time for these efforts. </w:t>
      </w:r>
    </w:p>
    <w:p w14:paraId="04D1F540" w14:textId="77777777" w:rsidR="00BE2AAE" w:rsidRPr="00526899" w:rsidRDefault="00BE2AAE" w:rsidP="00072DB8">
      <w:pPr>
        <w:pStyle w:val="ListParagraph"/>
        <w:numPr>
          <w:ilvl w:val="1"/>
          <w:numId w:val="9"/>
        </w:numPr>
        <w:spacing w:after="200" w:line="276" w:lineRule="auto"/>
        <w:jc w:val="both"/>
        <w:rPr>
          <w:rFonts w:ascii="Arial" w:hAnsi="Arial" w:cs="Arial"/>
          <w:sz w:val="20"/>
          <w:szCs w:val="20"/>
          <w:u w:val="single"/>
        </w:rPr>
      </w:pPr>
      <w:r w:rsidRPr="00526899">
        <w:rPr>
          <w:rFonts w:ascii="Arial" w:hAnsi="Arial" w:cs="Arial"/>
          <w:sz w:val="20"/>
          <w:szCs w:val="20"/>
          <w:u w:val="single"/>
        </w:rPr>
        <w:t>Evaluation Overview</w:t>
      </w:r>
    </w:p>
    <w:p w14:paraId="2D6A32FA" w14:textId="5CAF642A" w:rsidR="00BE2AAE" w:rsidRPr="003C1B64" w:rsidRDefault="00231A56" w:rsidP="00072DB8">
      <w:pPr>
        <w:jc w:val="both"/>
        <w:rPr>
          <w:rFonts w:ascii="Arial" w:hAnsi="Arial" w:cs="Arial"/>
          <w:sz w:val="20"/>
          <w:szCs w:val="20"/>
        </w:rPr>
      </w:pPr>
      <w:r>
        <w:rPr>
          <w:rFonts w:ascii="Arial" w:hAnsi="Arial" w:cs="Arial"/>
          <w:sz w:val="20"/>
          <w:szCs w:val="20"/>
        </w:rPr>
        <w:t>BID-Plymouth</w:t>
      </w:r>
      <w:r w:rsidR="00BE2AAE" w:rsidRPr="00526899">
        <w:rPr>
          <w:rFonts w:ascii="Arial" w:hAnsi="Arial" w:cs="Arial"/>
          <w:sz w:val="20"/>
          <w:szCs w:val="20"/>
        </w:rPr>
        <w:t xml:space="preserve"> is seeking to use 10% of local CHI funding </w:t>
      </w:r>
      <w:r w:rsidR="00557DC2">
        <w:rPr>
          <w:rFonts w:ascii="Arial" w:hAnsi="Arial" w:cs="Arial"/>
          <w:sz w:val="20"/>
          <w:szCs w:val="20"/>
        </w:rPr>
        <w:t>(</w:t>
      </w:r>
      <w:r w:rsidR="00557DC2" w:rsidRPr="00557DC2">
        <w:rPr>
          <w:rFonts w:ascii="Arial" w:hAnsi="Arial" w:cs="Arial"/>
          <w:sz w:val="20"/>
          <w:szCs w:val="20"/>
        </w:rPr>
        <w:t>$182,737.42</w:t>
      </w:r>
      <w:r w:rsidR="00557DC2">
        <w:rPr>
          <w:rFonts w:ascii="Arial" w:hAnsi="Arial" w:cs="Arial"/>
          <w:sz w:val="20"/>
          <w:szCs w:val="20"/>
        </w:rPr>
        <w:t xml:space="preserve">) </w:t>
      </w:r>
      <w:r w:rsidR="00BE2AAE" w:rsidRPr="00526899">
        <w:rPr>
          <w:rFonts w:ascii="Arial" w:hAnsi="Arial" w:cs="Arial"/>
          <w:sz w:val="20"/>
          <w:szCs w:val="20"/>
        </w:rPr>
        <w:t xml:space="preserve">for evaluation efforts. These monies will allow </w:t>
      </w:r>
      <w:r w:rsidR="00BE2AAE">
        <w:rPr>
          <w:rFonts w:ascii="Arial" w:hAnsi="Arial" w:cs="Arial"/>
          <w:sz w:val="20"/>
          <w:szCs w:val="20"/>
        </w:rPr>
        <w:t>the Hospital</w:t>
      </w:r>
      <w:r w:rsidR="00BE2AAE" w:rsidRPr="00526899">
        <w:rPr>
          <w:rFonts w:ascii="Arial" w:hAnsi="Arial" w:cs="Arial"/>
          <w:sz w:val="20"/>
          <w:szCs w:val="20"/>
        </w:rPr>
        <w:t xml:space="preserve"> to retain the expertise of the BILH Director of Evaluation and Data to develop appropriate evaluation metrics of the CHI-funded projects.</w:t>
      </w:r>
    </w:p>
    <w:sectPr w:rsidR="00BE2AAE" w:rsidRPr="003C1B6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4FE22E" w14:textId="77777777" w:rsidR="00674F46" w:rsidRDefault="00674F46" w:rsidP="00BE2AAE">
      <w:pPr>
        <w:spacing w:after="0" w:line="240" w:lineRule="auto"/>
      </w:pPr>
      <w:r>
        <w:separator/>
      </w:r>
    </w:p>
  </w:endnote>
  <w:endnote w:type="continuationSeparator" w:id="0">
    <w:p w14:paraId="664E6AD6" w14:textId="77777777" w:rsidR="00674F46" w:rsidRDefault="00674F46" w:rsidP="00BE2A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hiller">
    <w:panose1 w:val="040204040310070206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9E695C" w14:textId="77777777" w:rsidR="00DA304F" w:rsidRDefault="00DA30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CAC751" w14:textId="77777777" w:rsidR="00DA304F" w:rsidRDefault="00DA30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C4CF8A" w14:textId="77777777" w:rsidR="00DA304F" w:rsidRDefault="00DA30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B5122A" w14:textId="77777777" w:rsidR="00674F46" w:rsidRDefault="00674F46" w:rsidP="00BE2AAE">
      <w:pPr>
        <w:spacing w:after="0" w:line="240" w:lineRule="auto"/>
      </w:pPr>
      <w:r>
        <w:separator/>
      </w:r>
    </w:p>
  </w:footnote>
  <w:footnote w:type="continuationSeparator" w:id="0">
    <w:p w14:paraId="6EEA7270" w14:textId="77777777" w:rsidR="00674F46" w:rsidRDefault="00674F46" w:rsidP="00BE2AAE">
      <w:pPr>
        <w:spacing w:after="0" w:line="240" w:lineRule="auto"/>
      </w:pPr>
      <w:r>
        <w:continuationSeparator/>
      </w:r>
    </w:p>
  </w:footnote>
  <w:footnote w:id="1">
    <w:p w14:paraId="57B576B5" w14:textId="77777777" w:rsidR="00E91231" w:rsidRPr="00F87B3D" w:rsidRDefault="00E91231" w:rsidP="00BE2AAE">
      <w:pPr>
        <w:pStyle w:val="FootnoteText"/>
        <w:jc w:val="both"/>
        <w:rPr>
          <w:rFonts w:ascii="Arial" w:hAnsi="Arial" w:cs="Arial"/>
          <w:sz w:val="16"/>
          <w:szCs w:val="16"/>
        </w:rPr>
      </w:pPr>
      <w:r w:rsidRPr="00F87B3D">
        <w:rPr>
          <w:rStyle w:val="FootnoteReference"/>
          <w:rFonts w:ascii="Arial" w:hAnsi="Arial" w:cs="Arial"/>
          <w:sz w:val="16"/>
          <w:szCs w:val="16"/>
        </w:rPr>
        <w:footnoteRef/>
      </w:r>
      <w:r w:rsidRPr="00F87B3D">
        <w:rPr>
          <w:rFonts w:ascii="Arial" w:hAnsi="Arial" w:cs="Arial"/>
          <w:sz w:val="16"/>
          <w:szCs w:val="16"/>
        </w:rPr>
        <w:t xml:space="preserve"> Greater Boston includes the following cities/towns:  Acton, Arlington, Ashland, Bedford, Belmont, Boston, Boxborough, Braintree, Brighton, Brookline, Burlington, Cambridge, Canton, Carlisle, Chelsea, Cohasset, Concord, Dedham, Dorchester, Dover, Foxboro, Framingham, Hingham, Holbrook, Holliston, Hopkinton, Hudson, Hull, Lexington, Lincoln, Littleton, Marlborough, Maynard, Medfield, Millis, Milton, Natick, Needham, Newton, Norfolk, Northborough, Norwell, Norwood, Quincy, Randolph, Revere, Roslindale, Scituate, Sharon, Sherborn, Somerville, Southborough, Stow, Sudbury, Walpole, Waltham, Watertown, Wayland, Wellesley, Westborough, Weston, Westwood, Weymouth, Wilmington, Winchester, Winthrop, Woburn, and Wrentham.</w:t>
      </w:r>
    </w:p>
  </w:footnote>
  <w:footnote w:id="2">
    <w:p w14:paraId="6797E4DA" w14:textId="5A393A12" w:rsidR="00E91231" w:rsidRPr="00F87B3D" w:rsidRDefault="00E91231" w:rsidP="00BE2AAE">
      <w:pPr>
        <w:pStyle w:val="FootnoteText"/>
        <w:rPr>
          <w:rFonts w:ascii="Arial" w:hAnsi="Arial" w:cs="Arial"/>
          <w:sz w:val="16"/>
          <w:szCs w:val="16"/>
        </w:rPr>
      </w:pPr>
      <w:r w:rsidRPr="00F87B3D">
        <w:rPr>
          <w:rStyle w:val="FootnoteReference"/>
          <w:rFonts w:ascii="Arial" w:hAnsi="Arial" w:cs="Arial"/>
          <w:sz w:val="16"/>
          <w:szCs w:val="16"/>
        </w:rPr>
        <w:footnoteRef/>
      </w:r>
      <w:r w:rsidRPr="00F87B3D">
        <w:rPr>
          <w:rFonts w:ascii="Arial" w:hAnsi="Arial" w:cs="Arial"/>
          <w:sz w:val="16"/>
          <w:szCs w:val="16"/>
        </w:rPr>
        <w:t xml:space="preserve"> </w:t>
      </w:r>
      <w:hyperlink r:id="rId1" w:history="1">
        <w:r w:rsidRPr="008E0CF5">
          <w:rPr>
            <w:rStyle w:val="Hyperlink"/>
            <w:rFonts w:ascii="Arial" w:hAnsi="Arial" w:cs="Arial"/>
            <w:color w:val="auto"/>
            <w:sz w:val="16"/>
            <w:szCs w:val="16"/>
            <w:u w:val="none"/>
          </w:rPr>
          <w:t>Census Reporter, Boston-Cambridge-Newton, MA-NH Metro Area,</w:t>
        </w:r>
      </w:hyperlink>
      <w:r w:rsidRPr="00F87B3D">
        <w:rPr>
          <w:rFonts w:ascii="Arial" w:hAnsi="Arial" w:cs="Arial"/>
          <w:sz w:val="16"/>
          <w:szCs w:val="16"/>
        </w:rPr>
        <w:t xml:space="preserve"> </w:t>
      </w:r>
      <w:hyperlink r:id="rId2" w:history="1">
        <w:r w:rsidR="008E0CF5" w:rsidRPr="0017686B">
          <w:rPr>
            <w:rStyle w:val="Hyperlink"/>
            <w:rFonts w:ascii="Arial" w:hAnsi="Arial" w:cs="Arial"/>
            <w:sz w:val="16"/>
            <w:szCs w:val="16"/>
          </w:rPr>
          <w:t>https://censusreporter.org/profiles/31000US14460-boston-cambridge-newton-ma-nh-metro-area/</w:t>
        </w:r>
      </w:hyperlink>
      <w:r w:rsidR="008E0CF5">
        <w:rPr>
          <w:rFonts w:ascii="Arial" w:hAnsi="Arial" w:cs="Arial"/>
          <w:sz w:val="16"/>
          <w:szCs w:val="16"/>
        </w:rPr>
        <w:t xml:space="preserve"> </w:t>
      </w:r>
      <w:r w:rsidRPr="00F87B3D">
        <w:rPr>
          <w:rFonts w:ascii="Arial" w:hAnsi="Arial" w:cs="Arial"/>
          <w:sz w:val="16"/>
          <w:szCs w:val="16"/>
        </w:rPr>
        <w:t>.</w:t>
      </w:r>
    </w:p>
  </w:footnote>
  <w:footnote w:id="3">
    <w:p w14:paraId="49337D00" w14:textId="77777777" w:rsidR="00E91231" w:rsidRPr="00F87B3D" w:rsidRDefault="00E91231" w:rsidP="00BE2AAE">
      <w:pPr>
        <w:pStyle w:val="FootnoteText"/>
        <w:rPr>
          <w:rFonts w:ascii="Arial" w:hAnsi="Arial" w:cs="Arial"/>
          <w:sz w:val="16"/>
          <w:szCs w:val="16"/>
        </w:rPr>
      </w:pPr>
      <w:r w:rsidRPr="00F87B3D">
        <w:rPr>
          <w:rStyle w:val="FootnoteReference"/>
          <w:rFonts w:ascii="Arial" w:hAnsi="Arial" w:cs="Arial"/>
          <w:sz w:val="16"/>
          <w:szCs w:val="16"/>
        </w:rPr>
        <w:footnoteRef/>
      </w:r>
      <w:r w:rsidRPr="00F87B3D">
        <w:rPr>
          <w:rFonts w:ascii="Arial" w:hAnsi="Arial" w:cs="Arial"/>
          <w:sz w:val="16"/>
          <w:szCs w:val="16"/>
        </w:rPr>
        <w:t xml:space="preserve"> UMass Donahue Institute, </w:t>
      </w:r>
      <w:r w:rsidRPr="00F87B3D">
        <w:rPr>
          <w:rFonts w:ascii="Arial" w:hAnsi="Arial" w:cs="Arial"/>
          <w:i/>
          <w:iCs/>
          <w:sz w:val="16"/>
          <w:szCs w:val="16"/>
        </w:rPr>
        <w:t>Long-term Population Projections for Massachusetts Regions and Municipalities</w:t>
      </w:r>
      <w:r w:rsidRPr="00F87B3D">
        <w:rPr>
          <w:rFonts w:ascii="Arial" w:hAnsi="Arial" w:cs="Arial"/>
          <w:sz w:val="16"/>
          <w:szCs w:val="16"/>
        </w:rPr>
        <w:t xml:space="preserve">, March 2015. </w:t>
      </w:r>
    </w:p>
  </w:footnote>
  <w:footnote w:id="4">
    <w:p w14:paraId="574F41DD" w14:textId="1D9D2C3D" w:rsidR="00E91231" w:rsidRPr="00F87B3D" w:rsidRDefault="00E91231" w:rsidP="00BE2AAE">
      <w:pPr>
        <w:pStyle w:val="FootnoteText"/>
        <w:rPr>
          <w:sz w:val="16"/>
          <w:szCs w:val="16"/>
        </w:rPr>
      </w:pPr>
      <w:r w:rsidRPr="00F87B3D">
        <w:rPr>
          <w:rStyle w:val="FootnoteReference"/>
          <w:rFonts w:ascii="Arial" w:hAnsi="Arial" w:cs="Arial"/>
          <w:sz w:val="16"/>
          <w:szCs w:val="16"/>
        </w:rPr>
        <w:footnoteRef/>
      </w:r>
      <w:r w:rsidRPr="00F87B3D">
        <w:rPr>
          <w:rFonts w:ascii="Arial" w:hAnsi="Arial" w:cs="Arial"/>
          <w:sz w:val="16"/>
          <w:szCs w:val="16"/>
        </w:rPr>
        <w:t xml:space="preserve"> For purposes of the Applicant’s and the Hospital’s patient panel, the fiscal year is defined as </w:t>
      </w:r>
      <w:r w:rsidR="00CB37D4">
        <w:rPr>
          <w:rFonts w:ascii="Arial" w:hAnsi="Arial" w:cs="Arial"/>
          <w:sz w:val="16"/>
          <w:szCs w:val="16"/>
        </w:rPr>
        <w:t xml:space="preserve">October 1 to September 30. </w:t>
      </w:r>
    </w:p>
  </w:footnote>
  <w:footnote w:id="5">
    <w:p w14:paraId="698D7E54" w14:textId="20A82E14" w:rsidR="00250206" w:rsidRPr="00250206" w:rsidRDefault="00250206">
      <w:pPr>
        <w:pStyle w:val="FootnoteText"/>
        <w:rPr>
          <w:rFonts w:ascii="Arial" w:hAnsi="Arial" w:cs="Arial"/>
          <w:sz w:val="16"/>
          <w:szCs w:val="16"/>
        </w:rPr>
      </w:pPr>
      <w:r w:rsidRPr="00250206">
        <w:rPr>
          <w:rStyle w:val="FootnoteReference"/>
          <w:rFonts w:ascii="Arial" w:hAnsi="Arial" w:cs="Arial"/>
          <w:sz w:val="16"/>
          <w:szCs w:val="16"/>
        </w:rPr>
        <w:footnoteRef/>
      </w:r>
      <w:r w:rsidRPr="00250206">
        <w:rPr>
          <w:rFonts w:ascii="Arial" w:hAnsi="Arial" w:cs="Arial"/>
          <w:sz w:val="16"/>
          <w:szCs w:val="16"/>
        </w:rPr>
        <w:t xml:space="preserve"> Please note for this filing, Patient Panel data is being submitted by the Applicant’s fiscal year, October 1 through September 30. As such, totals will not match to filings made by the Applicant which used July 1 to June 30. </w:t>
      </w:r>
    </w:p>
  </w:footnote>
  <w:footnote w:id="6">
    <w:p w14:paraId="5DC7DDD8" w14:textId="2EA845B3" w:rsidR="006B4DDB" w:rsidRPr="00250206" w:rsidRDefault="006B4DDB" w:rsidP="006B4DDB">
      <w:pPr>
        <w:spacing w:after="0" w:line="240" w:lineRule="auto"/>
        <w:rPr>
          <w:rFonts w:ascii="Arial" w:eastAsia="Times New Roman" w:hAnsi="Arial" w:cs="Arial"/>
          <w:color w:val="000000"/>
          <w:sz w:val="16"/>
          <w:szCs w:val="16"/>
        </w:rPr>
      </w:pPr>
      <w:r w:rsidRPr="00250206">
        <w:rPr>
          <w:rStyle w:val="FootnoteReference"/>
          <w:rFonts w:ascii="Arial" w:hAnsi="Arial" w:cs="Arial"/>
          <w:sz w:val="16"/>
          <w:szCs w:val="16"/>
        </w:rPr>
        <w:footnoteRef/>
      </w:r>
      <w:r w:rsidRPr="00250206">
        <w:rPr>
          <w:rFonts w:ascii="Arial" w:hAnsi="Arial" w:cs="Arial"/>
          <w:sz w:val="16"/>
          <w:szCs w:val="16"/>
        </w:rPr>
        <w:t xml:space="preserve"> </w:t>
      </w:r>
      <w:r w:rsidRPr="00250206">
        <w:rPr>
          <w:rFonts w:ascii="Arial" w:eastAsia="Times New Roman" w:hAnsi="Arial" w:cs="Arial"/>
          <w:color w:val="000000"/>
          <w:sz w:val="16"/>
          <w:szCs w:val="16"/>
        </w:rPr>
        <w:t xml:space="preserve">Includes genders other than male/female, as well as patients for whom a gender is not specified, and whose gender varies across visits over the time period. </w:t>
      </w:r>
    </w:p>
  </w:footnote>
  <w:footnote w:id="7">
    <w:p w14:paraId="253985A9" w14:textId="0AC23FD2" w:rsidR="003D4F94" w:rsidRPr="003D4F94" w:rsidRDefault="003D4F94" w:rsidP="006B4DDB">
      <w:pPr>
        <w:spacing w:after="0" w:line="240" w:lineRule="auto"/>
        <w:rPr>
          <w:rFonts w:ascii="Arial" w:eastAsia="Times New Roman" w:hAnsi="Arial" w:cs="Arial"/>
          <w:color w:val="000000"/>
          <w:sz w:val="16"/>
          <w:szCs w:val="16"/>
        </w:rPr>
      </w:pPr>
      <w:r w:rsidRPr="00250206">
        <w:rPr>
          <w:rStyle w:val="FootnoteReference"/>
          <w:rFonts w:ascii="Arial" w:hAnsi="Arial" w:cs="Arial"/>
          <w:sz w:val="16"/>
          <w:szCs w:val="16"/>
        </w:rPr>
        <w:footnoteRef/>
      </w:r>
      <w:r w:rsidRPr="00250206">
        <w:rPr>
          <w:rFonts w:ascii="Arial" w:hAnsi="Arial" w:cs="Arial"/>
          <w:sz w:val="16"/>
          <w:szCs w:val="16"/>
        </w:rPr>
        <w:t xml:space="preserve"> </w:t>
      </w:r>
      <w:r w:rsidRPr="00250206">
        <w:rPr>
          <w:rFonts w:ascii="Arial" w:eastAsia="Times New Roman" w:hAnsi="Arial" w:cs="Arial"/>
          <w:color w:val="000000"/>
          <w:sz w:val="16"/>
          <w:szCs w:val="16"/>
        </w:rPr>
        <w:t>Includes self-pay, health safety net, and liability coverage other than worker’s compensation for an injury event.</w:t>
      </w:r>
    </w:p>
  </w:footnote>
  <w:footnote w:id="8">
    <w:p w14:paraId="3EC3546A" w14:textId="77777777" w:rsidR="00E91231" w:rsidRPr="00CB37D4" w:rsidRDefault="00E91231" w:rsidP="00BE2AAE">
      <w:pPr>
        <w:pStyle w:val="FootnoteText"/>
        <w:rPr>
          <w:rFonts w:ascii="Arial" w:hAnsi="Arial" w:cs="Arial"/>
          <w:sz w:val="16"/>
          <w:szCs w:val="16"/>
        </w:rPr>
      </w:pPr>
      <w:r w:rsidRPr="00CB37D4">
        <w:rPr>
          <w:rStyle w:val="FootnoteReference"/>
          <w:rFonts w:ascii="Arial" w:hAnsi="Arial" w:cs="Arial"/>
          <w:sz w:val="16"/>
          <w:szCs w:val="16"/>
        </w:rPr>
        <w:footnoteRef/>
      </w:r>
      <w:r w:rsidRPr="00CB37D4">
        <w:rPr>
          <w:rFonts w:ascii="Arial" w:hAnsi="Arial" w:cs="Arial"/>
          <w:sz w:val="16"/>
          <w:szCs w:val="16"/>
        </w:rPr>
        <w:t xml:space="preserve"> For confidentiality, “Female” includes patients whose gender is other or unknown.</w:t>
      </w:r>
    </w:p>
  </w:footnote>
  <w:footnote w:id="9">
    <w:p w14:paraId="668A3CF9" w14:textId="77777777" w:rsidR="00E91231" w:rsidRPr="00CB37D4" w:rsidRDefault="00E91231" w:rsidP="00BE2AAE">
      <w:pPr>
        <w:pStyle w:val="FootnoteText"/>
        <w:rPr>
          <w:rFonts w:ascii="Arial" w:hAnsi="Arial" w:cs="Arial"/>
          <w:sz w:val="16"/>
          <w:szCs w:val="16"/>
        </w:rPr>
      </w:pPr>
      <w:r w:rsidRPr="00CB37D4">
        <w:rPr>
          <w:rStyle w:val="FootnoteReference"/>
          <w:rFonts w:ascii="Arial" w:hAnsi="Arial" w:cs="Arial"/>
          <w:sz w:val="16"/>
          <w:szCs w:val="16"/>
        </w:rPr>
        <w:footnoteRef/>
      </w:r>
      <w:r w:rsidRPr="00CB37D4">
        <w:rPr>
          <w:rFonts w:ascii="Arial" w:hAnsi="Arial" w:cs="Arial"/>
          <w:sz w:val="16"/>
          <w:szCs w:val="16"/>
        </w:rPr>
        <w:t xml:space="preserve"> “Other” is a choice for patients to select if they do not feel that their race/ethnicity is reflected in the list of choices.</w:t>
      </w:r>
    </w:p>
  </w:footnote>
  <w:footnote w:id="10">
    <w:p w14:paraId="60520DD2" w14:textId="77777777" w:rsidR="00E91231" w:rsidRPr="00CB37D4" w:rsidRDefault="00E91231" w:rsidP="00BE2AAE">
      <w:pPr>
        <w:pStyle w:val="FootnoteText"/>
        <w:rPr>
          <w:rFonts w:ascii="Arial" w:hAnsi="Arial" w:cs="Arial"/>
          <w:sz w:val="16"/>
          <w:szCs w:val="16"/>
        </w:rPr>
      </w:pPr>
      <w:r w:rsidRPr="00CB37D4">
        <w:rPr>
          <w:rStyle w:val="FootnoteReference"/>
          <w:rFonts w:ascii="Arial" w:hAnsi="Arial" w:cs="Arial"/>
          <w:sz w:val="16"/>
          <w:szCs w:val="16"/>
        </w:rPr>
        <w:footnoteRef/>
      </w:r>
      <w:r w:rsidRPr="00CB37D4">
        <w:rPr>
          <w:rFonts w:ascii="Arial" w:hAnsi="Arial" w:cs="Arial"/>
          <w:sz w:val="16"/>
          <w:szCs w:val="16"/>
        </w:rPr>
        <w:t xml:space="preserve"> Due to how Ethnicity data is pulled and the timing of when FY22 data was pulled, a discrepancy exists between the patient totals for Ethnicity and overall patients. </w:t>
      </w:r>
    </w:p>
  </w:footnote>
  <w:footnote w:id="11">
    <w:p w14:paraId="46E92AAC" w14:textId="0402A74F" w:rsidR="00E91231" w:rsidRDefault="00E91231" w:rsidP="00BE2AAE">
      <w:pPr>
        <w:pStyle w:val="FootnoteText"/>
      </w:pPr>
      <w:r w:rsidRPr="00CB37D4">
        <w:rPr>
          <w:rStyle w:val="FootnoteReference"/>
          <w:rFonts w:ascii="Arial" w:hAnsi="Arial" w:cs="Arial"/>
          <w:sz w:val="16"/>
          <w:szCs w:val="16"/>
        </w:rPr>
        <w:footnoteRef/>
      </w:r>
      <w:r w:rsidRPr="00CB37D4">
        <w:rPr>
          <w:rFonts w:ascii="Arial" w:hAnsi="Arial" w:cs="Arial"/>
          <w:sz w:val="16"/>
          <w:szCs w:val="16"/>
        </w:rPr>
        <w:t xml:space="preserve"> Includes self-pay, health safety net, and liability coverage other than worker’s comp for an injury event.</w:t>
      </w:r>
    </w:p>
  </w:footnote>
  <w:footnote w:id="12">
    <w:p w14:paraId="7A16EC36" w14:textId="77777777" w:rsidR="00E91231" w:rsidRPr="00F87B3D" w:rsidRDefault="00E91231" w:rsidP="00BE2AAE">
      <w:pPr>
        <w:pStyle w:val="FootnoteText"/>
        <w:rPr>
          <w:rFonts w:ascii="Arial" w:hAnsi="Arial" w:cs="Arial"/>
          <w:sz w:val="16"/>
          <w:szCs w:val="16"/>
        </w:rPr>
      </w:pPr>
      <w:r w:rsidRPr="00F87B3D">
        <w:rPr>
          <w:rStyle w:val="FootnoteReference"/>
          <w:rFonts w:ascii="Arial" w:hAnsi="Arial" w:cs="Arial"/>
          <w:sz w:val="16"/>
          <w:szCs w:val="16"/>
        </w:rPr>
        <w:footnoteRef/>
      </w:r>
      <w:r w:rsidRPr="00F87B3D">
        <w:rPr>
          <w:rFonts w:ascii="Arial" w:hAnsi="Arial" w:cs="Arial"/>
          <w:sz w:val="16"/>
          <w:szCs w:val="16"/>
        </w:rPr>
        <w:t xml:space="preserve"> For confidentiality, “Female” includes patients whose gender is other or unknown.</w:t>
      </w:r>
    </w:p>
  </w:footnote>
  <w:footnote w:id="13">
    <w:p w14:paraId="5C70CAC0" w14:textId="77777777" w:rsidR="00E91231" w:rsidRPr="00F87B3D" w:rsidRDefault="00E91231" w:rsidP="00BE2AAE">
      <w:pPr>
        <w:pStyle w:val="FootnoteText"/>
        <w:rPr>
          <w:rFonts w:ascii="Arial" w:hAnsi="Arial" w:cs="Arial"/>
          <w:sz w:val="16"/>
          <w:szCs w:val="16"/>
        </w:rPr>
      </w:pPr>
      <w:r w:rsidRPr="00F87B3D">
        <w:rPr>
          <w:rStyle w:val="FootnoteReference"/>
          <w:rFonts w:ascii="Arial" w:hAnsi="Arial" w:cs="Arial"/>
          <w:sz w:val="16"/>
          <w:szCs w:val="16"/>
        </w:rPr>
        <w:footnoteRef/>
      </w:r>
      <w:r w:rsidRPr="00F87B3D">
        <w:rPr>
          <w:rFonts w:ascii="Arial" w:hAnsi="Arial" w:cs="Arial"/>
          <w:sz w:val="16"/>
          <w:szCs w:val="16"/>
        </w:rPr>
        <w:t xml:space="preserve"> “Other” is a choice for patients to select if they do not feel that their race/ethnicity is reflected in the list of choices.</w:t>
      </w:r>
    </w:p>
  </w:footnote>
  <w:footnote w:id="14">
    <w:p w14:paraId="6E1F20C2" w14:textId="77777777" w:rsidR="00E91231" w:rsidRPr="00F87B3D" w:rsidRDefault="00E91231" w:rsidP="00BE2AAE">
      <w:pPr>
        <w:pStyle w:val="FootnoteText"/>
        <w:rPr>
          <w:rFonts w:ascii="Arial" w:hAnsi="Arial" w:cs="Arial"/>
          <w:sz w:val="16"/>
          <w:szCs w:val="16"/>
        </w:rPr>
      </w:pPr>
      <w:r w:rsidRPr="00F87B3D">
        <w:rPr>
          <w:rStyle w:val="FootnoteReference"/>
          <w:rFonts w:ascii="Arial" w:hAnsi="Arial" w:cs="Arial"/>
          <w:sz w:val="16"/>
          <w:szCs w:val="16"/>
        </w:rPr>
        <w:footnoteRef/>
      </w:r>
      <w:r w:rsidRPr="00F87B3D">
        <w:rPr>
          <w:rFonts w:ascii="Arial" w:hAnsi="Arial" w:cs="Arial"/>
          <w:sz w:val="16"/>
          <w:szCs w:val="16"/>
        </w:rPr>
        <w:t xml:space="preserve"> Includes self-pay, health safety net, and liability coverage other than worker’s compensation for an injury event.</w:t>
      </w:r>
    </w:p>
  </w:footnote>
  <w:footnote w:id="15">
    <w:p w14:paraId="1A9416FC" w14:textId="4F1849DC" w:rsidR="00E91231" w:rsidRPr="003C1B64" w:rsidRDefault="00E91231" w:rsidP="00051903">
      <w:pPr>
        <w:pStyle w:val="FootnoteText"/>
        <w:rPr>
          <w:rFonts w:ascii="Arial" w:hAnsi="Arial" w:cs="Arial"/>
          <w:sz w:val="16"/>
          <w:szCs w:val="16"/>
        </w:rPr>
      </w:pPr>
      <w:r w:rsidRPr="003C1B64">
        <w:rPr>
          <w:rStyle w:val="FootnoteReference"/>
          <w:rFonts w:ascii="Arial" w:hAnsi="Arial" w:cs="Arial"/>
          <w:sz w:val="16"/>
          <w:szCs w:val="16"/>
        </w:rPr>
        <w:footnoteRef/>
      </w:r>
      <w:r w:rsidRPr="003C1B64">
        <w:rPr>
          <w:rFonts w:ascii="Arial" w:hAnsi="Arial" w:cs="Arial"/>
          <w:sz w:val="16"/>
          <w:szCs w:val="16"/>
        </w:rPr>
        <w:t xml:space="preserve"> </w:t>
      </w:r>
      <w:hyperlink r:id="rId3" w:history="1">
        <w:r w:rsidR="00CC743F" w:rsidRPr="00F46598">
          <w:rPr>
            <w:rStyle w:val="Hyperlink"/>
            <w:rFonts w:ascii="Arial" w:hAnsi="Arial" w:cs="Arial"/>
            <w:i/>
            <w:iCs/>
            <w:color w:val="auto"/>
            <w:sz w:val="16"/>
            <w:szCs w:val="16"/>
            <w:u w:val="none"/>
          </w:rPr>
          <w:t>Plymouth, Massachusetts Population 2024,</w:t>
        </w:r>
      </w:hyperlink>
      <w:r w:rsidR="00CC743F" w:rsidRPr="00F46598">
        <w:rPr>
          <w:rFonts w:ascii="Arial" w:hAnsi="Arial" w:cs="Arial"/>
          <w:i/>
          <w:iCs/>
          <w:sz w:val="16"/>
          <w:szCs w:val="16"/>
        </w:rPr>
        <w:t xml:space="preserve"> </w:t>
      </w:r>
      <w:r w:rsidR="00CC743F" w:rsidRPr="00F46598">
        <w:rPr>
          <w:rFonts w:ascii="Arial" w:hAnsi="Arial" w:cs="Arial"/>
          <w:sz w:val="16"/>
          <w:szCs w:val="16"/>
        </w:rPr>
        <w:t xml:space="preserve">World </w:t>
      </w:r>
      <w:r w:rsidR="00CC743F" w:rsidRPr="003C1B64">
        <w:rPr>
          <w:rFonts w:ascii="Arial" w:hAnsi="Arial" w:cs="Arial"/>
          <w:sz w:val="16"/>
          <w:szCs w:val="16"/>
        </w:rPr>
        <w:t xml:space="preserve">Population Review, </w:t>
      </w:r>
      <w:hyperlink r:id="rId4" w:history="1">
        <w:r w:rsidR="00CC743F" w:rsidRPr="003C1B64">
          <w:rPr>
            <w:rStyle w:val="Hyperlink"/>
            <w:rFonts w:ascii="Arial" w:hAnsi="Arial" w:cs="Arial"/>
            <w:sz w:val="16"/>
            <w:szCs w:val="16"/>
          </w:rPr>
          <w:t>https://worldpopulationreview.com/us-cities/Plymouth-ma-population</w:t>
        </w:r>
      </w:hyperlink>
      <w:r w:rsidRPr="003C1B64">
        <w:rPr>
          <w:rFonts w:ascii="Arial" w:hAnsi="Arial" w:cs="Arial"/>
          <w:sz w:val="16"/>
          <w:szCs w:val="16"/>
        </w:rPr>
        <w:t xml:space="preserve"> </w:t>
      </w:r>
      <w:r w:rsidR="00CC743F" w:rsidRPr="003C1B64">
        <w:rPr>
          <w:rFonts w:ascii="Arial" w:hAnsi="Arial" w:cs="Arial"/>
          <w:sz w:val="16"/>
          <w:szCs w:val="16"/>
        </w:rPr>
        <w:t>(last accessed July 23, 2024).</w:t>
      </w:r>
    </w:p>
  </w:footnote>
  <w:footnote w:id="16">
    <w:p w14:paraId="3E4294B8" w14:textId="77777777" w:rsidR="00E91231" w:rsidRPr="003C1B64" w:rsidRDefault="00E91231" w:rsidP="00051903">
      <w:pPr>
        <w:pStyle w:val="FootnoteText"/>
        <w:rPr>
          <w:rFonts w:ascii="Arial" w:hAnsi="Arial" w:cs="Arial"/>
          <w:sz w:val="16"/>
          <w:szCs w:val="16"/>
        </w:rPr>
      </w:pPr>
      <w:r w:rsidRPr="003C1B64">
        <w:rPr>
          <w:rStyle w:val="FootnoteReference"/>
          <w:rFonts w:ascii="Arial" w:hAnsi="Arial" w:cs="Arial"/>
          <w:sz w:val="16"/>
          <w:szCs w:val="16"/>
        </w:rPr>
        <w:footnoteRef/>
      </w:r>
      <w:r w:rsidRPr="003C1B64">
        <w:rPr>
          <w:rFonts w:ascii="Arial" w:hAnsi="Arial" w:cs="Arial"/>
          <w:sz w:val="16"/>
          <w:szCs w:val="16"/>
        </w:rPr>
        <w:t xml:space="preserve"> High acuity case have remained stable, with a range of 1.3% and 1.7% between FY2014 and FY2023. </w:t>
      </w:r>
    </w:p>
  </w:footnote>
  <w:footnote w:id="17">
    <w:p w14:paraId="6E1782CB" w14:textId="0E7D2EE2" w:rsidR="00541842" w:rsidRDefault="00541842">
      <w:pPr>
        <w:pStyle w:val="FootnoteText"/>
      </w:pPr>
      <w:r w:rsidRPr="003C1B64">
        <w:rPr>
          <w:rStyle w:val="FootnoteReference"/>
          <w:rFonts w:ascii="Arial" w:hAnsi="Arial" w:cs="Arial"/>
          <w:sz w:val="16"/>
          <w:szCs w:val="16"/>
        </w:rPr>
        <w:footnoteRef/>
      </w:r>
      <w:r w:rsidRPr="003C1B64">
        <w:rPr>
          <w:rFonts w:ascii="Arial" w:hAnsi="Arial" w:cs="Arial"/>
          <w:sz w:val="16"/>
          <w:szCs w:val="16"/>
        </w:rPr>
        <w:t xml:space="preserve"> </w:t>
      </w:r>
      <w:r w:rsidRPr="003C1B64">
        <w:rPr>
          <w:rStyle w:val="cf01"/>
          <w:rFonts w:ascii="Arial" w:hAnsi="Arial" w:cs="Arial"/>
          <w:sz w:val="16"/>
          <w:szCs w:val="16"/>
        </w:rPr>
        <w:t>An eloped patient is one who had care initiated in the ED</w:t>
      </w:r>
      <w:r w:rsidR="00124E82">
        <w:rPr>
          <w:rStyle w:val="cf01"/>
          <w:rFonts w:ascii="Arial" w:hAnsi="Arial" w:cs="Arial"/>
          <w:sz w:val="16"/>
          <w:szCs w:val="16"/>
        </w:rPr>
        <w:t xml:space="preserve"> or </w:t>
      </w:r>
      <w:r w:rsidRPr="003C1B64">
        <w:rPr>
          <w:rStyle w:val="cf01"/>
          <w:rFonts w:ascii="Arial" w:hAnsi="Arial" w:cs="Arial"/>
          <w:sz w:val="16"/>
          <w:szCs w:val="16"/>
        </w:rPr>
        <w:t xml:space="preserve">a Medical Screening exam </w:t>
      </w:r>
      <w:r w:rsidR="00124E82">
        <w:rPr>
          <w:rStyle w:val="cf01"/>
          <w:rFonts w:ascii="Arial" w:hAnsi="Arial" w:cs="Arial"/>
          <w:sz w:val="16"/>
          <w:szCs w:val="16"/>
        </w:rPr>
        <w:t xml:space="preserve">was </w:t>
      </w:r>
      <w:r w:rsidRPr="003C1B64">
        <w:rPr>
          <w:rStyle w:val="cf01"/>
          <w:rFonts w:ascii="Arial" w:hAnsi="Arial" w:cs="Arial"/>
          <w:sz w:val="16"/>
          <w:szCs w:val="16"/>
        </w:rPr>
        <w:t>performed</w:t>
      </w:r>
      <w:r w:rsidR="00124E82">
        <w:rPr>
          <w:rStyle w:val="cf01"/>
          <w:rFonts w:ascii="Arial" w:hAnsi="Arial" w:cs="Arial"/>
          <w:sz w:val="16"/>
          <w:szCs w:val="16"/>
        </w:rPr>
        <w:t>,</w:t>
      </w:r>
      <w:r w:rsidRPr="003C1B64">
        <w:rPr>
          <w:rStyle w:val="cf01"/>
          <w:rFonts w:ascii="Arial" w:hAnsi="Arial" w:cs="Arial"/>
          <w:sz w:val="16"/>
          <w:szCs w:val="16"/>
        </w:rPr>
        <w:t xml:space="preserve"> but left prior to treatment or discharge by provider.</w:t>
      </w:r>
    </w:p>
  </w:footnote>
  <w:footnote w:id="18">
    <w:p w14:paraId="1B502226" w14:textId="4FAA904C" w:rsidR="00E91231" w:rsidRPr="003C1B64" w:rsidRDefault="00E91231" w:rsidP="00051903">
      <w:pPr>
        <w:pStyle w:val="FootnoteText"/>
        <w:rPr>
          <w:rFonts w:ascii="Arial" w:hAnsi="Arial" w:cs="Arial"/>
          <w:sz w:val="16"/>
          <w:szCs w:val="16"/>
        </w:rPr>
      </w:pPr>
      <w:r w:rsidRPr="003C1B64">
        <w:rPr>
          <w:rStyle w:val="FootnoteReference"/>
          <w:rFonts w:ascii="Arial" w:hAnsi="Arial" w:cs="Arial"/>
          <w:sz w:val="16"/>
          <w:szCs w:val="16"/>
        </w:rPr>
        <w:footnoteRef/>
      </w:r>
      <w:r w:rsidRPr="003C1B64">
        <w:rPr>
          <w:rFonts w:ascii="Arial" w:hAnsi="Arial" w:cs="Arial"/>
          <w:sz w:val="16"/>
          <w:szCs w:val="16"/>
        </w:rPr>
        <w:t xml:space="preserve"> </w:t>
      </w:r>
      <w:hyperlink r:id="rId5" w:history="1">
        <w:r w:rsidR="003C763C" w:rsidRPr="00BE7DE0">
          <w:rPr>
            <w:rStyle w:val="Hyperlink"/>
            <w:rFonts w:ascii="Arial" w:hAnsi="Arial" w:cs="Arial"/>
            <w:color w:val="auto"/>
            <w:sz w:val="16"/>
            <w:szCs w:val="16"/>
            <w:u w:val="none"/>
          </w:rPr>
          <w:t>Massachusetts Population Projections, UMass Donahue Institute</w:t>
        </w:r>
      </w:hyperlink>
      <w:r w:rsidR="003C763C" w:rsidRPr="00BE7DE0">
        <w:rPr>
          <w:rFonts w:ascii="Arial" w:hAnsi="Arial" w:cs="Arial"/>
          <w:sz w:val="16"/>
          <w:szCs w:val="16"/>
        </w:rPr>
        <w:t xml:space="preserve">, </w:t>
      </w:r>
      <w:hyperlink r:id="rId6" w:history="1">
        <w:r w:rsidR="003C763C" w:rsidRPr="003C1B64">
          <w:rPr>
            <w:rStyle w:val="Hyperlink"/>
            <w:rFonts w:ascii="Arial" w:hAnsi="Arial" w:cs="Arial"/>
            <w:sz w:val="16"/>
            <w:szCs w:val="16"/>
          </w:rPr>
          <w:t>https://donahue.umass.edu/business-groups/economic-public-policy-research/massachusetts-population-estimates-program/population-projections</w:t>
        </w:r>
      </w:hyperlink>
      <w:r w:rsidR="003C763C" w:rsidRPr="003C1B64">
        <w:rPr>
          <w:rStyle w:val="Hyperlink"/>
          <w:rFonts w:ascii="Arial" w:hAnsi="Arial" w:cs="Arial"/>
          <w:sz w:val="16"/>
          <w:szCs w:val="16"/>
        </w:rPr>
        <w:t xml:space="preserve"> (last accessed July 23, 2024).</w:t>
      </w:r>
    </w:p>
  </w:footnote>
  <w:footnote w:id="19">
    <w:p w14:paraId="0543F4D4" w14:textId="0AD0B5D0" w:rsidR="00E91231" w:rsidRPr="00B52EB8" w:rsidRDefault="00E91231" w:rsidP="00B036C1">
      <w:pPr>
        <w:pStyle w:val="Default"/>
        <w:rPr>
          <w:sz w:val="16"/>
          <w:szCs w:val="16"/>
        </w:rPr>
      </w:pPr>
      <w:r w:rsidRPr="003C1B64">
        <w:rPr>
          <w:rStyle w:val="FootnoteReference"/>
          <w:sz w:val="16"/>
          <w:szCs w:val="16"/>
        </w:rPr>
        <w:footnoteRef/>
      </w:r>
      <w:r w:rsidRPr="003C1B64">
        <w:rPr>
          <w:sz w:val="16"/>
          <w:szCs w:val="16"/>
        </w:rPr>
        <w:t xml:space="preserve"> </w:t>
      </w:r>
      <w:r w:rsidR="00C11C6F" w:rsidRPr="003C1B64">
        <w:rPr>
          <w:sz w:val="16"/>
          <w:szCs w:val="16"/>
        </w:rPr>
        <w:t xml:space="preserve">Jennifer L. Wiler et al., </w:t>
      </w:r>
      <w:r w:rsidRPr="003C1B64">
        <w:rPr>
          <w:i/>
          <w:iCs/>
          <w:sz w:val="16"/>
          <w:szCs w:val="16"/>
        </w:rPr>
        <w:t>Care of the Psychiatric Patient in the Emergency Department –A Review of the Literature</w:t>
      </w:r>
      <w:r w:rsidR="00C11C6F" w:rsidRPr="003C1B64">
        <w:rPr>
          <w:sz w:val="16"/>
          <w:szCs w:val="16"/>
        </w:rPr>
        <w:t>, American College of Emergency Physicians (Oct. 2014).</w:t>
      </w:r>
      <w:r>
        <w:rPr>
          <w:sz w:val="16"/>
          <w:szCs w:val="16"/>
        </w:rPr>
        <w:t xml:space="preserve"> </w:t>
      </w:r>
    </w:p>
  </w:footnote>
  <w:footnote w:id="20">
    <w:p w14:paraId="52110B15" w14:textId="4097F53F" w:rsidR="00E91231" w:rsidRPr="003C1B64" w:rsidRDefault="00E91231" w:rsidP="005707AC">
      <w:pPr>
        <w:autoSpaceDE w:val="0"/>
        <w:autoSpaceDN w:val="0"/>
        <w:adjustRightInd w:val="0"/>
        <w:spacing w:after="0" w:line="240" w:lineRule="auto"/>
        <w:rPr>
          <w:rFonts w:ascii="Arial" w:eastAsia="Times New Roman" w:hAnsi="Arial" w:cs="Arial"/>
          <w:sz w:val="16"/>
          <w:szCs w:val="16"/>
        </w:rPr>
      </w:pPr>
      <w:r w:rsidRPr="003C1B64">
        <w:rPr>
          <w:rStyle w:val="FootnoteReference"/>
          <w:rFonts w:ascii="Arial" w:hAnsi="Arial" w:cs="Arial"/>
          <w:sz w:val="16"/>
          <w:szCs w:val="16"/>
        </w:rPr>
        <w:footnoteRef/>
      </w:r>
      <w:r w:rsidRPr="003C1B64">
        <w:rPr>
          <w:rFonts w:ascii="Arial" w:hAnsi="Arial" w:cs="Arial"/>
          <w:sz w:val="16"/>
          <w:szCs w:val="16"/>
        </w:rPr>
        <w:t xml:space="preserve"> </w:t>
      </w:r>
      <w:r w:rsidRPr="003C1B64">
        <w:rPr>
          <w:rFonts w:ascii="Arial" w:eastAsia="Times New Roman" w:hAnsi="Arial" w:cs="Arial"/>
          <w:sz w:val="16"/>
          <w:szCs w:val="16"/>
        </w:rPr>
        <w:t xml:space="preserve">Oing Huang </w:t>
      </w:r>
      <w:r w:rsidRPr="003C1B64">
        <w:rPr>
          <w:rFonts w:ascii="Arial" w:eastAsia="Times New Roman" w:hAnsi="Arial" w:cs="Arial"/>
          <w:i/>
          <w:iCs/>
          <w:sz w:val="16"/>
          <w:szCs w:val="16"/>
        </w:rPr>
        <w:t xml:space="preserve">et </w:t>
      </w:r>
      <w:r w:rsidRPr="003C1B64">
        <w:rPr>
          <w:rFonts w:ascii="Arial" w:eastAsia="Times New Roman" w:hAnsi="Arial" w:cs="Arial"/>
          <w:sz w:val="16"/>
          <w:szCs w:val="16"/>
        </w:rPr>
        <w:t xml:space="preserve">al., </w:t>
      </w:r>
      <w:r w:rsidRPr="003C1B64">
        <w:rPr>
          <w:rFonts w:ascii="Arial" w:eastAsia="Times New Roman" w:hAnsi="Arial" w:cs="Arial"/>
          <w:i/>
          <w:iCs/>
          <w:sz w:val="16"/>
          <w:szCs w:val="16"/>
        </w:rPr>
        <w:t xml:space="preserve">The impact of delays to admission from the emergency department on inpatient outcomes, </w:t>
      </w:r>
      <w:r w:rsidRPr="003C1B64">
        <w:rPr>
          <w:rFonts w:ascii="Arial" w:eastAsia="Times New Roman" w:hAnsi="Arial" w:cs="Arial"/>
          <w:sz w:val="16"/>
          <w:szCs w:val="16"/>
        </w:rPr>
        <w:t>10 BMC EMERGENCY MEDICINE 16 (2010).</w:t>
      </w:r>
    </w:p>
  </w:footnote>
  <w:footnote w:id="21">
    <w:p w14:paraId="3D56CB35" w14:textId="34D34307" w:rsidR="00F91C1F" w:rsidRPr="003C1B64" w:rsidRDefault="00E91231" w:rsidP="00BA715D">
      <w:pPr>
        <w:pStyle w:val="FootnoteText"/>
        <w:rPr>
          <w:rFonts w:ascii="Arial" w:hAnsi="Arial" w:cs="Arial"/>
          <w:sz w:val="16"/>
          <w:szCs w:val="16"/>
        </w:rPr>
      </w:pPr>
      <w:r w:rsidRPr="003C1B64">
        <w:rPr>
          <w:rStyle w:val="FootnoteReference"/>
          <w:rFonts w:ascii="Arial" w:hAnsi="Arial" w:cs="Arial"/>
          <w:sz w:val="16"/>
          <w:szCs w:val="16"/>
        </w:rPr>
        <w:footnoteRef/>
      </w:r>
      <w:r w:rsidRPr="003C1B64">
        <w:rPr>
          <w:rFonts w:ascii="Arial" w:hAnsi="Arial" w:cs="Arial"/>
          <w:sz w:val="16"/>
          <w:szCs w:val="16"/>
        </w:rPr>
        <w:t xml:space="preserve"> </w:t>
      </w:r>
      <w:r w:rsidR="00F91C1F" w:rsidRPr="003C1B64">
        <w:rPr>
          <w:rFonts w:ascii="Arial" w:hAnsi="Arial" w:cs="Arial"/>
          <w:sz w:val="16"/>
          <w:szCs w:val="16"/>
        </w:rPr>
        <w:t xml:space="preserve">The Hospital’s Code Help Policy </w:t>
      </w:r>
      <w:r w:rsidR="00BA715D" w:rsidRPr="003C1B64">
        <w:rPr>
          <w:rFonts w:ascii="Arial" w:hAnsi="Arial" w:cs="Arial"/>
          <w:sz w:val="16"/>
          <w:szCs w:val="16"/>
        </w:rPr>
        <w:t>set</w:t>
      </w:r>
      <w:r w:rsidR="003C1B64" w:rsidRPr="003C1B64">
        <w:rPr>
          <w:rFonts w:ascii="Arial" w:hAnsi="Arial" w:cs="Arial"/>
          <w:sz w:val="16"/>
          <w:szCs w:val="16"/>
        </w:rPr>
        <w:t xml:space="preserve">s </w:t>
      </w:r>
      <w:r w:rsidR="00BA715D" w:rsidRPr="003C1B64">
        <w:rPr>
          <w:rFonts w:ascii="Arial" w:hAnsi="Arial" w:cs="Arial"/>
          <w:sz w:val="16"/>
          <w:szCs w:val="16"/>
        </w:rPr>
        <w:t>forth the</w:t>
      </w:r>
      <w:r w:rsidR="00F91C1F" w:rsidRPr="003C1B64">
        <w:rPr>
          <w:rFonts w:ascii="Arial" w:hAnsi="Arial" w:cs="Arial"/>
          <w:sz w:val="16"/>
          <w:szCs w:val="16"/>
        </w:rPr>
        <w:t xml:space="preserve"> following triggers for </w:t>
      </w:r>
      <w:r w:rsidR="00BA715D" w:rsidRPr="003C1B64">
        <w:rPr>
          <w:rFonts w:ascii="Arial" w:hAnsi="Arial" w:cs="Arial"/>
          <w:sz w:val="16"/>
          <w:szCs w:val="16"/>
        </w:rPr>
        <w:t xml:space="preserve">activating </w:t>
      </w:r>
      <w:r w:rsidR="00F91C1F" w:rsidRPr="003C1B64">
        <w:rPr>
          <w:rFonts w:ascii="Arial" w:hAnsi="Arial" w:cs="Arial"/>
          <w:sz w:val="16"/>
          <w:szCs w:val="16"/>
        </w:rPr>
        <w:t>Code Help:</w:t>
      </w:r>
      <w:r w:rsidR="00BA715D" w:rsidRPr="003C1B64">
        <w:rPr>
          <w:rFonts w:ascii="Arial" w:hAnsi="Arial" w:cs="Arial"/>
          <w:sz w:val="16"/>
          <w:szCs w:val="16"/>
        </w:rPr>
        <w:t xml:space="preserve"> </w:t>
      </w:r>
      <w:r w:rsidR="00F91C1F" w:rsidRPr="003C1B64">
        <w:rPr>
          <w:rFonts w:ascii="Arial" w:hAnsi="Arial" w:cs="Arial"/>
          <w:sz w:val="16"/>
          <w:szCs w:val="16"/>
        </w:rPr>
        <w:t>Total number/volume of patients in the ED or the acuity of the patients, maximum licensed treatment beds are reached</w:t>
      </w:r>
      <w:r w:rsidR="00BA715D" w:rsidRPr="003C1B64">
        <w:rPr>
          <w:rFonts w:ascii="Arial" w:hAnsi="Arial" w:cs="Arial"/>
          <w:sz w:val="16"/>
          <w:szCs w:val="16"/>
        </w:rPr>
        <w:t xml:space="preserve">; </w:t>
      </w:r>
      <w:r w:rsidR="00F91C1F" w:rsidRPr="003C1B64">
        <w:rPr>
          <w:rFonts w:ascii="Arial" w:hAnsi="Arial" w:cs="Arial"/>
          <w:sz w:val="16"/>
          <w:szCs w:val="16"/>
        </w:rPr>
        <w:t>Inability to accommodate patient needs with current resources, staff and/or equipment; the ED is unable to care for existing patients</w:t>
      </w:r>
      <w:r w:rsidR="00BA715D" w:rsidRPr="003C1B64">
        <w:rPr>
          <w:rFonts w:ascii="Arial" w:hAnsi="Arial" w:cs="Arial"/>
          <w:sz w:val="16"/>
          <w:szCs w:val="16"/>
        </w:rPr>
        <w:t xml:space="preserve">; </w:t>
      </w:r>
      <w:r w:rsidR="00F91C1F" w:rsidRPr="003C1B64">
        <w:rPr>
          <w:rFonts w:ascii="Arial" w:hAnsi="Arial" w:cs="Arial"/>
          <w:sz w:val="16"/>
          <w:szCs w:val="16"/>
        </w:rPr>
        <w:t>ED waiting room volume and duration of wait time, i.e., Priority 3 patients waiting &gt;2 hours and/or the ED is unable to accept any new patients into the treatment area</w:t>
      </w:r>
      <w:r w:rsidR="00BA715D" w:rsidRPr="003C1B64">
        <w:rPr>
          <w:rFonts w:ascii="Arial" w:hAnsi="Arial" w:cs="Arial"/>
          <w:sz w:val="16"/>
          <w:szCs w:val="16"/>
        </w:rPr>
        <w:t xml:space="preserve">; </w:t>
      </w:r>
      <w:r w:rsidR="00F91C1F" w:rsidRPr="003C1B64">
        <w:rPr>
          <w:rFonts w:ascii="Arial" w:hAnsi="Arial" w:cs="Arial"/>
          <w:sz w:val="16"/>
          <w:szCs w:val="16"/>
        </w:rPr>
        <w:t>Inpatients holding in the ED with all inpatient locations full</w:t>
      </w:r>
      <w:r w:rsidR="00BA715D" w:rsidRPr="003C1B64">
        <w:rPr>
          <w:rFonts w:ascii="Arial" w:hAnsi="Arial" w:cs="Arial"/>
          <w:sz w:val="16"/>
          <w:szCs w:val="16"/>
        </w:rPr>
        <w:t xml:space="preserve">; and/or </w:t>
      </w:r>
      <w:r w:rsidR="00F91C1F" w:rsidRPr="003C1B64">
        <w:rPr>
          <w:rFonts w:ascii="Arial" w:hAnsi="Arial" w:cs="Arial"/>
          <w:sz w:val="16"/>
          <w:szCs w:val="16"/>
        </w:rPr>
        <w:t>Inability to manage ambulance volume.</w:t>
      </w:r>
      <w:r w:rsidR="00BA715D" w:rsidRPr="003C1B64">
        <w:rPr>
          <w:rFonts w:ascii="Arial" w:hAnsi="Arial" w:cs="Arial"/>
          <w:sz w:val="16"/>
          <w:szCs w:val="16"/>
        </w:rPr>
        <w:t xml:space="preserve"> </w:t>
      </w:r>
    </w:p>
    <w:p w14:paraId="7EDFBEB9" w14:textId="77777777" w:rsidR="00F91C1F" w:rsidRDefault="00F91C1F">
      <w:pPr>
        <w:pStyle w:val="FootnoteText"/>
      </w:pPr>
    </w:p>
  </w:footnote>
  <w:footnote w:id="22">
    <w:p w14:paraId="7331A5D0" w14:textId="3CF14EE2" w:rsidR="00E91231" w:rsidRPr="00683548" w:rsidRDefault="00E91231" w:rsidP="00BE2AAE">
      <w:pPr>
        <w:pStyle w:val="FootnoteText"/>
        <w:rPr>
          <w:rFonts w:ascii="Arial" w:hAnsi="Arial" w:cs="Arial"/>
          <w:sz w:val="16"/>
          <w:szCs w:val="16"/>
        </w:rPr>
      </w:pPr>
      <w:r w:rsidRPr="00683548">
        <w:rPr>
          <w:rStyle w:val="FootnoteReference"/>
          <w:rFonts w:ascii="Arial" w:hAnsi="Arial" w:cs="Arial"/>
          <w:sz w:val="16"/>
          <w:szCs w:val="16"/>
        </w:rPr>
        <w:footnoteRef/>
      </w:r>
      <w:r w:rsidRPr="00683548">
        <w:rPr>
          <w:rFonts w:ascii="Arial" w:hAnsi="Arial" w:cs="Arial"/>
          <w:sz w:val="16"/>
          <w:szCs w:val="16"/>
        </w:rPr>
        <w:t xml:space="preserve"> </w:t>
      </w:r>
      <w:r w:rsidR="00A438AC" w:rsidRPr="00683548">
        <w:rPr>
          <w:rFonts w:ascii="Arial" w:hAnsi="Arial" w:cs="Arial"/>
          <w:sz w:val="16"/>
          <w:szCs w:val="16"/>
        </w:rPr>
        <w:t xml:space="preserve">Marina Sartini et al., </w:t>
      </w:r>
      <w:hyperlink r:id="rId7" w:history="1">
        <w:r w:rsidRPr="002A38D5">
          <w:rPr>
            <w:rStyle w:val="Hyperlink"/>
            <w:rFonts w:ascii="Arial" w:eastAsia="Times New Roman" w:hAnsi="Arial" w:cs="Arial"/>
            <w:i/>
            <w:iCs/>
            <w:color w:val="auto"/>
            <w:sz w:val="16"/>
            <w:szCs w:val="16"/>
            <w:u w:val="none"/>
          </w:rPr>
          <w:t>Overcrowding in Emergency Department: Causes Consequences, and Solutions—A Narrative Review</w:t>
        </w:r>
      </w:hyperlink>
      <w:r w:rsidR="00A438AC" w:rsidRPr="002A38D5">
        <w:rPr>
          <w:rFonts w:ascii="Arial" w:eastAsia="Times New Roman" w:hAnsi="Arial" w:cs="Arial"/>
          <w:sz w:val="16"/>
          <w:szCs w:val="16"/>
        </w:rPr>
        <w:t xml:space="preserve">, </w:t>
      </w:r>
      <w:r w:rsidR="00A438AC" w:rsidRPr="00683548">
        <w:rPr>
          <w:rFonts w:ascii="Arial" w:eastAsia="Times New Roman" w:hAnsi="Arial" w:cs="Arial"/>
          <w:sz w:val="16"/>
          <w:szCs w:val="16"/>
        </w:rPr>
        <w:t>Healthcare (Basel)</w:t>
      </w:r>
      <w:r w:rsidRPr="00683548">
        <w:rPr>
          <w:rFonts w:ascii="Arial" w:hAnsi="Arial" w:cs="Arial"/>
          <w:i/>
          <w:iCs/>
          <w:sz w:val="16"/>
          <w:szCs w:val="16"/>
        </w:rPr>
        <w:t xml:space="preserve"> </w:t>
      </w:r>
      <w:hyperlink r:id="rId8" w:history="1">
        <w:r w:rsidRPr="00683548">
          <w:rPr>
            <w:rStyle w:val="Hyperlink"/>
            <w:rFonts w:ascii="Arial" w:hAnsi="Arial" w:cs="Arial"/>
            <w:sz w:val="16"/>
            <w:szCs w:val="16"/>
          </w:rPr>
          <w:t>https://www.ncbi.nlm.nih.gov/pmc/articles/PMC9498666/</w:t>
        </w:r>
      </w:hyperlink>
      <w:r w:rsidRPr="00683548">
        <w:rPr>
          <w:rFonts w:ascii="Arial" w:hAnsi="Arial" w:cs="Arial"/>
          <w:sz w:val="16"/>
          <w:szCs w:val="16"/>
        </w:rPr>
        <w:t xml:space="preserve"> </w:t>
      </w:r>
      <w:r w:rsidR="00A438AC" w:rsidRPr="00683548">
        <w:rPr>
          <w:rFonts w:ascii="Arial" w:hAnsi="Arial" w:cs="Arial"/>
          <w:sz w:val="16"/>
          <w:szCs w:val="16"/>
        </w:rPr>
        <w:t>(Aug. 25, 2022).</w:t>
      </w:r>
    </w:p>
  </w:footnote>
  <w:footnote w:id="23">
    <w:p w14:paraId="52B31CB0" w14:textId="30875D24" w:rsidR="00E91231" w:rsidRPr="00683548" w:rsidRDefault="00E91231" w:rsidP="00BE2AAE">
      <w:pPr>
        <w:pStyle w:val="FootnoteText"/>
        <w:rPr>
          <w:rFonts w:ascii="Arial" w:hAnsi="Arial" w:cs="Arial"/>
          <w:sz w:val="16"/>
          <w:szCs w:val="16"/>
        </w:rPr>
      </w:pPr>
      <w:r w:rsidRPr="00683548">
        <w:rPr>
          <w:rStyle w:val="FootnoteReference"/>
          <w:rFonts w:ascii="Arial" w:hAnsi="Arial" w:cs="Arial"/>
          <w:sz w:val="16"/>
          <w:szCs w:val="16"/>
        </w:rPr>
        <w:footnoteRef/>
      </w:r>
      <w:r w:rsidRPr="00683548">
        <w:rPr>
          <w:rFonts w:ascii="Arial" w:hAnsi="Arial" w:cs="Arial"/>
          <w:sz w:val="16"/>
          <w:szCs w:val="16"/>
        </w:rPr>
        <w:t xml:space="preserve"> </w:t>
      </w:r>
      <w:r w:rsidR="009F52C9" w:rsidRPr="00683548">
        <w:rPr>
          <w:rFonts w:ascii="Arial" w:hAnsi="Arial" w:cs="Arial"/>
          <w:i/>
          <w:iCs/>
          <w:sz w:val="16"/>
          <w:szCs w:val="16"/>
        </w:rPr>
        <w:t>Id.</w:t>
      </w:r>
      <w:r w:rsidRPr="00683548">
        <w:rPr>
          <w:rFonts w:ascii="Arial" w:hAnsi="Arial" w:cs="Arial"/>
          <w:sz w:val="16"/>
          <w:szCs w:val="16"/>
        </w:rPr>
        <w:t xml:space="preserve"> </w:t>
      </w:r>
    </w:p>
  </w:footnote>
  <w:footnote w:id="24">
    <w:p w14:paraId="3C607D28" w14:textId="492A613B" w:rsidR="00E91231" w:rsidRPr="00683548" w:rsidRDefault="00E91231" w:rsidP="00BE2AAE">
      <w:pPr>
        <w:autoSpaceDE w:val="0"/>
        <w:autoSpaceDN w:val="0"/>
        <w:adjustRightInd w:val="0"/>
        <w:spacing w:after="0" w:line="240" w:lineRule="auto"/>
        <w:rPr>
          <w:rFonts w:ascii="Arial" w:eastAsia="Times New Roman" w:hAnsi="Arial" w:cs="Arial"/>
          <w:sz w:val="16"/>
          <w:szCs w:val="16"/>
        </w:rPr>
      </w:pPr>
      <w:r w:rsidRPr="00683548">
        <w:rPr>
          <w:rStyle w:val="FootnoteReference"/>
          <w:rFonts w:ascii="Arial" w:hAnsi="Arial" w:cs="Arial"/>
          <w:sz w:val="16"/>
          <w:szCs w:val="16"/>
        </w:rPr>
        <w:footnoteRef/>
      </w:r>
      <w:r w:rsidRPr="00683548">
        <w:rPr>
          <w:rFonts w:ascii="Arial" w:hAnsi="Arial" w:cs="Arial"/>
          <w:sz w:val="16"/>
          <w:szCs w:val="16"/>
        </w:rPr>
        <w:t xml:space="preserve"> </w:t>
      </w:r>
      <w:r w:rsidR="00A438AC" w:rsidRPr="00683548">
        <w:rPr>
          <w:rFonts w:ascii="Arial" w:hAnsi="Arial" w:cs="Arial"/>
          <w:sz w:val="16"/>
          <w:szCs w:val="16"/>
        </w:rPr>
        <w:t xml:space="preserve">Ula Hwang et al., </w:t>
      </w:r>
      <w:r w:rsidRPr="00683548">
        <w:rPr>
          <w:rFonts w:ascii="Arial" w:eastAsia="Times New Roman" w:hAnsi="Arial" w:cs="Arial"/>
          <w:i/>
          <w:iCs/>
          <w:sz w:val="16"/>
          <w:szCs w:val="16"/>
        </w:rPr>
        <w:t>Emergency Department Crowding and Decreased Quality of Pain Care</w:t>
      </w:r>
      <w:r w:rsidR="00A438AC" w:rsidRPr="00683548">
        <w:rPr>
          <w:rFonts w:ascii="Arial" w:eastAsia="Times New Roman" w:hAnsi="Arial" w:cs="Arial"/>
          <w:sz w:val="16"/>
          <w:szCs w:val="16"/>
        </w:rPr>
        <w:t>, Academic Emergency Medicine,</w:t>
      </w:r>
      <w:r w:rsidRPr="00683548">
        <w:rPr>
          <w:rFonts w:ascii="Arial" w:hAnsi="Arial" w:cs="Arial"/>
          <w:i/>
          <w:iCs/>
          <w:sz w:val="16"/>
          <w:szCs w:val="16"/>
        </w:rPr>
        <w:t xml:space="preserve"> </w:t>
      </w:r>
    </w:p>
  </w:footnote>
  <w:footnote w:id="25">
    <w:p w14:paraId="5CAE2C9D" w14:textId="51C1821C" w:rsidR="00E91231" w:rsidRPr="00683548" w:rsidRDefault="00E91231" w:rsidP="00BE2AAE">
      <w:pPr>
        <w:pStyle w:val="FootnoteText"/>
        <w:rPr>
          <w:rFonts w:ascii="Arial" w:hAnsi="Arial" w:cs="Arial"/>
          <w:sz w:val="16"/>
          <w:szCs w:val="16"/>
          <w:lang w:val="es-MX"/>
        </w:rPr>
      </w:pPr>
      <w:r w:rsidRPr="00683548">
        <w:rPr>
          <w:rStyle w:val="FootnoteReference"/>
          <w:rFonts w:ascii="Arial" w:hAnsi="Arial" w:cs="Arial"/>
          <w:sz w:val="16"/>
          <w:szCs w:val="16"/>
        </w:rPr>
        <w:footnoteRef/>
      </w:r>
      <w:r w:rsidRPr="00683548">
        <w:rPr>
          <w:rFonts w:ascii="Arial" w:hAnsi="Arial" w:cs="Arial"/>
          <w:sz w:val="16"/>
          <w:szCs w:val="16"/>
          <w:lang w:val="es-MX"/>
        </w:rPr>
        <w:t xml:space="preserve"> </w:t>
      </w:r>
      <w:hyperlink r:id="rId9" w:history="1">
        <w:r w:rsidR="00C912FB" w:rsidRPr="00683548">
          <w:rPr>
            <w:rStyle w:val="Hyperlink"/>
            <w:rFonts w:ascii="Arial" w:hAnsi="Arial" w:cs="Arial"/>
            <w:sz w:val="16"/>
            <w:szCs w:val="16"/>
            <w:lang w:val="es-MX"/>
          </w:rPr>
          <w:t>https://www.ncbi.nlm.nih.gov/pmc/articles/PMC9498666/</w:t>
        </w:r>
      </w:hyperlink>
      <w:r w:rsidRPr="00683548">
        <w:rPr>
          <w:rFonts w:ascii="Arial" w:hAnsi="Arial" w:cs="Arial"/>
          <w:sz w:val="16"/>
          <w:szCs w:val="16"/>
          <w:lang w:val="es-MX"/>
        </w:rPr>
        <w:t xml:space="preserve"> </w:t>
      </w:r>
      <w:r w:rsidR="00A438AC" w:rsidRPr="00683548">
        <w:rPr>
          <w:rFonts w:ascii="Arial" w:hAnsi="Arial" w:cs="Arial"/>
          <w:sz w:val="16"/>
          <w:szCs w:val="16"/>
          <w:lang w:val="es-MX"/>
        </w:rPr>
        <w:t>(Dec. 2008).</w:t>
      </w:r>
    </w:p>
  </w:footnote>
  <w:footnote w:id="26">
    <w:p w14:paraId="20F26F02" w14:textId="6FA9F951" w:rsidR="00E91231" w:rsidRPr="00683548" w:rsidRDefault="00E91231" w:rsidP="00BE2AAE">
      <w:pPr>
        <w:pStyle w:val="FootnoteText"/>
        <w:rPr>
          <w:rFonts w:ascii="Arial" w:hAnsi="Arial" w:cs="Arial"/>
          <w:sz w:val="16"/>
          <w:szCs w:val="16"/>
        </w:rPr>
      </w:pPr>
      <w:r w:rsidRPr="00683548">
        <w:rPr>
          <w:rStyle w:val="FootnoteReference"/>
          <w:rFonts w:ascii="Arial" w:hAnsi="Arial" w:cs="Arial"/>
          <w:sz w:val="16"/>
          <w:szCs w:val="16"/>
        </w:rPr>
        <w:footnoteRef/>
      </w:r>
      <w:r w:rsidRPr="00683548">
        <w:rPr>
          <w:rFonts w:ascii="Arial" w:hAnsi="Arial" w:cs="Arial"/>
          <w:sz w:val="16"/>
          <w:szCs w:val="16"/>
        </w:rPr>
        <w:t xml:space="preserve"> </w:t>
      </w:r>
      <w:r w:rsidR="00A438AC" w:rsidRPr="00683548">
        <w:rPr>
          <w:rFonts w:ascii="Arial" w:hAnsi="Arial" w:cs="Arial"/>
          <w:sz w:val="16"/>
          <w:szCs w:val="16"/>
        </w:rPr>
        <w:t xml:space="preserve">John R. Richards et al., </w:t>
      </w:r>
      <w:hyperlink r:id="rId10" w:history="1">
        <w:r w:rsidRPr="002A38D5">
          <w:rPr>
            <w:rStyle w:val="Hyperlink"/>
            <w:rFonts w:ascii="Arial" w:hAnsi="Arial" w:cs="Arial"/>
            <w:i/>
            <w:iCs/>
            <w:color w:val="auto"/>
            <w:sz w:val="16"/>
            <w:szCs w:val="16"/>
            <w:u w:val="none"/>
          </w:rPr>
          <w:t>Providing Care in Emergency Department Hallways: Demands, Dangers, and Deaths</w:t>
        </w:r>
        <w:r w:rsidR="00A438AC" w:rsidRPr="002A38D5">
          <w:rPr>
            <w:rStyle w:val="Hyperlink"/>
            <w:rFonts w:ascii="Arial" w:hAnsi="Arial" w:cs="Arial"/>
            <w:color w:val="auto"/>
            <w:sz w:val="16"/>
            <w:szCs w:val="16"/>
            <w:u w:val="none"/>
          </w:rPr>
          <w:t>,</w:t>
        </w:r>
      </w:hyperlink>
      <w:r w:rsidR="00A438AC" w:rsidRPr="002A38D5">
        <w:rPr>
          <w:rFonts w:ascii="Arial" w:hAnsi="Arial" w:cs="Arial"/>
          <w:sz w:val="16"/>
          <w:szCs w:val="16"/>
        </w:rPr>
        <w:t xml:space="preserve"> </w:t>
      </w:r>
      <w:r w:rsidR="00A438AC" w:rsidRPr="00683548">
        <w:rPr>
          <w:rFonts w:ascii="Arial" w:hAnsi="Arial" w:cs="Arial"/>
          <w:sz w:val="16"/>
          <w:szCs w:val="16"/>
        </w:rPr>
        <w:t>Advances in Emergency Medicine,</w:t>
      </w:r>
      <w:r w:rsidRPr="00683548">
        <w:rPr>
          <w:rFonts w:ascii="Arial" w:hAnsi="Arial" w:cs="Arial"/>
          <w:sz w:val="16"/>
          <w:szCs w:val="16"/>
        </w:rPr>
        <w:t xml:space="preserve"> </w:t>
      </w:r>
      <w:hyperlink r:id="rId11" w:history="1">
        <w:r w:rsidRPr="00683548">
          <w:rPr>
            <w:rStyle w:val="Hyperlink"/>
            <w:rFonts w:ascii="Arial" w:hAnsi="Arial" w:cs="Arial"/>
            <w:sz w:val="16"/>
            <w:szCs w:val="16"/>
          </w:rPr>
          <w:t>https://www.hindawi.com/journals/aem/2014/495219/</w:t>
        </w:r>
      </w:hyperlink>
      <w:r w:rsidR="00A438AC" w:rsidRPr="00683548">
        <w:rPr>
          <w:rStyle w:val="Hyperlink"/>
          <w:rFonts w:ascii="Arial" w:hAnsi="Arial" w:cs="Arial"/>
          <w:i/>
          <w:iCs/>
          <w:sz w:val="16"/>
          <w:szCs w:val="16"/>
        </w:rPr>
        <w:t xml:space="preserve"> </w:t>
      </w:r>
      <w:r w:rsidR="00A438AC" w:rsidRPr="00683548">
        <w:rPr>
          <w:rStyle w:val="Hyperlink"/>
          <w:rFonts w:ascii="Arial" w:hAnsi="Arial" w:cs="Arial"/>
          <w:sz w:val="16"/>
          <w:szCs w:val="16"/>
        </w:rPr>
        <w:t>(Dec. 25, 2014).</w:t>
      </w:r>
      <w:r w:rsidRPr="00683548">
        <w:rPr>
          <w:rFonts w:ascii="Arial" w:hAnsi="Arial" w:cs="Arial"/>
          <w:i/>
          <w:iCs/>
          <w:sz w:val="16"/>
          <w:szCs w:val="16"/>
        </w:rPr>
        <w:t xml:space="preserve">   </w:t>
      </w:r>
    </w:p>
  </w:footnote>
  <w:footnote w:id="27">
    <w:p w14:paraId="0F996FC1" w14:textId="6CA09775" w:rsidR="00E91231" w:rsidRPr="00683548" w:rsidRDefault="00E91231" w:rsidP="00BE2AAE">
      <w:pPr>
        <w:autoSpaceDE w:val="0"/>
        <w:autoSpaceDN w:val="0"/>
        <w:adjustRightInd w:val="0"/>
        <w:spacing w:after="0" w:line="240" w:lineRule="auto"/>
        <w:rPr>
          <w:rFonts w:ascii="Arial" w:eastAsia="Times New Roman" w:hAnsi="Arial" w:cs="Arial"/>
          <w:sz w:val="16"/>
          <w:szCs w:val="16"/>
        </w:rPr>
      </w:pPr>
      <w:r w:rsidRPr="00683548">
        <w:rPr>
          <w:rStyle w:val="FootnoteReference"/>
          <w:rFonts w:ascii="Arial" w:hAnsi="Arial" w:cs="Arial"/>
          <w:sz w:val="16"/>
          <w:szCs w:val="16"/>
        </w:rPr>
        <w:footnoteRef/>
      </w:r>
      <w:r w:rsidRPr="00683548">
        <w:rPr>
          <w:rFonts w:ascii="Arial" w:hAnsi="Arial" w:cs="Arial"/>
          <w:sz w:val="16"/>
          <w:szCs w:val="16"/>
        </w:rPr>
        <w:t xml:space="preserve"> </w:t>
      </w:r>
      <w:r w:rsidR="00A438AC" w:rsidRPr="00683548">
        <w:rPr>
          <w:rFonts w:ascii="Arial" w:hAnsi="Arial" w:cs="Arial"/>
          <w:sz w:val="16"/>
          <w:szCs w:val="16"/>
        </w:rPr>
        <w:t>Kimberly Nordstrom et al.</w:t>
      </w:r>
      <w:r w:rsidR="00A438AC" w:rsidRPr="002A38D5">
        <w:rPr>
          <w:rFonts w:ascii="Arial" w:hAnsi="Arial" w:cs="Arial"/>
          <w:sz w:val="16"/>
          <w:szCs w:val="16"/>
        </w:rPr>
        <w:t xml:space="preserve">, </w:t>
      </w:r>
      <w:hyperlink r:id="rId12" w:history="1">
        <w:r w:rsidR="00A438AC" w:rsidRPr="002A38D5">
          <w:rPr>
            <w:rStyle w:val="Hyperlink"/>
            <w:rFonts w:ascii="Arial" w:hAnsi="Arial" w:cs="Arial"/>
            <w:i/>
            <w:iCs/>
            <w:color w:val="auto"/>
            <w:sz w:val="16"/>
            <w:szCs w:val="16"/>
            <w:u w:val="none"/>
          </w:rPr>
          <w:t>Boarding of Mentally Ill Patients in Emergency Departments: American Psychiatric Association Resource Document</w:t>
        </w:r>
        <w:r w:rsidR="00A438AC" w:rsidRPr="002A38D5">
          <w:rPr>
            <w:rStyle w:val="Hyperlink"/>
            <w:rFonts w:ascii="Arial" w:hAnsi="Arial" w:cs="Arial"/>
            <w:color w:val="auto"/>
            <w:sz w:val="16"/>
            <w:szCs w:val="16"/>
            <w:u w:val="none"/>
          </w:rPr>
          <w:t>,</w:t>
        </w:r>
      </w:hyperlink>
      <w:r w:rsidR="00A438AC" w:rsidRPr="002A38D5">
        <w:rPr>
          <w:rFonts w:ascii="Arial" w:hAnsi="Arial" w:cs="Arial"/>
          <w:sz w:val="16"/>
          <w:szCs w:val="16"/>
        </w:rPr>
        <w:t xml:space="preserve"> </w:t>
      </w:r>
      <w:r w:rsidR="00306405" w:rsidRPr="002A38D5">
        <w:rPr>
          <w:rFonts w:ascii="Arial" w:hAnsi="Arial" w:cs="Arial"/>
          <w:sz w:val="16"/>
          <w:szCs w:val="16"/>
        </w:rPr>
        <w:t xml:space="preserve">Western </w:t>
      </w:r>
      <w:r w:rsidR="00306405" w:rsidRPr="00683548">
        <w:rPr>
          <w:rFonts w:ascii="Arial" w:hAnsi="Arial" w:cs="Arial"/>
          <w:sz w:val="16"/>
          <w:szCs w:val="16"/>
        </w:rPr>
        <w:t xml:space="preserve">Journal of Emergency Medicine, </w:t>
      </w:r>
      <w:hyperlink r:id="rId13" w:history="1">
        <w:r w:rsidR="00306405" w:rsidRPr="00683548">
          <w:rPr>
            <w:rStyle w:val="Hyperlink"/>
            <w:rFonts w:ascii="Arial" w:eastAsia="Times New Roman" w:hAnsi="Arial" w:cs="Arial"/>
            <w:sz w:val="16"/>
            <w:szCs w:val="16"/>
          </w:rPr>
          <w:t>https://www.ncbi.nlm.nih.gov/pmc/articles/PMC6754202/</w:t>
        </w:r>
      </w:hyperlink>
      <w:r w:rsidRPr="00683548">
        <w:rPr>
          <w:rFonts w:ascii="Arial" w:eastAsia="Times New Roman" w:hAnsi="Arial" w:cs="Arial"/>
          <w:sz w:val="16"/>
          <w:szCs w:val="16"/>
        </w:rPr>
        <w:t xml:space="preserve"> </w:t>
      </w:r>
      <w:r w:rsidR="00306405" w:rsidRPr="00683548">
        <w:rPr>
          <w:rFonts w:ascii="Arial" w:eastAsia="Times New Roman" w:hAnsi="Arial" w:cs="Arial"/>
          <w:sz w:val="16"/>
          <w:szCs w:val="16"/>
        </w:rPr>
        <w:t>(Sept. 2019).</w:t>
      </w:r>
    </w:p>
  </w:footnote>
  <w:footnote w:id="28">
    <w:p w14:paraId="0C60F24B" w14:textId="27116075" w:rsidR="00E91231" w:rsidRPr="00683548" w:rsidRDefault="00E91231" w:rsidP="00BE2AAE">
      <w:pPr>
        <w:autoSpaceDE w:val="0"/>
        <w:autoSpaceDN w:val="0"/>
        <w:adjustRightInd w:val="0"/>
        <w:spacing w:after="0" w:line="240" w:lineRule="auto"/>
        <w:rPr>
          <w:rFonts w:ascii="Arial" w:eastAsia="Times New Roman" w:hAnsi="Arial" w:cs="Arial"/>
          <w:sz w:val="16"/>
          <w:szCs w:val="16"/>
        </w:rPr>
      </w:pPr>
      <w:r w:rsidRPr="00683548">
        <w:rPr>
          <w:rStyle w:val="FootnoteReference"/>
          <w:rFonts w:ascii="Arial" w:hAnsi="Arial" w:cs="Arial"/>
          <w:sz w:val="16"/>
          <w:szCs w:val="16"/>
        </w:rPr>
        <w:footnoteRef/>
      </w:r>
      <w:r w:rsidRPr="00683548">
        <w:rPr>
          <w:rFonts w:ascii="Arial" w:hAnsi="Arial" w:cs="Arial"/>
          <w:sz w:val="16"/>
          <w:szCs w:val="16"/>
        </w:rPr>
        <w:t xml:space="preserve"> </w:t>
      </w:r>
      <w:r w:rsidR="003C1B64" w:rsidRPr="00683548">
        <w:rPr>
          <w:rFonts w:ascii="Arial" w:hAnsi="Arial" w:cs="Arial"/>
          <w:i/>
          <w:iCs/>
          <w:sz w:val="16"/>
          <w:szCs w:val="16"/>
        </w:rPr>
        <w:t>Id.</w:t>
      </w:r>
    </w:p>
  </w:footnote>
  <w:footnote w:id="29">
    <w:p w14:paraId="7E3BDD0B" w14:textId="66861741" w:rsidR="00E91231" w:rsidRPr="00683548" w:rsidRDefault="00E91231" w:rsidP="00BE2AAE">
      <w:pPr>
        <w:pStyle w:val="FootnoteText"/>
        <w:rPr>
          <w:rFonts w:ascii="Arial" w:hAnsi="Arial" w:cs="Arial"/>
          <w:sz w:val="16"/>
          <w:szCs w:val="16"/>
        </w:rPr>
      </w:pPr>
      <w:r w:rsidRPr="00683548">
        <w:rPr>
          <w:rStyle w:val="FootnoteReference"/>
          <w:rFonts w:ascii="Arial" w:hAnsi="Arial" w:cs="Arial"/>
          <w:sz w:val="16"/>
          <w:szCs w:val="16"/>
        </w:rPr>
        <w:footnoteRef/>
      </w:r>
      <w:r w:rsidRPr="00683548">
        <w:rPr>
          <w:rFonts w:ascii="Arial" w:hAnsi="Arial" w:cs="Arial"/>
          <w:sz w:val="16"/>
          <w:szCs w:val="16"/>
        </w:rPr>
        <w:t xml:space="preserve"> </w:t>
      </w:r>
      <w:r w:rsidR="003C1B64" w:rsidRPr="00683548">
        <w:rPr>
          <w:rFonts w:ascii="Arial" w:hAnsi="Arial" w:cs="Arial"/>
          <w:i/>
          <w:iCs/>
          <w:sz w:val="16"/>
          <w:szCs w:val="16"/>
        </w:rPr>
        <w:t>Id.</w:t>
      </w:r>
    </w:p>
  </w:footnote>
  <w:footnote w:id="30">
    <w:p w14:paraId="599BD8DE" w14:textId="3703AF5B" w:rsidR="00E91231" w:rsidRPr="00683548" w:rsidRDefault="00E91231" w:rsidP="00BE2AAE">
      <w:pPr>
        <w:pStyle w:val="Default"/>
        <w:rPr>
          <w:sz w:val="16"/>
          <w:szCs w:val="16"/>
        </w:rPr>
      </w:pPr>
      <w:r w:rsidRPr="00683548">
        <w:rPr>
          <w:rStyle w:val="FootnoteReference"/>
          <w:sz w:val="16"/>
          <w:szCs w:val="16"/>
        </w:rPr>
        <w:footnoteRef/>
      </w:r>
      <w:r w:rsidRPr="00683548">
        <w:rPr>
          <w:sz w:val="16"/>
          <w:szCs w:val="16"/>
        </w:rPr>
        <w:t xml:space="preserve"> </w:t>
      </w:r>
      <w:r w:rsidR="003C1B64" w:rsidRPr="00683548">
        <w:rPr>
          <w:i/>
          <w:iCs/>
          <w:sz w:val="16"/>
          <w:szCs w:val="16"/>
        </w:rPr>
        <w:t>Supra note 19</w:t>
      </w:r>
      <w:r w:rsidR="003C1B64" w:rsidRPr="00683548">
        <w:rPr>
          <w:sz w:val="16"/>
          <w:szCs w:val="16"/>
        </w:rPr>
        <w:t xml:space="preserve">. </w:t>
      </w:r>
    </w:p>
  </w:footnote>
  <w:footnote w:id="31">
    <w:p w14:paraId="4ADBAFD0" w14:textId="3D49F48C" w:rsidR="00E91231" w:rsidRPr="003C1B64" w:rsidRDefault="00E91231" w:rsidP="00BE2AAE">
      <w:pPr>
        <w:pStyle w:val="Default"/>
        <w:rPr>
          <w:i/>
          <w:iCs/>
          <w:sz w:val="16"/>
          <w:szCs w:val="16"/>
        </w:rPr>
      </w:pPr>
      <w:r w:rsidRPr="00683548">
        <w:rPr>
          <w:rStyle w:val="FootnoteReference"/>
          <w:sz w:val="16"/>
          <w:szCs w:val="16"/>
        </w:rPr>
        <w:footnoteRef/>
      </w:r>
      <w:r w:rsidRPr="00683548">
        <w:rPr>
          <w:sz w:val="16"/>
          <w:szCs w:val="16"/>
        </w:rPr>
        <w:t xml:space="preserve"> </w:t>
      </w:r>
      <w:r w:rsidR="003C1B64" w:rsidRPr="00683548">
        <w:rPr>
          <w:i/>
          <w:iCs/>
          <w:sz w:val="16"/>
          <w:szCs w:val="16"/>
        </w:rPr>
        <w:t>Id.</w:t>
      </w:r>
      <w:r w:rsidR="003C1B64">
        <w:rPr>
          <w:i/>
          <w:iCs/>
          <w:sz w:val="16"/>
          <w:szCs w:val="16"/>
        </w:rPr>
        <w:t xml:space="preserve"> </w:t>
      </w:r>
    </w:p>
  </w:footnote>
  <w:footnote w:id="32">
    <w:p w14:paraId="68F49F5E" w14:textId="021D11EA" w:rsidR="00E91231" w:rsidRPr="00D33DAE" w:rsidRDefault="00E91231" w:rsidP="00BE2AAE">
      <w:pPr>
        <w:pStyle w:val="Default"/>
        <w:rPr>
          <w:sz w:val="16"/>
          <w:szCs w:val="16"/>
        </w:rPr>
      </w:pPr>
      <w:r w:rsidRPr="00B52EB8">
        <w:rPr>
          <w:rStyle w:val="FootnoteReference"/>
          <w:sz w:val="16"/>
          <w:szCs w:val="16"/>
        </w:rPr>
        <w:footnoteRef/>
      </w:r>
      <w:r w:rsidRPr="00B52EB8">
        <w:rPr>
          <w:sz w:val="16"/>
          <w:szCs w:val="16"/>
        </w:rPr>
        <w:t xml:space="preserve"> </w:t>
      </w:r>
      <w:r w:rsidR="00D33DAE">
        <w:rPr>
          <w:sz w:val="16"/>
          <w:szCs w:val="16"/>
        </w:rPr>
        <w:t xml:space="preserve">Lindsay Kalter, </w:t>
      </w:r>
      <w:hyperlink r:id="rId14" w:history="1">
        <w:r w:rsidRPr="002A38D5">
          <w:rPr>
            <w:rStyle w:val="Hyperlink"/>
            <w:i/>
            <w:iCs/>
            <w:color w:val="auto"/>
            <w:sz w:val="16"/>
            <w:szCs w:val="16"/>
            <w:u w:val="none"/>
          </w:rPr>
          <w:t xml:space="preserve">Treating </w:t>
        </w:r>
        <w:r w:rsidR="00D33DAE" w:rsidRPr="002A38D5">
          <w:rPr>
            <w:rStyle w:val="Hyperlink"/>
            <w:i/>
            <w:iCs/>
            <w:color w:val="auto"/>
            <w:sz w:val="16"/>
            <w:szCs w:val="16"/>
            <w:u w:val="none"/>
          </w:rPr>
          <w:t>M</w:t>
        </w:r>
        <w:r w:rsidRPr="002A38D5">
          <w:rPr>
            <w:rStyle w:val="Hyperlink"/>
            <w:i/>
            <w:iCs/>
            <w:color w:val="auto"/>
            <w:sz w:val="16"/>
            <w:szCs w:val="16"/>
            <w:u w:val="none"/>
          </w:rPr>
          <w:t xml:space="preserve">ental </w:t>
        </w:r>
        <w:r w:rsidR="00D33DAE" w:rsidRPr="002A38D5">
          <w:rPr>
            <w:rStyle w:val="Hyperlink"/>
            <w:i/>
            <w:iCs/>
            <w:color w:val="auto"/>
            <w:sz w:val="16"/>
            <w:szCs w:val="16"/>
            <w:u w:val="none"/>
          </w:rPr>
          <w:t>I</w:t>
        </w:r>
        <w:r w:rsidRPr="002A38D5">
          <w:rPr>
            <w:rStyle w:val="Hyperlink"/>
            <w:i/>
            <w:iCs/>
            <w:color w:val="auto"/>
            <w:sz w:val="16"/>
            <w:szCs w:val="16"/>
            <w:u w:val="none"/>
          </w:rPr>
          <w:t>llness in the ED</w:t>
        </w:r>
      </w:hyperlink>
      <w:r w:rsidR="00D33DAE" w:rsidRPr="002A38D5">
        <w:rPr>
          <w:color w:val="auto"/>
          <w:sz w:val="16"/>
          <w:szCs w:val="16"/>
        </w:rPr>
        <w:t xml:space="preserve">, </w:t>
      </w:r>
      <w:r w:rsidR="00D33DAE">
        <w:rPr>
          <w:sz w:val="16"/>
          <w:szCs w:val="16"/>
        </w:rPr>
        <w:t xml:space="preserve">Association of American Medical Colleges, </w:t>
      </w:r>
      <w:hyperlink r:id="rId15" w:history="1">
        <w:r w:rsidR="00D33DAE" w:rsidRPr="0010614D">
          <w:rPr>
            <w:rStyle w:val="Hyperlink"/>
            <w:sz w:val="16"/>
            <w:szCs w:val="16"/>
          </w:rPr>
          <w:t>https://www.aamc.org/news/treating-mental-illness-ed</w:t>
        </w:r>
      </w:hyperlink>
      <w:r w:rsidR="00D33DAE">
        <w:rPr>
          <w:sz w:val="16"/>
          <w:szCs w:val="16"/>
        </w:rPr>
        <w:t xml:space="preserve"> (Sept. 3, 2019).</w:t>
      </w:r>
    </w:p>
  </w:footnote>
  <w:footnote w:id="33">
    <w:p w14:paraId="0B92CD11" w14:textId="32CD2D79" w:rsidR="00E91231" w:rsidRDefault="00E91231" w:rsidP="00BE2AAE">
      <w:pPr>
        <w:pStyle w:val="FootnoteText"/>
      </w:pPr>
      <w:r w:rsidRPr="00B52EB8">
        <w:rPr>
          <w:rStyle w:val="FootnoteReference"/>
          <w:rFonts w:ascii="Arial" w:hAnsi="Arial" w:cs="Arial"/>
          <w:sz w:val="16"/>
          <w:szCs w:val="16"/>
        </w:rPr>
        <w:footnoteRef/>
      </w:r>
      <w:r w:rsidRPr="00B52EB8">
        <w:rPr>
          <w:rFonts w:ascii="Arial" w:hAnsi="Arial" w:cs="Arial"/>
          <w:sz w:val="16"/>
          <w:szCs w:val="16"/>
        </w:rPr>
        <w:t xml:space="preserve"> </w:t>
      </w:r>
      <w:r w:rsidR="00683548">
        <w:rPr>
          <w:rFonts w:ascii="Arial" w:hAnsi="Arial" w:cs="Arial"/>
          <w:i/>
          <w:iCs/>
          <w:sz w:val="16"/>
          <w:szCs w:val="16"/>
        </w:rPr>
        <w:t xml:space="preserve">Supra note 27.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6D0164" w14:textId="77777777" w:rsidR="00DA304F" w:rsidRDefault="00DA30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60521C" w14:textId="77777777" w:rsidR="00DA304F" w:rsidRDefault="00DA30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ABD580" w14:textId="77777777" w:rsidR="00DA304F" w:rsidRDefault="00DA30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D1B71"/>
    <w:multiLevelType w:val="hybridMultilevel"/>
    <w:tmpl w:val="64D22F4A"/>
    <w:lvl w:ilvl="0" w:tplc="975E9F3C">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0F">
      <w:start w:val="1"/>
      <w:numFmt w:val="decimal"/>
      <w:lvlText w:val="%3."/>
      <w:lvlJc w:val="left"/>
      <w:pPr>
        <w:ind w:left="198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2B2695"/>
    <w:multiLevelType w:val="hybridMultilevel"/>
    <w:tmpl w:val="6DE0B66C"/>
    <w:lvl w:ilvl="0" w:tplc="FFFFFFFF">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bullet"/>
      <w:lvlText w:val=""/>
      <w:lvlJc w:val="left"/>
      <w:pPr>
        <w:ind w:left="3240" w:hanging="72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CF785F"/>
    <w:multiLevelType w:val="hybridMultilevel"/>
    <w:tmpl w:val="F3406236"/>
    <w:lvl w:ilvl="0" w:tplc="A886CBCC">
      <w:start w:val="1"/>
      <w:numFmt w:val="bullet"/>
      <w:pStyle w:val="HBsbul"/>
      <w:lvlText w:val=""/>
      <w:lvlJc w:val="left"/>
      <w:pPr>
        <w:tabs>
          <w:tab w:val="num" w:pos="720"/>
        </w:tabs>
        <w:ind w:left="720" w:hanging="360"/>
      </w:pPr>
      <w:rPr>
        <w:rFonts w:ascii="Symbol" w:hAnsi="Symbol"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855029"/>
    <w:multiLevelType w:val="hybridMultilevel"/>
    <w:tmpl w:val="2EC459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3240" w:hanging="72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9A11E8"/>
    <w:multiLevelType w:val="hybridMultilevel"/>
    <w:tmpl w:val="4694F2FE"/>
    <w:lvl w:ilvl="0" w:tplc="58ECB79A">
      <w:start w:val="1"/>
      <w:numFmt w:val="bullet"/>
      <w:pStyle w:val="HBbul"/>
      <w:lvlText w:val=""/>
      <w:lvlJc w:val="left"/>
      <w:pPr>
        <w:tabs>
          <w:tab w:val="num" w:pos="360"/>
        </w:tabs>
        <w:ind w:left="360" w:hanging="360"/>
      </w:pPr>
      <w:rPr>
        <w:rFonts w:ascii="Wingdings" w:hAnsi="Wingdings"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20272B"/>
    <w:multiLevelType w:val="hybridMultilevel"/>
    <w:tmpl w:val="7F184DC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2B6F5D"/>
    <w:multiLevelType w:val="multilevel"/>
    <w:tmpl w:val="29F069D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rPr>
    </w:lvl>
    <w:lvl w:ilvl="3">
      <w:start w:val="1"/>
      <w:numFmt w:val="decimal"/>
      <w:lvlText w:val="%1.%2.%3.%4."/>
      <w:lvlJc w:val="left"/>
      <w:pPr>
        <w:ind w:left="1728" w:hanging="648"/>
      </w:pPr>
      <w:rPr>
        <w:b w:val="0"/>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60D782A"/>
    <w:multiLevelType w:val="hybridMultilevel"/>
    <w:tmpl w:val="FFFFFFFF"/>
    <w:lvl w:ilvl="0" w:tplc="FFFFFFFF">
      <w:start w:val="1"/>
      <w:numFmt w:val="bullet"/>
      <w:lvlText w:val="•"/>
      <w:lvlJc w:val="left"/>
    </w:lvl>
    <w:lvl w:ilvl="1" w:tplc="16FAE4C0">
      <w:start w:val="1"/>
      <w:numFmt w:val="bullet"/>
      <w:lvlText w:val="•"/>
      <w:lvlJc w:val="left"/>
    </w:lvl>
    <w:lvl w:ilvl="2" w:tplc="B1028C77">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52BB2934"/>
    <w:multiLevelType w:val="hybridMultilevel"/>
    <w:tmpl w:val="1C5A164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DF84322"/>
    <w:multiLevelType w:val="hybridMultilevel"/>
    <w:tmpl w:val="43C89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FA75B8"/>
    <w:multiLevelType w:val="hybridMultilevel"/>
    <w:tmpl w:val="E75C445E"/>
    <w:lvl w:ilvl="0" w:tplc="04090015">
      <w:start w:val="1"/>
      <w:numFmt w:val="upperLetter"/>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1" w15:restartNumberingAfterBreak="0">
    <w:nsid w:val="6C653EE7"/>
    <w:multiLevelType w:val="hybridMultilevel"/>
    <w:tmpl w:val="A8CC1BEA"/>
    <w:lvl w:ilvl="0" w:tplc="47C857C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0738071">
    <w:abstractNumId w:val="4"/>
  </w:num>
  <w:num w:numId="2" w16cid:durableId="2077047111">
    <w:abstractNumId w:val="2"/>
  </w:num>
  <w:num w:numId="3" w16cid:durableId="541938050">
    <w:abstractNumId w:val="10"/>
  </w:num>
  <w:num w:numId="4" w16cid:durableId="1272012509">
    <w:abstractNumId w:val="11"/>
  </w:num>
  <w:num w:numId="5" w16cid:durableId="16998181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80378899">
    <w:abstractNumId w:val="7"/>
  </w:num>
  <w:num w:numId="7" w16cid:durableId="865555893">
    <w:abstractNumId w:val="3"/>
  </w:num>
  <w:num w:numId="8" w16cid:durableId="1250114925">
    <w:abstractNumId w:val="1"/>
  </w:num>
  <w:num w:numId="9" w16cid:durableId="652176937">
    <w:abstractNumId w:val="0"/>
  </w:num>
  <w:num w:numId="10" w16cid:durableId="1143280947">
    <w:abstractNumId w:val="9"/>
  </w:num>
  <w:num w:numId="11" w16cid:durableId="1261111003">
    <w:abstractNumId w:val="5"/>
  </w:num>
  <w:num w:numId="12" w16cid:durableId="19414457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AAE"/>
    <w:rsid w:val="00014DDB"/>
    <w:rsid w:val="00031B79"/>
    <w:rsid w:val="0003648A"/>
    <w:rsid w:val="00051903"/>
    <w:rsid w:val="00071125"/>
    <w:rsid w:val="00072DB8"/>
    <w:rsid w:val="000A6537"/>
    <w:rsid w:val="000B668F"/>
    <w:rsid w:val="000C6E9D"/>
    <w:rsid w:val="000D6EC2"/>
    <w:rsid w:val="00124E82"/>
    <w:rsid w:val="001446BB"/>
    <w:rsid w:val="00145820"/>
    <w:rsid w:val="0015344C"/>
    <w:rsid w:val="0015508D"/>
    <w:rsid w:val="00173AEC"/>
    <w:rsid w:val="001A7C41"/>
    <w:rsid w:val="001B1727"/>
    <w:rsid w:val="001C5D07"/>
    <w:rsid w:val="00231A56"/>
    <w:rsid w:val="00250206"/>
    <w:rsid w:val="00285249"/>
    <w:rsid w:val="00286BC0"/>
    <w:rsid w:val="002A38D5"/>
    <w:rsid w:val="002C3D1F"/>
    <w:rsid w:val="002F0557"/>
    <w:rsid w:val="00301165"/>
    <w:rsid w:val="00306405"/>
    <w:rsid w:val="00351464"/>
    <w:rsid w:val="003535CA"/>
    <w:rsid w:val="003C1B64"/>
    <w:rsid w:val="003C763C"/>
    <w:rsid w:val="003D4F94"/>
    <w:rsid w:val="003F6D71"/>
    <w:rsid w:val="00431E6B"/>
    <w:rsid w:val="004720B0"/>
    <w:rsid w:val="00490311"/>
    <w:rsid w:val="004A689C"/>
    <w:rsid w:val="004E46CD"/>
    <w:rsid w:val="004F4026"/>
    <w:rsid w:val="00541842"/>
    <w:rsid w:val="00557DC2"/>
    <w:rsid w:val="00562547"/>
    <w:rsid w:val="00564CFC"/>
    <w:rsid w:val="005707AC"/>
    <w:rsid w:val="005B3F03"/>
    <w:rsid w:val="00607FAE"/>
    <w:rsid w:val="00620498"/>
    <w:rsid w:val="00623EFA"/>
    <w:rsid w:val="00674F46"/>
    <w:rsid w:val="00683548"/>
    <w:rsid w:val="006B4DDB"/>
    <w:rsid w:val="006C6606"/>
    <w:rsid w:val="00755637"/>
    <w:rsid w:val="007820F0"/>
    <w:rsid w:val="007918A4"/>
    <w:rsid w:val="007952F7"/>
    <w:rsid w:val="007B1C65"/>
    <w:rsid w:val="007B7CDD"/>
    <w:rsid w:val="007C38BF"/>
    <w:rsid w:val="0082757A"/>
    <w:rsid w:val="00860A81"/>
    <w:rsid w:val="008A16D7"/>
    <w:rsid w:val="008B2036"/>
    <w:rsid w:val="008D2F75"/>
    <w:rsid w:val="008D769B"/>
    <w:rsid w:val="008E0CF5"/>
    <w:rsid w:val="00906B58"/>
    <w:rsid w:val="009101D5"/>
    <w:rsid w:val="00916D68"/>
    <w:rsid w:val="0096689E"/>
    <w:rsid w:val="009716E1"/>
    <w:rsid w:val="00991158"/>
    <w:rsid w:val="009D4F3F"/>
    <w:rsid w:val="009E0BC6"/>
    <w:rsid w:val="009F52C9"/>
    <w:rsid w:val="00A11EBD"/>
    <w:rsid w:val="00A12BB3"/>
    <w:rsid w:val="00A26116"/>
    <w:rsid w:val="00A438AC"/>
    <w:rsid w:val="00A77684"/>
    <w:rsid w:val="00A8129D"/>
    <w:rsid w:val="00AA0D88"/>
    <w:rsid w:val="00AB2A96"/>
    <w:rsid w:val="00AB3B59"/>
    <w:rsid w:val="00AB490B"/>
    <w:rsid w:val="00AB4E9C"/>
    <w:rsid w:val="00AD0F8A"/>
    <w:rsid w:val="00B036C1"/>
    <w:rsid w:val="00B57074"/>
    <w:rsid w:val="00B73D12"/>
    <w:rsid w:val="00B772BB"/>
    <w:rsid w:val="00B77996"/>
    <w:rsid w:val="00B87717"/>
    <w:rsid w:val="00B878A2"/>
    <w:rsid w:val="00BA715D"/>
    <w:rsid w:val="00BB11FC"/>
    <w:rsid w:val="00BB19F6"/>
    <w:rsid w:val="00BC101E"/>
    <w:rsid w:val="00BC3C15"/>
    <w:rsid w:val="00BC5F4A"/>
    <w:rsid w:val="00BE2AAE"/>
    <w:rsid w:val="00BE7DE0"/>
    <w:rsid w:val="00BF34D4"/>
    <w:rsid w:val="00C11C6F"/>
    <w:rsid w:val="00C13E1D"/>
    <w:rsid w:val="00C1411A"/>
    <w:rsid w:val="00C31B08"/>
    <w:rsid w:val="00C423E5"/>
    <w:rsid w:val="00C67387"/>
    <w:rsid w:val="00C811A5"/>
    <w:rsid w:val="00C912FB"/>
    <w:rsid w:val="00CA37BA"/>
    <w:rsid w:val="00CB37D4"/>
    <w:rsid w:val="00CC743F"/>
    <w:rsid w:val="00CE16A9"/>
    <w:rsid w:val="00D33DAE"/>
    <w:rsid w:val="00D713C2"/>
    <w:rsid w:val="00D760F2"/>
    <w:rsid w:val="00D975DC"/>
    <w:rsid w:val="00DA304F"/>
    <w:rsid w:val="00DE1DF0"/>
    <w:rsid w:val="00DE1FB6"/>
    <w:rsid w:val="00E06DE3"/>
    <w:rsid w:val="00E24C85"/>
    <w:rsid w:val="00E91231"/>
    <w:rsid w:val="00EE470E"/>
    <w:rsid w:val="00EF2785"/>
    <w:rsid w:val="00F46598"/>
    <w:rsid w:val="00F6094E"/>
    <w:rsid w:val="00F73E8D"/>
    <w:rsid w:val="00F7532B"/>
    <w:rsid w:val="00F8515B"/>
    <w:rsid w:val="00F91C1F"/>
    <w:rsid w:val="00FA5A00"/>
    <w:rsid w:val="00FC1DFE"/>
    <w:rsid w:val="00FC5C21"/>
    <w:rsid w:val="00FE086F"/>
    <w:rsid w:val="00FF1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87045"/>
  <w15:chartTrackingRefBased/>
  <w15:docId w15:val="{976F3E7E-8A48-4950-B243-41C0B2B06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AAE"/>
    <w:pPr>
      <w:spacing w:line="256" w:lineRule="auto"/>
    </w:pPr>
    <w:rPr>
      <w:rFonts w:eastAsiaTheme="minorHAnsi"/>
    </w:rPr>
  </w:style>
  <w:style w:type="paragraph" w:styleId="Heading1">
    <w:name w:val="heading 1"/>
    <w:basedOn w:val="Normal"/>
    <w:next w:val="Normal"/>
    <w:link w:val="Heading1Char"/>
    <w:uiPriority w:val="1"/>
    <w:qFormat/>
    <w:rsid w:val="00C31B08"/>
    <w:pPr>
      <w:spacing w:after="240"/>
      <w:outlineLvl w:val="0"/>
    </w:pPr>
    <w:rPr>
      <w:snapToGrid w:val="0"/>
    </w:rPr>
  </w:style>
  <w:style w:type="paragraph" w:styleId="Heading2">
    <w:name w:val="heading 2"/>
    <w:basedOn w:val="Normal"/>
    <w:next w:val="Normal"/>
    <w:link w:val="Heading2Char"/>
    <w:uiPriority w:val="1"/>
    <w:qFormat/>
    <w:rsid w:val="00C31B08"/>
    <w:pPr>
      <w:spacing w:after="240"/>
      <w:outlineLvl w:val="1"/>
    </w:pPr>
    <w:rPr>
      <w:snapToGrid w:val="0"/>
    </w:rPr>
  </w:style>
  <w:style w:type="paragraph" w:styleId="Heading3">
    <w:name w:val="heading 3"/>
    <w:basedOn w:val="Normal"/>
    <w:next w:val="Normal"/>
    <w:link w:val="Heading3Char"/>
    <w:uiPriority w:val="1"/>
    <w:qFormat/>
    <w:rsid w:val="00C31B08"/>
    <w:pPr>
      <w:spacing w:after="240"/>
      <w:outlineLvl w:val="2"/>
    </w:pPr>
    <w:rPr>
      <w:snapToGrid w:val="0"/>
    </w:rPr>
  </w:style>
  <w:style w:type="paragraph" w:styleId="Heading4">
    <w:name w:val="heading 4"/>
    <w:basedOn w:val="Normal"/>
    <w:next w:val="Normal"/>
    <w:link w:val="Heading4Char"/>
    <w:uiPriority w:val="1"/>
    <w:qFormat/>
    <w:rsid w:val="00C31B08"/>
    <w:pPr>
      <w:spacing w:after="240"/>
      <w:outlineLvl w:val="3"/>
    </w:pPr>
    <w:rPr>
      <w:snapToGrid w:val="0"/>
    </w:rPr>
  </w:style>
  <w:style w:type="paragraph" w:styleId="Heading5">
    <w:name w:val="heading 5"/>
    <w:basedOn w:val="Normal"/>
    <w:next w:val="Normal"/>
    <w:link w:val="Heading5Char"/>
    <w:uiPriority w:val="1"/>
    <w:qFormat/>
    <w:rsid w:val="00C31B08"/>
    <w:pPr>
      <w:spacing w:after="240"/>
      <w:outlineLvl w:val="4"/>
    </w:pPr>
    <w:rPr>
      <w:snapToGrid w:val="0"/>
    </w:rPr>
  </w:style>
  <w:style w:type="paragraph" w:styleId="Heading6">
    <w:name w:val="heading 6"/>
    <w:basedOn w:val="Normal"/>
    <w:next w:val="Normal"/>
    <w:link w:val="Heading6Char"/>
    <w:uiPriority w:val="1"/>
    <w:qFormat/>
    <w:rsid w:val="00C31B08"/>
    <w:pPr>
      <w:tabs>
        <w:tab w:val="num" w:pos="2160"/>
      </w:tabs>
      <w:spacing w:after="240"/>
      <w:outlineLvl w:val="5"/>
    </w:pPr>
  </w:style>
  <w:style w:type="paragraph" w:styleId="Heading7">
    <w:name w:val="heading 7"/>
    <w:basedOn w:val="Normal"/>
    <w:next w:val="Normal"/>
    <w:link w:val="Heading7Char"/>
    <w:uiPriority w:val="1"/>
    <w:qFormat/>
    <w:rsid w:val="00C31B08"/>
    <w:pPr>
      <w:tabs>
        <w:tab w:val="num" w:pos="2520"/>
      </w:tabs>
      <w:spacing w:after="240"/>
      <w:outlineLvl w:val="6"/>
    </w:pPr>
  </w:style>
  <w:style w:type="paragraph" w:styleId="Heading8">
    <w:name w:val="heading 8"/>
    <w:basedOn w:val="Normal"/>
    <w:next w:val="Normal"/>
    <w:link w:val="Heading8Char"/>
    <w:uiPriority w:val="1"/>
    <w:qFormat/>
    <w:rsid w:val="00C31B08"/>
    <w:pPr>
      <w:tabs>
        <w:tab w:val="num" w:pos="2880"/>
      </w:tabs>
      <w:spacing w:after="240"/>
      <w:outlineLvl w:val="7"/>
    </w:pPr>
  </w:style>
  <w:style w:type="paragraph" w:styleId="Heading9">
    <w:name w:val="heading 9"/>
    <w:basedOn w:val="Normal"/>
    <w:next w:val="Normal"/>
    <w:link w:val="Heading9Char"/>
    <w:uiPriority w:val="1"/>
    <w:qFormat/>
    <w:rsid w:val="00C31B08"/>
    <w:pPr>
      <w:tabs>
        <w:tab w:val="num" w:pos="3240"/>
      </w:tabs>
      <w:spacing w:after="240"/>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Bb">
    <w:name w:val="HBb"/>
    <w:basedOn w:val="Normal"/>
    <w:uiPriority w:val="1"/>
    <w:qFormat/>
    <w:rsid w:val="00C31B08"/>
    <w:pPr>
      <w:spacing w:after="240"/>
      <w:ind w:firstLine="720"/>
    </w:pPr>
  </w:style>
  <w:style w:type="paragraph" w:customStyle="1" w:styleId="HBbd">
    <w:name w:val="HBbd"/>
    <w:basedOn w:val="Normal"/>
    <w:uiPriority w:val="1"/>
    <w:qFormat/>
    <w:rsid w:val="00C31B08"/>
    <w:pPr>
      <w:spacing w:line="480" w:lineRule="auto"/>
      <w:ind w:firstLine="720"/>
    </w:pPr>
  </w:style>
  <w:style w:type="paragraph" w:customStyle="1" w:styleId="HBbj">
    <w:name w:val="HBbj"/>
    <w:basedOn w:val="Normal"/>
    <w:uiPriority w:val="1"/>
    <w:qFormat/>
    <w:rsid w:val="00C31B08"/>
    <w:pPr>
      <w:spacing w:after="240"/>
      <w:ind w:firstLine="720"/>
      <w:jc w:val="both"/>
    </w:pPr>
  </w:style>
  <w:style w:type="paragraph" w:customStyle="1" w:styleId="HBbjd">
    <w:name w:val="HBbjd"/>
    <w:basedOn w:val="Normal"/>
    <w:uiPriority w:val="1"/>
    <w:qFormat/>
    <w:rsid w:val="00C31B08"/>
    <w:pPr>
      <w:spacing w:line="480" w:lineRule="auto"/>
      <w:ind w:firstLine="720"/>
      <w:jc w:val="both"/>
    </w:pPr>
  </w:style>
  <w:style w:type="paragraph" w:customStyle="1" w:styleId="HBbl">
    <w:name w:val="HBbl"/>
    <w:basedOn w:val="Normal"/>
    <w:uiPriority w:val="1"/>
    <w:qFormat/>
    <w:rsid w:val="00C31B08"/>
    <w:pPr>
      <w:spacing w:after="240"/>
    </w:pPr>
  </w:style>
  <w:style w:type="paragraph" w:customStyle="1" w:styleId="HBbl1">
    <w:name w:val="HBbl1"/>
    <w:basedOn w:val="Normal"/>
    <w:uiPriority w:val="1"/>
    <w:qFormat/>
    <w:rsid w:val="00C31B08"/>
    <w:pPr>
      <w:spacing w:after="240"/>
      <w:ind w:left="720"/>
    </w:pPr>
  </w:style>
  <w:style w:type="paragraph" w:customStyle="1" w:styleId="HBbl1d">
    <w:name w:val="HBbl1d"/>
    <w:basedOn w:val="Normal"/>
    <w:uiPriority w:val="1"/>
    <w:qFormat/>
    <w:rsid w:val="00C31B08"/>
    <w:pPr>
      <w:spacing w:line="480" w:lineRule="auto"/>
      <w:ind w:left="720"/>
    </w:pPr>
  </w:style>
  <w:style w:type="paragraph" w:customStyle="1" w:styleId="HBbl1j">
    <w:name w:val="HBbl1j"/>
    <w:basedOn w:val="Normal"/>
    <w:uiPriority w:val="1"/>
    <w:qFormat/>
    <w:rsid w:val="00C31B08"/>
    <w:pPr>
      <w:spacing w:after="240"/>
      <w:ind w:left="720"/>
      <w:jc w:val="both"/>
    </w:pPr>
  </w:style>
  <w:style w:type="paragraph" w:customStyle="1" w:styleId="HBbl1jD">
    <w:name w:val="HBbl1jD"/>
    <w:basedOn w:val="Normal"/>
    <w:uiPriority w:val="1"/>
    <w:qFormat/>
    <w:rsid w:val="00C31B08"/>
    <w:pPr>
      <w:spacing w:line="480" w:lineRule="auto"/>
      <w:ind w:left="720"/>
      <w:jc w:val="both"/>
    </w:pPr>
  </w:style>
  <w:style w:type="paragraph" w:customStyle="1" w:styleId="HBbld">
    <w:name w:val="HBbld"/>
    <w:basedOn w:val="Normal"/>
    <w:uiPriority w:val="1"/>
    <w:qFormat/>
    <w:rsid w:val="00C31B08"/>
    <w:pPr>
      <w:spacing w:line="480" w:lineRule="auto"/>
    </w:pPr>
  </w:style>
  <w:style w:type="paragraph" w:customStyle="1" w:styleId="HBblj">
    <w:name w:val="HBblj"/>
    <w:basedOn w:val="Normal"/>
    <w:uiPriority w:val="1"/>
    <w:qFormat/>
    <w:rsid w:val="00C31B08"/>
    <w:pPr>
      <w:spacing w:after="240"/>
      <w:jc w:val="both"/>
    </w:pPr>
  </w:style>
  <w:style w:type="paragraph" w:customStyle="1" w:styleId="HBbljd">
    <w:name w:val="HBbljd"/>
    <w:basedOn w:val="Normal"/>
    <w:uiPriority w:val="1"/>
    <w:qFormat/>
    <w:rsid w:val="00C31B08"/>
    <w:pPr>
      <w:spacing w:line="480" w:lineRule="auto"/>
      <w:jc w:val="both"/>
    </w:pPr>
  </w:style>
  <w:style w:type="paragraph" w:customStyle="1" w:styleId="HBbul">
    <w:name w:val="HBbul"/>
    <w:basedOn w:val="Normal"/>
    <w:uiPriority w:val="1"/>
    <w:qFormat/>
    <w:rsid w:val="00C31B08"/>
    <w:pPr>
      <w:keepLines/>
      <w:numPr>
        <w:numId w:val="1"/>
      </w:numPr>
      <w:spacing w:before="120" w:after="120"/>
    </w:pPr>
    <w:rPr>
      <w:sz w:val="18"/>
    </w:rPr>
  </w:style>
  <w:style w:type="paragraph" w:customStyle="1" w:styleId="HBh">
    <w:name w:val="HBh"/>
    <w:basedOn w:val="Normal"/>
    <w:uiPriority w:val="1"/>
    <w:qFormat/>
    <w:rsid w:val="00C31B08"/>
    <w:pPr>
      <w:spacing w:after="240"/>
      <w:ind w:left="720" w:hanging="720"/>
    </w:pPr>
  </w:style>
  <w:style w:type="paragraph" w:customStyle="1" w:styleId="HBhd">
    <w:name w:val="HBhd"/>
    <w:basedOn w:val="Normal"/>
    <w:uiPriority w:val="1"/>
    <w:qFormat/>
    <w:rsid w:val="00C31B08"/>
    <w:pPr>
      <w:spacing w:line="480" w:lineRule="auto"/>
      <w:ind w:left="720" w:hanging="720"/>
    </w:pPr>
  </w:style>
  <w:style w:type="paragraph" w:customStyle="1" w:styleId="HBq">
    <w:name w:val="HBq"/>
    <w:basedOn w:val="Normal"/>
    <w:uiPriority w:val="1"/>
    <w:qFormat/>
    <w:rsid w:val="00C31B08"/>
    <w:pPr>
      <w:spacing w:after="240"/>
      <w:ind w:left="720" w:right="720"/>
    </w:pPr>
  </w:style>
  <w:style w:type="paragraph" w:customStyle="1" w:styleId="HBqj">
    <w:name w:val="HBqj"/>
    <w:basedOn w:val="Normal"/>
    <w:uiPriority w:val="1"/>
    <w:qFormat/>
    <w:rsid w:val="00C31B08"/>
    <w:pPr>
      <w:spacing w:after="240"/>
      <w:ind w:left="720" w:right="720"/>
      <w:jc w:val="both"/>
    </w:pPr>
  </w:style>
  <w:style w:type="paragraph" w:customStyle="1" w:styleId="HBsbul">
    <w:name w:val="HBsbul"/>
    <w:basedOn w:val="Normal"/>
    <w:uiPriority w:val="1"/>
    <w:qFormat/>
    <w:rsid w:val="00C31B08"/>
    <w:pPr>
      <w:numPr>
        <w:numId w:val="2"/>
      </w:numPr>
      <w:spacing w:after="120"/>
    </w:pPr>
    <w:rPr>
      <w:sz w:val="18"/>
    </w:rPr>
  </w:style>
  <w:style w:type="paragraph" w:customStyle="1" w:styleId="HBsig">
    <w:name w:val="HBsig"/>
    <w:basedOn w:val="Normal"/>
    <w:uiPriority w:val="1"/>
    <w:qFormat/>
    <w:rsid w:val="00C31B08"/>
    <w:pPr>
      <w:keepNext/>
      <w:tabs>
        <w:tab w:val="right" w:pos="9216"/>
      </w:tabs>
      <w:ind w:left="4320"/>
    </w:pPr>
  </w:style>
  <w:style w:type="paragraph" w:customStyle="1" w:styleId="HBsl">
    <w:name w:val="HBsl"/>
    <w:basedOn w:val="Normal"/>
    <w:next w:val="HBb"/>
    <w:uiPriority w:val="1"/>
    <w:qFormat/>
    <w:rsid w:val="00C31B08"/>
    <w:pPr>
      <w:keepNext/>
      <w:spacing w:after="240"/>
    </w:pPr>
    <w:rPr>
      <w:u w:val="single"/>
    </w:rPr>
  </w:style>
  <w:style w:type="paragraph" w:customStyle="1" w:styleId="HBslb">
    <w:name w:val="HBslb"/>
    <w:basedOn w:val="Normal"/>
    <w:next w:val="Normal"/>
    <w:uiPriority w:val="1"/>
    <w:qFormat/>
    <w:rsid w:val="00C31B08"/>
    <w:pPr>
      <w:keepNext/>
      <w:spacing w:after="240"/>
      <w:outlineLvl w:val="1"/>
    </w:pPr>
    <w:rPr>
      <w:b/>
      <w:u w:val="single"/>
    </w:rPr>
  </w:style>
  <w:style w:type="paragraph" w:customStyle="1" w:styleId="HBsn">
    <w:name w:val="HBsn"/>
    <w:basedOn w:val="Normal"/>
    <w:uiPriority w:val="1"/>
    <w:qFormat/>
    <w:rsid w:val="00C31B08"/>
    <w:pPr>
      <w:keepNext/>
      <w:spacing w:before="960" w:after="240"/>
      <w:ind w:left="4320"/>
      <w:contextualSpacing/>
    </w:pPr>
  </w:style>
  <w:style w:type="paragraph" w:customStyle="1" w:styleId="HBtb2">
    <w:name w:val="HBtb2"/>
    <w:basedOn w:val="Normal"/>
    <w:uiPriority w:val="1"/>
    <w:qFormat/>
    <w:rsid w:val="00C31B08"/>
    <w:pPr>
      <w:keepNext/>
      <w:spacing w:after="240"/>
      <w:jc w:val="center"/>
      <w:outlineLvl w:val="0"/>
    </w:pPr>
    <w:rPr>
      <w:b/>
    </w:rPr>
  </w:style>
  <w:style w:type="paragraph" w:customStyle="1" w:styleId="HBtbu">
    <w:name w:val="HBtbu"/>
    <w:basedOn w:val="Normal"/>
    <w:uiPriority w:val="1"/>
    <w:qFormat/>
    <w:rsid w:val="00C31B08"/>
    <w:pPr>
      <w:keepNext/>
      <w:spacing w:after="240"/>
      <w:jc w:val="center"/>
      <w:outlineLvl w:val="0"/>
    </w:pPr>
    <w:rPr>
      <w:b/>
      <w:u w:val="single"/>
    </w:rPr>
  </w:style>
  <w:style w:type="paragraph" w:customStyle="1" w:styleId="HBtbu3">
    <w:name w:val="HBtbu3"/>
    <w:basedOn w:val="Normal"/>
    <w:uiPriority w:val="1"/>
    <w:qFormat/>
    <w:rsid w:val="00C31B08"/>
    <w:pPr>
      <w:keepNext/>
      <w:spacing w:after="480"/>
      <w:jc w:val="center"/>
      <w:outlineLvl w:val="0"/>
    </w:pPr>
    <w:rPr>
      <w:b/>
      <w:u w:val="single"/>
    </w:rPr>
  </w:style>
  <w:style w:type="paragraph" w:customStyle="1" w:styleId="HBtu2">
    <w:name w:val="HBtu2"/>
    <w:basedOn w:val="Normal"/>
    <w:uiPriority w:val="1"/>
    <w:qFormat/>
    <w:rsid w:val="00C31B08"/>
    <w:pPr>
      <w:keepNext/>
      <w:spacing w:after="240"/>
      <w:jc w:val="center"/>
      <w:outlineLvl w:val="0"/>
    </w:pPr>
    <w:rPr>
      <w:u w:val="single"/>
    </w:rPr>
  </w:style>
  <w:style w:type="character" w:customStyle="1" w:styleId="Heading1Char">
    <w:name w:val="Heading 1 Char"/>
    <w:link w:val="Heading1"/>
    <w:uiPriority w:val="1"/>
    <w:rsid w:val="00C31B08"/>
    <w:rPr>
      <w:rFonts w:ascii="Times New Roman" w:eastAsia="Times New Roman" w:hAnsi="Times New Roman" w:cs="Times New Roman"/>
      <w:snapToGrid w:val="0"/>
      <w:sz w:val="24"/>
      <w:szCs w:val="24"/>
    </w:rPr>
  </w:style>
  <w:style w:type="character" w:customStyle="1" w:styleId="Heading2Char">
    <w:name w:val="Heading 2 Char"/>
    <w:link w:val="Heading2"/>
    <w:uiPriority w:val="1"/>
    <w:rsid w:val="00C31B08"/>
    <w:rPr>
      <w:rFonts w:ascii="Times New Roman" w:eastAsia="Times New Roman" w:hAnsi="Times New Roman" w:cs="Times New Roman"/>
      <w:snapToGrid w:val="0"/>
      <w:sz w:val="24"/>
      <w:szCs w:val="24"/>
    </w:rPr>
  </w:style>
  <w:style w:type="character" w:customStyle="1" w:styleId="Heading3Char">
    <w:name w:val="Heading 3 Char"/>
    <w:link w:val="Heading3"/>
    <w:uiPriority w:val="1"/>
    <w:rsid w:val="00C31B08"/>
    <w:rPr>
      <w:rFonts w:ascii="Times New Roman" w:eastAsia="Times New Roman" w:hAnsi="Times New Roman" w:cs="Times New Roman"/>
      <w:snapToGrid w:val="0"/>
      <w:sz w:val="24"/>
      <w:szCs w:val="24"/>
    </w:rPr>
  </w:style>
  <w:style w:type="character" w:customStyle="1" w:styleId="Heading4Char">
    <w:name w:val="Heading 4 Char"/>
    <w:link w:val="Heading4"/>
    <w:uiPriority w:val="1"/>
    <w:rsid w:val="00C31B08"/>
    <w:rPr>
      <w:rFonts w:ascii="Times New Roman" w:eastAsia="Times New Roman" w:hAnsi="Times New Roman" w:cs="Times New Roman"/>
      <w:snapToGrid w:val="0"/>
      <w:sz w:val="24"/>
      <w:szCs w:val="24"/>
    </w:rPr>
  </w:style>
  <w:style w:type="character" w:customStyle="1" w:styleId="Heading5Char">
    <w:name w:val="Heading 5 Char"/>
    <w:link w:val="Heading5"/>
    <w:uiPriority w:val="1"/>
    <w:rsid w:val="00C31B08"/>
    <w:rPr>
      <w:rFonts w:ascii="Times New Roman" w:eastAsia="Times New Roman" w:hAnsi="Times New Roman" w:cs="Times New Roman"/>
      <w:snapToGrid w:val="0"/>
      <w:sz w:val="24"/>
      <w:szCs w:val="24"/>
    </w:rPr>
  </w:style>
  <w:style w:type="character" w:customStyle="1" w:styleId="Heading6Char">
    <w:name w:val="Heading 6 Char"/>
    <w:link w:val="Heading6"/>
    <w:uiPriority w:val="1"/>
    <w:rsid w:val="00C31B08"/>
    <w:rPr>
      <w:rFonts w:ascii="Times New Roman" w:eastAsia="Times New Roman" w:hAnsi="Times New Roman" w:cs="Times New Roman"/>
      <w:sz w:val="24"/>
      <w:szCs w:val="24"/>
    </w:rPr>
  </w:style>
  <w:style w:type="character" w:customStyle="1" w:styleId="Heading7Char">
    <w:name w:val="Heading 7 Char"/>
    <w:link w:val="Heading7"/>
    <w:uiPriority w:val="1"/>
    <w:rsid w:val="00C31B08"/>
    <w:rPr>
      <w:rFonts w:ascii="Times New Roman" w:eastAsia="Times New Roman" w:hAnsi="Times New Roman" w:cs="Times New Roman"/>
      <w:sz w:val="24"/>
      <w:szCs w:val="24"/>
    </w:rPr>
  </w:style>
  <w:style w:type="character" w:customStyle="1" w:styleId="Heading8Char">
    <w:name w:val="Heading 8 Char"/>
    <w:link w:val="Heading8"/>
    <w:uiPriority w:val="1"/>
    <w:rsid w:val="00C31B08"/>
    <w:rPr>
      <w:rFonts w:ascii="Times New Roman" w:eastAsia="Times New Roman" w:hAnsi="Times New Roman" w:cs="Times New Roman"/>
      <w:sz w:val="24"/>
      <w:szCs w:val="24"/>
    </w:rPr>
  </w:style>
  <w:style w:type="character" w:customStyle="1" w:styleId="Heading9Char">
    <w:name w:val="Heading 9 Char"/>
    <w:link w:val="Heading9"/>
    <w:uiPriority w:val="1"/>
    <w:rsid w:val="00C31B08"/>
    <w:rPr>
      <w:rFonts w:ascii="Times New Roman" w:eastAsia="Times New Roman" w:hAnsi="Times New Roman" w:cs="Times New Roman"/>
      <w:sz w:val="24"/>
      <w:szCs w:val="24"/>
    </w:rPr>
  </w:style>
  <w:style w:type="paragraph" w:customStyle="1" w:styleId="MarysStyle">
    <w:name w:val="Mary's Style"/>
    <w:basedOn w:val="Normal"/>
    <w:uiPriority w:val="19"/>
    <w:semiHidden/>
    <w:rsid w:val="00C31B08"/>
    <w:rPr>
      <w:rFonts w:ascii="Chiller" w:hAnsi="Chiller"/>
      <w:color w:val="5F497A"/>
      <w:sz w:val="32"/>
    </w:rPr>
  </w:style>
  <w:style w:type="paragraph" w:styleId="Title">
    <w:name w:val="Title"/>
    <w:basedOn w:val="Normal"/>
    <w:link w:val="TitleChar"/>
    <w:uiPriority w:val="1"/>
    <w:qFormat/>
    <w:rsid w:val="00C31B08"/>
    <w:pPr>
      <w:spacing w:before="240" w:after="60"/>
      <w:jc w:val="center"/>
      <w:outlineLvl w:val="0"/>
    </w:pPr>
    <w:rPr>
      <w:rFonts w:cs="Arial"/>
      <w:b/>
      <w:bCs/>
      <w:kern w:val="28"/>
      <w:sz w:val="36"/>
      <w:szCs w:val="32"/>
    </w:rPr>
  </w:style>
  <w:style w:type="character" w:customStyle="1" w:styleId="TitleChar">
    <w:name w:val="Title Char"/>
    <w:link w:val="Title"/>
    <w:uiPriority w:val="1"/>
    <w:rsid w:val="00C31B08"/>
    <w:rPr>
      <w:rFonts w:ascii="Times New Roman" w:eastAsia="Times New Roman" w:hAnsi="Times New Roman" w:cs="Arial"/>
      <w:b/>
      <w:bCs/>
      <w:kern w:val="28"/>
      <w:sz w:val="36"/>
      <w:szCs w:val="32"/>
    </w:rPr>
  </w:style>
  <w:style w:type="paragraph" w:styleId="FootnoteText">
    <w:name w:val="footnote text"/>
    <w:basedOn w:val="Normal"/>
    <w:link w:val="FootnoteTextChar"/>
    <w:uiPriority w:val="99"/>
    <w:unhideWhenUsed/>
    <w:rsid w:val="00BE2AAE"/>
    <w:pPr>
      <w:spacing w:after="0" w:line="240" w:lineRule="auto"/>
    </w:pPr>
    <w:rPr>
      <w:sz w:val="20"/>
      <w:szCs w:val="20"/>
    </w:rPr>
  </w:style>
  <w:style w:type="character" w:customStyle="1" w:styleId="FootnoteTextChar">
    <w:name w:val="Footnote Text Char"/>
    <w:basedOn w:val="DefaultParagraphFont"/>
    <w:link w:val="FootnoteText"/>
    <w:uiPriority w:val="99"/>
    <w:rsid w:val="00BE2AAE"/>
    <w:rPr>
      <w:rFonts w:eastAsiaTheme="minorHAnsi"/>
      <w:sz w:val="20"/>
      <w:szCs w:val="20"/>
    </w:rPr>
  </w:style>
  <w:style w:type="character" w:styleId="FootnoteReference">
    <w:name w:val="footnote reference"/>
    <w:basedOn w:val="DefaultParagraphFont"/>
    <w:uiPriority w:val="99"/>
    <w:unhideWhenUsed/>
    <w:rsid w:val="00BE2AAE"/>
    <w:rPr>
      <w:vertAlign w:val="superscript"/>
    </w:rPr>
  </w:style>
  <w:style w:type="paragraph" w:styleId="ListParagraph">
    <w:name w:val="List Paragraph"/>
    <w:basedOn w:val="Normal"/>
    <w:link w:val="ListParagraphChar"/>
    <w:uiPriority w:val="34"/>
    <w:qFormat/>
    <w:rsid w:val="00BE2AAE"/>
    <w:pPr>
      <w:spacing w:line="259" w:lineRule="auto"/>
      <w:ind w:left="720"/>
      <w:contextualSpacing/>
    </w:pPr>
  </w:style>
  <w:style w:type="character" w:customStyle="1" w:styleId="ListParagraphChar">
    <w:name w:val="List Paragraph Char"/>
    <w:basedOn w:val="DefaultParagraphFont"/>
    <w:link w:val="ListParagraph"/>
    <w:uiPriority w:val="34"/>
    <w:rsid w:val="00BE2AAE"/>
    <w:rPr>
      <w:rFonts w:eastAsiaTheme="minorHAnsi"/>
    </w:rPr>
  </w:style>
  <w:style w:type="table" w:styleId="TableGrid">
    <w:name w:val="Table Grid"/>
    <w:basedOn w:val="TableNormal"/>
    <w:uiPriority w:val="39"/>
    <w:rsid w:val="00BE2AA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BE2AAE"/>
    <w:pPr>
      <w:widowControl w:val="0"/>
      <w:spacing w:before="10" w:after="0" w:line="240" w:lineRule="auto"/>
      <w:ind w:left="20"/>
    </w:pPr>
    <w:rPr>
      <w:rFonts w:ascii="Times New Roman" w:eastAsia="Times New Roman" w:hAnsi="Times New Roman"/>
      <w:sz w:val="19"/>
      <w:szCs w:val="19"/>
    </w:rPr>
  </w:style>
  <w:style w:type="character" w:customStyle="1" w:styleId="BodyTextChar">
    <w:name w:val="Body Text Char"/>
    <w:basedOn w:val="DefaultParagraphFont"/>
    <w:link w:val="BodyText"/>
    <w:uiPriority w:val="1"/>
    <w:rsid w:val="00BE2AAE"/>
    <w:rPr>
      <w:rFonts w:ascii="Times New Roman" w:hAnsi="Times New Roman"/>
      <w:sz w:val="19"/>
      <w:szCs w:val="19"/>
    </w:rPr>
  </w:style>
  <w:style w:type="paragraph" w:customStyle="1" w:styleId="Default">
    <w:name w:val="Default"/>
    <w:rsid w:val="00BE2AAE"/>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BE2AAE"/>
    <w:rPr>
      <w:color w:val="0563C1" w:themeColor="hyperlink"/>
      <w:u w:val="single"/>
    </w:rPr>
  </w:style>
  <w:style w:type="character" w:styleId="CommentReference">
    <w:name w:val="annotation reference"/>
    <w:basedOn w:val="DefaultParagraphFont"/>
    <w:uiPriority w:val="99"/>
    <w:semiHidden/>
    <w:unhideWhenUsed/>
    <w:rsid w:val="00BE2AAE"/>
    <w:rPr>
      <w:sz w:val="16"/>
      <w:szCs w:val="16"/>
    </w:rPr>
  </w:style>
  <w:style w:type="paragraph" w:styleId="CommentText">
    <w:name w:val="annotation text"/>
    <w:basedOn w:val="Normal"/>
    <w:link w:val="CommentTextChar"/>
    <w:uiPriority w:val="99"/>
    <w:unhideWhenUsed/>
    <w:rsid w:val="00BE2AAE"/>
    <w:pPr>
      <w:spacing w:line="240" w:lineRule="auto"/>
    </w:pPr>
    <w:rPr>
      <w:sz w:val="20"/>
      <w:szCs w:val="20"/>
    </w:rPr>
  </w:style>
  <w:style w:type="character" w:customStyle="1" w:styleId="CommentTextChar">
    <w:name w:val="Comment Text Char"/>
    <w:basedOn w:val="DefaultParagraphFont"/>
    <w:link w:val="CommentText"/>
    <w:uiPriority w:val="99"/>
    <w:rsid w:val="00BE2AAE"/>
    <w:rPr>
      <w:rFonts w:eastAsiaTheme="minorHAnsi"/>
      <w:sz w:val="20"/>
      <w:szCs w:val="20"/>
    </w:rPr>
  </w:style>
  <w:style w:type="paragraph" w:styleId="NormalWeb">
    <w:name w:val="Normal (Web)"/>
    <w:basedOn w:val="Normal"/>
    <w:uiPriority w:val="99"/>
    <w:unhideWhenUsed/>
    <w:rsid w:val="00BE2AAE"/>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5707AC"/>
    <w:rPr>
      <w:b/>
      <w:bCs/>
    </w:rPr>
  </w:style>
  <w:style w:type="character" w:customStyle="1" w:styleId="CommentSubjectChar">
    <w:name w:val="Comment Subject Char"/>
    <w:basedOn w:val="CommentTextChar"/>
    <w:link w:val="CommentSubject"/>
    <w:uiPriority w:val="99"/>
    <w:semiHidden/>
    <w:rsid w:val="005707AC"/>
    <w:rPr>
      <w:rFonts w:eastAsiaTheme="minorHAnsi"/>
      <w:b/>
      <w:bCs/>
      <w:sz w:val="20"/>
      <w:szCs w:val="20"/>
    </w:rPr>
  </w:style>
  <w:style w:type="paragraph" w:styleId="Revision">
    <w:name w:val="Revision"/>
    <w:hidden/>
    <w:uiPriority w:val="99"/>
    <w:semiHidden/>
    <w:rsid w:val="008B2036"/>
    <w:pPr>
      <w:spacing w:after="0" w:line="240" w:lineRule="auto"/>
    </w:pPr>
    <w:rPr>
      <w:rFonts w:eastAsiaTheme="minorHAnsi"/>
    </w:rPr>
  </w:style>
  <w:style w:type="paragraph" w:styleId="BalloonText">
    <w:name w:val="Balloon Text"/>
    <w:basedOn w:val="Normal"/>
    <w:link w:val="BalloonTextChar"/>
    <w:uiPriority w:val="99"/>
    <w:semiHidden/>
    <w:unhideWhenUsed/>
    <w:rsid w:val="005625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2547"/>
    <w:rPr>
      <w:rFonts w:ascii="Segoe UI" w:eastAsiaTheme="minorHAnsi" w:hAnsi="Segoe UI" w:cs="Segoe UI"/>
      <w:sz w:val="18"/>
      <w:szCs w:val="18"/>
    </w:rPr>
  </w:style>
  <w:style w:type="character" w:customStyle="1" w:styleId="cf01">
    <w:name w:val="cf01"/>
    <w:basedOn w:val="DefaultParagraphFont"/>
    <w:rsid w:val="00541842"/>
    <w:rPr>
      <w:rFonts w:ascii="Segoe UI" w:hAnsi="Segoe UI" w:cs="Segoe UI" w:hint="default"/>
      <w:sz w:val="18"/>
      <w:szCs w:val="18"/>
    </w:rPr>
  </w:style>
  <w:style w:type="paragraph" w:customStyle="1" w:styleId="pf0">
    <w:name w:val="pf0"/>
    <w:basedOn w:val="Normal"/>
    <w:rsid w:val="00A2611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A30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304F"/>
    <w:rPr>
      <w:rFonts w:eastAsiaTheme="minorHAnsi"/>
    </w:rPr>
  </w:style>
  <w:style w:type="paragraph" w:styleId="Footer">
    <w:name w:val="footer"/>
    <w:basedOn w:val="Normal"/>
    <w:link w:val="FooterChar"/>
    <w:uiPriority w:val="99"/>
    <w:unhideWhenUsed/>
    <w:rsid w:val="00DA30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304F"/>
    <w:rPr>
      <w:rFonts w:eastAsiaTheme="minorHAnsi"/>
    </w:rPr>
  </w:style>
  <w:style w:type="paragraph" w:customStyle="1" w:styleId="DocID">
    <w:name w:val="DocID"/>
    <w:basedOn w:val="Normal"/>
    <w:qFormat/>
    <w:rsid w:val="003F6D71"/>
    <w:pPr>
      <w:suppressAutoHyphens/>
      <w:spacing w:after="0" w:line="240" w:lineRule="auto"/>
    </w:pPr>
    <w:rPr>
      <w:rFonts w:ascii="Times New Roman" w:eastAsia="Times New Roman" w:hAnsi="Times New Roman" w:cs="Times New Roman"/>
      <w:sz w:val="16"/>
      <w:szCs w:val="16"/>
    </w:rPr>
  </w:style>
  <w:style w:type="character" w:styleId="UnresolvedMention">
    <w:name w:val="Unresolved Mention"/>
    <w:basedOn w:val="DefaultParagraphFont"/>
    <w:uiPriority w:val="99"/>
    <w:semiHidden/>
    <w:unhideWhenUsed/>
    <w:rsid w:val="00C912FB"/>
    <w:rPr>
      <w:color w:val="605E5C"/>
      <w:shd w:val="clear" w:color="auto" w:fill="E1DFDD"/>
    </w:rPr>
  </w:style>
  <w:style w:type="character" w:styleId="FollowedHyperlink">
    <w:name w:val="FollowedHyperlink"/>
    <w:basedOn w:val="DefaultParagraphFont"/>
    <w:uiPriority w:val="99"/>
    <w:semiHidden/>
    <w:unhideWhenUsed/>
    <w:rsid w:val="00CC743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9326807">
      <w:bodyDiv w:val="1"/>
      <w:marLeft w:val="0"/>
      <w:marRight w:val="0"/>
      <w:marTop w:val="0"/>
      <w:marBottom w:val="0"/>
      <w:divBdr>
        <w:top w:val="none" w:sz="0" w:space="0" w:color="auto"/>
        <w:left w:val="none" w:sz="0" w:space="0" w:color="auto"/>
        <w:bottom w:val="none" w:sz="0" w:space="0" w:color="auto"/>
        <w:right w:val="none" w:sz="0" w:space="0" w:color="auto"/>
      </w:divBdr>
    </w:div>
    <w:div w:id="1170950194">
      <w:bodyDiv w:val="1"/>
      <w:marLeft w:val="0"/>
      <w:marRight w:val="0"/>
      <w:marTop w:val="0"/>
      <w:marBottom w:val="0"/>
      <w:divBdr>
        <w:top w:val="none" w:sz="0" w:space="0" w:color="auto"/>
        <w:left w:val="none" w:sz="0" w:space="0" w:color="auto"/>
        <w:bottom w:val="none" w:sz="0" w:space="0" w:color="auto"/>
        <w:right w:val="none" w:sz="0" w:space="0" w:color="auto"/>
      </w:divBdr>
    </w:div>
    <w:div w:id="1432582019">
      <w:bodyDiv w:val="1"/>
      <w:marLeft w:val="0"/>
      <w:marRight w:val="0"/>
      <w:marTop w:val="0"/>
      <w:marBottom w:val="0"/>
      <w:divBdr>
        <w:top w:val="none" w:sz="0" w:space="0" w:color="auto"/>
        <w:left w:val="none" w:sz="0" w:space="0" w:color="auto"/>
        <w:bottom w:val="none" w:sz="0" w:space="0" w:color="auto"/>
        <w:right w:val="none" w:sz="0" w:space="0" w:color="auto"/>
      </w:divBdr>
    </w:div>
    <w:div w:id="1521316841">
      <w:bodyDiv w:val="1"/>
      <w:marLeft w:val="0"/>
      <w:marRight w:val="0"/>
      <w:marTop w:val="0"/>
      <w:marBottom w:val="0"/>
      <w:divBdr>
        <w:top w:val="none" w:sz="0" w:space="0" w:color="auto"/>
        <w:left w:val="none" w:sz="0" w:space="0" w:color="auto"/>
        <w:bottom w:val="none" w:sz="0" w:space="0" w:color="auto"/>
        <w:right w:val="none" w:sz="0" w:space="0" w:color="auto"/>
      </w:divBdr>
    </w:div>
    <w:div w:id="1668096726">
      <w:bodyDiv w:val="1"/>
      <w:marLeft w:val="0"/>
      <w:marRight w:val="0"/>
      <w:marTop w:val="0"/>
      <w:marBottom w:val="0"/>
      <w:divBdr>
        <w:top w:val="none" w:sz="0" w:space="0" w:color="auto"/>
        <w:left w:val="none" w:sz="0" w:space="0" w:color="auto"/>
        <w:bottom w:val="none" w:sz="0" w:space="0" w:color="auto"/>
        <w:right w:val="none" w:sz="0" w:space="0" w:color="auto"/>
      </w:divBdr>
    </w:div>
    <w:div w:id="2072923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ncbi.nlm.nih.gov/pmc/articles/PMC9498666/" TargetMode="External"/><Relationship Id="rId13" Type="http://schemas.openxmlformats.org/officeDocument/2006/relationships/hyperlink" Target="https://www.ncbi.nlm.nih.gov/pmc/articles/PMC6754202/" TargetMode="External"/><Relationship Id="rId3" Type="http://schemas.openxmlformats.org/officeDocument/2006/relationships/hyperlink" Target="https://worldpopulationreview.com/us-cities/Plymouth-ma-population" TargetMode="External"/><Relationship Id="rId7" Type="http://schemas.openxmlformats.org/officeDocument/2006/relationships/hyperlink" Target="https://www.ncbi.nlm.nih.gov/pmc/articles/PMC9498666/" TargetMode="External"/><Relationship Id="rId12" Type="http://schemas.openxmlformats.org/officeDocument/2006/relationships/hyperlink" Target="https://www.ncbi.nlm.nih.gov/pmc/articles/PMC6754202/" TargetMode="External"/><Relationship Id="rId2" Type="http://schemas.openxmlformats.org/officeDocument/2006/relationships/hyperlink" Target="https://censusreporter.org/profiles/31000US14460-boston-cambridge-newton-ma-nh-metro-area/" TargetMode="External"/><Relationship Id="rId1" Type="http://schemas.openxmlformats.org/officeDocument/2006/relationships/hyperlink" Target="https://censusreporter.org/profiles/31000US14460-boston-cambridge-newton-ma-nh-metro-area/" TargetMode="External"/><Relationship Id="rId6" Type="http://schemas.openxmlformats.org/officeDocument/2006/relationships/hyperlink" Target="https://donahue.umass.edu/business-groups/economic-public-policy-research/massachusetts-population-estimates-program/population-projections" TargetMode="External"/><Relationship Id="rId11" Type="http://schemas.openxmlformats.org/officeDocument/2006/relationships/hyperlink" Target="https://www.hindawi.com/journals/aem/2014/495219/" TargetMode="External"/><Relationship Id="rId5" Type="http://schemas.openxmlformats.org/officeDocument/2006/relationships/hyperlink" Target="https://donahue.umass.edu/business-groups/economic-public-policy-research/massachusetts-population-estimates-program/population-projections" TargetMode="External"/><Relationship Id="rId15" Type="http://schemas.openxmlformats.org/officeDocument/2006/relationships/hyperlink" Target="https://www.aamc.org/news/treating-mental-illness-ed" TargetMode="External"/><Relationship Id="rId10" Type="http://schemas.openxmlformats.org/officeDocument/2006/relationships/hyperlink" Target="https://www.hindawi.com/journals/aem/2014/495219/" TargetMode="External"/><Relationship Id="rId4" Type="http://schemas.openxmlformats.org/officeDocument/2006/relationships/hyperlink" Target="https://worldpopulationreview.com/us-cities/Plymouth-ma-population" TargetMode="External"/><Relationship Id="rId9" Type="http://schemas.openxmlformats.org/officeDocument/2006/relationships/hyperlink" Target="https://www.ncbi.nlm.nih.gov/pmc/articles/PMC9498666/" TargetMode="External"/><Relationship Id="rId14" Type="http://schemas.openxmlformats.org/officeDocument/2006/relationships/hyperlink" Target="https://www.aamc.org/news/treating-mental-illness-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AAE5D-197D-4392-8161-06F43E7F4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18</Pages>
  <Words>8843</Words>
  <Characters>50408</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Husch Blackwell LLP</Company>
  <LinksUpToDate>false</LinksUpToDate>
  <CharactersWithSpaces>59133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Healy, Terry</dc:creator>
  <cp:keywords/>
  <dc:description/>
  <cp:lastModifiedBy>Marks, Brett (DPH)</cp:lastModifiedBy>
  <cp:revision>10</cp:revision>
  <cp:lastPrinted>2024-04-04T14:44:00Z</cp:lastPrinted>
  <dcterms:created xsi:type="dcterms:W3CDTF">2024-07-25T15:44:00Z</dcterms:created>
  <dcterms:modified xsi:type="dcterms:W3CDTF">2024-08-06T16:59:00Z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HB: 4890-6120-9509.7</vt:lpwstr>
  </property>
  <property fmtid="{D5CDD505-2E9C-101B-9397-08002B2CF9AE}" pid="3" name="DocXFormat">
    <vt:lpwstr>HB DocID w/ver w/HB Label</vt:lpwstr>
  </property>
  <property fmtid="{D5CDD505-2E9C-101B-9397-08002B2CF9AE}" pid="4" name="DocXLocation">
    <vt:lpwstr>NoDocId</vt:lpwstr>
  </property>
  <property fmtid="{D5CDD505-2E9C-101B-9397-08002B2CF9AE}" pid="5" name="ndDocumentId">
    <vt:lpwstr>4890-6120-9509</vt:lpwstr>
  </property>
</Properties>
</file>