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4F5E" w14:textId="60A80764" w:rsidR="000533BD" w:rsidRPr="0033434E" w:rsidRDefault="000533BD" w:rsidP="000533BD">
      <w:pPr>
        <w:spacing w:after="0" w:line="240" w:lineRule="auto"/>
        <w:jc w:val="both"/>
        <w:rPr>
          <w:rFonts w:ascii="Arial" w:eastAsia="Arial" w:hAnsi="Arial" w:cs="Arial"/>
          <w:b/>
          <w:kern w:val="2"/>
        </w:rPr>
      </w:pPr>
      <w:r w:rsidRPr="000E1E8A">
        <w:rPr>
          <w:rFonts w:ascii="Arial" w:hAnsi="Arial"/>
          <w:b/>
          <w:kern w:val="2"/>
        </w:rPr>
        <w:t>2. Project Description</w:t>
      </w:r>
    </w:p>
    <w:p w14:paraId="6DB68F56" w14:textId="5FF41737" w:rsidR="003D6967" w:rsidRDefault="003D6967" w:rsidP="00D9191E">
      <w:pPr>
        <w:spacing w:after="0" w:line="240" w:lineRule="auto"/>
        <w:jc w:val="both"/>
        <w:rPr>
          <w:rFonts w:ascii="Arial" w:eastAsia="Times New Roman" w:hAnsi="Arial" w:cs="Arial"/>
          <w:kern w:val="2"/>
          <w:sz w:val="20"/>
          <w:szCs w:val="20"/>
        </w:rPr>
      </w:pPr>
    </w:p>
    <w:p w14:paraId="1DBD5872" w14:textId="1FB5551B" w:rsidR="00E13861" w:rsidRPr="00E13861" w:rsidRDefault="00E13861" w:rsidP="00E13861">
      <w:pPr>
        <w:spacing w:after="0" w:line="240" w:lineRule="auto"/>
        <w:jc w:val="both"/>
        <w:rPr>
          <w:rFonts w:ascii="Arial" w:eastAsia="Times New Roman" w:hAnsi="Arial" w:cs="Arial"/>
          <w:kern w:val="2"/>
          <w:sz w:val="20"/>
          <w:szCs w:val="20"/>
        </w:rPr>
      </w:pPr>
      <w:r w:rsidRPr="00EE65F5">
        <w:rPr>
          <w:rFonts w:ascii="Arial" w:hAnsi="Arial" w:cs="Arial"/>
          <w:sz w:val="20"/>
          <w:szCs w:val="20"/>
        </w:rPr>
        <w:t>Beth Israel Lahey Health, Inc. (the “Applicant”</w:t>
      </w:r>
      <w:r>
        <w:rPr>
          <w:rFonts w:ascii="Arial" w:hAnsi="Arial" w:cs="Arial"/>
          <w:sz w:val="20"/>
          <w:szCs w:val="20"/>
        </w:rPr>
        <w:t xml:space="preserve"> or “BILH”</w:t>
      </w:r>
      <w:r w:rsidRPr="00EE65F5">
        <w:rPr>
          <w:rFonts w:ascii="Arial" w:hAnsi="Arial" w:cs="Arial"/>
          <w:sz w:val="20"/>
          <w:szCs w:val="20"/>
        </w:rPr>
        <w:t xml:space="preserve">), with a principal place of business at 20 University Road, Suite 700, Cambridge, MA 02138, </w:t>
      </w:r>
      <w:r>
        <w:rPr>
          <w:rFonts w:ascii="Arial" w:hAnsi="Arial" w:cs="Arial"/>
          <w:sz w:val="20"/>
          <w:szCs w:val="20"/>
        </w:rPr>
        <w:t>is filing</w:t>
      </w:r>
      <w:r w:rsidRPr="00EE65F5">
        <w:rPr>
          <w:rFonts w:ascii="Arial" w:hAnsi="Arial" w:cs="Arial"/>
          <w:sz w:val="20"/>
          <w:szCs w:val="20"/>
        </w:rPr>
        <w:t xml:space="preserve"> a Notice of Determination of Need (“</w:t>
      </w:r>
      <w:r>
        <w:rPr>
          <w:rFonts w:ascii="Arial" w:hAnsi="Arial" w:cs="Arial"/>
          <w:sz w:val="20"/>
          <w:szCs w:val="20"/>
        </w:rPr>
        <w:t>Application</w:t>
      </w:r>
      <w:r w:rsidRPr="00EE65F5">
        <w:rPr>
          <w:rFonts w:ascii="Arial" w:hAnsi="Arial" w:cs="Arial"/>
          <w:sz w:val="20"/>
          <w:szCs w:val="20"/>
        </w:rPr>
        <w:t>”)</w:t>
      </w:r>
      <w:r>
        <w:rPr>
          <w:rFonts w:ascii="Arial" w:hAnsi="Arial" w:cs="Arial"/>
          <w:sz w:val="20"/>
          <w:szCs w:val="20"/>
        </w:rPr>
        <w:t xml:space="preserve"> with the Department of Public Health (“DPH”) </w:t>
      </w:r>
      <w:r>
        <w:rPr>
          <w:rFonts w:ascii="Arial" w:eastAsia="Times New Roman" w:hAnsi="Arial" w:cs="Arial"/>
          <w:kern w:val="2"/>
          <w:sz w:val="20"/>
          <w:szCs w:val="20"/>
        </w:rPr>
        <w:t xml:space="preserve">to acquire a computed tomography (“CT”) unit for </w:t>
      </w:r>
      <w:r w:rsidRPr="00E13861">
        <w:rPr>
          <w:rFonts w:ascii="Arial" w:eastAsia="Times New Roman" w:hAnsi="Arial" w:cs="Arial"/>
          <w:kern w:val="2"/>
          <w:sz w:val="20"/>
          <w:szCs w:val="20"/>
        </w:rPr>
        <w:t xml:space="preserve">operation at </w:t>
      </w:r>
      <w:r w:rsidRPr="00E13861">
        <w:rPr>
          <w:rFonts w:ascii="Arial" w:hAnsi="Arial" w:cs="Arial"/>
          <w:sz w:val="20"/>
          <w:szCs w:val="20"/>
        </w:rPr>
        <w:t xml:space="preserve">Anna </w:t>
      </w:r>
      <w:proofErr w:type="spellStart"/>
      <w:r w:rsidRPr="00E13861">
        <w:rPr>
          <w:rFonts w:ascii="Arial" w:hAnsi="Arial" w:cs="Arial"/>
          <w:sz w:val="20"/>
          <w:szCs w:val="20"/>
        </w:rPr>
        <w:t>Jaques</w:t>
      </w:r>
      <w:proofErr w:type="spellEnd"/>
      <w:r w:rsidRPr="00E13861">
        <w:rPr>
          <w:rFonts w:ascii="Arial" w:hAnsi="Arial" w:cs="Arial"/>
          <w:sz w:val="20"/>
          <w:szCs w:val="20"/>
        </w:rPr>
        <w:t xml:space="preserve"> Hospital</w:t>
      </w:r>
      <w:r>
        <w:rPr>
          <w:rFonts w:ascii="Arial" w:hAnsi="Arial" w:cs="Arial"/>
          <w:sz w:val="20"/>
          <w:szCs w:val="20"/>
        </w:rPr>
        <w:t xml:space="preserve"> (“AJH” or “Hospital”)</w:t>
      </w:r>
      <w:r w:rsidRPr="00E13861">
        <w:rPr>
          <w:rFonts w:ascii="Arial" w:hAnsi="Arial" w:cs="Arial"/>
          <w:sz w:val="20"/>
          <w:szCs w:val="20"/>
        </w:rPr>
        <w:t xml:space="preserve"> located at 25 Highland Avenue, Newburyport, Massachusetts 01950. </w:t>
      </w:r>
      <w:r w:rsidRPr="00E13861">
        <w:rPr>
          <w:rFonts w:ascii="Arial" w:eastAsia="Times New Roman" w:hAnsi="Arial" w:cs="Arial"/>
          <w:kern w:val="2"/>
          <w:sz w:val="20"/>
          <w:szCs w:val="20"/>
        </w:rPr>
        <w:t xml:space="preserve">The Hospital currently has one CT unit. With the addition of the proposed unit, </w:t>
      </w:r>
      <w:r>
        <w:rPr>
          <w:rFonts w:ascii="Arial" w:eastAsia="Times New Roman" w:hAnsi="Arial" w:cs="Arial"/>
          <w:kern w:val="2"/>
          <w:sz w:val="20"/>
          <w:szCs w:val="20"/>
        </w:rPr>
        <w:t>AJH</w:t>
      </w:r>
      <w:r w:rsidRPr="00E13861">
        <w:rPr>
          <w:rFonts w:ascii="Arial" w:eastAsia="Times New Roman" w:hAnsi="Arial" w:cs="Arial"/>
          <w:kern w:val="2"/>
          <w:sz w:val="20"/>
          <w:szCs w:val="20"/>
        </w:rPr>
        <w:t xml:space="preserve"> will have two CT units to meet the need</w:t>
      </w:r>
      <w:r w:rsidR="00735D64">
        <w:rPr>
          <w:rFonts w:ascii="Arial" w:eastAsia="Times New Roman" w:hAnsi="Arial" w:cs="Arial"/>
          <w:kern w:val="2"/>
          <w:sz w:val="20"/>
          <w:szCs w:val="20"/>
        </w:rPr>
        <w:t>s</w:t>
      </w:r>
      <w:r w:rsidRPr="00E13861">
        <w:rPr>
          <w:rFonts w:ascii="Arial" w:eastAsia="Times New Roman" w:hAnsi="Arial" w:cs="Arial"/>
          <w:kern w:val="2"/>
          <w:sz w:val="20"/>
          <w:szCs w:val="20"/>
        </w:rPr>
        <w:t xml:space="preserve"> of its </w:t>
      </w:r>
      <w:r>
        <w:rPr>
          <w:rFonts w:ascii="Arial" w:eastAsia="Times New Roman" w:hAnsi="Arial" w:cs="Arial"/>
          <w:kern w:val="2"/>
          <w:sz w:val="20"/>
          <w:szCs w:val="20"/>
        </w:rPr>
        <w:t>patient population</w:t>
      </w:r>
      <w:r w:rsidRPr="00E13861">
        <w:rPr>
          <w:rFonts w:ascii="Arial" w:eastAsia="Times New Roman" w:hAnsi="Arial" w:cs="Arial"/>
          <w:kern w:val="2"/>
          <w:sz w:val="20"/>
          <w:szCs w:val="20"/>
        </w:rPr>
        <w:t xml:space="preserve">. </w:t>
      </w:r>
    </w:p>
    <w:p w14:paraId="03F6D280" w14:textId="77777777" w:rsidR="00E13861" w:rsidRPr="00E13861" w:rsidRDefault="00E13861" w:rsidP="00E13861">
      <w:pPr>
        <w:spacing w:after="0" w:line="240" w:lineRule="auto"/>
        <w:jc w:val="both"/>
        <w:rPr>
          <w:rFonts w:ascii="Arial" w:eastAsia="Times New Roman" w:hAnsi="Arial" w:cs="Arial"/>
          <w:kern w:val="2"/>
          <w:sz w:val="20"/>
          <w:szCs w:val="20"/>
        </w:rPr>
      </w:pPr>
    </w:p>
    <w:p w14:paraId="3F336E94" w14:textId="0CA54742" w:rsidR="00E13861" w:rsidRPr="00F23802" w:rsidRDefault="00E13861" w:rsidP="00E13861">
      <w:pPr>
        <w:spacing w:after="0" w:line="240" w:lineRule="auto"/>
        <w:jc w:val="both"/>
        <w:rPr>
          <w:rFonts w:ascii="Arial" w:eastAsia="Times New Roman" w:hAnsi="Arial" w:cs="Arial"/>
          <w:color w:val="000000" w:themeColor="text1"/>
          <w:kern w:val="2"/>
          <w:sz w:val="20"/>
          <w:szCs w:val="20"/>
        </w:rPr>
      </w:pPr>
      <w:r>
        <w:rPr>
          <w:rFonts w:ascii="Arial" w:eastAsia="Times New Roman" w:hAnsi="Arial" w:cs="Arial"/>
          <w:color w:val="000000" w:themeColor="text1"/>
          <w:kern w:val="2"/>
          <w:sz w:val="20"/>
          <w:szCs w:val="20"/>
        </w:rPr>
        <w:t>AJH is a 119-bed community hospital</w:t>
      </w:r>
      <w:r w:rsidR="00735D64">
        <w:rPr>
          <w:rFonts w:ascii="Arial" w:eastAsia="Times New Roman" w:hAnsi="Arial" w:cs="Arial"/>
          <w:color w:val="000000" w:themeColor="text1"/>
          <w:kern w:val="2"/>
          <w:sz w:val="20"/>
          <w:szCs w:val="20"/>
        </w:rPr>
        <w:t xml:space="preserve">. </w:t>
      </w:r>
      <w:r>
        <w:rPr>
          <w:rFonts w:ascii="Arial" w:eastAsia="Times New Roman" w:hAnsi="Arial" w:cs="Arial"/>
          <w:color w:val="000000" w:themeColor="text1"/>
          <w:kern w:val="2"/>
          <w:sz w:val="20"/>
          <w:szCs w:val="20"/>
        </w:rPr>
        <w:t xml:space="preserve">AJH offers cancer care, emergency medicine, hyperbaric medicine, inpatient behavioral health, interventional pulmonology, orthopedics, pain management, radiation oncology, and Women’s Health and OB/GYN care. </w:t>
      </w:r>
      <w:r w:rsidR="00735D64">
        <w:rPr>
          <w:rFonts w:ascii="Arial" w:eastAsia="Times New Roman" w:hAnsi="Arial" w:cs="Arial"/>
          <w:color w:val="000000" w:themeColor="text1"/>
          <w:kern w:val="2"/>
          <w:sz w:val="20"/>
          <w:szCs w:val="20"/>
        </w:rPr>
        <w:t>Its service area includes cities and towns in the Merrimack Valley and North Shore, regions of Massachusetts, as well as Southern New Hampshire.</w:t>
      </w:r>
    </w:p>
    <w:p w14:paraId="4B1034B9" w14:textId="2EF63E1C" w:rsidR="00492BB6" w:rsidRDefault="00492BB6" w:rsidP="00492BB6">
      <w:pPr>
        <w:spacing w:after="0" w:line="240" w:lineRule="auto"/>
        <w:jc w:val="both"/>
        <w:rPr>
          <w:rFonts w:ascii="Arial" w:eastAsia="Calibri" w:hAnsi="Arial" w:cs="Arial"/>
          <w:b/>
          <w:kern w:val="2"/>
          <w:highlight w:val="yellow"/>
        </w:rPr>
      </w:pPr>
    </w:p>
    <w:p w14:paraId="538B8205" w14:textId="25954950" w:rsidR="000E1A3D" w:rsidRDefault="000E1A3D" w:rsidP="000E1A3D">
      <w:pPr>
        <w:spacing w:after="0" w:line="240" w:lineRule="auto"/>
        <w:jc w:val="both"/>
        <w:rPr>
          <w:rFonts w:ascii="Arial" w:hAnsi="Arial" w:cs="Arial"/>
          <w:sz w:val="20"/>
          <w:szCs w:val="20"/>
        </w:rPr>
      </w:pPr>
      <w:r w:rsidRPr="00C5534D">
        <w:rPr>
          <w:rFonts w:ascii="Arial" w:eastAsia="Times New Roman" w:hAnsi="Arial" w:cs="Arial"/>
          <w:kern w:val="2"/>
          <w:sz w:val="20"/>
          <w:szCs w:val="20"/>
        </w:rPr>
        <w:t xml:space="preserve">The Proposed Project seeks to meet the needs of the Hospital’s </w:t>
      </w:r>
      <w:r>
        <w:rPr>
          <w:rFonts w:ascii="Arial" w:eastAsia="Times New Roman" w:hAnsi="Arial" w:cs="Arial"/>
          <w:kern w:val="2"/>
          <w:sz w:val="20"/>
          <w:szCs w:val="20"/>
        </w:rPr>
        <w:t>patient population</w:t>
      </w:r>
      <w:r w:rsidRPr="00C5534D">
        <w:rPr>
          <w:rFonts w:ascii="Arial" w:eastAsia="Times New Roman" w:hAnsi="Arial" w:cs="Arial"/>
          <w:kern w:val="2"/>
          <w:sz w:val="20"/>
          <w:szCs w:val="20"/>
        </w:rPr>
        <w:t xml:space="preserve"> </w:t>
      </w:r>
      <w:r>
        <w:rPr>
          <w:rFonts w:ascii="Arial" w:eastAsia="Times New Roman" w:hAnsi="Arial" w:cs="Arial"/>
          <w:kern w:val="2"/>
          <w:sz w:val="20"/>
          <w:szCs w:val="20"/>
        </w:rPr>
        <w:t>by</w:t>
      </w:r>
      <w:r w:rsidRPr="00C5534D">
        <w:rPr>
          <w:rFonts w:ascii="Arial" w:eastAsia="Times New Roman" w:hAnsi="Arial" w:cs="Arial"/>
          <w:kern w:val="2"/>
          <w:sz w:val="20"/>
          <w:szCs w:val="20"/>
        </w:rPr>
        <w:t xml:space="preserve"> </w:t>
      </w:r>
      <w:r>
        <w:rPr>
          <w:rFonts w:ascii="Arial" w:eastAsia="Times New Roman" w:hAnsi="Arial" w:cs="Arial"/>
          <w:kern w:val="2"/>
          <w:sz w:val="20"/>
          <w:szCs w:val="20"/>
        </w:rPr>
        <w:t>expanding</w:t>
      </w:r>
      <w:r w:rsidRPr="00C5534D">
        <w:rPr>
          <w:rFonts w:ascii="Arial" w:hAnsi="Arial" w:cs="Arial"/>
          <w:sz w:val="20"/>
          <w:szCs w:val="20"/>
        </w:rPr>
        <w:t xml:space="preserve"> CT capacity</w:t>
      </w:r>
      <w:r>
        <w:rPr>
          <w:rFonts w:ascii="Arial" w:hAnsi="Arial" w:cs="Arial"/>
          <w:sz w:val="20"/>
          <w:szCs w:val="20"/>
        </w:rPr>
        <w:t xml:space="preserve"> to ensure </w:t>
      </w:r>
      <w:r w:rsidRPr="00C5534D">
        <w:rPr>
          <w:rFonts w:ascii="Arial" w:eastAsia="Times New Roman" w:hAnsi="Arial" w:cs="Arial"/>
          <w:kern w:val="2"/>
          <w:sz w:val="20"/>
          <w:szCs w:val="20"/>
        </w:rPr>
        <w:t xml:space="preserve">timely </w:t>
      </w:r>
      <w:r>
        <w:rPr>
          <w:rFonts w:ascii="Arial" w:eastAsia="Times New Roman" w:hAnsi="Arial" w:cs="Arial"/>
          <w:kern w:val="2"/>
          <w:sz w:val="20"/>
          <w:szCs w:val="20"/>
        </w:rPr>
        <w:t xml:space="preserve">access to </w:t>
      </w:r>
      <w:r w:rsidRPr="00C5534D">
        <w:rPr>
          <w:rFonts w:ascii="Arial" w:eastAsia="Times New Roman" w:hAnsi="Arial" w:cs="Arial"/>
          <w:kern w:val="2"/>
          <w:sz w:val="20"/>
          <w:szCs w:val="20"/>
        </w:rPr>
        <w:t>CT imaging</w:t>
      </w:r>
      <w:r w:rsidRPr="00C5534D">
        <w:rPr>
          <w:rFonts w:ascii="Arial" w:hAnsi="Arial" w:cs="Arial"/>
          <w:sz w:val="20"/>
          <w:szCs w:val="20"/>
        </w:rPr>
        <w:t>.</w:t>
      </w:r>
      <w:r>
        <w:rPr>
          <w:rFonts w:ascii="Arial" w:hAnsi="Arial" w:cs="Arial"/>
          <w:sz w:val="20"/>
          <w:szCs w:val="20"/>
        </w:rPr>
        <w:t xml:space="preserve"> AJH has experienced an increase in CT demand due to its clinical utility in diagnosing a number of conditions quickly. With only one CT unit at AJH, downtime </w:t>
      </w:r>
      <w:r w:rsidR="00735D64">
        <w:rPr>
          <w:rFonts w:ascii="Arial" w:hAnsi="Arial" w:cs="Arial"/>
          <w:sz w:val="20"/>
          <w:szCs w:val="20"/>
        </w:rPr>
        <w:t xml:space="preserve">due to </w:t>
      </w:r>
      <w:r>
        <w:rPr>
          <w:rFonts w:ascii="Arial" w:hAnsi="Arial" w:cs="Arial"/>
          <w:sz w:val="20"/>
          <w:szCs w:val="20"/>
        </w:rPr>
        <w:t>maintenance or repair limits access to CT imaging as the Hospital has no back-up</w:t>
      </w:r>
      <w:r w:rsidR="00735D64">
        <w:rPr>
          <w:rFonts w:ascii="Arial" w:hAnsi="Arial" w:cs="Arial"/>
          <w:sz w:val="20"/>
          <w:szCs w:val="20"/>
        </w:rPr>
        <w:t xml:space="preserve">. </w:t>
      </w:r>
      <w:r w:rsidR="00C44192">
        <w:rPr>
          <w:rFonts w:ascii="Arial" w:hAnsi="Arial" w:cs="Arial"/>
          <w:sz w:val="20"/>
          <w:szCs w:val="20"/>
        </w:rPr>
        <w:t>W</w:t>
      </w:r>
      <w:r w:rsidR="00735D64">
        <w:rPr>
          <w:rFonts w:ascii="Arial" w:hAnsi="Arial" w:cs="Arial"/>
          <w:sz w:val="20"/>
          <w:szCs w:val="20"/>
        </w:rPr>
        <w:t xml:space="preserve">ith one CT to serve ED patients, inpatients, and outpatients, capacity for additional types of CT imaging is limited. </w:t>
      </w:r>
      <w:r w:rsidR="00195F23">
        <w:rPr>
          <w:rFonts w:ascii="Arial" w:hAnsi="Arial" w:cs="Arial"/>
          <w:sz w:val="20"/>
          <w:szCs w:val="20"/>
        </w:rPr>
        <w:t>Moreover,</w:t>
      </w:r>
      <w:r w:rsidR="00C44192">
        <w:rPr>
          <w:rFonts w:ascii="Arial" w:hAnsi="Arial" w:cs="Arial"/>
          <w:sz w:val="20"/>
          <w:szCs w:val="20"/>
        </w:rPr>
        <w:t xml:space="preserve"> a</w:t>
      </w:r>
      <w:r>
        <w:rPr>
          <w:rFonts w:ascii="Arial" w:hAnsi="Arial" w:cs="Arial"/>
          <w:sz w:val="20"/>
          <w:szCs w:val="20"/>
        </w:rPr>
        <w:t xml:space="preserve">ccess to CT imaging </w:t>
      </w:r>
      <w:r w:rsidR="00262588">
        <w:rPr>
          <w:rFonts w:ascii="Arial" w:hAnsi="Arial" w:cs="Arial"/>
          <w:sz w:val="20"/>
          <w:szCs w:val="20"/>
        </w:rPr>
        <w:t xml:space="preserve">often </w:t>
      </w:r>
      <w:r>
        <w:rPr>
          <w:rFonts w:ascii="Arial" w:hAnsi="Arial" w:cs="Arial"/>
          <w:sz w:val="20"/>
          <w:szCs w:val="20"/>
        </w:rPr>
        <w:t>allows</w:t>
      </w:r>
      <w:r w:rsidR="00262588">
        <w:rPr>
          <w:rFonts w:ascii="Arial" w:hAnsi="Arial" w:cs="Arial"/>
          <w:sz w:val="20"/>
          <w:szCs w:val="20"/>
        </w:rPr>
        <w:t xml:space="preserve"> for timely diagnosis</w:t>
      </w:r>
      <w:r w:rsidR="00195F23">
        <w:rPr>
          <w:rFonts w:ascii="Arial" w:hAnsi="Arial" w:cs="Arial"/>
          <w:sz w:val="20"/>
          <w:szCs w:val="20"/>
        </w:rPr>
        <w:t xml:space="preserve"> and </w:t>
      </w:r>
      <w:r>
        <w:rPr>
          <w:rFonts w:ascii="Arial" w:hAnsi="Arial" w:cs="Arial"/>
          <w:sz w:val="20"/>
          <w:szCs w:val="20"/>
        </w:rPr>
        <w:t>treatment before health status worsens</w:t>
      </w:r>
      <w:r w:rsidR="0071390E">
        <w:rPr>
          <w:rFonts w:ascii="Arial" w:hAnsi="Arial" w:cs="Arial"/>
          <w:sz w:val="20"/>
          <w:szCs w:val="20"/>
        </w:rPr>
        <w:t xml:space="preserve"> and requires</w:t>
      </w:r>
      <w:r w:rsidR="00501C60">
        <w:rPr>
          <w:rFonts w:ascii="Arial" w:hAnsi="Arial" w:cs="Arial"/>
          <w:sz w:val="20"/>
          <w:szCs w:val="20"/>
        </w:rPr>
        <w:t xml:space="preserve"> more costly intervention.</w:t>
      </w:r>
      <w:r w:rsidR="0071390E">
        <w:rPr>
          <w:rFonts w:ascii="Arial" w:hAnsi="Arial" w:cs="Arial"/>
          <w:sz w:val="20"/>
          <w:szCs w:val="20"/>
        </w:rPr>
        <w:t xml:space="preserve"> </w:t>
      </w:r>
    </w:p>
    <w:p w14:paraId="1640CA2D" w14:textId="77777777" w:rsidR="000E1A3D" w:rsidRPr="00C5534D" w:rsidRDefault="000E1A3D" w:rsidP="000E1A3D">
      <w:pPr>
        <w:spacing w:after="0" w:line="240" w:lineRule="auto"/>
        <w:jc w:val="both"/>
        <w:rPr>
          <w:rFonts w:ascii="Arial" w:hAnsi="Arial" w:cs="Arial"/>
          <w:sz w:val="20"/>
          <w:szCs w:val="20"/>
        </w:rPr>
      </w:pPr>
    </w:p>
    <w:p w14:paraId="2B5DDD08" w14:textId="6B2A3FCD" w:rsidR="000E1A3D" w:rsidRPr="00010F2F" w:rsidRDefault="000E1A3D" w:rsidP="000E1A3D">
      <w:pPr>
        <w:spacing w:after="0" w:line="240" w:lineRule="auto"/>
        <w:jc w:val="both"/>
        <w:rPr>
          <w:rFonts w:ascii="Arial" w:hAnsi="Arial" w:cs="Arial"/>
          <w:sz w:val="20"/>
          <w:szCs w:val="20"/>
        </w:rPr>
      </w:pPr>
      <w:r w:rsidRPr="00010F2F">
        <w:rPr>
          <w:rFonts w:ascii="Arial" w:hAnsi="Arial" w:cs="Arial"/>
          <w:sz w:val="20"/>
          <w:szCs w:val="20"/>
        </w:rPr>
        <w:t xml:space="preserve">In summary, the Proposed Project will meet an identified need for </w:t>
      </w:r>
      <w:r>
        <w:rPr>
          <w:rFonts w:ascii="Arial" w:hAnsi="Arial" w:cs="Arial"/>
          <w:sz w:val="20"/>
          <w:szCs w:val="20"/>
        </w:rPr>
        <w:t>AJH’s</w:t>
      </w:r>
      <w:r w:rsidRPr="00010F2F">
        <w:rPr>
          <w:rFonts w:ascii="Arial" w:hAnsi="Arial" w:cs="Arial"/>
          <w:sz w:val="20"/>
          <w:szCs w:val="20"/>
        </w:rPr>
        <w:t xml:space="preserve"> patients. Approval of Applicant’s request for a </w:t>
      </w:r>
      <w:r>
        <w:rPr>
          <w:rFonts w:ascii="Arial" w:hAnsi="Arial" w:cs="Arial"/>
          <w:sz w:val="20"/>
          <w:szCs w:val="20"/>
        </w:rPr>
        <w:t>second</w:t>
      </w:r>
      <w:r w:rsidRPr="00010F2F">
        <w:rPr>
          <w:rFonts w:ascii="Arial" w:hAnsi="Arial" w:cs="Arial"/>
          <w:sz w:val="20"/>
          <w:szCs w:val="20"/>
        </w:rPr>
        <w:t xml:space="preserve"> CT unit will increase CT capacity,</w:t>
      </w:r>
      <w:r>
        <w:rPr>
          <w:rFonts w:ascii="Arial" w:hAnsi="Arial" w:cs="Arial"/>
          <w:sz w:val="20"/>
          <w:szCs w:val="20"/>
        </w:rPr>
        <w:t xml:space="preserve"> </w:t>
      </w:r>
      <w:r w:rsidRPr="00010F2F">
        <w:rPr>
          <w:rFonts w:ascii="Arial" w:hAnsi="Arial" w:cs="Arial"/>
          <w:sz w:val="20"/>
          <w:szCs w:val="20"/>
        </w:rPr>
        <w:t>improv</w:t>
      </w:r>
      <w:r>
        <w:rPr>
          <w:rFonts w:ascii="Arial" w:hAnsi="Arial" w:cs="Arial"/>
          <w:sz w:val="20"/>
          <w:szCs w:val="20"/>
        </w:rPr>
        <w:t>e</w:t>
      </w:r>
      <w:r w:rsidRPr="00010F2F">
        <w:rPr>
          <w:rFonts w:ascii="Arial" w:hAnsi="Arial" w:cs="Arial"/>
          <w:sz w:val="20"/>
          <w:szCs w:val="20"/>
        </w:rPr>
        <w:t xml:space="preserve"> public health outcomes, patient experience and meaningfully contribut</w:t>
      </w:r>
      <w:r w:rsidR="00735D64">
        <w:rPr>
          <w:rFonts w:ascii="Arial" w:hAnsi="Arial" w:cs="Arial"/>
          <w:sz w:val="20"/>
          <w:szCs w:val="20"/>
        </w:rPr>
        <w:t>e</w:t>
      </w:r>
      <w:r w:rsidRPr="00010F2F">
        <w:rPr>
          <w:rFonts w:ascii="Arial" w:hAnsi="Arial" w:cs="Arial"/>
          <w:sz w:val="20"/>
          <w:szCs w:val="20"/>
        </w:rPr>
        <w:t xml:space="preserve"> to Massachusetts’ goals for cost containment. Accordingly, the Proposed Project meets the Determination of Ne</w:t>
      </w:r>
      <w:r>
        <w:rPr>
          <w:rFonts w:ascii="Arial" w:hAnsi="Arial" w:cs="Arial"/>
          <w:sz w:val="20"/>
          <w:szCs w:val="20"/>
        </w:rPr>
        <w:t>e</w:t>
      </w:r>
      <w:r w:rsidRPr="00010F2F">
        <w:rPr>
          <w:rFonts w:ascii="Arial" w:hAnsi="Arial" w:cs="Arial"/>
          <w:sz w:val="20"/>
          <w:szCs w:val="20"/>
        </w:rPr>
        <w:t xml:space="preserve">d factors of review. </w:t>
      </w:r>
    </w:p>
    <w:p w14:paraId="0E25C8D3" w14:textId="5A95F9AD" w:rsidR="00E13861" w:rsidRDefault="00E13861" w:rsidP="00492BB6">
      <w:pPr>
        <w:spacing w:after="0" w:line="240" w:lineRule="auto"/>
        <w:jc w:val="both"/>
        <w:rPr>
          <w:rFonts w:ascii="Arial" w:eastAsia="Calibri" w:hAnsi="Arial" w:cs="Arial"/>
          <w:b/>
          <w:kern w:val="2"/>
          <w:highlight w:val="yellow"/>
        </w:rPr>
      </w:pPr>
    </w:p>
    <w:p w14:paraId="46985670" w14:textId="77777777" w:rsidR="00E13861" w:rsidRPr="00702EAF" w:rsidRDefault="00E13861" w:rsidP="00492BB6">
      <w:pPr>
        <w:spacing w:after="0" w:line="240" w:lineRule="auto"/>
        <w:jc w:val="both"/>
        <w:rPr>
          <w:rFonts w:ascii="Arial" w:eastAsia="Calibri" w:hAnsi="Arial" w:cs="Arial"/>
          <w:b/>
          <w:kern w:val="2"/>
          <w:highlight w:val="yellow"/>
        </w:rPr>
      </w:pPr>
    </w:p>
    <w:p w14:paraId="6FFA2665" w14:textId="3D741A13" w:rsidR="001251B9" w:rsidRPr="00407CAE" w:rsidRDefault="001251B9" w:rsidP="001251B9">
      <w:pPr>
        <w:spacing w:after="0" w:line="240" w:lineRule="auto"/>
        <w:jc w:val="both"/>
        <w:rPr>
          <w:rFonts w:ascii="Arial" w:eastAsia="Calibri" w:hAnsi="Arial" w:cs="Arial"/>
          <w:b/>
          <w:kern w:val="2"/>
        </w:rPr>
      </w:pPr>
      <w:r w:rsidRPr="00407CAE">
        <w:rPr>
          <w:rFonts w:ascii="Arial" w:eastAsia="Calibri" w:hAnsi="Arial" w:cs="Arial"/>
          <w:b/>
          <w:kern w:val="2"/>
        </w:rPr>
        <w:t>Factor 1: Applicant Patient Panel Need, Public Health Values and Operational Objectives</w:t>
      </w:r>
    </w:p>
    <w:p w14:paraId="6A9FF503" w14:textId="77777777" w:rsidR="001251B9" w:rsidRPr="00407CAE" w:rsidRDefault="001251B9" w:rsidP="001251B9">
      <w:pPr>
        <w:spacing w:after="0" w:line="240" w:lineRule="auto"/>
        <w:ind w:left="185"/>
        <w:jc w:val="both"/>
        <w:rPr>
          <w:rFonts w:ascii="Arial" w:eastAsia="Arial" w:hAnsi="Arial" w:cs="Arial"/>
          <w:kern w:val="2"/>
        </w:rPr>
      </w:pPr>
    </w:p>
    <w:p w14:paraId="15876BE7" w14:textId="77777777" w:rsidR="001251B9" w:rsidRPr="00407CAE" w:rsidRDefault="001251B9" w:rsidP="001251B9">
      <w:pPr>
        <w:spacing w:after="0" w:line="240" w:lineRule="auto"/>
        <w:ind w:left="720" w:hanging="720"/>
        <w:jc w:val="both"/>
        <w:rPr>
          <w:rFonts w:ascii="Arial" w:eastAsia="Arial" w:hAnsi="Arial" w:cs="Arial"/>
          <w:kern w:val="2"/>
          <w:u w:val="single"/>
        </w:rPr>
      </w:pPr>
      <w:r w:rsidRPr="00407CAE">
        <w:rPr>
          <w:rFonts w:ascii="Arial" w:eastAsia="Calibri" w:hAnsi="Arial" w:cs="Arial"/>
          <w:b/>
          <w:kern w:val="2"/>
        </w:rPr>
        <w:t>F1.a.i</w:t>
      </w:r>
      <w:r w:rsidRPr="00407CAE">
        <w:rPr>
          <w:rFonts w:ascii="Arial" w:eastAsia="Calibri" w:hAnsi="Arial" w:cs="Arial"/>
          <w:kern w:val="2"/>
        </w:rPr>
        <w:tab/>
      </w:r>
      <w:r w:rsidRPr="00407CAE">
        <w:rPr>
          <w:rFonts w:ascii="Arial" w:eastAsia="Calibri" w:hAnsi="Arial" w:cs="Arial"/>
          <w:kern w:val="2"/>
        </w:rPr>
        <w:tab/>
      </w:r>
      <w:r w:rsidRPr="00BF44B8">
        <w:rPr>
          <w:rFonts w:ascii="Arial" w:eastAsia="Calibri" w:hAnsi="Arial" w:cs="Arial"/>
          <w:b/>
          <w:kern w:val="2"/>
          <w:u w:val="single"/>
        </w:rPr>
        <w:t>Patient Panel</w:t>
      </w:r>
      <w:r w:rsidRPr="00BF44B8">
        <w:rPr>
          <w:rFonts w:ascii="Arial" w:eastAsia="Calibri" w:hAnsi="Arial" w:cs="Arial"/>
          <w:b/>
          <w:kern w:val="2"/>
        </w:rPr>
        <w:t>:</w:t>
      </w:r>
    </w:p>
    <w:p w14:paraId="3A30E702" w14:textId="23F35A3B" w:rsidR="001251B9" w:rsidRPr="00407CAE" w:rsidRDefault="001251B9" w:rsidP="000533BD">
      <w:pPr>
        <w:spacing w:after="0" w:line="240" w:lineRule="auto"/>
        <w:ind w:left="1440"/>
        <w:jc w:val="both"/>
        <w:rPr>
          <w:rFonts w:ascii="Arial" w:eastAsia="Times New Roman" w:hAnsi="Arial" w:cs="Arial"/>
          <w:b/>
          <w:kern w:val="2"/>
        </w:rPr>
      </w:pPr>
      <w:r w:rsidRPr="00407CAE">
        <w:rPr>
          <w:rFonts w:ascii="Arial" w:eastAsia="Times New Roman" w:hAnsi="Arial" w:cs="Arial"/>
          <w:b/>
          <w:kern w:val="2"/>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011B025C" w14:textId="77777777" w:rsidR="001251B9" w:rsidRPr="00407CAE" w:rsidRDefault="001251B9" w:rsidP="001251B9">
      <w:pPr>
        <w:spacing w:after="0" w:line="240" w:lineRule="auto"/>
        <w:contextualSpacing/>
        <w:jc w:val="both"/>
        <w:rPr>
          <w:rFonts w:ascii="Arial" w:eastAsia="Times New Roman" w:hAnsi="Arial" w:cs="Arial"/>
          <w:kern w:val="2"/>
          <w:u w:val="single"/>
        </w:rPr>
      </w:pPr>
    </w:p>
    <w:p w14:paraId="0436339B" w14:textId="42F2AD6E" w:rsidR="001251B9" w:rsidRPr="00107AA4" w:rsidRDefault="00FE4C3F" w:rsidP="001251B9">
      <w:pPr>
        <w:pStyle w:val="ListParagraph"/>
        <w:numPr>
          <w:ilvl w:val="0"/>
          <w:numId w:val="19"/>
        </w:numPr>
        <w:spacing w:after="0" w:line="240" w:lineRule="auto"/>
        <w:ind w:left="360"/>
        <w:jc w:val="both"/>
        <w:rPr>
          <w:rFonts w:ascii="Arial" w:eastAsia="Times New Roman" w:hAnsi="Arial" w:cs="Arial"/>
          <w:color w:val="000000" w:themeColor="text1"/>
          <w:kern w:val="2"/>
          <w:sz w:val="20"/>
          <w:szCs w:val="20"/>
          <w:u w:val="single"/>
        </w:rPr>
      </w:pPr>
      <w:r w:rsidRPr="00107AA4">
        <w:rPr>
          <w:rFonts w:ascii="Arial" w:eastAsia="Times New Roman" w:hAnsi="Arial" w:cs="Arial"/>
          <w:color w:val="000000" w:themeColor="text1"/>
          <w:kern w:val="2"/>
          <w:sz w:val="20"/>
          <w:szCs w:val="20"/>
          <w:u w:val="single"/>
        </w:rPr>
        <w:t xml:space="preserve">Beth Israel Lahey Health </w:t>
      </w:r>
    </w:p>
    <w:p w14:paraId="723A3E22" w14:textId="4F2BD489" w:rsidR="00952743" w:rsidRDefault="00952743" w:rsidP="00952743">
      <w:pPr>
        <w:spacing w:after="0" w:line="240" w:lineRule="auto"/>
        <w:jc w:val="both"/>
        <w:rPr>
          <w:rFonts w:ascii="Arial" w:eastAsia="Times New Roman" w:hAnsi="Arial" w:cs="Arial"/>
          <w:color w:val="000000" w:themeColor="text1"/>
          <w:kern w:val="2"/>
          <w:sz w:val="20"/>
          <w:szCs w:val="20"/>
          <w:u w:val="single"/>
        </w:rPr>
      </w:pPr>
    </w:p>
    <w:p w14:paraId="4D3391C0" w14:textId="43B34C6A" w:rsidR="009A335D" w:rsidRPr="00155286" w:rsidRDefault="009A335D" w:rsidP="009A335D">
      <w:pPr>
        <w:spacing w:after="0"/>
        <w:jc w:val="both"/>
        <w:rPr>
          <w:rFonts w:ascii="Arial" w:hAnsi="Arial" w:cs="Arial"/>
          <w:sz w:val="20"/>
          <w:szCs w:val="20"/>
        </w:rPr>
      </w:pPr>
      <w:r w:rsidRPr="00155286">
        <w:rPr>
          <w:rFonts w:ascii="Arial" w:hAnsi="Arial" w:cs="Arial"/>
          <w:sz w:val="20"/>
          <w:szCs w:val="20"/>
        </w:rPr>
        <w:t>BILH is an integrated health care delivery system of teaching and community hospitals, physician groups, behavioral health providers, post-acute care providers and other caregivers serving patients in Greater Boston</w:t>
      </w:r>
      <w:r w:rsidRPr="00E536F6">
        <w:rPr>
          <w:rStyle w:val="FootnoteReference"/>
          <w:rFonts w:ascii="Arial" w:hAnsi="Arial" w:cs="Arial"/>
          <w:sz w:val="20"/>
          <w:szCs w:val="20"/>
        </w:rPr>
        <w:footnoteReference w:id="2"/>
      </w:r>
      <w:r w:rsidRPr="00155286">
        <w:rPr>
          <w:rFonts w:ascii="Arial" w:hAnsi="Arial" w:cs="Arial"/>
          <w:sz w:val="20"/>
          <w:szCs w:val="20"/>
        </w:rPr>
        <w:t xml:space="preserve"> and the surrounding communities in Eastern Massachusetts and Southeastern New Hampshire. Its member hospitals include Addison Gilbert Hospital; Anna </w:t>
      </w:r>
      <w:proofErr w:type="spellStart"/>
      <w:r w:rsidRPr="00155286">
        <w:rPr>
          <w:rFonts w:ascii="Arial" w:hAnsi="Arial" w:cs="Arial"/>
          <w:sz w:val="20"/>
          <w:szCs w:val="20"/>
        </w:rPr>
        <w:t>Jaques</w:t>
      </w:r>
      <w:proofErr w:type="spellEnd"/>
      <w:r w:rsidRPr="00155286">
        <w:rPr>
          <w:rFonts w:ascii="Arial" w:hAnsi="Arial" w:cs="Arial"/>
          <w:sz w:val="20"/>
          <w:szCs w:val="20"/>
        </w:rPr>
        <w:t xml:space="preserve"> Hospital; Beth Israel Deaconess Medical Center; Beth Israel Deaconess Hospital-Milton; Beth Israel Deaconess Hospital-Needham, Beth Israel Deaconess Hospital-Plymouth; Beverly Hospital; Lahey Hospital &amp; Medical Center; Lahey Medical Center, Peabody; Mount Auburn Hospital; New England Baptist Hospital; and Winchester Hospital </w:t>
      </w:r>
      <w:r w:rsidRPr="00155286">
        <w:rPr>
          <w:rFonts w:ascii="Arial" w:hAnsi="Arial" w:cs="Arial"/>
          <w:sz w:val="20"/>
          <w:szCs w:val="20"/>
        </w:rPr>
        <w:lastRenderedPageBreak/>
        <w:t>(collectively known as “BILH Hospitals”). BILH</w:t>
      </w:r>
      <w:r>
        <w:rPr>
          <w:rFonts w:ascii="Arial" w:hAnsi="Arial" w:cs="Arial"/>
          <w:sz w:val="20"/>
          <w:szCs w:val="20"/>
        </w:rPr>
        <w:t xml:space="preserve"> aims</w:t>
      </w:r>
      <w:r w:rsidRPr="00155286">
        <w:rPr>
          <w:rFonts w:ascii="Arial" w:hAnsi="Arial" w:cs="Arial"/>
          <w:sz w:val="20"/>
          <w:szCs w:val="20"/>
        </w:rPr>
        <w:t xml:space="preserve"> to have a broader impact on the health care industry and patient populations in Massachusetts by sharing best practices, investing in foundational infrastructure to support population health management, and encouraging market competition based on value.  </w:t>
      </w:r>
    </w:p>
    <w:p w14:paraId="4E6B60D2" w14:textId="77777777" w:rsidR="009A335D" w:rsidRDefault="009A335D" w:rsidP="009A335D">
      <w:pPr>
        <w:spacing w:after="0"/>
        <w:jc w:val="both"/>
        <w:rPr>
          <w:rFonts w:ascii="Arial" w:hAnsi="Arial" w:cs="Arial"/>
          <w:sz w:val="20"/>
          <w:szCs w:val="20"/>
        </w:rPr>
      </w:pPr>
    </w:p>
    <w:p w14:paraId="086E2B9D" w14:textId="5F00069B" w:rsidR="009A335D" w:rsidRPr="00155286" w:rsidRDefault="009A335D" w:rsidP="009A335D">
      <w:pPr>
        <w:spacing w:after="0"/>
        <w:jc w:val="both"/>
        <w:rPr>
          <w:rFonts w:ascii="Arial" w:hAnsi="Arial" w:cs="Arial"/>
          <w:sz w:val="20"/>
          <w:szCs w:val="20"/>
        </w:rPr>
      </w:pPr>
      <w:r w:rsidRPr="00155286">
        <w:rPr>
          <w:rFonts w:ascii="Arial" w:hAnsi="Arial" w:cs="Arial"/>
          <w:sz w:val="20"/>
          <w:szCs w:val="20"/>
        </w:rPr>
        <w:t>BILH also operates Beth Israel Lahey Health Performance Network, LLC (“BILHPN”), a clinically integrated network of physicians, clinicians</w:t>
      </w:r>
      <w:r>
        <w:rPr>
          <w:rFonts w:ascii="Arial" w:hAnsi="Arial" w:cs="Arial"/>
          <w:sz w:val="20"/>
          <w:szCs w:val="20"/>
        </w:rPr>
        <w:t>,</w:t>
      </w:r>
      <w:r w:rsidRPr="00155286">
        <w:rPr>
          <w:rFonts w:ascii="Arial" w:hAnsi="Arial" w:cs="Arial"/>
          <w:sz w:val="20"/>
          <w:szCs w:val="20"/>
        </w:rPr>
        <w:t xml:space="preserve"> and hospitals. BILHPN is a Health Policy Commission (“HPC”) certified Accountable Care Organization (“ACO”) committed to providing high-quality, cost-effective care to the patients and communities they serve, while effectively managing medical expense. By leveraging best practices in population health management and data analytics, BILHPN seeks to improve care quality and patient health outcomes across the system through population health initiatives. </w:t>
      </w:r>
    </w:p>
    <w:p w14:paraId="0B5F19A3" w14:textId="77777777" w:rsidR="00A404D6" w:rsidRDefault="00A404D6" w:rsidP="00C55325">
      <w:pPr>
        <w:spacing w:after="0"/>
        <w:ind w:firstLine="360"/>
        <w:jc w:val="both"/>
        <w:rPr>
          <w:rFonts w:ascii="Arial" w:hAnsi="Arial" w:cs="Arial"/>
          <w:sz w:val="20"/>
          <w:szCs w:val="20"/>
        </w:rPr>
      </w:pPr>
    </w:p>
    <w:p w14:paraId="45B8A0BB" w14:textId="30D8E1E7" w:rsidR="00806FC1" w:rsidRDefault="0035558B" w:rsidP="00C55325">
      <w:pPr>
        <w:spacing w:after="0"/>
        <w:ind w:firstLine="360"/>
        <w:jc w:val="both"/>
        <w:rPr>
          <w:rFonts w:ascii="Arial" w:eastAsia="Verdana" w:hAnsi="Arial" w:cs="Arial"/>
          <w:i/>
          <w:iCs/>
          <w:sz w:val="20"/>
        </w:rPr>
      </w:pPr>
      <w:r w:rsidRPr="00155286">
        <w:rPr>
          <w:rFonts w:ascii="Arial" w:hAnsi="Arial" w:cs="Arial"/>
          <w:i/>
          <w:iCs/>
          <w:sz w:val="20"/>
        </w:rPr>
        <w:t>Patient Panel</w:t>
      </w:r>
    </w:p>
    <w:p w14:paraId="64580527" w14:textId="77777777" w:rsidR="00C55325" w:rsidRPr="00C55325" w:rsidRDefault="00C55325" w:rsidP="00C55325">
      <w:pPr>
        <w:spacing w:after="0"/>
        <w:ind w:firstLine="360"/>
        <w:jc w:val="both"/>
        <w:rPr>
          <w:rFonts w:ascii="Arial" w:eastAsia="Verdana" w:hAnsi="Arial" w:cs="Arial"/>
          <w:i/>
          <w:iCs/>
          <w:sz w:val="20"/>
        </w:rPr>
      </w:pPr>
    </w:p>
    <w:p w14:paraId="2F4B9E2C" w14:textId="59D63C50" w:rsidR="009A335D" w:rsidRPr="00501C60" w:rsidRDefault="00C55325" w:rsidP="00A45041">
      <w:pPr>
        <w:rPr>
          <w:rFonts w:ascii="Arial" w:eastAsia="Verdana" w:hAnsi="Arial" w:cs="Arial"/>
          <w:sz w:val="20"/>
        </w:rPr>
      </w:pPr>
      <w:r>
        <w:rPr>
          <w:rFonts w:ascii="Arial" w:eastAsia="Verdana" w:hAnsi="Arial" w:cs="Arial"/>
          <w:sz w:val="20"/>
        </w:rPr>
        <w:t>It is</w:t>
      </w:r>
      <w:r w:rsidRPr="00155286">
        <w:rPr>
          <w:rFonts w:ascii="Arial" w:eastAsia="Verdana" w:hAnsi="Arial" w:cs="Arial"/>
          <w:sz w:val="20"/>
        </w:rPr>
        <w:t xml:space="preserve"> estimated</w:t>
      </w:r>
      <w:r>
        <w:rPr>
          <w:rFonts w:ascii="Arial" w:eastAsia="Verdana" w:hAnsi="Arial" w:cs="Arial"/>
          <w:sz w:val="20"/>
        </w:rPr>
        <w:t xml:space="preserve"> that</w:t>
      </w:r>
      <w:r w:rsidRPr="00155286">
        <w:rPr>
          <w:rFonts w:ascii="Arial" w:eastAsia="Verdana" w:hAnsi="Arial" w:cs="Arial"/>
          <w:sz w:val="20"/>
        </w:rPr>
        <w:t xml:space="preserve"> five million people reside in the BILH service area.</w:t>
      </w:r>
      <w:r w:rsidRPr="00E536F6">
        <w:rPr>
          <w:rStyle w:val="FootnoteReference"/>
          <w:rFonts w:ascii="Arial" w:eastAsia="Verdana" w:hAnsi="Arial" w:cs="Arial"/>
          <w:sz w:val="20"/>
        </w:rPr>
        <w:footnoteReference w:id="3"/>
      </w:r>
      <w:r w:rsidRPr="00155286">
        <w:rPr>
          <w:rFonts w:ascii="Arial" w:eastAsia="Verdana" w:hAnsi="Arial" w:cs="Arial"/>
          <w:sz w:val="20"/>
        </w:rPr>
        <w:t xml:space="preserve"> This area has experienced 6.4% population growth since 2010 and is projected to increase at a faster rate (4.5%) than the state (3.5%) from 2017 to 2022.</w:t>
      </w:r>
      <w:r w:rsidRPr="00E536F6">
        <w:rPr>
          <w:rStyle w:val="FootnoteReference"/>
          <w:rFonts w:ascii="Arial" w:eastAsia="Verdana" w:hAnsi="Arial" w:cs="Arial"/>
          <w:sz w:val="20"/>
        </w:rPr>
        <w:footnoteReference w:id="4"/>
      </w:r>
      <w:r w:rsidR="009A335D">
        <w:rPr>
          <w:rFonts w:ascii="Arial" w:eastAsia="Verdana" w:hAnsi="Arial" w:cs="Arial"/>
          <w:sz w:val="20"/>
        </w:rPr>
        <w:t xml:space="preserve"> As demonstrated </w:t>
      </w:r>
      <w:r w:rsidR="00E8155A">
        <w:rPr>
          <w:rFonts w:ascii="Arial" w:eastAsia="Verdana" w:hAnsi="Arial" w:cs="Arial"/>
          <w:sz w:val="20"/>
        </w:rPr>
        <w:t xml:space="preserve">in </w:t>
      </w:r>
      <w:r w:rsidR="009A335D">
        <w:rPr>
          <w:rFonts w:ascii="Arial" w:eastAsia="Verdana" w:hAnsi="Arial" w:cs="Arial"/>
          <w:sz w:val="20"/>
        </w:rPr>
        <w:t>Table 1, t</w:t>
      </w:r>
      <w:r w:rsidR="009A335D" w:rsidRPr="00D8685A">
        <w:rPr>
          <w:rFonts w:ascii="Arial" w:eastAsia="Verdana" w:hAnsi="Arial" w:cs="Arial"/>
          <w:sz w:val="20"/>
        </w:rPr>
        <w:t xml:space="preserve">he BILH Patient Panel consisted of </w:t>
      </w:r>
      <w:r w:rsidR="009A335D">
        <w:rPr>
          <w:rFonts w:ascii="Arial" w:eastAsia="Verdana" w:hAnsi="Arial" w:cs="Arial"/>
          <w:sz w:val="20"/>
        </w:rPr>
        <w:t>1,633,109</w:t>
      </w:r>
      <w:r w:rsidR="009A335D" w:rsidRPr="00D8685A">
        <w:rPr>
          <w:rFonts w:ascii="Arial" w:eastAsia="Verdana" w:hAnsi="Arial" w:cs="Arial"/>
          <w:sz w:val="20"/>
        </w:rPr>
        <w:t xml:space="preserve"> patients in fiscal year</w:t>
      </w:r>
      <w:r w:rsidR="009A335D">
        <w:rPr>
          <w:rStyle w:val="FootnoteReference"/>
          <w:rFonts w:ascii="Arial" w:eastAsia="Verdana" w:hAnsi="Arial" w:cs="Arial"/>
          <w:sz w:val="20"/>
        </w:rPr>
        <w:footnoteReference w:id="5"/>
      </w:r>
      <w:r w:rsidR="009A335D" w:rsidRPr="00D8685A">
        <w:rPr>
          <w:rFonts w:ascii="Arial" w:eastAsia="Verdana" w:hAnsi="Arial" w:cs="Arial"/>
          <w:sz w:val="20"/>
        </w:rPr>
        <w:t xml:space="preserve"> </w:t>
      </w:r>
      <w:r w:rsidR="009A335D">
        <w:rPr>
          <w:rFonts w:ascii="Arial" w:eastAsia="Verdana" w:hAnsi="Arial" w:cs="Arial"/>
          <w:sz w:val="20"/>
        </w:rPr>
        <w:t xml:space="preserve">(“FY”) </w:t>
      </w:r>
      <w:r w:rsidR="009A335D" w:rsidRPr="00D8685A">
        <w:rPr>
          <w:rFonts w:ascii="Arial" w:eastAsia="Verdana" w:hAnsi="Arial" w:cs="Arial"/>
          <w:sz w:val="20"/>
        </w:rPr>
        <w:t>202</w:t>
      </w:r>
      <w:r w:rsidR="009A335D">
        <w:rPr>
          <w:rFonts w:ascii="Arial" w:eastAsia="Verdana" w:hAnsi="Arial" w:cs="Arial"/>
          <w:sz w:val="20"/>
        </w:rPr>
        <w:t>2</w:t>
      </w:r>
      <w:r w:rsidR="009A335D" w:rsidRPr="00D8685A">
        <w:rPr>
          <w:rFonts w:ascii="Arial" w:eastAsia="Verdana" w:hAnsi="Arial" w:cs="Arial"/>
          <w:sz w:val="20"/>
        </w:rPr>
        <w:t xml:space="preserve">, an increase of </w:t>
      </w:r>
      <w:r w:rsidR="009A335D">
        <w:rPr>
          <w:rFonts w:ascii="Arial" w:eastAsia="Verdana" w:hAnsi="Arial" w:cs="Arial"/>
          <w:sz w:val="20"/>
        </w:rPr>
        <w:t>34</w:t>
      </w:r>
      <w:r w:rsidR="009A335D" w:rsidRPr="00D8685A">
        <w:rPr>
          <w:rFonts w:ascii="Arial" w:eastAsia="Verdana" w:hAnsi="Arial" w:cs="Arial"/>
          <w:sz w:val="20"/>
        </w:rPr>
        <w:t xml:space="preserve">% from </w:t>
      </w:r>
      <w:r w:rsidR="009A335D">
        <w:rPr>
          <w:rFonts w:ascii="Arial" w:eastAsia="Verdana" w:hAnsi="Arial" w:cs="Arial"/>
          <w:sz w:val="20"/>
        </w:rPr>
        <w:t>FY20</w:t>
      </w:r>
      <w:r w:rsidR="009A335D" w:rsidRPr="00D8685A">
        <w:rPr>
          <w:rFonts w:ascii="Arial" w:eastAsia="Verdana" w:hAnsi="Arial" w:cs="Arial"/>
          <w:sz w:val="20"/>
        </w:rPr>
        <w:t>.</w:t>
      </w:r>
      <w:r w:rsidR="001B17C2">
        <w:rPr>
          <w:rFonts w:ascii="Arial" w:eastAsia="Verdana" w:hAnsi="Arial" w:cs="Arial"/>
          <w:sz w:val="20"/>
        </w:rPr>
        <w:t xml:space="preserve"> </w:t>
      </w:r>
      <w:r w:rsidR="001B17C2">
        <w:rPr>
          <w:rFonts w:ascii="Arial" w:eastAsia="Times New Roman" w:hAnsi="Arial" w:cs="Arial"/>
          <w:color w:val="000000" w:themeColor="text1"/>
          <w:kern w:val="2"/>
          <w:sz w:val="20"/>
          <w:szCs w:val="20"/>
        </w:rPr>
        <w:t>The following table illustrates the demographics of BILH’s Patient Panel.</w:t>
      </w:r>
    </w:p>
    <w:p w14:paraId="2817A9B2" w14:textId="7AA7EDB1" w:rsidR="007C2614" w:rsidRDefault="00197384" w:rsidP="00A45041">
      <w:pPr>
        <w:pStyle w:val="Heading5"/>
        <w:ind w:left="-720"/>
        <w:rPr>
          <w:sz w:val="24"/>
          <w:szCs w:val="24"/>
        </w:rPr>
      </w:pPr>
      <w:r>
        <w:t xml:space="preserve"> </w:t>
      </w:r>
    </w:p>
    <w:p w14:paraId="186B8932" w14:textId="3F48DD61" w:rsidR="009A335D" w:rsidRDefault="009A335D" w:rsidP="009A335D">
      <w:pPr>
        <w:spacing w:after="120" w:line="240" w:lineRule="auto"/>
        <w:rPr>
          <w:rFonts w:ascii="Arial" w:hAnsi="Arial" w:cs="Arial"/>
          <w:b/>
          <w:bCs/>
          <w:sz w:val="20"/>
          <w:szCs w:val="20"/>
        </w:rPr>
      </w:pPr>
      <w:r>
        <w:rPr>
          <w:rFonts w:ascii="Arial" w:hAnsi="Arial" w:cs="Arial"/>
          <w:b/>
          <w:bCs/>
          <w:sz w:val="20"/>
          <w:szCs w:val="20"/>
        </w:rPr>
        <w:t xml:space="preserve">Table 1: BILH Patient Panel Demographics </w:t>
      </w:r>
    </w:p>
    <w:tbl>
      <w:tblPr>
        <w:tblStyle w:val="TableGrid"/>
        <w:tblW w:w="9715" w:type="dxa"/>
        <w:tblLook w:val="04A0" w:firstRow="1" w:lastRow="0" w:firstColumn="1" w:lastColumn="0" w:noHBand="0" w:noVBand="1"/>
      </w:tblPr>
      <w:tblGrid>
        <w:gridCol w:w="3452"/>
        <w:gridCol w:w="1025"/>
        <w:gridCol w:w="1074"/>
        <w:gridCol w:w="1025"/>
        <w:gridCol w:w="1074"/>
        <w:gridCol w:w="1079"/>
        <w:gridCol w:w="986"/>
      </w:tblGrid>
      <w:tr w:rsidR="004F41A7" w14:paraId="62B93E16" w14:textId="77777777" w:rsidTr="00EA4A97">
        <w:trPr>
          <w:cantSplit/>
          <w:tblHeader/>
        </w:trPr>
        <w:tc>
          <w:tcPr>
            <w:tcW w:w="3452" w:type="dxa"/>
            <w:vAlign w:val="center"/>
          </w:tcPr>
          <w:p w14:paraId="2B0541F0" w14:textId="06D1A2AB" w:rsidR="004F41A7" w:rsidRDefault="004F41A7" w:rsidP="004F41A7">
            <w:pPr>
              <w:spacing w:after="120"/>
              <w:jc w:val="center"/>
              <w:rPr>
                <w:rFonts w:ascii="Arial" w:hAnsi="Arial" w:cs="Arial"/>
                <w:b/>
                <w:bCs/>
                <w:sz w:val="20"/>
                <w:szCs w:val="20"/>
              </w:rPr>
            </w:pPr>
            <w:bookmarkStart w:id="0" w:name="_Hlk137561824"/>
            <w:r w:rsidRPr="007E6BF7">
              <w:rPr>
                <w:rFonts w:asciiTheme="majorHAnsi" w:eastAsia="Verdana" w:hAnsiTheme="majorHAnsi" w:cstheme="majorHAnsi"/>
                <w:sz w:val="20"/>
                <w:szCs w:val="20"/>
              </w:rPr>
              <w:t>Demographic Measure</w:t>
            </w:r>
          </w:p>
        </w:tc>
        <w:tc>
          <w:tcPr>
            <w:tcW w:w="1025" w:type="dxa"/>
            <w:shd w:val="clear" w:color="auto" w:fill="B4C6E7" w:themeFill="accent1" w:themeFillTint="66"/>
            <w:vAlign w:val="center"/>
          </w:tcPr>
          <w:p w14:paraId="03BF5275" w14:textId="1CA90C6E" w:rsidR="004F41A7" w:rsidRDefault="004F41A7" w:rsidP="004F41A7">
            <w:pPr>
              <w:spacing w:after="120"/>
              <w:jc w:val="center"/>
              <w:rPr>
                <w:rFonts w:ascii="Arial" w:hAnsi="Arial" w:cs="Arial"/>
                <w:b/>
                <w:bCs/>
                <w:sz w:val="20"/>
                <w:szCs w:val="20"/>
              </w:rPr>
            </w:pPr>
            <w:r w:rsidRPr="000C14B0">
              <w:rPr>
                <w:rFonts w:asciiTheme="majorHAnsi" w:eastAsia="Times New Roman" w:hAnsiTheme="majorHAnsi" w:cstheme="majorHAnsi"/>
                <w:b/>
                <w:bCs/>
                <w:color w:val="000000"/>
                <w:sz w:val="20"/>
                <w:szCs w:val="20"/>
              </w:rPr>
              <w:t>FY2020</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Count</w:t>
            </w:r>
          </w:p>
        </w:tc>
        <w:tc>
          <w:tcPr>
            <w:tcW w:w="1074" w:type="dxa"/>
            <w:shd w:val="clear" w:color="auto" w:fill="B4C6E7" w:themeFill="accent1" w:themeFillTint="66"/>
            <w:vAlign w:val="center"/>
          </w:tcPr>
          <w:p w14:paraId="5DCB03CE" w14:textId="6736385B" w:rsidR="004F41A7" w:rsidRDefault="004F41A7" w:rsidP="004F41A7">
            <w:pPr>
              <w:spacing w:after="120"/>
              <w:jc w:val="center"/>
              <w:rPr>
                <w:rFonts w:ascii="Arial" w:hAnsi="Arial" w:cs="Arial"/>
                <w:b/>
                <w:bCs/>
                <w:sz w:val="20"/>
                <w:szCs w:val="20"/>
              </w:rPr>
            </w:pPr>
            <w:r w:rsidRPr="000C14B0">
              <w:rPr>
                <w:rFonts w:asciiTheme="majorHAnsi" w:eastAsia="Times New Roman" w:hAnsiTheme="majorHAnsi" w:cstheme="majorHAnsi"/>
                <w:b/>
                <w:bCs/>
                <w:color w:val="000000"/>
                <w:sz w:val="20"/>
                <w:szCs w:val="20"/>
              </w:rPr>
              <w:t>FY2020</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Percent</w:t>
            </w:r>
          </w:p>
        </w:tc>
        <w:tc>
          <w:tcPr>
            <w:tcW w:w="1025" w:type="dxa"/>
            <w:shd w:val="clear" w:color="auto" w:fill="B4C6E7" w:themeFill="accent1" w:themeFillTint="66"/>
            <w:vAlign w:val="center"/>
          </w:tcPr>
          <w:p w14:paraId="505DE39B" w14:textId="4392B00C" w:rsidR="004F41A7" w:rsidRDefault="004F41A7" w:rsidP="004F41A7">
            <w:pPr>
              <w:spacing w:after="120"/>
              <w:jc w:val="center"/>
              <w:rPr>
                <w:rFonts w:ascii="Arial" w:hAnsi="Arial" w:cs="Arial"/>
                <w:b/>
                <w:bCs/>
                <w:sz w:val="20"/>
                <w:szCs w:val="20"/>
              </w:rPr>
            </w:pPr>
            <w:r w:rsidRPr="000C14B0">
              <w:rPr>
                <w:rFonts w:asciiTheme="majorHAnsi" w:eastAsia="Times New Roman" w:hAnsiTheme="majorHAnsi" w:cstheme="majorHAnsi"/>
                <w:b/>
                <w:bCs/>
                <w:color w:val="000000"/>
                <w:sz w:val="20"/>
                <w:szCs w:val="20"/>
              </w:rPr>
              <w:t>FY2021</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Count</w:t>
            </w:r>
          </w:p>
        </w:tc>
        <w:tc>
          <w:tcPr>
            <w:tcW w:w="1074" w:type="dxa"/>
            <w:shd w:val="clear" w:color="auto" w:fill="B4C6E7" w:themeFill="accent1" w:themeFillTint="66"/>
            <w:vAlign w:val="center"/>
          </w:tcPr>
          <w:p w14:paraId="3CF18F1F" w14:textId="4DD8871D" w:rsidR="004F41A7" w:rsidRDefault="004F41A7" w:rsidP="004F41A7">
            <w:pPr>
              <w:spacing w:after="120"/>
              <w:jc w:val="center"/>
              <w:rPr>
                <w:rFonts w:ascii="Arial" w:hAnsi="Arial" w:cs="Arial"/>
                <w:b/>
                <w:bCs/>
                <w:sz w:val="20"/>
                <w:szCs w:val="20"/>
              </w:rPr>
            </w:pPr>
            <w:r w:rsidRPr="000C14B0">
              <w:rPr>
                <w:rFonts w:asciiTheme="majorHAnsi" w:eastAsia="Times New Roman" w:hAnsiTheme="majorHAnsi" w:cstheme="majorHAnsi"/>
                <w:b/>
                <w:bCs/>
                <w:color w:val="000000"/>
                <w:sz w:val="20"/>
                <w:szCs w:val="20"/>
              </w:rPr>
              <w:t>FY2021</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Percent</w:t>
            </w:r>
          </w:p>
        </w:tc>
        <w:tc>
          <w:tcPr>
            <w:tcW w:w="1079" w:type="dxa"/>
            <w:shd w:val="clear" w:color="auto" w:fill="B4C6E7" w:themeFill="accent1" w:themeFillTint="66"/>
            <w:vAlign w:val="center"/>
          </w:tcPr>
          <w:p w14:paraId="1A0C5BA0" w14:textId="4879F96E" w:rsidR="004F41A7" w:rsidRDefault="004F41A7" w:rsidP="004F41A7">
            <w:pPr>
              <w:spacing w:after="120"/>
              <w:jc w:val="center"/>
              <w:rPr>
                <w:rFonts w:ascii="Arial" w:hAnsi="Arial" w:cs="Arial"/>
                <w:b/>
                <w:bCs/>
                <w:sz w:val="20"/>
                <w:szCs w:val="20"/>
              </w:rPr>
            </w:pPr>
            <w:r w:rsidRPr="000C14B0">
              <w:rPr>
                <w:rFonts w:asciiTheme="majorHAnsi" w:eastAsia="Times New Roman" w:hAnsiTheme="majorHAnsi" w:cstheme="majorHAnsi"/>
                <w:b/>
                <w:bCs/>
                <w:color w:val="000000"/>
                <w:sz w:val="20"/>
                <w:szCs w:val="20"/>
              </w:rPr>
              <w:t>FY2022</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Count</w:t>
            </w:r>
          </w:p>
        </w:tc>
        <w:tc>
          <w:tcPr>
            <w:tcW w:w="986" w:type="dxa"/>
            <w:shd w:val="clear" w:color="auto" w:fill="B4C6E7" w:themeFill="accent1" w:themeFillTint="66"/>
            <w:vAlign w:val="center"/>
          </w:tcPr>
          <w:p w14:paraId="6723C7EA" w14:textId="4B86B8FD" w:rsidR="004F41A7" w:rsidRDefault="004F41A7" w:rsidP="004F41A7">
            <w:pPr>
              <w:spacing w:after="120"/>
              <w:jc w:val="center"/>
              <w:rPr>
                <w:rFonts w:ascii="Arial" w:hAnsi="Arial" w:cs="Arial"/>
                <w:b/>
                <w:bCs/>
                <w:sz w:val="20"/>
                <w:szCs w:val="20"/>
              </w:rPr>
            </w:pPr>
            <w:r w:rsidRPr="000C14B0">
              <w:rPr>
                <w:rFonts w:asciiTheme="majorHAnsi" w:eastAsia="Times New Roman" w:hAnsiTheme="majorHAnsi" w:cstheme="majorHAnsi"/>
                <w:b/>
                <w:bCs/>
                <w:color w:val="000000"/>
                <w:sz w:val="20"/>
                <w:szCs w:val="20"/>
              </w:rPr>
              <w:t>FY2022</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Percent</w:t>
            </w:r>
          </w:p>
        </w:tc>
      </w:tr>
      <w:tr w:rsidR="007E7083" w14:paraId="104F71FA" w14:textId="77777777" w:rsidTr="00EA4A97">
        <w:trPr>
          <w:cantSplit/>
        </w:trPr>
        <w:tc>
          <w:tcPr>
            <w:tcW w:w="3452" w:type="dxa"/>
            <w:shd w:val="clear" w:color="auto" w:fill="D0CECE" w:themeFill="background2" w:themeFillShade="E6"/>
            <w:vAlign w:val="center"/>
          </w:tcPr>
          <w:p w14:paraId="778FC946" w14:textId="053C0E40" w:rsidR="00C11AE5" w:rsidRDefault="00C11AE5" w:rsidP="00C11AE5">
            <w:pPr>
              <w:spacing w:after="120"/>
              <w:jc w:val="right"/>
              <w:rPr>
                <w:rFonts w:ascii="Arial" w:hAnsi="Arial" w:cs="Arial"/>
                <w:b/>
                <w:bCs/>
                <w:sz w:val="20"/>
                <w:szCs w:val="20"/>
              </w:rPr>
            </w:pPr>
            <w:r w:rsidRPr="00D8685A">
              <w:rPr>
                <w:rFonts w:asciiTheme="majorHAnsi" w:eastAsia="Times New Roman" w:hAnsiTheme="majorHAnsi" w:cstheme="majorHAnsi"/>
                <w:b/>
                <w:bCs/>
                <w:color w:val="000000"/>
                <w:sz w:val="20"/>
                <w:szCs w:val="20"/>
              </w:rPr>
              <w:t>Total</w:t>
            </w:r>
          </w:p>
        </w:tc>
        <w:tc>
          <w:tcPr>
            <w:tcW w:w="1025" w:type="dxa"/>
            <w:shd w:val="clear" w:color="auto" w:fill="D0CECE" w:themeFill="background2" w:themeFillShade="E6"/>
            <w:vAlign w:val="center"/>
          </w:tcPr>
          <w:p w14:paraId="62298939" w14:textId="6BFB5629" w:rsidR="00C11AE5" w:rsidRDefault="00C11AE5" w:rsidP="00C11AE5">
            <w:pPr>
              <w:spacing w:after="120"/>
              <w:jc w:val="center"/>
              <w:rPr>
                <w:rFonts w:ascii="Arial" w:hAnsi="Arial" w:cs="Arial"/>
                <w:b/>
                <w:bCs/>
                <w:sz w:val="20"/>
                <w:szCs w:val="20"/>
              </w:rPr>
            </w:pPr>
            <w:r w:rsidRPr="00D8685A">
              <w:rPr>
                <w:rFonts w:asciiTheme="majorHAnsi" w:hAnsiTheme="majorHAnsi" w:cstheme="majorHAnsi"/>
                <w:b/>
                <w:bCs/>
                <w:color w:val="000000"/>
                <w:sz w:val="20"/>
                <w:szCs w:val="20"/>
              </w:rPr>
              <w:t>1,219,718</w:t>
            </w:r>
          </w:p>
        </w:tc>
        <w:tc>
          <w:tcPr>
            <w:tcW w:w="1074" w:type="dxa"/>
            <w:shd w:val="clear" w:color="auto" w:fill="D0CECE" w:themeFill="background2" w:themeFillShade="E6"/>
            <w:vAlign w:val="center"/>
          </w:tcPr>
          <w:p w14:paraId="6E824737" w14:textId="2425437B" w:rsidR="00C11AE5" w:rsidRDefault="00C11AE5" w:rsidP="00C11AE5">
            <w:pPr>
              <w:spacing w:after="120"/>
              <w:jc w:val="center"/>
              <w:rPr>
                <w:rFonts w:ascii="Arial" w:hAnsi="Arial" w:cs="Arial"/>
                <w:b/>
                <w:bCs/>
                <w:sz w:val="20"/>
                <w:szCs w:val="20"/>
              </w:rPr>
            </w:pPr>
            <w:r w:rsidRPr="00D8685A">
              <w:rPr>
                <w:rFonts w:asciiTheme="majorHAnsi" w:eastAsia="Times New Roman" w:hAnsiTheme="majorHAnsi" w:cstheme="majorHAnsi"/>
                <w:b/>
                <w:bCs/>
                <w:color w:val="000000"/>
                <w:sz w:val="20"/>
                <w:szCs w:val="20"/>
              </w:rPr>
              <w:t>100%</w:t>
            </w:r>
          </w:p>
        </w:tc>
        <w:tc>
          <w:tcPr>
            <w:tcW w:w="1025" w:type="dxa"/>
            <w:shd w:val="clear" w:color="auto" w:fill="D0CECE" w:themeFill="background2" w:themeFillShade="E6"/>
            <w:vAlign w:val="center"/>
          </w:tcPr>
          <w:p w14:paraId="16F2FE52" w14:textId="449A7E68" w:rsidR="00C11AE5" w:rsidRDefault="00C11AE5" w:rsidP="00C11AE5">
            <w:pPr>
              <w:spacing w:after="120"/>
              <w:jc w:val="center"/>
              <w:rPr>
                <w:rFonts w:ascii="Arial" w:hAnsi="Arial" w:cs="Arial"/>
                <w:b/>
                <w:bCs/>
                <w:sz w:val="20"/>
                <w:szCs w:val="20"/>
              </w:rPr>
            </w:pPr>
            <w:r w:rsidRPr="00D8685A">
              <w:rPr>
                <w:rFonts w:asciiTheme="majorHAnsi" w:hAnsiTheme="majorHAnsi" w:cstheme="majorHAnsi"/>
                <w:b/>
                <w:bCs/>
                <w:color w:val="000000"/>
                <w:sz w:val="20"/>
                <w:szCs w:val="20"/>
              </w:rPr>
              <w:t>1,427,711</w:t>
            </w:r>
          </w:p>
        </w:tc>
        <w:tc>
          <w:tcPr>
            <w:tcW w:w="1074" w:type="dxa"/>
            <w:shd w:val="clear" w:color="auto" w:fill="D0CECE" w:themeFill="background2" w:themeFillShade="E6"/>
            <w:vAlign w:val="center"/>
          </w:tcPr>
          <w:p w14:paraId="031354A7" w14:textId="75F02283" w:rsidR="00C11AE5" w:rsidRDefault="00C11AE5" w:rsidP="00C11AE5">
            <w:pPr>
              <w:spacing w:after="120"/>
              <w:jc w:val="center"/>
              <w:rPr>
                <w:rFonts w:ascii="Arial" w:hAnsi="Arial" w:cs="Arial"/>
                <w:b/>
                <w:bCs/>
                <w:sz w:val="20"/>
                <w:szCs w:val="20"/>
              </w:rPr>
            </w:pPr>
            <w:r w:rsidRPr="00D8685A">
              <w:rPr>
                <w:rFonts w:asciiTheme="majorHAnsi" w:eastAsia="Times New Roman" w:hAnsiTheme="majorHAnsi" w:cstheme="majorHAnsi"/>
                <w:b/>
                <w:bCs/>
                <w:color w:val="000000"/>
                <w:sz w:val="20"/>
                <w:szCs w:val="20"/>
              </w:rPr>
              <w:t>100%</w:t>
            </w:r>
          </w:p>
        </w:tc>
        <w:tc>
          <w:tcPr>
            <w:tcW w:w="1079" w:type="dxa"/>
            <w:shd w:val="clear" w:color="auto" w:fill="D0CECE" w:themeFill="background2" w:themeFillShade="E6"/>
            <w:vAlign w:val="center"/>
          </w:tcPr>
          <w:p w14:paraId="17A33B60" w14:textId="1868E76A" w:rsidR="00C11AE5" w:rsidRDefault="00C11AE5" w:rsidP="00C11AE5">
            <w:pPr>
              <w:spacing w:after="120"/>
              <w:jc w:val="center"/>
              <w:rPr>
                <w:rFonts w:ascii="Arial" w:hAnsi="Arial" w:cs="Arial"/>
                <w:b/>
                <w:bCs/>
                <w:sz w:val="20"/>
                <w:szCs w:val="20"/>
              </w:rPr>
            </w:pPr>
            <w:r w:rsidRPr="00D8685A">
              <w:rPr>
                <w:rFonts w:asciiTheme="majorHAnsi" w:hAnsiTheme="majorHAnsi" w:cstheme="majorHAnsi"/>
                <w:b/>
                <w:bCs/>
                <w:color w:val="000000"/>
                <w:sz w:val="20"/>
                <w:szCs w:val="20"/>
              </w:rPr>
              <w:t>1,633,109</w:t>
            </w:r>
          </w:p>
        </w:tc>
        <w:tc>
          <w:tcPr>
            <w:tcW w:w="986" w:type="dxa"/>
            <w:shd w:val="clear" w:color="auto" w:fill="D0CECE" w:themeFill="background2" w:themeFillShade="E6"/>
            <w:vAlign w:val="center"/>
          </w:tcPr>
          <w:p w14:paraId="6C2987E6" w14:textId="0B828FAC" w:rsidR="00C11AE5" w:rsidRDefault="00C11AE5" w:rsidP="00C11AE5">
            <w:pPr>
              <w:spacing w:after="120"/>
              <w:jc w:val="center"/>
              <w:rPr>
                <w:rFonts w:ascii="Arial" w:hAnsi="Arial" w:cs="Arial"/>
                <w:b/>
                <w:bCs/>
                <w:sz w:val="20"/>
                <w:szCs w:val="20"/>
              </w:rPr>
            </w:pPr>
            <w:r w:rsidRPr="00D8685A">
              <w:rPr>
                <w:rFonts w:asciiTheme="majorHAnsi" w:eastAsia="Times New Roman" w:hAnsiTheme="majorHAnsi" w:cstheme="majorHAnsi"/>
                <w:b/>
                <w:bCs/>
                <w:color w:val="000000"/>
                <w:sz w:val="20"/>
                <w:szCs w:val="20"/>
              </w:rPr>
              <w:t>100%</w:t>
            </w:r>
          </w:p>
        </w:tc>
      </w:tr>
      <w:tr w:rsidR="00C11AE5" w14:paraId="33984AB8" w14:textId="77777777" w:rsidTr="00EA4A97">
        <w:trPr>
          <w:cantSplit/>
        </w:trPr>
        <w:tc>
          <w:tcPr>
            <w:tcW w:w="3452" w:type="dxa"/>
            <w:shd w:val="clear" w:color="auto" w:fill="DEEAF6" w:themeFill="accent5" w:themeFillTint="33"/>
            <w:vAlign w:val="center"/>
          </w:tcPr>
          <w:p w14:paraId="52D43B31" w14:textId="6A81B2B1" w:rsidR="00C11AE5" w:rsidRDefault="00C11AE5" w:rsidP="00C11AE5">
            <w:pPr>
              <w:spacing w:after="120"/>
              <w:rPr>
                <w:rFonts w:ascii="Arial" w:hAnsi="Arial" w:cs="Arial"/>
                <w:b/>
                <w:bCs/>
                <w:sz w:val="20"/>
                <w:szCs w:val="20"/>
              </w:rPr>
            </w:pPr>
            <w:r>
              <w:rPr>
                <w:rFonts w:asciiTheme="majorHAnsi" w:eastAsia="Times New Roman" w:hAnsiTheme="majorHAnsi" w:cstheme="majorHAnsi"/>
                <w:color w:val="000000"/>
                <w:sz w:val="20"/>
                <w:szCs w:val="20"/>
              </w:rPr>
              <w:t xml:space="preserve">Age - </w:t>
            </w:r>
            <w:r w:rsidRPr="000C14B0">
              <w:rPr>
                <w:rFonts w:asciiTheme="majorHAnsi" w:eastAsia="Times New Roman" w:hAnsiTheme="majorHAnsi" w:cstheme="majorHAnsi"/>
                <w:color w:val="000000"/>
                <w:sz w:val="20"/>
                <w:szCs w:val="20"/>
              </w:rPr>
              <w:t>0 to 17</w:t>
            </w:r>
          </w:p>
        </w:tc>
        <w:tc>
          <w:tcPr>
            <w:tcW w:w="1025" w:type="dxa"/>
            <w:shd w:val="clear" w:color="auto" w:fill="DEEAF6" w:themeFill="accent5" w:themeFillTint="33"/>
            <w:vAlign w:val="center"/>
          </w:tcPr>
          <w:p w14:paraId="32EFA98F" w14:textId="332083EB"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82,569</w:t>
            </w:r>
          </w:p>
        </w:tc>
        <w:tc>
          <w:tcPr>
            <w:tcW w:w="1074" w:type="dxa"/>
            <w:shd w:val="clear" w:color="auto" w:fill="DEEAF6" w:themeFill="accent5" w:themeFillTint="33"/>
            <w:vAlign w:val="center"/>
          </w:tcPr>
          <w:p w14:paraId="2F4895DD" w14:textId="3F56F0F7"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6.77%</w:t>
            </w:r>
          </w:p>
        </w:tc>
        <w:tc>
          <w:tcPr>
            <w:tcW w:w="1025" w:type="dxa"/>
            <w:shd w:val="clear" w:color="auto" w:fill="DEEAF6" w:themeFill="accent5" w:themeFillTint="33"/>
            <w:vAlign w:val="center"/>
          </w:tcPr>
          <w:p w14:paraId="0EA9FAA2" w14:textId="001853C0"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93,835</w:t>
            </w:r>
          </w:p>
        </w:tc>
        <w:tc>
          <w:tcPr>
            <w:tcW w:w="1074" w:type="dxa"/>
            <w:shd w:val="clear" w:color="auto" w:fill="DEEAF6" w:themeFill="accent5" w:themeFillTint="33"/>
            <w:vAlign w:val="center"/>
          </w:tcPr>
          <w:p w14:paraId="2A00C6EF" w14:textId="5C2A5B19"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6.57%</w:t>
            </w:r>
          </w:p>
        </w:tc>
        <w:tc>
          <w:tcPr>
            <w:tcW w:w="1079" w:type="dxa"/>
            <w:shd w:val="clear" w:color="auto" w:fill="DEEAF6" w:themeFill="accent5" w:themeFillTint="33"/>
            <w:vAlign w:val="center"/>
          </w:tcPr>
          <w:p w14:paraId="7ADC8D7F" w14:textId="16A7CC4E"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180,927</w:t>
            </w:r>
          </w:p>
        </w:tc>
        <w:tc>
          <w:tcPr>
            <w:tcW w:w="986" w:type="dxa"/>
            <w:shd w:val="clear" w:color="auto" w:fill="DEEAF6" w:themeFill="accent5" w:themeFillTint="33"/>
            <w:vAlign w:val="center"/>
          </w:tcPr>
          <w:p w14:paraId="7A2D36B2" w14:textId="72A74752"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11.08%</w:t>
            </w:r>
          </w:p>
        </w:tc>
      </w:tr>
      <w:tr w:rsidR="00C11AE5" w14:paraId="63810B5E" w14:textId="77777777" w:rsidTr="00EA4A97">
        <w:trPr>
          <w:cantSplit/>
        </w:trPr>
        <w:tc>
          <w:tcPr>
            <w:tcW w:w="3452" w:type="dxa"/>
            <w:shd w:val="clear" w:color="auto" w:fill="DEEAF6" w:themeFill="accent5" w:themeFillTint="33"/>
            <w:vAlign w:val="center"/>
          </w:tcPr>
          <w:p w14:paraId="747738A7" w14:textId="158C1C90" w:rsidR="00C11AE5" w:rsidRDefault="00C11AE5" w:rsidP="00C11AE5">
            <w:pPr>
              <w:spacing w:after="120"/>
              <w:rPr>
                <w:rFonts w:ascii="Arial" w:hAnsi="Arial" w:cs="Arial"/>
                <w:b/>
                <w:bCs/>
                <w:sz w:val="20"/>
                <w:szCs w:val="20"/>
              </w:rPr>
            </w:pPr>
            <w:r>
              <w:rPr>
                <w:rFonts w:asciiTheme="majorHAnsi" w:eastAsia="Times New Roman" w:hAnsiTheme="majorHAnsi" w:cstheme="majorHAnsi"/>
                <w:color w:val="000000"/>
                <w:sz w:val="20"/>
                <w:szCs w:val="20"/>
              </w:rPr>
              <w:t xml:space="preserve">Age - </w:t>
            </w:r>
            <w:r w:rsidRPr="000C14B0">
              <w:rPr>
                <w:rFonts w:asciiTheme="majorHAnsi" w:eastAsia="Times New Roman" w:hAnsiTheme="majorHAnsi" w:cstheme="majorHAnsi"/>
                <w:color w:val="000000"/>
                <w:sz w:val="20"/>
                <w:szCs w:val="20"/>
              </w:rPr>
              <w:t>18 to 64</w:t>
            </w:r>
          </w:p>
        </w:tc>
        <w:tc>
          <w:tcPr>
            <w:tcW w:w="1025" w:type="dxa"/>
            <w:shd w:val="clear" w:color="auto" w:fill="DEEAF6" w:themeFill="accent5" w:themeFillTint="33"/>
            <w:vAlign w:val="center"/>
          </w:tcPr>
          <w:p w14:paraId="1CC54745" w14:textId="72515201"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784,319</w:t>
            </w:r>
          </w:p>
        </w:tc>
        <w:tc>
          <w:tcPr>
            <w:tcW w:w="1074" w:type="dxa"/>
            <w:shd w:val="clear" w:color="auto" w:fill="DEEAF6" w:themeFill="accent5" w:themeFillTint="33"/>
            <w:vAlign w:val="center"/>
          </w:tcPr>
          <w:p w14:paraId="574BEB6C" w14:textId="1C1EA920"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64.30%</w:t>
            </w:r>
          </w:p>
        </w:tc>
        <w:tc>
          <w:tcPr>
            <w:tcW w:w="1025" w:type="dxa"/>
            <w:shd w:val="clear" w:color="auto" w:fill="DEEAF6" w:themeFill="accent5" w:themeFillTint="33"/>
            <w:vAlign w:val="center"/>
          </w:tcPr>
          <w:p w14:paraId="16936168" w14:textId="5CEDB10A"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924,797</w:t>
            </w:r>
          </w:p>
        </w:tc>
        <w:tc>
          <w:tcPr>
            <w:tcW w:w="1074" w:type="dxa"/>
            <w:shd w:val="clear" w:color="auto" w:fill="DEEAF6" w:themeFill="accent5" w:themeFillTint="33"/>
            <w:vAlign w:val="center"/>
          </w:tcPr>
          <w:p w14:paraId="2F0C9E16" w14:textId="59E0AB4D"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64.77%</w:t>
            </w:r>
          </w:p>
        </w:tc>
        <w:tc>
          <w:tcPr>
            <w:tcW w:w="1079" w:type="dxa"/>
            <w:shd w:val="clear" w:color="auto" w:fill="DEEAF6" w:themeFill="accent5" w:themeFillTint="33"/>
            <w:vAlign w:val="center"/>
          </w:tcPr>
          <w:p w14:paraId="12197A87" w14:textId="15F7322B"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993,510</w:t>
            </w:r>
          </w:p>
        </w:tc>
        <w:tc>
          <w:tcPr>
            <w:tcW w:w="986" w:type="dxa"/>
            <w:shd w:val="clear" w:color="auto" w:fill="DEEAF6" w:themeFill="accent5" w:themeFillTint="33"/>
            <w:vAlign w:val="center"/>
          </w:tcPr>
          <w:p w14:paraId="767E39EC" w14:textId="199B11FE"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60.84%</w:t>
            </w:r>
          </w:p>
        </w:tc>
      </w:tr>
      <w:tr w:rsidR="00C11AE5" w14:paraId="091ADDA2" w14:textId="77777777" w:rsidTr="00EA4A97">
        <w:trPr>
          <w:cantSplit/>
        </w:trPr>
        <w:tc>
          <w:tcPr>
            <w:tcW w:w="3452" w:type="dxa"/>
            <w:shd w:val="clear" w:color="auto" w:fill="DEEAF6" w:themeFill="accent5" w:themeFillTint="33"/>
            <w:vAlign w:val="center"/>
          </w:tcPr>
          <w:p w14:paraId="689E0012" w14:textId="4D5BA9BC" w:rsidR="00C11AE5" w:rsidRDefault="00C11AE5" w:rsidP="00C11AE5">
            <w:pPr>
              <w:spacing w:after="120"/>
              <w:rPr>
                <w:rFonts w:ascii="Arial" w:hAnsi="Arial" w:cs="Arial"/>
                <w:b/>
                <w:bCs/>
                <w:sz w:val="20"/>
                <w:szCs w:val="20"/>
              </w:rPr>
            </w:pPr>
            <w:r>
              <w:rPr>
                <w:rFonts w:asciiTheme="majorHAnsi" w:eastAsia="Times New Roman" w:hAnsiTheme="majorHAnsi" w:cstheme="majorHAnsi"/>
                <w:color w:val="000000"/>
                <w:sz w:val="20"/>
                <w:szCs w:val="20"/>
              </w:rPr>
              <w:t xml:space="preserve">Age - </w:t>
            </w:r>
            <w:r w:rsidRPr="000C14B0">
              <w:rPr>
                <w:rFonts w:asciiTheme="majorHAnsi" w:eastAsia="Times New Roman" w:hAnsiTheme="majorHAnsi" w:cstheme="majorHAnsi"/>
                <w:color w:val="000000"/>
                <w:sz w:val="20"/>
                <w:szCs w:val="20"/>
              </w:rPr>
              <w:t>65+</w:t>
            </w:r>
          </w:p>
        </w:tc>
        <w:tc>
          <w:tcPr>
            <w:tcW w:w="1025" w:type="dxa"/>
            <w:shd w:val="clear" w:color="auto" w:fill="DEEAF6" w:themeFill="accent5" w:themeFillTint="33"/>
            <w:vAlign w:val="center"/>
          </w:tcPr>
          <w:p w14:paraId="10759419" w14:textId="58C1FE61"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352,830</w:t>
            </w:r>
          </w:p>
        </w:tc>
        <w:tc>
          <w:tcPr>
            <w:tcW w:w="1074" w:type="dxa"/>
            <w:shd w:val="clear" w:color="auto" w:fill="DEEAF6" w:themeFill="accent5" w:themeFillTint="33"/>
            <w:vAlign w:val="center"/>
          </w:tcPr>
          <w:p w14:paraId="09BF4998" w14:textId="52EB14C8"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28.93%</w:t>
            </w:r>
          </w:p>
        </w:tc>
        <w:tc>
          <w:tcPr>
            <w:tcW w:w="1025" w:type="dxa"/>
            <w:shd w:val="clear" w:color="auto" w:fill="DEEAF6" w:themeFill="accent5" w:themeFillTint="33"/>
            <w:vAlign w:val="center"/>
          </w:tcPr>
          <w:p w14:paraId="0A76FCC7" w14:textId="6F37D9AF"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409,080</w:t>
            </w:r>
          </w:p>
        </w:tc>
        <w:tc>
          <w:tcPr>
            <w:tcW w:w="1074" w:type="dxa"/>
            <w:shd w:val="clear" w:color="auto" w:fill="DEEAF6" w:themeFill="accent5" w:themeFillTint="33"/>
            <w:vAlign w:val="center"/>
          </w:tcPr>
          <w:p w14:paraId="11CC0662" w14:textId="68E8FB0A"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28.65%</w:t>
            </w:r>
          </w:p>
        </w:tc>
        <w:tc>
          <w:tcPr>
            <w:tcW w:w="1079" w:type="dxa"/>
            <w:shd w:val="clear" w:color="auto" w:fill="DEEAF6" w:themeFill="accent5" w:themeFillTint="33"/>
            <w:vAlign w:val="center"/>
          </w:tcPr>
          <w:p w14:paraId="5B1D97E5" w14:textId="4087131C"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458,672</w:t>
            </w:r>
          </w:p>
        </w:tc>
        <w:tc>
          <w:tcPr>
            <w:tcW w:w="986" w:type="dxa"/>
            <w:shd w:val="clear" w:color="auto" w:fill="DEEAF6" w:themeFill="accent5" w:themeFillTint="33"/>
            <w:vAlign w:val="center"/>
          </w:tcPr>
          <w:p w14:paraId="1959122C" w14:textId="39A70F03"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28.09%</w:t>
            </w:r>
          </w:p>
        </w:tc>
      </w:tr>
      <w:tr w:rsidR="007E7083" w14:paraId="2B9A6B9A" w14:textId="77777777" w:rsidTr="00EA4A97">
        <w:trPr>
          <w:cantSplit/>
        </w:trPr>
        <w:tc>
          <w:tcPr>
            <w:tcW w:w="3452" w:type="dxa"/>
            <w:shd w:val="clear" w:color="auto" w:fill="FBE4D5" w:themeFill="accent2" w:themeFillTint="33"/>
            <w:vAlign w:val="center"/>
          </w:tcPr>
          <w:p w14:paraId="66B53371" w14:textId="16C02982" w:rsidR="00C11AE5" w:rsidRDefault="00C11AE5" w:rsidP="00C11AE5">
            <w:pPr>
              <w:spacing w:after="120"/>
              <w:rPr>
                <w:rFonts w:ascii="Arial" w:hAnsi="Arial" w:cs="Arial"/>
                <w:b/>
                <w:bCs/>
                <w:sz w:val="20"/>
                <w:szCs w:val="20"/>
              </w:rPr>
            </w:pPr>
            <w:r>
              <w:rPr>
                <w:rFonts w:asciiTheme="majorHAnsi" w:eastAsia="Times New Roman" w:hAnsiTheme="majorHAnsi" w:cstheme="majorHAnsi"/>
                <w:color w:val="000000"/>
                <w:sz w:val="20"/>
                <w:szCs w:val="20"/>
              </w:rPr>
              <w:t xml:space="preserve">Gender - </w:t>
            </w:r>
            <w:r w:rsidRPr="000C14B0">
              <w:rPr>
                <w:rFonts w:asciiTheme="majorHAnsi" w:eastAsia="Times New Roman" w:hAnsiTheme="majorHAnsi" w:cstheme="majorHAnsi"/>
                <w:color w:val="000000"/>
                <w:sz w:val="20"/>
                <w:szCs w:val="20"/>
              </w:rPr>
              <w:t xml:space="preserve">Male </w:t>
            </w:r>
          </w:p>
        </w:tc>
        <w:tc>
          <w:tcPr>
            <w:tcW w:w="1025" w:type="dxa"/>
            <w:shd w:val="clear" w:color="auto" w:fill="FBE4D5" w:themeFill="accent2" w:themeFillTint="33"/>
            <w:vAlign w:val="center"/>
          </w:tcPr>
          <w:p w14:paraId="50835A9B" w14:textId="27CDFAF7"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 xml:space="preserve"> 541,252 </w:t>
            </w:r>
          </w:p>
        </w:tc>
        <w:tc>
          <w:tcPr>
            <w:tcW w:w="1074" w:type="dxa"/>
            <w:shd w:val="clear" w:color="auto" w:fill="FBE4D5" w:themeFill="accent2" w:themeFillTint="33"/>
            <w:vAlign w:val="center"/>
          </w:tcPr>
          <w:p w14:paraId="5A37BD01" w14:textId="2421A322"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44.38%</w:t>
            </w:r>
          </w:p>
        </w:tc>
        <w:tc>
          <w:tcPr>
            <w:tcW w:w="1025" w:type="dxa"/>
            <w:shd w:val="clear" w:color="auto" w:fill="FBE4D5" w:themeFill="accent2" w:themeFillTint="33"/>
            <w:vAlign w:val="center"/>
          </w:tcPr>
          <w:p w14:paraId="275AC142" w14:textId="397C1B2E"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 xml:space="preserve"> 630,371 </w:t>
            </w:r>
          </w:p>
        </w:tc>
        <w:tc>
          <w:tcPr>
            <w:tcW w:w="1074" w:type="dxa"/>
            <w:shd w:val="clear" w:color="auto" w:fill="FBE4D5" w:themeFill="accent2" w:themeFillTint="33"/>
            <w:vAlign w:val="center"/>
          </w:tcPr>
          <w:p w14:paraId="5FB4B80C" w14:textId="692B86A8"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44.15%</w:t>
            </w:r>
          </w:p>
        </w:tc>
        <w:tc>
          <w:tcPr>
            <w:tcW w:w="1079" w:type="dxa"/>
            <w:shd w:val="clear" w:color="auto" w:fill="FBE4D5" w:themeFill="accent2" w:themeFillTint="33"/>
            <w:vAlign w:val="center"/>
          </w:tcPr>
          <w:p w14:paraId="3305919B" w14:textId="45D9B7CB"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 xml:space="preserve"> 647,251 </w:t>
            </w:r>
          </w:p>
        </w:tc>
        <w:tc>
          <w:tcPr>
            <w:tcW w:w="986" w:type="dxa"/>
            <w:shd w:val="clear" w:color="auto" w:fill="FBE4D5" w:themeFill="accent2" w:themeFillTint="33"/>
            <w:vAlign w:val="center"/>
          </w:tcPr>
          <w:p w14:paraId="77AFBAB3" w14:textId="4C6CBBA4"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39.63%</w:t>
            </w:r>
          </w:p>
        </w:tc>
      </w:tr>
      <w:tr w:rsidR="007E7083" w14:paraId="0CEF4317" w14:textId="77777777" w:rsidTr="00EA4A97">
        <w:trPr>
          <w:cantSplit/>
        </w:trPr>
        <w:tc>
          <w:tcPr>
            <w:tcW w:w="3452" w:type="dxa"/>
            <w:shd w:val="clear" w:color="auto" w:fill="FBE4D5" w:themeFill="accent2" w:themeFillTint="33"/>
            <w:vAlign w:val="center"/>
          </w:tcPr>
          <w:p w14:paraId="5E1EAF1C" w14:textId="2A8ECAD0" w:rsidR="00C11AE5" w:rsidRDefault="00C11AE5" w:rsidP="00C11AE5">
            <w:pPr>
              <w:spacing w:after="120"/>
              <w:rPr>
                <w:rFonts w:ascii="Arial" w:hAnsi="Arial" w:cs="Arial"/>
                <w:b/>
                <w:bCs/>
                <w:sz w:val="20"/>
                <w:szCs w:val="20"/>
              </w:rPr>
            </w:pPr>
            <w:r>
              <w:rPr>
                <w:rFonts w:asciiTheme="majorHAnsi" w:eastAsia="Times New Roman" w:hAnsiTheme="majorHAnsi" w:cstheme="majorHAnsi"/>
                <w:color w:val="000000"/>
                <w:sz w:val="20"/>
                <w:szCs w:val="20"/>
              </w:rPr>
              <w:t xml:space="preserve">Gender - </w:t>
            </w:r>
            <w:r w:rsidRPr="000C14B0">
              <w:rPr>
                <w:rFonts w:asciiTheme="majorHAnsi" w:eastAsia="Times New Roman" w:hAnsiTheme="majorHAnsi" w:cstheme="majorHAnsi"/>
                <w:color w:val="000000"/>
                <w:sz w:val="20"/>
                <w:szCs w:val="20"/>
              </w:rPr>
              <w:t>Female</w:t>
            </w:r>
          </w:p>
        </w:tc>
        <w:tc>
          <w:tcPr>
            <w:tcW w:w="1025" w:type="dxa"/>
            <w:shd w:val="clear" w:color="auto" w:fill="FBE4D5" w:themeFill="accent2" w:themeFillTint="33"/>
            <w:vAlign w:val="center"/>
          </w:tcPr>
          <w:p w14:paraId="5A30BFE7" w14:textId="512933DD"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 xml:space="preserve"> 677,915 </w:t>
            </w:r>
          </w:p>
        </w:tc>
        <w:tc>
          <w:tcPr>
            <w:tcW w:w="1074" w:type="dxa"/>
            <w:shd w:val="clear" w:color="auto" w:fill="FBE4D5" w:themeFill="accent2" w:themeFillTint="33"/>
            <w:vAlign w:val="center"/>
          </w:tcPr>
          <w:p w14:paraId="1B3EEEFD" w14:textId="34B78127"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55.58%</w:t>
            </w:r>
          </w:p>
        </w:tc>
        <w:tc>
          <w:tcPr>
            <w:tcW w:w="1025" w:type="dxa"/>
            <w:shd w:val="clear" w:color="auto" w:fill="FBE4D5" w:themeFill="accent2" w:themeFillTint="33"/>
            <w:vAlign w:val="center"/>
          </w:tcPr>
          <w:p w14:paraId="5863333B" w14:textId="7EE273CE"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 xml:space="preserve"> 796,777 </w:t>
            </w:r>
          </w:p>
        </w:tc>
        <w:tc>
          <w:tcPr>
            <w:tcW w:w="1074" w:type="dxa"/>
            <w:shd w:val="clear" w:color="auto" w:fill="FBE4D5" w:themeFill="accent2" w:themeFillTint="33"/>
            <w:vAlign w:val="center"/>
          </w:tcPr>
          <w:p w14:paraId="70B137AC" w14:textId="5081A058"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55.81%</w:t>
            </w:r>
          </w:p>
        </w:tc>
        <w:tc>
          <w:tcPr>
            <w:tcW w:w="1079" w:type="dxa"/>
            <w:shd w:val="clear" w:color="auto" w:fill="FBE4D5" w:themeFill="accent2" w:themeFillTint="33"/>
            <w:vAlign w:val="center"/>
          </w:tcPr>
          <w:p w14:paraId="59B1A823" w14:textId="17F12936"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 xml:space="preserve"> 983,566 </w:t>
            </w:r>
          </w:p>
        </w:tc>
        <w:tc>
          <w:tcPr>
            <w:tcW w:w="986" w:type="dxa"/>
            <w:shd w:val="clear" w:color="auto" w:fill="FBE4D5" w:themeFill="accent2" w:themeFillTint="33"/>
            <w:vAlign w:val="center"/>
          </w:tcPr>
          <w:p w14:paraId="0F8C1ADD" w14:textId="19C6BCE9"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60.23%</w:t>
            </w:r>
          </w:p>
        </w:tc>
      </w:tr>
      <w:tr w:rsidR="007E7083" w14:paraId="4237D5E1" w14:textId="77777777" w:rsidTr="00EA4A97">
        <w:trPr>
          <w:cantSplit/>
        </w:trPr>
        <w:tc>
          <w:tcPr>
            <w:tcW w:w="3452" w:type="dxa"/>
            <w:shd w:val="clear" w:color="auto" w:fill="FBE4D5" w:themeFill="accent2" w:themeFillTint="33"/>
            <w:vAlign w:val="center"/>
          </w:tcPr>
          <w:p w14:paraId="51ED82AD" w14:textId="7B161FB3" w:rsidR="00C11AE5" w:rsidRDefault="00C11AE5" w:rsidP="00C11AE5">
            <w:pPr>
              <w:spacing w:after="120"/>
              <w:rPr>
                <w:rFonts w:ascii="Arial" w:hAnsi="Arial" w:cs="Arial"/>
                <w:b/>
                <w:bCs/>
                <w:sz w:val="20"/>
                <w:szCs w:val="20"/>
              </w:rPr>
            </w:pPr>
            <w:r>
              <w:rPr>
                <w:rFonts w:asciiTheme="majorHAnsi" w:eastAsia="Times New Roman" w:hAnsiTheme="majorHAnsi" w:cstheme="majorHAnsi"/>
                <w:color w:val="000000"/>
                <w:sz w:val="20"/>
                <w:szCs w:val="20"/>
              </w:rPr>
              <w:t xml:space="preserve">Gender - </w:t>
            </w:r>
            <w:r w:rsidRPr="000C14B0">
              <w:rPr>
                <w:rFonts w:asciiTheme="majorHAnsi" w:eastAsia="Times New Roman" w:hAnsiTheme="majorHAnsi" w:cstheme="majorHAnsi"/>
                <w:color w:val="000000"/>
                <w:sz w:val="20"/>
                <w:szCs w:val="20"/>
              </w:rPr>
              <w:t>Other</w:t>
            </w:r>
            <w:r w:rsidRPr="000C14B0">
              <w:rPr>
                <w:rStyle w:val="FootnoteReference"/>
                <w:rFonts w:asciiTheme="majorHAnsi" w:eastAsia="Times New Roman" w:hAnsiTheme="majorHAnsi" w:cstheme="majorHAnsi"/>
                <w:color w:val="000000"/>
                <w:sz w:val="20"/>
                <w:szCs w:val="20"/>
              </w:rPr>
              <w:footnoteReference w:id="6"/>
            </w:r>
            <w:r w:rsidRPr="000C14B0">
              <w:rPr>
                <w:rFonts w:asciiTheme="majorHAnsi" w:eastAsia="Times New Roman" w:hAnsiTheme="majorHAnsi" w:cstheme="majorHAnsi"/>
                <w:color w:val="000000"/>
                <w:sz w:val="20"/>
                <w:szCs w:val="20"/>
              </w:rPr>
              <w:t xml:space="preserve"> </w:t>
            </w:r>
          </w:p>
        </w:tc>
        <w:tc>
          <w:tcPr>
            <w:tcW w:w="1025" w:type="dxa"/>
            <w:shd w:val="clear" w:color="auto" w:fill="FBE4D5" w:themeFill="accent2" w:themeFillTint="33"/>
            <w:vAlign w:val="center"/>
          </w:tcPr>
          <w:p w14:paraId="1FBAFEF7" w14:textId="3913C75F"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 xml:space="preserve"> 551 </w:t>
            </w:r>
          </w:p>
        </w:tc>
        <w:tc>
          <w:tcPr>
            <w:tcW w:w="1074" w:type="dxa"/>
            <w:shd w:val="clear" w:color="auto" w:fill="FBE4D5" w:themeFill="accent2" w:themeFillTint="33"/>
            <w:vAlign w:val="center"/>
          </w:tcPr>
          <w:p w14:paraId="63D41495" w14:textId="46D44C85"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0.05%</w:t>
            </w:r>
          </w:p>
        </w:tc>
        <w:tc>
          <w:tcPr>
            <w:tcW w:w="1025" w:type="dxa"/>
            <w:shd w:val="clear" w:color="auto" w:fill="FBE4D5" w:themeFill="accent2" w:themeFillTint="33"/>
            <w:vAlign w:val="center"/>
          </w:tcPr>
          <w:p w14:paraId="5A268393" w14:textId="59886F52"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 xml:space="preserve"> 563 </w:t>
            </w:r>
          </w:p>
        </w:tc>
        <w:tc>
          <w:tcPr>
            <w:tcW w:w="1074" w:type="dxa"/>
            <w:shd w:val="clear" w:color="auto" w:fill="FBE4D5" w:themeFill="accent2" w:themeFillTint="33"/>
            <w:vAlign w:val="center"/>
          </w:tcPr>
          <w:p w14:paraId="12928A61" w14:textId="622370EF"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0.04%</w:t>
            </w:r>
          </w:p>
        </w:tc>
        <w:tc>
          <w:tcPr>
            <w:tcW w:w="1079" w:type="dxa"/>
            <w:shd w:val="clear" w:color="auto" w:fill="FBE4D5" w:themeFill="accent2" w:themeFillTint="33"/>
            <w:vAlign w:val="center"/>
          </w:tcPr>
          <w:p w14:paraId="1AD354E7" w14:textId="04B059FE"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 xml:space="preserve"> 2,292 </w:t>
            </w:r>
          </w:p>
        </w:tc>
        <w:tc>
          <w:tcPr>
            <w:tcW w:w="986" w:type="dxa"/>
            <w:shd w:val="clear" w:color="auto" w:fill="FBE4D5" w:themeFill="accent2" w:themeFillTint="33"/>
            <w:vAlign w:val="center"/>
          </w:tcPr>
          <w:p w14:paraId="386CD518" w14:textId="7C791E97" w:rsidR="00C11AE5" w:rsidRDefault="00C11AE5" w:rsidP="00C11AE5">
            <w:pPr>
              <w:spacing w:after="120"/>
              <w:jc w:val="center"/>
              <w:rPr>
                <w:rFonts w:ascii="Arial" w:hAnsi="Arial" w:cs="Arial"/>
                <w:b/>
                <w:bCs/>
                <w:sz w:val="20"/>
                <w:szCs w:val="20"/>
              </w:rPr>
            </w:pPr>
            <w:r w:rsidRPr="000C14B0">
              <w:rPr>
                <w:rFonts w:asciiTheme="majorHAnsi" w:hAnsiTheme="majorHAnsi" w:cstheme="majorHAnsi"/>
                <w:sz w:val="20"/>
                <w:szCs w:val="20"/>
              </w:rPr>
              <w:t>0.14%</w:t>
            </w:r>
          </w:p>
        </w:tc>
      </w:tr>
      <w:tr w:rsidR="00C11AE5" w14:paraId="1254CDD0" w14:textId="77777777" w:rsidTr="00EA4A97">
        <w:trPr>
          <w:cantSplit/>
        </w:trPr>
        <w:tc>
          <w:tcPr>
            <w:tcW w:w="3452" w:type="dxa"/>
            <w:shd w:val="clear" w:color="auto" w:fill="E2EFD9" w:themeFill="accent6" w:themeFillTint="33"/>
            <w:vAlign w:val="center"/>
          </w:tcPr>
          <w:p w14:paraId="26142566" w14:textId="58B34F5F"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White</w:t>
            </w:r>
          </w:p>
        </w:tc>
        <w:tc>
          <w:tcPr>
            <w:tcW w:w="1025" w:type="dxa"/>
            <w:shd w:val="clear" w:color="auto" w:fill="E2EFD9" w:themeFill="accent6" w:themeFillTint="33"/>
            <w:vAlign w:val="center"/>
          </w:tcPr>
          <w:p w14:paraId="6DEB82BC" w14:textId="0BD3B6BA"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908,726 </w:t>
            </w:r>
          </w:p>
        </w:tc>
        <w:tc>
          <w:tcPr>
            <w:tcW w:w="1074" w:type="dxa"/>
            <w:shd w:val="clear" w:color="auto" w:fill="E2EFD9" w:themeFill="accent6" w:themeFillTint="33"/>
            <w:vAlign w:val="center"/>
          </w:tcPr>
          <w:p w14:paraId="7F03477A" w14:textId="5415B65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74.50%</w:t>
            </w:r>
          </w:p>
        </w:tc>
        <w:tc>
          <w:tcPr>
            <w:tcW w:w="1025" w:type="dxa"/>
            <w:shd w:val="clear" w:color="auto" w:fill="E2EFD9" w:themeFill="accent6" w:themeFillTint="33"/>
            <w:vAlign w:val="center"/>
          </w:tcPr>
          <w:p w14:paraId="3BDA03CA" w14:textId="600201D9"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1,022,257 </w:t>
            </w:r>
          </w:p>
        </w:tc>
        <w:tc>
          <w:tcPr>
            <w:tcW w:w="1074" w:type="dxa"/>
            <w:shd w:val="clear" w:color="auto" w:fill="E2EFD9" w:themeFill="accent6" w:themeFillTint="33"/>
            <w:vAlign w:val="center"/>
          </w:tcPr>
          <w:p w14:paraId="35D02896" w14:textId="480DC988"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71.60%</w:t>
            </w:r>
          </w:p>
        </w:tc>
        <w:tc>
          <w:tcPr>
            <w:tcW w:w="1079" w:type="dxa"/>
            <w:shd w:val="clear" w:color="auto" w:fill="E2EFD9" w:themeFill="accent6" w:themeFillTint="33"/>
            <w:vAlign w:val="center"/>
          </w:tcPr>
          <w:p w14:paraId="0DB1D1EB" w14:textId="53F94F3B"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1,209,253 </w:t>
            </w:r>
          </w:p>
        </w:tc>
        <w:tc>
          <w:tcPr>
            <w:tcW w:w="986" w:type="dxa"/>
            <w:shd w:val="clear" w:color="auto" w:fill="E2EFD9" w:themeFill="accent6" w:themeFillTint="33"/>
            <w:vAlign w:val="center"/>
          </w:tcPr>
          <w:p w14:paraId="79CEEC86" w14:textId="1E6168B2"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74.05%</w:t>
            </w:r>
          </w:p>
        </w:tc>
      </w:tr>
      <w:tr w:rsidR="00C11AE5" w14:paraId="280C3B9E" w14:textId="77777777" w:rsidTr="00EA4A97">
        <w:trPr>
          <w:cantSplit/>
        </w:trPr>
        <w:tc>
          <w:tcPr>
            <w:tcW w:w="3452" w:type="dxa"/>
            <w:shd w:val="clear" w:color="auto" w:fill="E2EFD9" w:themeFill="accent6" w:themeFillTint="33"/>
            <w:vAlign w:val="center"/>
          </w:tcPr>
          <w:p w14:paraId="381515EF" w14:textId="50A1CC20"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Black or African American</w:t>
            </w:r>
          </w:p>
        </w:tc>
        <w:tc>
          <w:tcPr>
            <w:tcW w:w="1025" w:type="dxa"/>
            <w:shd w:val="clear" w:color="auto" w:fill="E2EFD9" w:themeFill="accent6" w:themeFillTint="33"/>
            <w:vAlign w:val="center"/>
          </w:tcPr>
          <w:p w14:paraId="1BF73BEE" w14:textId="2FC85D63"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58,869 </w:t>
            </w:r>
          </w:p>
        </w:tc>
        <w:tc>
          <w:tcPr>
            <w:tcW w:w="1074" w:type="dxa"/>
            <w:shd w:val="clear" w:color="auto" w:fill="E2EFD9" w:themeFill="accent6" w:themeFillTint="33"/>
            <w:vAlign w:val="center"/>
          </w:tcPr>
          <w:p w14:paraId="76C2E596" w14:textId="34B35CEE"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4.83%</w:t>
            </w:r>
          </w:p>
        </w:tc>
        <w:tc>
          <w:tcPr>
            <w:tcW w:w="1025" w:type="dxa"/>
            <w:shd w:val="clear" w:color="auto" w:fill="E2EFD9" w:themeFill="accent6" w:themeFillTint="33"/>
            <w:vAlign w:val="center"/>
          </w:tcPr>
          <w:p w14:paraId="2DEE9A50" w14:textId="6000F89E"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69,537 </w:t>
            </w:r>
          </w:p>
        </w:tc>
        <w:tc>
          <w:tcPr>
            <w:tcW w:w="1074" w:type="dxa"/>
            <w:shd w:val="clear" w:color="auto" w:fill="E2EFD9" w:themeFill="accent6" w:themeFillTint="33"/>
            <w:vAlign w:val="center"/>
          </w:tcPr>
          <w:p w14:paraId="35A2BB6A" w14:textId="204E9D4B"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4.87%</w:t>
            </w:r>
          </w:p>
        </w:tc>
        <w:tc>
          <w:tcPr>
            <w:tcW w:w="1079" w:type="dxa"/>
            <w:shd w:val="clear" w:color="auto" w:fill="E2EFD9" w:themeFill="accent6" w:themeFillTint="33"/>
            <w:vAlign w:val="center"/>
          </w:tcPr>
          <w:p w14:paraId="3EFCAEDE" w14:textId="02F4FC33"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89,020 </w:t>
            </w:r>
          </w:p>
        </w:tc>
        <w:tc>
          <w:tcPr>
            <w:tcW w:w="986" w:type="dxa"/>
            <w:shd w:val="clear" w:color="auto" w:fill="E2EFD9" w:themeFill="accent6" w:themeFillTint="33"/>
            <w:vAlign w:val="center"/>
          </w:tcPr>
          <w:p w14:paraId="7ECD60EC" w14:textId="0B7BDB9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5.45%</w:t>
            </w:r>
          </w:p>
        </w:tc>
      </w:tr>
      <w:tr w:rsidR="00C11AE5" w14:paraId="7B5DBAF1" w14:textId="77777777" w:rsidTr="00EA4A97">
        <w:trPr>
          <w:cantSplit/>
        </w:trPr>
        <w:tc>
          <w:tcPr>
            <w:tcW w:w="3452" w:type="dxa"/>
            <w:shd w:val="clear" w:color="auto" w:fill="E2EFD9" w:themeFill="accent6" w:themeFillTint="33"/>
            <w:vAlign w:val="center"/>
          </w:tcPr>
          <w:p w14:paraId="27FCEA72" w14:textId="2FB302FF"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American Indian or Alaska Native</w:t>
            </w:r>
          </w:p>
        </w:tc>
        <w:tc>
          <w:tcPr>
            <w:tcW w:w="1025" w:type="dxa"/>
            <w:shd w:val="clear" w:color="auto" w:fill="E2EFD9" w:themeFill="accent6" w:themeFillTint="33"/>
            <w:vAlign w:val="center"/>
          </w:tcPr>
          <w:p w14:paraId="2CBAD070" w14:textId="346011E6"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1,404 </w:t>
            </w:r>
          </w:p>
        </w:tc>
        <w:tc>
          <w:tcPr>
            <w:tcW w:w="1074" w:type="dxa"/>
            <w:shd w:val="clear" w:color="auto" w:fill="E2EFD9" w:themeFill="accent6" w:themeFillTint="33"/>
            <w:vAlign w:val="center"/>
          </w:tcPr>
          <w:p w14:paraId="15DB14EF" w14:textId="649B7D3B"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0.12%</w:t>
            </w:r>
          </w:p>
        </w:tc>
        <w:tc>
          <w:tcPr>
            <w:tcW w:w="1025" w:type="dxa"/>
            <w:shd w:val="clear" w:color="auto" w:fill="E2EFD9" w:themeFill="accent6" w:themeFillTint="33"/>
            <w:vAlign w:val="center"/>
          </w:tcPr>
          <w:p w14:paraId="10BEC9CD" w14:textId="3C202C5E"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1,610 </w:t>
            </w:r>
          </w:p>
        </w:tc>
        <w:tc>
          <w:tcPr>
            <w:tcW w:w="1074" w:type="dxa"/>
            <w:shd w:val="clear" w:color="auto" w:fill="E2EFD9" w:themeFill="accent6" w:themeFillTint="33"/>
            <w:vAlign w:val="center"/>
          </w:tcPr>
          <w:p w14:paraId="02508110" w14:textId="3952F1E8"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0.11%</w:t>
            </w:r>
          </w:p>
        </w:tc>
        <w:tc>
          <w:tcPr>
            <w:tcW w:w="1079" w:type="dxa"/>
            <w:shd w:val="clear" w:color="auto" w:fill="E2EFD9" w:themeFill="accent6" w:themeFillTint="33"/>
            <w:vAlign w:val="center"/>
          </w:tcPr>
          <w:p w14:paraId="6573F024" w14:textId="3E17305E"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2,134 </w:t>
            </w:r>
          </w:p>
        </w:tc>
        <w:tc>
          <w:tcPr>
            <w:tcW w:w="986" w:type="dxa"/>
            <w:shd w:val="clear" w:color="auto" w:fill="E2EFD9" w:themeFill="accent6" w:themeFillTint="33"/>
            <w:vAlign w:val="center"/>
          </w:tcPr>
          <w:p w14:paraId="2BD0912A" w14:textId="1AA74CE2"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0.13%</w:t>
            </w:r>
          </w:p>
        </w:tc>
      </w:tr>
      <w:tr w:rsidR="00C11AE5" w14:paraId="15650817" w14:textId="77777777" w:rsidTr="00EA4A97">
        <w:trPr>
          <w:cantSplit/>
        </w:trPr>
        <w:tc>
          <w:tcPr>
            <w:tcW w:w="3452" w:type="dxa"/>
            <w:shd w:val="clear" w:color="auto" w:fill="E2EFD9" w:themeFill="accent6" w:themeFillTint="33"/>
            <w:vAlign w:val="center"/>
          </w:tcPr>
          <w:p w14:paraId="51F55EC6" w14:textId="2F956243"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Asian</w:t>
            </w:r>
          </w:p>
        </w:tc>
        <w:tc>
          <w:tcPr>
            <w:tcW w:w="1025" w:type="dxa"/>
            <w:shd w:val="clear" w:color="auto" w:fill="E2EFD9" w:themeFill="accent6" w:themeFillTint="33"/>
            <w:vAlign w:val="center"/>
          </w:tcPr>
          <w:p w14:paraId="4D41A0E7" w14:textId="0BBC3967"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71,333 </w:t>
            </w:r>
          </w:p>
        </w:tc>
        <w:tc>
          <w:tcPr>
            <w:tcW w:w="1074" w:type="dxa"/>
            <w:shd w:val="clear" w:color="auto" w:fill="E2EFD9" w:themeFill="accent6" w:themeFillTint="33"/>
            <w:vAlign w:val="center"/>
          </w:tcPr>
          <w:p w14:paraId="69C6A8FD" w14:textId="4EF2DFD6"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5.85%</w:t>
            </w:r>
          </w:p>
        </w:tc>
        <w:tc>
          <w:tcPr>
            <w:tcW w:w="1025" w:type="dxa"/>
            <w:shd w:val="clear" w:color="auto" w:fill="E2EFD9" w:themeFill="accent6" w:themeFillTint="33"/>
            <w:vAlign w:val="center"/>
          </w:tcPr>
          <w:p w14:paraId="054DE168" w14:textId="5681F027"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79,440 </w:t>
            </w:r>
          </w:p>
        </w:tc>
        <w:tc>
          <w:tcPr>
            <w:tcW w:w="1074" w:type="dxa"/>
            <w:shd w:val="clear" w:color="auto" w:fill="E2EFD9" w:themeFill="accent6" w:themeFillTint="33"/>
            <w:vAlign w:val="center"/>
          </w:tcPr>
          <w:p w14:paraId="17CD110D" w14:textId="51E6F916"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5.56%</w:t>
            </w:r>
          </w:p>
        </w:tc>
        <w:tc>
          <w:tcPr>
            <w:tcW w:w="1079" w:type="dxa"/>
            <w:shd w:val="clear" w:color="auto" w:fill="E2EFD9" w:themeFill="accent6" w:themeFillTint="33"/>
            <w:vAlign w:val="center"/>
          </w:tcPr>
          <w:p w14:paraId="3113D107" w14:textId="24EE9091"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105,352 </w:t>
            </w:r>
          </w:p>
        </w:tc>
        <w:tc>
          <w:tcPr>
            <w:tcW w:w="986" w:type="dxa"/>
            <w:shd w:val="clear" w:color="auto" w:fill="E2EFD9" w:themeFill="accent6" w:themeFillTint="33"/>
            <w:vAlign w:val="center"/>
          </w:tcPr>
          <w:p w14:paraId="6046C0F3" w14:textId="6F2CE0C4"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6.45%</w:t>
            </w:r>
          </w:p>
        </w:tc>
      </w:tr>
      <w:tr w:rsidR="00C11AE5" w14:paraId="75F54D02" w14:textId="77777777" w:rsidTr="00EA4A97">
        <w:trPr>
          <w:cantSplit/>
        </w:trPr>
        <w:tc>
          <w:tcPr>
            <w:tcW w:w="3452" w:type="dxa"/>
            <w:shd w:val="clear" w:color="auto" w:fill="E2EFD9" w:themeFill="accent6" w:themeFillTint="33"/>
            <w:vAlign w:val="center"/>
          </w:tcPr>
          <w:p w14:paraId="27FBA878" w14:textId="028E489D"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 xml:space="preserve">Native Hawaiian or Other Pacific Islander </w:t>
            </w:r>
          </w:p>
        </w:tc>
        <w:tc>
          <w:tcPr>
            <w:tcW w:w="1025" w:type="dxa"/>
            <w:shd w:val="clear" w:color="auto" w:fill="E2EFD9" w:themeFill="accent6" w:themeFillTint="33"/>
            <w:vAlign w:val="center"/>
          </w:tcPr>
          <w:p w14:paraId="7C7ACCB8" w14:textId="4D84BDFB"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778 </w:t>
            </w:r>
          </w:p>
        </w:tc>
        <w:tc>
          <w:tcPr>
            <w:tcW w:w="1074" w:type="dxa"/>
            <w:shd w:val="clear" w:color="auto" w:fill="E2EFD9" w:themeFill="accent6" w:themeFillTint="33"/>
            <w:vAlign w:val="center"/>
          </w:tcPr>
          <w:p w14:paraId="0E0CB9D7" w14:textId="78792809"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0.06%</w:t>
            </w:r>
          </w:p>
        </w:tc>
        <w:tc>
          <w:tcPr>
            <w:tcW w:w="1025" w:type="dxa"/>
            <w:shd w:val="clear" w:color="auto" w:fill="E2EFD9" w:themeFill="accent6" w:themeFillTint="33"/>
            <w:vAlign w:val="center"/>
          </w:tcPr>
          <w:p w14:paraId="19421E7C" w14:textId="5B01EA03"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985 </w:t>
            </w:r>
          </w:p>
        </w:tc>
        <w:tc>
          <w:tcPr>
            <w:tcW w:w="1074" w:type="dxa"/>
            <w:shd w:val="clear" w:color="auto" w:fill="E2EFD9" w:themeFill="accent6" w:themeFillTint="33"/>
            <w:vAlign w:val="center"/>
          </w:tcPr>
          <w:p w14:paraId="1898496D" w14:textId="737B61F5"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0.07%</w:t>
            </w:r>
          </w:p>
        </w:tc>
        <w:tc>
          <w:tcPr>
            <w:tcW w:w="1079" w:type="dxa"/>
            <w:shd w:val="clear" w:color="auto" w:fill="E2EFD9" w:themeFill="accent6" w:themeFillTint="33"/>
            <w:vAlign w:val="center"/>
          </w:tcPr>
          <w:p w14:paraId="25458DED" w14:textId="5F69F148"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1,139 </w:t>
            </w:r>
          </w:p>
        </w:tc>
        <w:tc>
          <w:tcPr>
            <w:tcW w:w="986" w:type="dxa"/>
            <w:shd w:val="clear" w:color="auto" w:fill="E2EFD9" w:themeFill="accent6" w:themeFillTint="33"/>
            <w:vAlign w:val="center"/>
          </w:tcPr>
          <w:p w14:paraId="786280D4" w14:textId="7E5A4BF7"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0.07%</w:t>
            </w:r>
          </w:p>
        </w:tc>
      </w:tr>
      <w:tr w:rsidR="00C11AE5" w14:paraId="6D2A93E0" w14:textId="77777777" w:rsidTr="00EA4A97">
        <w:trPr>
          <w:cantSplit/>
        </w:trPr>
        <w:tc>
          <w:tcPr>
            <w:tcW w:w="3452" w:type="dxa"/>
            <w:shd w:val="clear" w:color="auto" w:fill="E2EFD9" w:themeFill="accent6" w:themeFillTint="33"/>
            <w:vAlign w:val="center"/>
          </w:tcPr>
          <w:p w14:paraId="140C54B3" w14:textId="2DC1CCC6"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lastRenderedPageBreak/>
              <w:t xml:space="preserve">Race - </w:t>
            </w:r>
            <w:r w:rsidRPr="000C14B0">
              <w:rPr>
                <w:rFonts w:asciiTheme="majorHAnsi" w:eastAsia="Times New Roman" w:hAnsiTheme="majorHAnsi" w:cstheme="majorHAnsi"/>
                <w:color w:val="000000"/>
                <w:sz w:val="20"/>
                <w:szCs w:val="20"/>
              </w:rPr>
              <w:t>Other</w:t>
            </w:r>
            <w:r w:rsidRPr="000C14B0">
              <w:rPr>
                <w:rStyle w:val="FootnoteReference"/>
                <w:rFonts w:asciiTheme="majorHAnsi" w:eastAsia="Times New Roman" w:hAnsiTheme="majorHAnsi" w:cstheme="majorHAnsi"/>
                <w:color w:val="000000"/>
                <w:sz w:val="20"/>
                <w:szCs w:val="20"/>
              </w:rPr>
              <w:footnoteReference w:id="7"/>
            </w:r>
          </w:p>
        </w:tc>
        <w:tc>
          <w:tcPr>
            <w:tcW w:w="1025" w:type="dxa"/>
            <w:shd w:val="clear" w:color="auto" w:fill="E2EFD9" w:themeFill="accent6" w:themeFillTint="33"/>
            <w:vAlign w:val="center"/>
          </w:tcPr>
          <w:p w14:paraId="381A052F" w14:textId="62937A4E"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110,929 </w:t>
            </w:r>
          </w:p>
        </w:tc>
        <w:tc>
          <w:tcPr>
            <w:tcW w:w="1074" w:type="dxa"/>
            <w:shd w:val="clear" w:color="auto" w:fill="E2EFD9" w:themeFill="accent6" w:themeFillTint="33"/>
            <w:vAlign w:val="center"/>
          </w:tcPr>
          <w:p w14:paraId="5945B1B7" w14:textId="4EC7F4E7"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9.09%</w:t>
            </w:r>
          </w:p>
        </w:tc>
        <w:tc>
          <w:tcPr>
            <w:tcW w:w="1025" w:type="dxa"/>
            <w:shd w:val="clear" w:color="auto" w:fill="E2EFD9" w:themeFill="accent6" w:themeFillTint="33"/>
            <w:vAlign w:val="center"/>
          </w:tcPr>
          <w:p w14:paraId="61BFAAEC" w14:textId="680B1157"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127,248 </w:t>
            </w:r>
          </w:p>
        </w:tc>
        <w:tc>
          <w:tcPr>
            <w:tcW w:w="1074" w:type="dxa"/>
            <w:shd w:val="clear" w:color="auto" w:fill="E2EFD9" w:themeFill="accent6" w:themeFillTint="33"/>
            <w:vAlign w:val="center"/>
          </w:tcPr>
          <w:p w14:paraId="110CF9BA" w14:textId="0BA52521"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8.91%</w:t>
            </w:r>
          </w:p>
        </w:tc>
        <w:tc>
          <w:tcPr>
            <w:tcW w:w="1079" w:type="dxa"/>
            <w:shd w:val="clear" w:color="auto" w:fill="E2EFD9" w:themeFill="accent6" w:themeFillTint="33"/>
            <w:vAlign w:val="center"/>
          </w:tcPr>
          <w:p w14:paraId="39D50DD1" w14:textId="598E1364"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108,684 </w:t>
            </w:r>
          </w:p>
        </w:tc>
        <w:tc>
          <w:tcPr>
            <w:tcW w:w="986" w:type="dxa"/>
            <w:shd w:val="clear" w:color="auto" w:fill="E2EFD9" w:themeFill="accent6" w:themeFillTint="33"/>
            <w:vAlign w:val="center"/>
          </w:tcPr>
          <w:p w14:paraId="3D7FDC13" w14:textId="3A8ACA35"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6.66%</w:t>
            </w:r>
          </w:p>
        </w:tc>
      </w:tr>
      <w:tr w:rsidR="00C11AE5" w14:paraId="19DAB23D" w14:textId="77777777" w:rsidTr="00EA4A97">
        <w:trPr>
          <w:cantSplit/>
        </w:trPr>
        <w:tc>
          <w:tcPr>
            <w:tcW w:w="3452" w:type="dxa"/>
            <w:shd w:val="clear" w:color="auto" w:fill="E2EFD9" w:themeFill="accent6" w:themeFillTint="33"/>
            <w:vAlign w:val="center"/>
          </w:tcPr>
          <w:p w14:paraId="6C4D8162" w14:textId="33006F05"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 xml:space="preserve">Unknown </w:t>
            </w:r>
          </w:p>
        </w:tc>
        <w:tc>
          <w:tcPr>
            <w:tcW w:w="1025" w:type="dxa"/>
            <w:shd w:val="clear" w:color="auto" w:fill="E2EFD9" w:themeFill="accent6" w:themeFillTint="33"/>
            <w:vAlign w:val="center"/>
          </w:tcPr>
          <w:p w14:paraId="7469836F" w14:textId="285CCB9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59,190 </w:t>
            </w:r>
          </w:p>
        </w:tc>
        <w:tc>
          <w:tcPr>
            <w:tcW w:w="1074" w:type="dxa"/>
            <w:shd w:val="clear" w:color="auto" w:fill="E2EFD9" w:themeFill="accent6" w:themeFillTint="33"/>
            <w:vAlign w:val="center"/>
          </w:tcPr>
          <w:p w14:paraId="0EE43CD4" w14:textId="0AFC08C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4.85%</w:t>
            </w:r>
          </w:p>
        </w:tc>
        <w:tc>
          <w:tcPr>
            <w:tcW w:w="1025" w:type="dxa"/>
            <w:shd w:val="clear" w:color="auto" w:fill="E2EFD9" w:themeFill="accent6" w:themeFillTint="33"/>
            <w:vAlign w:val="center"/>
          </w:tcPr>
          <w:p w14:paraId="64FE3C19" w14:textId="01EA4DE2"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106,325 </w:t>
            </w:r>
          </w:p>
        </w:tc>
        <w:tc>
          <w:tcPr>
            <w:tcW w:w="1074" w:type="dxa"/>
            <w:shd w:val="clear" w:color="auto" w:fill="E2EFD9" w:themeFill="accent6" w:themeFillTint="33"/>
            <w:vAlign w:val="center"/>
          </w:tcPr>
          <w:p w14:paraId="085475EF" w14:textId="14BA8D6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7.45%</w:t>
            </w:r>
          </w:p>
        </w:tc>
        <w:tc>
          <w:tcPr>
            <w:tcW w:w="1079" w:type="dxa"/>
            <w:shd w:val="clear" w:color="auto" w:fill="E2EFD9" w:themeFill="accent6" w:themeFillTint="33"/>
            <w:vAlign w:val="center"/>
          </w:tcPr>
          <w:p w14:paraId="2B3D060D" w14:textId="53D05C86"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93,208 </w:t>
            </w:r>
          </w:p>
        </w:tc>
        <w:tc>
          <w:tcPr>
            <w:tcW w:w="986" w:type="dxa"/>
            <w:shd w:val="clear" w:color="auto" w:fill="E2EFD9" w:themeFill="accent6" w:themeFillTint="33"/>
            <w:vAlign w:val="center"/>
          </w:tcPr>
          <w:p w14:paraId="5F1DEB5A" w14:textId="7B7A6DEC"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5.71%</w:t>
            </w:r>
          </w:p>
        </w:tc>
      </w:tr>
      <w:tr w:rsidR="00C11AE5" w14:paraId="7FCD62EB" w14:textId="77777777" w:rsidTr="00EA4A97">
        <w:trPr>
          <w:cantSplit/>
        </w:trPr>
        <w:tc>
          <w:tcPr>
            <w:tcW w:w="3452" w:type="dxa"/>
            <w:shd w:val="clear" w:color="auto" w:fill="E2EFD9" w:themeFill="accent6" w:themeFillTint="33"/>
            <w:vAlign w:val="center"/>
          </w:tcPr>
          <w:p w14:paraId="05D24B64" w14:textId="089DC3D9"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 xml:space="preserve">Patient Declined </w:t>
            </w:r>
          </w:p>
        </w:tc>
        <w:tc>
          <w:tcPr>
            <w:tcW w:w="1025" w:type="dxa"/>
            <w:shd w:val="clear" w:color="auto" w:fill="E2EFD9" w:themeFill="accent6" w:themeFillTint="33"/>
            <w:vAlign w:val="center"/>
          </w:tcPr>
          <w:p w14:paraId="6FA2EBCE" w14:textId="5131F20E"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8,489 </w:t>
            </w:r>
          </w:p>
        </w:tc>
        <w:tc>
          <w:tcPr>
            <w:tcW w:w="1074" w:type="dxa"/>
            <w:shd w:val="clear" w:color="auto" w:fill="E2EFD9" w:themeFill="accent6" w:themeFillTint="33"/>
            <w:vAlign w:val="center"/>
          </w:tcPr>
          <w:p w14:paraId="583D2BAE" w14:textId="041FEC97"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0.70%</w:t>
            </w:r>
          </w:p>
        </w:tc>
        <w:tc>
          <w:tcPr>
            <w:tcW w:w="1025" w:type="dxa"/>
            <w:shd w:val="clear" w:color="auto" w:fill="E2EFD9" w:themeFill="accent6" w:themeFillTint="33"/>
            <w:vAlign w:val="center"/>
          </w:tcPr>
          <w:p w14:paraId="3DC19724" w14:textId="57C406B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20,309 </w:t>
            </w:r>
          </w:p>
        </w:tc>
        <w:tc>
          <w:tcPr>
            <w:tcW w:w="1074" w:type="dxa"/>
            <w:shd w:val="clear" w:color="auto" w:fill="E2EFD9" w:themeFill="accent6" w:themeFillTint="33"/>
            <w:vAlign w:val="center"/>
          </w:tcPr>
          <w:p w14:paraId="46D00D41" w14:textId="16436F1B"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1.42%</w:t>
            </w:r>
          </w:p>
        </w:tc>
        <w:tc>
          <w:tcPr>
            <w:tcW w:w="1079" w:type="dxa"/>
            <w:shd w:val="clear" w:color="auto" w:fill="E2EFD9" w:themeFill="accent6" w:themeFillTint="33"/>
            <w:vAlign w:val="center"/>
          </w:tcPr>
          <w:p w14:paraId="369953E6" w14:textId="340A2E9C"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24,319 </w:t>
            </w:r>
          </w:p>
        </w:tc>
        <w:tc>
          <w:tcPr>
            <w:tcW w:w="986" w:type="dxa"/>
            <w:shd w:val="clear" w:color="auto" w:fill="E2EFD9" w:themeFill="accent6" w:themeFillTint="33"/>
            <w:vAlign w:val="center"/>
          </w:tcPr>
          <w:p w14:paraId="33347DDD" w14:textId="05AADB4F"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1.49%</w:t>
            </w:r>
          </w:p>
        </w:tc>
      </w:tr>
      <w:tr w:rsidR="00C11AE5" w14:paraId="4309DA13" w14:textId="77777777" w:rsidTr="00EA4A97">
        <w:trPr>
          <w:cantSplit/>
        </w:trPr>
        <w:tc>
          <w:tcPr>
            <w:tcW w:w="3452" w:type="dxa"/>
            <w:shd w:val="clear" w:color="auto" w:fill="FFF2CC" w:themeFill="accent4" w:themeFillTint="33"/>
            <w:vAlign w:val="center"/>
          </w:tcPr>
          <w:p w14:paraId="12B70160" w14:textId="5884C110"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Ethnicity</w:t>
            </w:r>
            <w:r w:rsidR="007974A1" w:rsidRPr="00DE3FB9">
              <w:rPr>
                <w:rStyle w:val="FootnoteReference"/>
                <w:rFonts w:asciiTheme="majorHAnsi" w:eastAsia="Times New Roman" w:hAnsiTheme="majorHAnsi" w:cstheme="majorHAnsi"/>
                <w:color w:val="000000"/>
                <w:sz w:val="20"/>
                <w:szCs w:val="20"/>
              </w:rPr>
              <w:footnoteReference w:id="8"/>
            </w:r>
            <w:r>
              <w:rPr>
                <w:rFonts w:asciiTheme="majorHAnsi" w:eastAsia="Times New Roman" w:hAnsiTheme="majorHAnsi" w:cstheme="majorHAnsi"/>
                <w:color w:val="000000"/>
                <w:sz w:val="20"/>
                <w:szCs w:val="20"/>
              </w:rPr>
              <w:t xml:space="preserve"> - </w:t>
            </w:r>
            <w:r w:rsidRPr="000C14B0">
              <w:rPr>
                <w:rFonts w:asciiTheme="majorHAnsi" w:eastAsia="Times New Roman" w:hAnsiTheme="majorHAnsi" w:cstheme="majorHAnsi"/>
                <w:color w:val="000000"/>
                <w:sz w:val="20"/>
                <w:szCs w:val="20"/>
              </w:rPr>
              <w:t>Hispanic/Latino</w:t>
            </w:r>
          </w:p>
        </w:tc>
        <w:tc>
          <w:tcPr>
            <w:tcW w:w="1025" w:type="dxa"/>
            <w:shd w:val="clear" w:color="auto" w:fill="FFF2CC" w:themeFill="accent4" w:themeFillTint="33"/>
            <w:vAlign w:val="center"/>
          </w:tcPr>
          <w:p w14:paraId="11BC8017" w14:textId="25A625C7"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51,758 </w:t>
            </w:r>
          </w:p>
        </w:tc>
        <w:tc>
          <w:tcPr>
            <w:tcW w:w="1074" w:type="dxa"/>
            <w:shd w:val="clear" w:color="auto" w:fill="FFF2CC" w:themeFill="accent4" w:themeFillTint="33"/>
            <w:vAlign w:val="center"/>
          </w:tcPr>
          <w:p w14:paraId="078ABF63" w14:textId="72040C7F"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5.05%</w:t>
            </w:r>
          </w:p>
        </w:tc>
        <w:tc>
          <w:tcPr>
            <w:tcW w:w="1025" w:type="dxa"/>
            <w:shd w:val="clear" w:color="auto" w:fill="FFF2CC" w:themeFill="accent4" w:themeFillTint="33"/>
            <w:vAlign w:val="center"/>
          </w:tcPr>
          <w:p w14:paraId="70DCE1F3" w14:textId="20604FBC"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70,402 </w:t>
            </w:r>
          </w:p>
        </w:tc>
        <w:tc>
          <w:tcPr>
            <w:tcW w:w="1074" w:type="dxa"/>
            <w:shd w:val="clear" w:color="auto" w:fill="FFF2CC" w:themeFill="accent4" w:themeFillTint="33"/>
            <w:vAlign w:val="center"/>
          </w:tcPr>
          <w:p w14:paraId="64D50ED4" w14:textId="29DFB2D8"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6.00%</w:t>
            </w:r>
          </w:p>
        </w:tc>
        <w:tc>
          <w:tcPr>
            <w:tcW w:w="1079" w:type="dxa"/>
            <w:shd w:val="clear" w:color="auto" w:fill="FFF2CC" w:themeFill="accent4" w:themeFillTint="33"/>
            <w:vAlign w:val="center"/>
          </w:tcPr>
          <w:p w14:paraId="5CA6B60D" w14:textId="05DCD041"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82903</w:t>
            </w:r>
          </w:p>
        </w:tc>
        <w:tc>
          <w:tcPr>
            <w:tcW w:w="986" w:type="dxa"/>
            <w:shd w:val="clear" w:color="auto" w:fill="FFF2CC" w:themeFill="accent4" w:themeFillTint="33"/>
            <w:vAlign w:val="center"/>
          </w:tcPr>
          <w:p w14:paraId="02A3052A" w14:textId="032E018B"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5.95%</w:t>
            </w:r>
          </w:p>
        </w:tc>
      </w:tr>
      <w:tr w:rsidR="00C11AE5" w14:paraId="3D78E319" w14:textId="77777777" w:rsidTr="00EA4A97">
        <w:trPr>
          <w:cantSplit/>
        </w:trPr>
        <w:tc>
          <w:tcPr>
            <w:tcW w:w="3452" w:type="dxa"/>
            <w:shd w:val="clear" w:color="auto" w:fill="FFF2CC" w:themeFill="accent4" w:themeFillTint="33"/>
            <w:vAlign w:val="center"/>
          </w:tcPr>
          <w:p w14:paraId="279BDEFE" w14:textId="66889775"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Ethnicity - </w:t>
            </w:r>
            <w:r w:rsidRPr="000C14B0">
              <w:rPr>
                <w:rFonts w:asciiTheme="majorHAnsi" w:eastAsia="Times New Roman" w:hAnsiTheme="majorHAnsi" w:cstheme="majorHAnsi"/>
                <w:color w:val="000000"/>
                <w:sz w:val="20"/>
                <w:szCs w:val="20"/>
              </w:rPr>
              <w:t>Not Hispanic/Latino</w:t>
            </w:r>
          </w:p>
        </w:tc>
        <w:tc>
          <w:tcPr>
            <w:tcW w:w="1025" w:type="dxa"/>
            <w:shd w:val="clear" w:color="auto" w:fill="FFF2CC" w:themeFill="accent4" w:themeFillTint="33"/>
            <w:vAlign w:val="center"/>
          </w:tcPr>
          <w:p w14:paraId="21C67CC8" w14:textId="2490DE48"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875,383 </w:t>
            </w:r>
          </w:p>
        </w:tc>
        <w:tc>
          <w:tcPr>
            <w:tcW w:w="1074" w:type="dxa"/>
            <w:shd w:val="clear" w:color="auto" w:fill="FFF2CC" w:themeFill="accent4" w:themeFillTint="33"/>
            <w:vAlign w:val="center"/>
          </w:tcPr>
          <w:p w14:paraId="56ADDB92" w14:textId="64AC3144"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85.43%</w:t>
            </w:r>
          </w:p>
        </w:tc>
        <w:tc>
          <w:tcPr>
            <w:tcW w:w="1025" w:type="dxa"/>
            <w:shd w:val="clear" w:color="auto" w:fill="FFF2CC" w:themeFill="accent4" w:themeFillTint="33"/>
            <w:vAlign w:val="center"/>
          </w:tcPr>
          <w:p w14:paraId="66CD64DA" w14:textId="3CEAF7F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959,434 </w:t>
            </w:r>
          </w:p>
        </w:tc>
        <w:tc>
          <w:tcPr>
            <w:tcW w:w="1074" w:type="dxa"/>
            <w:shd w:val="clear" w:color="auto" w:fill="FFF2CC" w:themeFill="accent4" w:themeFillTint="33"/>
            <w:vAlign w:val="center"/>
          </w:tcPr>
          <w:p w14:paraId="70A2DFDA" w14:textId="1D38692C"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81.75%</w:t>
            </w:r>
          </w:p>
        </w:tc>
        <w:tc>
          <w:tcPr>
            <w:tcW w:w="1079" w:type="dxa"/>
            <w:shd w:val="clear" w:color="auto" w:fill="FFF2CC" w:themeFill="accent4" w:themeFillTint="33"/>
            <w:vAlign w:val="center"/>
          </w:tcPr>
          <w:p w14:paraId="3372942C" w14:textId="182782AC"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1120228</w:t>
            </w:r>
          </w:p>
        </w:tc>
        <w:tc>
          <w:tcPr>
            <w:tcW w:w="986" w:type="dxa"/>
            <w:shd w:val="clear" w:color="auto" w:fill="FFF2CC" w:themeFill="accent4" w:themeFillTint="33"/>
            <w:vAlign w:val="center"/>
          </w:tcPr>
          <w:p w14:paraId="4DAB3E11" w14:textId="3ECCB11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80.38%</w:t>
            </w:r>
          </w:p>
        </w:tc>
      </w:tr>
      <w:tr w:rsidR="00C11AE5" w14:paraId="7957B0A4" w14:textId="77777777" w:rsidTr="00EA4A97">
        <w:trPr>
          <w:cantSplit/>
        </w:trPr>
        <w:tc>
          <w:tcPr>
            <w:tcW w:w="3452" w:type="dxa"/>
            <w:shd w:val="clear" w:color="auto" w:fill="FFF2CC" w:themeFill="accent4" w:themeFillTint="33"/>
            <w:vAlign w:val="center"/>
          </w:tcPr>
          <w:p w14:paraId="546FC0FF" w14:textId="52E66008"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Ethnicity - </w:t>
            </w:r>
            <w:r w:rsidRPr="000C14B0">
              <w:rPr>
                <w:rFonts w:asciiTheme="majorHAnsi" w:eastAsia="Times New Roman" w:hAnsiTheme="majorHAnsi" w:cstheme="majorHAnsi"/>
                <w:color w:val="000000"/>
                <w:sz w:val="20"/>
                <w:szCs w:val="20"/>
              </w:rPr>
              <w:t xml:space="preserve">Patient Declined </w:t>
            </w:r>
          </w:p>
        </w:tc>
        <w:tc>
          <w:tcPr>
            <w:tcW w:w="1025" w:type="dxa"/>
            <w:shd w:val="clear" w:color="auto" w:fill="FFF2CC" w:themeFill="accent4" w:themeFillTint="33"/>
            <w:vAlign w:val="center"/>
          </w:tcPr>
          <w:p w14:paraId="5E4BE60E" w14:textId="7980BF2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28,549 </w:t>
            </w:r>
          </w:p>
        </w:tc>
        <w:tc>
          <w:tcPr>
            <w:tcW w:w="1074" w:type="dxa"/>
            <w:shd w:val="clear" w:color="auto" w:fill="FFF2CC" w:themeFill="accent4" w:themeFillTint="33"/>
            <w:vAlign w:val="center"/>
          </w:tcPr>
          <w:p w14:paraId="20C584C0" w14:textId="5B3307B3"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2.79%</w:t>
            </w:r>
          </w:p>
        </w:tc>
        <w:tc>
          <w:tcPr>
            <w:tcW w:w="1025" w:type="dxa"/>
            <w:shd w:val="clear" w:color="auto" w:fill="FFF2CC" w:themeFill="accent4" w:themeFillTint="33"/>
            <w:vAlign w:val="center"/>
          </w:tcPr>
          <w:p w14:paraId="54826F2C" w14:textId="4FBB3CA9"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41,950 </w:t>
            </w:r>
          </w:p>
        </w:tc>
        <w:tc>
          <w:tcPr>
            <w:tcW w:w="1074" w:type="dxa"/>
            <w:shd w:val="clear" w:color="auto" w:fill="FFF2CC" w:themeFill="accent4" w:themeFillTint="33"/>
            <w:vAlign w:val="center"/>
          </w:tcPr>
          <w:p w14:paraId="2AEFD862" w14:textId="5D13090B"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3.57%</w:t>
            </w:r>
          </w:p>
        </w:tc>
        <w:tc>
          <w:tcPr>
            <w:tcW w:w="1079" w:type="dxa"/>
            <w:shd w:val="clear" w:color="auto" w:fill="FFF2CC" w:themeFill="accent4" w:themeFillTint="33"/>
            <w:vAlign w:val="center"/>
          </w:tcPr>
          <w:p w14:paraId="4E4CE292" w14:textId="3E4EC92E"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40490</w:t>
            </w:r>
          </w:p>
        </w:tc>
        <w:tc>
          <w:tcPr>
            <w:tcW w:w="986" w:type="dxa"/>
            <w:shd w:val="clear" w:color="auto" w:fill="FFF2CC" w:themeFill="accent4" w:themeFillTint="33"/>
            <w:vAlign w:val="center"/>
          </w:tcPr>
          <w:p w14:paraId="769CD300" w14:textId="6F88CFE9"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2.91%</w:t>
            </w:r>
          </w:p>
        </w:tc>
      </w:tr>
      <w:tr w:rsidR="00C11AE5" w14:paraId="34A05DB3" w14:textId="77777777" w:rsidTr="00EA4A97">
        <w:trPr>
          <w:cantSplit/>
        </w:trPr>
        <w:tc>
          <w:tcPr>
            <w:tcW w:w="3452" w:type="dxa"/>
            <w:shd w:val="clear" w:color="auto" w:fill="FFF2CC" w:themeFill="accent4" w:themeFillTint="33"/>
            <w:vAlign w:val="center"/>
          </w:tcPr>
          <w:p w14:paraId="677CA402" w14:textId="13BFEE85"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Ethnicity - </w:t>
            </w:r>
            <w:r w:rsidRPr="000C14B0">
              <w:rPr>
                <w:rFonts w:asciiTheme="majorHAnsi" w:eastAsia="Times New Roman" w:hAnsiTheme="majorHAnsi" w:cstheme="majorHAnsi"/>
                <w:color w:val="000000"/>
                <w:sz w:val="20"/>
                <w:szCs w:val="20"/>
              </w:rPr>
              <w:t>Unknown</w:t>
            </w:r>
          </w:p>
        </w:tc>
        <w:tc>
          <w:tcPr>
            <w:tcW w:w="1025" w:type="dxa"/>
            <w:shd w:val="clear" w:color="auto" w:fill="FFF2CC" w:themeFill="accent4" w:themeFillTint="33"/>
            <w:vAlign w:val="center"/>
          </w:tcPr>
          <w:p w14:paraId="33ACC701" w14:textId="1B2A6F9E"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54,010 </w:t>
            </w:r>
          </w:p>
        </w:tc>
        <w:tc>
          <w:tcPr>
            <w:tcW w:w="1074" w:type="dxa"/>
            <w:shd w:val="clear" w:color="auto" w:fill="FFF2CC" w:themeFill="accent4" w:themeFillTint="33"/>
            <w:vAlign w:val="center"/>
          </w:tcPr>
          <w:p w14:paraId="065B48E2" w14:textId="4608C6C2"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5.27%</w:t>
            </w:r>
          </w:p>
        </w:tc>
        <w:tc>
          <w:tcPr>
            <w:tcW w:w="1025" w:type="dxa"/>
            <w:shd w:val="clear" w:color="auto" w:fill="FFF2CC" w:themeFill="accent4" w:themeFillTint="33"/>
            <w:vAlign w:val="center"/>
          </w:tcPr>
          <w:p w14:paraId="7707BF92" w14:textId="59BDC975"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70,531 </w:t>
            </w:r>
          </w:p>
        </w:tc>
        <w:tc>
          <w:tcPr>
            <w:tcW w:w="1074" w:type="dxa"/>
            <w:shd w:val="clear" w:color="auto" w:fill="FFF2CC" w:themeFill="accent4" w:themeFillTint="33"/>
            <w:vAlign w:val="center"/>
          </w:tcPr>
          <w:p w14:paraId="7F4D2A16" w14:textId="60E66432"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6.01%</w:t>
            </w:r>
          </w:p>
        </w:tc>
        <w:tc>
          <w:tcPr>
            <w:tcW w:w="1079" w:type="dxa"/>
            <w:shd w:val="clear" w:color="auto" w:fill="FFF2CC" w:themeFill="accent4" w:themeFillTint="33"/>
            <w:vAlign w:val="center"/>
          </w:tcPr>
          <w:p w14:paraId="4E549D7B" w14:textId="019EB214"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102618</w:t>
            </w:r>
          </w:p>
        </w:tc>
        <w:tc>
          <w:tcPr>
            <w:tcW w:w="986" w:type="dxa"/>
            <w:shd w:val="clear" w:color="auto" w:fill="FFF2CC" w:themeFill="accent4" w:themeFillTint="33"/>
            <w:vAlign w:val="center"/>
          </w:tcPr>
          <w:p w14:paraId="1F2A4B88" w14:textId="4022498F"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7.36%</w:t>
            </w:r>
          </w:p>
        </w:tc>
      </w:tr>
      <w:tr w:rsidR="00C11AE5" w14:paraId="429F9F4D" w14:textId="77777777" w:rsidTr="00EA4A97">
        <w:trPr>
          <w:cantSplit/>
        </w:trPr>
        <w:tc>
          <w:tcPr>
            <w:tcW w:w="3452" w:type="dxa"/>
            <w:shd w:val="clear" w:color="auto" w:fill="FFF2CC" w:themeFill="accent4" w:themeFillTint="33"/>
            <w:vAlign w:val="center"/>
          </w:tcPr>
          <w:p w14:paraId="5362A471" w14:textId="43F2E695" w:rsidR="00C11AE5" w:rsidRDefault="00C11AE5" w:rsidP="00C11AE5">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Ethnicity - </w:t>
            </w:r>
            <w:r w:rsidRPr="000C14B0">
              <w:rPr>
                <w:rFonts w:asciiTheme="majorHAnsi" w:eastAsia="Times New Roman" w:hAnsiTheme="majorHAnsi" w:cstheme="majorHAnsi"/>
                <w:color w:val="000000"/>
                <w:sz w:val="20"/>
                <w:szCs w:val="20"/>
              </w:rPr>
              <w:t>Other</w:t>
            </w:r>
          </w:p>
        </w:tc>
        <w:tc>
          <w:tcPr>
            <w:tcW w:w="1025" w:type="dxa"/>
            <w:shd w:val="clear" w:color="auto" w:fill="FFF2CC" w:themeFill="accent4" w:themeFillTint="33"/>
            <w:vAlign w:val="center"/>
          </w:tcPr>
          <w:p w14:paraId="0A4B5F37" w14:textId="309FCB82"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14,974 </w:t>
            </w:r>
          </w:p>
        </w:tc>
        <w:tc>
          <w:tcPr>
            <w:tcW w:w="1074" w:type="dxa"/>
            <w:shd w:val="clear" w:color="auto" w:fill="FFF2CC" w:themeFill="accent4" w:themeFillTint="33"/>
            <w:vAlign w:val="center"/>
          </w:tcPr>
          <w:p w14:paraId="0890847F" w14:textId="7D4F13C3"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1.46%</w:t>
            </w:r>
          </w:p>
        </w:tc>
        <w:tc>
          <w:tcPr>
            <w:tcW w:w="1025" w:type="dxa"/>
            <w:shd w:val="clear" w:color="auto" w:fill="FFF2CC" w:themeFill="accent4" w:themeFillTint="33"/>
            <w:vAlign w:val="center"/>
          </w:tcPr>
          <w:p w14:paraId="2B37A280" w14:textId="5DB6225D"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 xml:space="preserve"> 31,372 </w:t>
            </w:r>
          </w:p>
        </w:tc>
        <w:tc>
          <w:tcPr>
            <w:tcW w:w="1074" w:type="dxa"/>
            <w:shd w:val="clear" w:color="auto" w:fill="FFF2CC" w:themeFill="accent4" w:themeFillTint="33"/>
            <w:vAlign w:val="center"/>
          </w:tcPr>
          <w:p w14:paraId="1061E258" w14:textId="2F5133CF"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2.67%</w:t>
            </w:r>
          </w:p>
        </w:tc>
        <w:tc>
          <w:tcPr>
            <w:tcW w:w="1079" w:type="dxa"/>
            <w:shd w:val="clear" w:color="auto" w:fill="FFF2CC" w:themeFill="accent4" w:themeFillTint="33"/>
            <w:vAlign w:val="center"/>
          </w:tcPr>
          <w:p w14:paraId="1634F548" w14:textId="593D66DC"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47509</w:t>
            </w:r>
          </w:p>
        </w:tc>
        <w:tc>
          <w:tcPr>
            <w:tcW w:w="986" w:type="dxa"/>
            <w:shd w:val="clear" w:color="auto" w:fill="FFF2CC" w:themeFill="accent4" w:themeFillTint="33"/>
            <w:vAlign w:val="center"/>
          </w:tcPr>
          <w:p w14:paraId="08B27E30" w14:textId="239FFDE2" w:rsidR="00C11AE5" w:rsidRPr="000C14B0" w:rsidRDefault="00C11AE5" w:rsidP="00C11AE5">
            <w:pPr>
              <w:spacing w:after="120"/>
              <w:jc w:val="center"/>
              <w:rPr>
                <w:rFonts w:asciiTheme="majorHAnsi" w:hAnsiTheme="majorHAnsi" w:cstheme="majorHAnsi"/>
                <w:sz w:val="20"/>
                <w:szCs w:val="20"/>
              </w:rPr>
            </w:pPr>
            <w:r w:rsidRPr="000C14B0">
              <w:rPr>
                <w:rFonts w:asciiTheme="majorHAnsi" w:hAnsiTheme="majorHAnsi" w:cstheme="majorHAnsi"/>
                <w:sz w:val="20"/>
                <w:szCs w:val="20"/>
              </w:rPr>
              <w:t>3.41%</w:t>
            </w:r>
          </w:p>
        </w:tc>
      </w:tr>
      <w:tr w:rsidR="007E7083" w14:paraId="1F9ED7F6" w14:textId="77777777" w:rsidTr="00EA4A97">
        <w:trPr>
          <w:cantSplit/>
        </w:trPr>
        <w:tc>
          <w:tcPr>
            <w:tcW w:w="3452" w:type="dxa"/>
            <w:shd w:val="clear" w:color="auto" w:fill="F2F2F2" w:themeFill="background1" w:themeFillShade="F2"/>
            <w:vAlign w:val="center"/>
          </w:tcPr>
          <w:p w14:paraId="059F8289" w14:textId="79FC025C" w:rsidR="007E7083" w:rsidRDefault="007E7083" w:rsidP="007E7083">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Payer Mix - </w:t>
            </w:r>
            <w:r w:rsidRPr="000C14B0">
              <w:rPr>
                <w:rFonts w:asciiTheme="majorHAnsi" w:eastAsia="Times New Roman" w:hAnsiTheme="majorHAnsi" w:cstheme="majorHAnsi"/>
                <w:color w:val="000000"/>
                <w:sz w:val="20"/>
                <w:szCs w:val="20"/>
              </w:rPr>
              <w:t>Commercial</w:t>
            </w:r>
          </w:p>
        </w:tc>
        <w:tc>
          <w:tcPr>
            <w:tcW w:w="1025" w:type="dxa"/>
            <w:shd w:val="clear" w:color="auto" w:fill="F2F2F2" w:themeFill="background1" w:themeFillShade="F2"/>
            <w:vAlign w:val="center"/>
          </w:tcPr>
          <w:p w14:paraId="535F6625" w14:textId="351D592E"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610,845</w:t>
            </w:r>
          </w:p>
        </w:tc>
        <w:tc>
          <w:tcPr>
            <w:tcW w:w="1074" w:type="dxa"/>
            <w:shd w:val="clear" w:color="auto" w:fill="F2F2F2" w:themeFill="background1" w:themeFillShade="F2"/>
            <w:vAlign w:val="center"/>
          </w:tcPr>
          <w:p w14:paraId="0DDE8D9F" w14:textId="41F2FA39"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50.08%</w:t>
            </w:r>
          </w:p>
        </w:tc>
        <w:tc>
          <w:tcPr>
            <w:tcW w:w="1025" w:type="dxa"/>
            <w:shd w:val="clear" w:color="auto" w:fill="F2F2F2" w:themeFill="background1" w:themeFillShade="F2"/>
            <w:vAlign w:val="center"/>
          </w:tcPr>
          <w:p w14:paraId="2DEBC569" w14:textId="2176459C"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687,224</w:t>
            </w:r>
          </w:p>
        </w:tc>
        <w:tc>
          <w:tcPr>
            <w:tcW w:w="1074" w:type="dxa"/>
            <w:shd w:val="clear" w:color="auto" w:fill="F2F2F2" w:themeFill="background1" w:themeFillShade="F2"/>
            <w:vAlign w:val="center"/>
          </w:tcPr>
          <w:p w14:paraId="49010CE9" w14:textId="51593089"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48.13%</w:t>
            </w:r>
          </w:p>
        </w:tc>
        <w:tc>
          <w:tcPr>
            <w:tcW w:w="1079" w:type="dxa"/>
            <w:shd w:val="clear" w:color="auto" w:fill="F2F2F2" w:themeFill="background1" w:themeFillShade="F2"/>
            <w:vAlign w:val="center"/>
          </w:tcPr>
          <w:p w14:paraId="48591039" w14:textId="65A7E0D1"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869,337</w:t>
            </w:r>
          </w:p>
        </w:tc>
        <w:tc>
          <w:tcPr>
            <w:tcW w:w="986" w:type="dxa"/>
            <w:shd w:val="clear" w:color="auto" w:fill="F2F2F2" w:themeFill="background1" w:themeFillShade="F2"/>
            <w:vAlign w:val="center"/>
          </w:tcPr>
          <w:p w14:paraId="1BD042C9" w14:textId="7468A516"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53.23%</w:t>
            </w:r>
          </w:p>
        </w:tc>
      </w:tr>
      <w:tr w:rsidR="007E7083" w14:paraId="1101AC57" w14:textId="77777777" w:rsidTr="00EA4A97">
        <w:trPr>
          <w:cantSplit/>
        </w:trPr>
        <w:tc>
          <w:tcPr>
            <w:tcW w:w="3452" w:type="dxa"/>
            <w:shd w:val="clear" w:color="auto" w:fill="F2F2F2" w:themeFill="background1" w:themeFillShade="F2"/>
            <w:vAlign w:val="center"/>
          </w:tcPr>
          <w:p w14:paraId="599357A9" w14:textId="7659D88E" w:rsidR="007E7083" w:rsidRDefault="007E7083" w:rsidP="007E7083">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Payer Mix - </w:t>
            </w:r>
            <w:r w:rsidRPr="000C14B0">
              <w:rPr>
                <w:rFonts w:asciiTheme="majorHAnsi" w:eastAsia="Times New Roman" w:hAnsiTheme="majorHAnsi" w:cstheme="majorHAnsi"/>
                <w:color w:val="000000"/>
                <w:sz w:val="20"/>
                <w:szCs w:val="20"/>
              </w:rPr>
              <w:t>Medica</w:t>
            </w:r>
            <w:r>
              <w:rPr>
                <w:rFonts w:asciiTheme="majorHAnsi" w:eastAsia="Times New Roman" w:hAnsiTheme="majorHAnsi" w:cstheme="majorHAnsi"/>
                <w:color w:val="000000"/>
                <w:sz w:val="20"/>
                <w:szCs w:val="20"/>
              </w:rPr>
              <w:t>re</w:t>
            </w:r>
          </w:p>
        </w:tc>
        <w:tc>
          <w:tcPr>
            <w:tcW w:w="1025" w:type="dxa"/>
            <w:shd w:val="clear" w:color="auto" w:fill="F2F2F2" w:themeFill="background1" w:themeFillShade="F2"/>
            <w:vAlign w:val="center"/>
          </w:tcPr>
          <w:p w14:paraId="0496C7DD" w14:textId="1F4DCCD0"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320,062</w:t>
            </w:r>
          </w:p>
        </w:tc>
        <w:tc>
          <w:tcPr>
            <w:tcW w:w="1074" w:type="dxa"/>
            <w:shd w:val="clear" w:color="auto" w:fill="F2F2F2" w:themeFill="background1" w:themeFillShade="F2"/>
            <w:vAlign w:val="center"/>
          </w:tcPr>
          <w:p w14:paraId="277E181E" w14:textId="06B6FB0B"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26.24%</w:t>
            </w:r>
          </w:p>
        </w:tc>
        <w:tc>
          <w:tcPr>
            <w:tcW w:w="1025" w:type="dxa"/>
            <w:shd w:val="clear" w:color="auto" w:fill="F2F2F2" w:themeFill="background1" w:themeFillShade="F2"/>
            <w:vAlign w:val="center"/>
          </w:tcPr>
          <w:p w14:paraId="2B6FFE88" w14:textId="34C9804E"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363,058</w:t>
            </w:r>
          </w:p>
        </w:tc>
        <w:tc>
          <w:tcPr>
            <w:tcW w:w="1074" w:type="dxa"/>
            <w:shd w:val="clear" w:color="auto" w:fill="F2F2F2" w:themeFill="background1" w:themeFillShade="F2"/>
            <w:vAlign w:val="center"/>
          </w:tcPr>
          <w:p w14:paraId="028473C3" w14:textId="314C09BA"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25.43%</w:t>
            </w:r>
          </w:p>
        </w:tc>
        <w:tc>
          <w:tcPr>
            <w:tcW w:w="1079" w:type="dxa"/>
            <w:shd w:val="clear" w:color="auto" w:fill="F2F2F2" w:themeFill="background1" w:themeFillShade="F2"/>
            <w:vAlign w:val="center"/>
          </w:tcPr>
          <w:p w14:paraId="2E59B6D7" w14:textId="4D1DF2CC"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424,855</w:t>
            </w:r>
          </w:p>
        </w:tc>
        <w:tc>
          <w:tcPr>
            <w:tcW w:w="986" w:type="dxa"/>
            <w:shd w:val="clear" w:color="auto" w:fill="F2F2F2" w:themeFill="background1" w:themeFillShade="F2"/>
            <w:vAlign w:val="center"/>
          </w:tcPr>
          <w:p w14:paraId="42C81606" w14:textId="10F847DD"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26.02%</w:t>
            </w:r>
          </w:p>
        </w:tc>
      </w:tr>
      <w:tr w:rsidR="007E7083" w14:paraId="60D66EE2" w14:textId="77777777" w:rsidTr="00EA4A97">
        <w:trPr>
          <w:cantSplit/>
        </w:trPr>
        <w:tc>
          <w:tcPr>
            <w:tcW w:w="3452" w:type="dxa"/>
            <w:shd w:val="clear" w:color="auto" w:fill="F2F2F2" w:themeFill="background1" w:themeFillShade="F2"/>
            <w:vAlign w:val="center"/>
          </w:tcPr>
          <w:p w14:paraId="4D90A548" w14:textId="3E19474F" w:rsidR="007E7083" w:rsidRDefault="007E7083" w:rsidP="007E7083">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Payer Mix - </w:t>
            </w:r>
            <w:r w:rsidRPr="000C14B0">
              <w:rPr>
                <w:rFonts w:asciiTheme="majorHAnsi" w:eastAsia="Times New Roman" w:hAnsiTheme="majorHAnsi" w:cstheme="majorHAnsi"/>
                <w:color w:val="000000"/>
                <w:sz w:val="20"/>
                <w:szCs w:val="20"/>
              </w:rPr>
              <w:t>Medica</w:t>
            </w:r>
            <w:r>
              <w:rPr>
                <w:rFonts w:asciiTheme="majorHAnsi" w:eastAsia="Times New Roman" w:hAnsiTheme="majorHAnsi" w:cstheme="majorHAnsi"/>
                <w:color w:val="000000"/>
                <w:sz w:val="20"/>
                <w:szCs w:val="20"/>
              </w:rPr>
              <w:t>id</w:t>
            </w:r>
          </w:p>
        </w:tc>
        <w:tc>
          <w:tcPr>
            <w:tcW w:w="1025" w:type="dxa"/>
            <w:shd w:val="clear" w:color="auto" w:fill="F2F2F2" w:themeFill="background1" w:themeFillShade="F2"/>
            <w:vAlign w:val="center"/>
          </w:tcPr>
          <w:p w14:paraId="412194EC" w14:textId="63DBAC38"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143,168</w:t>
            </w:r>
          </w:p>
        </w:tc>
        <w:tc>
          <w:tcPr>
            <w:tcW w:w="1074" w:type="dxa"/>
            <w:shd w:val="clear" w:color="auto" w:fill="F2F2F2" w:themeFill="background1" w:themeFillShade="F2"/>
            <w:vAlign w:val="center"/>
          </w:tcPr>
          <w:p w14:paraId="405AEC70" w14:textId="7D6ADB39"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11.74%</w:t>
            </w:r>
          </w:p>
        </w:tc>
        <w:tc>
          <w:tcPr>
            <w:tcW w:w="1025" w:type="dxa"/>
            <w:shd w:val="clear" w:color="auto" w:fill="F2F2F2" w:themeFill="background1" w:themeFillShade="F2"/>
            <w:vAlign w:val="center"/>
          </w:tcPr>
          <w:p w14:paraId="7B2D6232" w14:textId="076915B8"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173,940</w:t>
            </w:r>
          </w:p>
        </w:tc>
        <w:tc>
          <w:tcPr>
            <w:tcW w:w="1074" w:type="dxa"/>
            <w:shd w:val="clear" w:color="auto" w:fill="F2F2F2" w:themeFill="background1" w:themeFillShade="F2"/>
            <w:vAlign w:val="center"/>
          </w:tcPr>
          <w:p w14:paraId="171D0C61" w14:textId="6572D8A2"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12.18%</w:t>
            </w:r>
          </w:p>
        </w:tc>
        <w:tc>
          <w:tcPr>
            <w:tcW w:w="1079" w:type="dxa"/>
            <w:shd w:val="clear" w:color="auto" w:fill="F2F2F2" w:themeFill="background1" w:themeFillShade="F2"/>
            <w:vAlign w:val="center"/>
          </w:tcPr>
          <w:p w14:paraId="5070B496" w14:textId="01ED9FD0"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165,605</w:t>
            </w:r>
          </w:p>
        </w:tc>
        <w:tc>
          <w:tcPr>
            <w:tcW w:w="986" w:type="dxa"/>
            <w:shd w:val="clear" w:color="auto" w:fill="F2F2F2" w:themeFill="background1" w:themeFillShade="F2"/>
            <w:vAlign w:val="center"/>
          </w:tcPr>
          <w:p w14:paraId="0ECCC60C" w14:textId="1418A3B1"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10.14%</w:t>
            </w:r>
          </w:p>
        </w:tc>
      </w:tr>
      <w:tr w:rsidR="007E7083" w14:paraId="7C4FBCA5" w14:textId="77777777" w:rsidTr="00EA4A97">
        <w:trPr>
          <w:cantSplit/>
        </w:trPr>
        <w:tc>
          <w:tcPr>
            <w:tcW w:w="3452" w:type="dxa"/>
            <w:shd w:val="clear" w:color="auto" w:fill="F2F2F2" w:themeFill="background1" w:themeFillShade="F2"/>
            <w:vAlign w:val="center"/>
          </w:tcPr>
          <w:p w14:paraId="33594962" w14:textId="067580FE" w:rsidR="007E7083" w:rsidRDefault="007E7083" w:rsidP="007E7083">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Payer Mix - </w:t>
            </w:r>
            <w:r w:rsidRPr="000C14B0">
              <w:rPr>
                <w:rFonts w:asciiTheme="majorHAnsi" w:eastAsia="Times New Roman" w:hAnsiTheme="majorHAnsi" w:cstheme="majorHAnsi"/>
                <w:color w:val="000000"/>
                <w:sz w:val="20"/>
                <w:szCs w:val="20"/>
              </w:rPr>
              <w:t>Multiple Payers</w:t>
            </w:r>
          </w:p>
        </w:tc>
        <w:tc>
          <w:tcPr>
            <w:tcW w:w="1025" w:type="dxa"/>
            <w:shd w:val="clear" w:color="auto" w:fill="F2F2F2" w:themeFill="background1" w:themeFillShade="F2"/>
            <w:vAlign w:val="center"/>
          </w:tcPr>
          <w:p w14:paraId="03610C32" w14:textId="5E505952"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79,086</w:t>
            </w:r>
          </w:p>
        </w:tc>
        <w:tc>
          <w:tcPr>
            <w:tcW w:w="1074" w:type="dxa"/>
            <w:shd w:val="clear" w:color="auto" w:fill="F2F2F2" w:themeFill="background1" w:themeFillShade="F2"/>
            <w:vAlign w:val="center"/>
          </w:tcPr>
          <w:p w14:paraId="3D1D9A9A" w14:textId="4B7F928E"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6.48%</w:t>
            </w:r>
          </w:p>
        </w:tc>
        <w:tc>
          <w:tcPr>
            <w:tcW w:w="1025" w:type="dxa"/>
            <w:shd w:val="clear" w:color="auto" w:fill="F2F2F2" w:themeFill="background1" w:themeFillShade="F2"/>
            <w:vAlign w:val="center"/>
          </w:tcPr>
          <w:p w14:paraId="33C0E7E1" w14:textId="78261D69"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85,629</w:t>
            </w:r>
          </w:p>
        </w:tc>
        <w:tc>
          <w:tcPr>
            <w:tcW w:w="1074" w:type="dxa"/>
            <w:shd w:val="clear" w:color="auto" w:fill="F2F2F2" w:themeFill="background1" w:themeFillShade="F2"/>
            <w:vAlign w:val="center"/>
          </w:tcPr>
          <w:p w14:paraId="0A8C65BA" w14:textId="69433E74"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6.00%</w:t>
            </w:r>
          </w:p>
        </w:tc>
        <w:tc>
          <w:tcPr>
            <w:tcW w:w="1079" w:type="dxa"/>
            <w:shd w:val="clear" w:color="auto" w:fill="F2F2F2" w:themeFill="background1" w:themeFillShade="F2"/>
            <w:vAlign w:val="center"/>
          </w:tcPr>
          <w:p w14:paraId="472752E2" w14:textId="53BFC4FA"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43,266</w:t>
            </w:r>
          </w:p>
        </w:tc>
        <w:tc>
          <w:tcPr>
            <w:tcW w:w="986" w:type="dxa"/>
            <w:shd w:val="clear" w:color="auto" w:fill="F2F2F2" w:themeFill="background1" w:themeFillShade="F2"/>
            <w:vAlign w:val="center"/>
          </w:tcPr>
          <w:p w14:paraId="4AA3786D" w14:textId="7EF486AE"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2.65%</w:t>
            </w:r>
          </w:p>
        </w:tc>
      </w:tr>
      <w:tr w:rsidR="007E7083" w14:paraId="4B1DC1EF" w14:textId="77777777" w:rsidTr="00EA4A97">
        <w:trPr>
          <w:cantSplit/>
        </w:trPr>
        <w:tc>
          <w:tcPr>
            <w:tcW w:w="3452" w:type="dxa"/>
            <w:shd w:val="clear" w:color="auto" w:fill="F2F2F2" w:themeFill="background1" w:themeFillShade="F2"/>
            <w:vAlign w:val="center"/>
          </w:tcPr>
          <w:p w14:paraId="1455EF49" w14:textId="09F8628A" w:rsidR="007E7083" w:rsidRDefault="007E7083" w:rsidP="007E7083">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Payer Mix - </w:t>
            </w:r>
            <w:r w:rsidRPr="000C14B0">
              <w:rPr>
                <w:rFonts w:asciiTheme="majorHAnsi" w:eastAsia="Times New Roman" w:hAnsiTheme="majorHAnsi" w:cstheme="majorHAnsi"/>
                <w:color w:val="000000"/>
                <w:sz w:val="20"/>
                <w:szCs w:val="20"/>
              </w:rPr>
              <w:t>Other</w:t>
            </w:r>
            <w:r w:rsidRPr="000C14B0">
              <w:rPr>
                <w:rStyle w:val="FootnoteReference"/>
                <w:rFonts w:asciiTheme="majorHAnsi" w:eastAsia="Times New Roman" w:hAnsiTheme="majorHAnsi" w:cstheme="majorHAnsi"/>
                <w:color w:val="000000"/>
                <w:sz w:val="20"/>
                <w:szCs w:val="20"/>
              </w:rPr>
              <w:footnoteReference w:id="9"/>
            </w:r>
          </w:p>
        </w:tc>
        <w:tc>
          <w:tcPr>
            <w:tcW w:w="1025" w:type="dxa"/>
            <w:shd w:val="clear" w:color="auto" w:fill="F2F2F2" w:themeFill="background1" w:themeFillShade="F2"/>
            <w:vAlign w:val="center"/>
          </w:tcPr>
          <w:p w14:paraId="3FC98BC0" w14:textId="6183BC8E"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57,565</w:t>
            </w:r>
          </w:p>
        </w:tc>
        <w:tc>
          <w:tcPr>
            <w:tcW w:w="1074" w:type="dxa"/>
            <w:shd w:val="clear" w:color="auto" w:fill="F2F2F2" w:themeFill="background1" w:themeFillShade="F2"/>
            <w:vAlign w:val="center"/>
          </w:tcPr>
          <w:p w14:paraId="3203227D" w14:textId="15E576F2"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4.72%</w:t>
            </w:r>
          </w:p>
        </w:tc>
        <w:tc>
          <w:tcPr>
            <w:tcW w:w="1025" w:type="dxa"/>
            <w:shd w:val="clear" w:color="auto" w:fill="F2F2F2" w:themeFill="background1" w:themeFillShade="F2"/>
            <w:vAlign w:val="center"/>
          </w:tcPr>
          <w:p w14:paraId="3D4ED1CE" w14:textId="1F10CFD9"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109,545</w:t>
            </w:r>
          </w:p>
        </w:tc>
        <w:tc>
          <w:tcPr>
            <w:tcW w:w="1074" w:type="dxa"/>
            <w:shd w:val="clear" w:color="auto" w:fill="F2F2F2" w:themeFill="background1" w:themeFillShade="F2"/>
            <w:vAlign w:val="center"/>
          </w:tcPr>
          <w:p w14:paraId="13D38EC0" w14:textId="63027891"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7.67%</w:t>
            </w:r>
          </w:p>
        </w:tc>
        <w:tc>
          <w:tcPr>
            <w:tcW w:w="1079" w:type="dxa"/>
            <w:shd w:val="clear" w:color="auto" w:fill="F2F2F2" w:themeFill="background1" w:themeFillShade="F2"/>
            <w:vAlign w:val="center"/>
          </w:tcPr>
          <w:p w14:paraId="36181718" w14:textId="70D8507A"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130,033</w:t>
            </w:r>
          </w:p>
        </w:tc>
        <w:tc>
          <w:tcPr>
            <w:tcW w:w="986" w:type="dxa"/>
            <w:shd w:val="clear" w:color="auto" w:fill="F2F2F2" w:themeFill="background1" w:themeFillShade="F2"/>
            <w:vAlign w:val="center"/>
          </w:tcPr>
          <w:p w14:paraId="553AC829" w14:textId="3594578D"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7.96%</w:t>
            </w:r>
          </w:p>
        </w:tc>
      </w:tr>
      <w:tr w:rsidR="007E7083" w14:paraId="50FCF165" w14:textId="77777777" w:rsidTr="00EA4A97">
        <w:trPr>
          <w:cantSplit/>
        </w:trPr>
        <w:tc>
          <w:tcPr>
            <w:tcW w:w="3452" w:type="dxa"/>
            <w:shd w:val="clear" w:color="auto" w:fill="F2F2F2" w:themeFill="background1" w:themeFillShade="F2"/>
            <w:vAlign w:val="center"/>
          </w:tcPr>
          <w:p w14:paraId="77751944" w14:textId="05BA2DFA" w:rsidR="007E7083" w:rsidRDefault="007E7083" w:rsidP="007E7083">
            <w:pPr>
              <w:spacing w:after="1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Payer Mix - </w:t>
            </w:r>
            <w:r w:rsidRPr="000C14B0">
              <w:rPr>
                <w:rFonts w:asciiTheme="majorHAnsi" w:eastAsia="Times New Roman" w:hAnsiTheme="majorHAnsi" w:cstheme="majorHAnsi"/>
                <w:color w:val="000000"/>
                <w:sz w:val="20"/>
                <w:szCs w:val="20"/>
              </w:rPr>
              <w:t>Unknown</w:t>
            </w:r>
          </w:p>
        </w:tc>
        <w:tc>
          <w:tcPr>
            <w:tcW w:w="1025" w:type="dxa"/>
            <w:shd w:val="clear" w:color="auto" w:fill="F2F2F2" w:themeFill="background1" w:themeFillShade="F2"/>
            <w:vAlign w:val="center"/>
          </w:tcPr>
          <w:p w14:paraId="62574F0B" w14:textId="7D155B3E"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8,992</w:t>
            </w:r>
          </w:p>
        </w:tc>
        <w:tc>
          <w:tcPr>
            <w:tcW w:w="1074" w:type="dxa"/>
            <w:shd w:val="clear" w:color="auto" w:fill="F2F2F2" w:themeFill="background1" w:themeFillShade="F2"/>
            <w:vAlign w:val="center"/>
          </w:tcPr>
          <w:p w14:paraId="4A805740" w14:textId="375A675D"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0.74%</w:t>
            </w:r>
          </w:p>
        </w:tc>
        <w:tc>
          <w:tcPr>
            <w:tcW w:w="1025" w:type="dxa"/>
            <w:shd w:val="clear" w:color="auto" w:fill="F2F2F2" w:themeFill="background1" w:themeFillShade="F2"/>
            <w:vAlign w:val="center"/>
          </w:tcPr>
          <w:p w14:paraId="38A00E90" w14:textId="223C2EC8"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8,315</w:t>
            </w:r>
          </w:p>
        </w:tc>
        <w:tc>
          <w:tcPr>
            <w:tcW w:w="1074" w:type="dxa"/>
            <w:shd w:val="clear" w:color="auto" w:fill="F2F2F2" w:themeFill="background1" w:themeFillShade="F2"/>
            <w:vAlign w:val="center"/>
          </w:tcPr>
          <w:p w14:paraId="6F5B7BC2" w14:textId="79DB79E2"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0.58%</w:t>
            </w:r>
          </w:p>
        </w:tc>
        <w:tc>
          <w:tcPr>
            <w:tcW w:w="1079" w:type="dxa"/>
            <w:shd w:val="clear" w:color="auto" w:fill="F2F2F2" w:themeFill="background1" w:themeFillShade="F2"/>
            <w:vAlign w:val="center"/>
          </w:tcPr>
          <w:p w14:paraId="23A7AC54" w14:textId="73DFBB06"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13</w:t>
            </w:r>
          </w:p>
        </w:tc>
        <w:tc>
          <w:tcPr>
            <w:tcW w:w="986" w:type="dxa"/>
            <w:shd w:val="clear" w:color="auto" w:fill="F2F2F2" w:themeFill="background1" w:themeFillShade="F2"/>
            <w:vAlign w:val="center"/>
          </w:tcPr>
          <w:p w14:paraId="728AC6E3" w14:textId="6916D2FB" w:rsidR="007E7083" w:rsidRPr="000C14B0" w:rsidRDefault="007E7083" w:rsidP="007E7083">
            <w:pPr>
              <w:spacing w:after="120"/>
              <w:jc w:val="center"/>
              <w:rPr>
                <w:rFonts w:asciiTheme="majorHAnsi" w:hAnsiTheme="majorHAnsi" w:cstheme="majorHAnsi"/>
                <w:sz w:val="20"/>
                <w:szCs w:val="20"/>
              </w:rPr>
            </w:pPr>
            <w:r w:rsidRPr="000C14B0">
              <w:rPr>
                <w:rFonts w:asciiTheme="majorHAnsi" w:hAnsiTheme="majorHAnsi" w:cstheme="majorHAnsi"/>
                <w:color w:val="000000"/>
                <w:sz w:val="20"/>
                <w:szCs w:val="20"/>
              </w:rPr>
              <w:t>0.00%</w:t>
            </w:r>
          </w:p>
        </w:tc>
      </w:tr>
      <w:bookmarkEnd w:id="0"/>
    </w:tbl>
    <w:p w14:paraId="6961BA29" w14:textId="77777777" w:rsidR="004F41A7" w:rsidRDefault="004F41A7" w:rsidP="009A335D">
      <w:pPr>
        <w:spacing w:after="120" w:line="240" w:lineRule="auto"/>
        <w:rPr>
          <w:rFonts w:ascii="Arial" w:hAnsi="Arial" w:cs="Arial"/>
          <w:b/>
          <w:bCs/>
          <w:sz w:val="20"/>
          <w:szCs w:val="20"/>
        </w:rPr>
      </w:pPr>
    </w:p>
    <w:p w14:paraId="498F7221" w14:textId="1985379C" w:rsidR="006E7DCB" w:rsidRPr="00A06961" w:rsidRDefault="006E7DCB" w:rsidP="006E7DCB">
      <w:pPr>
        <w:spacing w:after="0"/>
        <w:jc w:val="both"/>
        <w:rPr>
          <w:rFonts w:ascii="Arial" w:eastAsia="Verdana" w:hAnsi="Arial" w:cs="Arial"/>
          <w:sz w:val="20"/>
        </w:rPr>
      </w:pPr>
      <w:r w:rsidRPr="005E79DE">
        <w:rPr>
          <w:rFonts w:ascii="Arial" w:eastAsia="Verdana" w:hAnsi="Arial" w:cs="Arial"/>
          <w:b/>
          <w:bCs/>
          <w:sz w:val="20"/>
        </w:rPr>
        <w:t>Age</w:t>
      </w:r>
      <w:r w:rsidR="000E70B8">
        <w:rPr>
          <w:rFonts w:ascii="Arial" w:eastAsia="Verdana" w:hAnsi="Arial" w:cs="Arial"/>
          <w:b/>
          <w:bCs/>
          <w:sz w:val="20"/>
        </w:rPr>
        <w:t xml:space="preserve"> </w:t>
      </w:r>
      <w:r w:rsidR="000E70B8" w:rsidRPr="00A62EDE">
        <w:rPr>
          <w:rFonts w:ascii="Arial" w:hAnsi="Arial" w:cs="Arial"/>
          <w:sz w:val="20"/>
          <w:szCs w:val="20"/>
        </w:rPr>
        <w:t>–</w:t>
      </w:r>
      <w:r w:rsidRPr="005E79DE">
        <w:rPr>
          <w:rFonts w:ascii="Arial" w:eastAsia="Verdana" w:hAnsi="Arial" w:cs="Arial"/>
          <w:b/>
          <w:bCs/>
          <w:sz w:val="20"/>
        </w:rPr>
        <w:t xml:space="preserve"> </w:t>
      </w:r>
      <w:r w:rsidR="00A06961">
        <w:rPr>
          <w:rFonts w:ascii="Arial" w:eastAsia="Verdana" w:hAnsi="Arial" w:cs="Arial"/>
          <w:sz w:val="20"/>
        </w:rPr>
        <w:t>Data for FY20-FY22 show that</w:t>
      </w:r>
      <w:r w:rsidR="001B17C2">
        <w:rPr>
          <w:rFonts w:ascii="Arial" w:eastAsia="Verdana" w:hAnsi="Arial" w:cs="Arial"/>
          <w:sz w:val="20"/>
        </w:rPr>
        <w:t xml:space="preserve"> the</w:t>
      </w:r>
      <w:r w:rsidR="00A06961">
        <w:rPr>
          <w:rFonts w:ascii="Arial" w:eastAsia="Verdana" w:hAnsi="Arial" w:cs="Arial"/>
          <w:sz w:val="20"/>
        </w:rPr>
        <w:t xml:space="preserve"> majority of BILH’s Patient Panel is between 18 to 64, followed by 65+ and 0-17 age cohorts, respectively. </w:t>
      </w:r>
    </w:p>
    <w:p w14:paraId="1F1A4989" w14:textId="77777777" w:rsidR="006E7DCB" w:rsidRPr="00F450F9" w:rsidRDefault="006E7DCB" w:rsidP="006E7DCB">
      <w:pPr>
        <w:spacing w:after="0"/>
        <w:jc w:val="both"/>
        <w:rPr>
          <w:rFonts w:ascii="Arial" w:eastAsia="Verdana" w:hAnsi="Arial" w:cs="Arial"/>
          <w:b/>
          <w:bCs/>
          <w:sz w:val="20"/>
        </w:rPr>
      </w:pPr>
    </w:p>
    <w:p w14:paraId="4E83D5AD" w14:textId="5BA694DE" w:rsidR="006E7DCB" w:rsidRPr="00F450F9" w:rsidRDefault="006E7DCB" w:rsidP="006E7DCB">
      <w:pPr>
        <w:spacing w:after="0"/>
        <w:jc w:val="both"/>
        <w:rPr>
          <w:rFonts w:ascii="Arial" w:eastAsia="Verdana" w:hAnsi="Arial" w:cs="Arial"/>
          <w:sz w:val="20"/>
        </w:rPr>
      </w:pPr>
      <w:r w:rsidRPr="00F450F9">
        <w:rPr>
          <w:rFonts w:ascii="Arial" w:eastAsia="Verdana" w:hAnsi="Arial" w:cs="Arial"/>
          <w:b/>
          <w:bCs/>
          <w:sz w:val="20"/>
        </w:rPr>
        <w:t>Gender</w:t>
      </w:r>
      <w:r w:rsidR="000E70B8">
        <w:rPr>
          <w:rFonts w:ascii="Arial" w:eastAsia="Verdana" w:hAnsi="Arial" w:cs="Arial"/>
          <w:b/>
          <w:bCs/>
          <w:sz w:val="20"/>
        </w:rPr>
        <w:t xml:space="preserve"> </w:t>
      </w:r>
      <w:r w:rsidR="000E70B8" w:rsidRPr="00A62EDE">
        <w:rPr>
          <w:rFonts w:ascii="Arial" w:hAnsi="Arial" w:cs="Arial"/>
          <w:sz w:val="20"/>
          <w:szCs w:val="20"/>
        </w:rPr>
        <w:t>–</w:t>
      </w:r>
      <w:r w:rsidRPr="00F450F9">
        <w:rPr>
          <w:rFonts w:ascii="Arial" w:eastAsia="Verdana" w:hAnsi="Arial" w:cs="Arial"/>
          <w:b/>
          <w:bCs/>
          <w:sz w:val="20"/>
        </w:rPr>
        <w:t xml:space="preserve"> </w:t>
      </w:r>
      <w:r w:rsidR="00A06961">
        <w:rPr>
          <w:rFonts w:ascii="Arial" w:eastAsia="Verdana" w:hAnsi="Arial" w:cs="Arial"/>
          <w:sz w:val="20"/>
        </w:rPr>
        <w:t>BILH’s</w:t>
      </w:r>
      <w:r w:rsidR="00A06961" w:rsidRPr="00010F2F">
        <w:rPr>
          <w:rFonts w:ascii="Arial" w:eastAsia="Verdana" w:hAnsi="Arial" w:cs="Arial"/>
          <w:sz w:val="20"/>
        </w:rPr>
        <w:t xml:space="preserve"> Patient Panel is approximately</w:t>
      </w:r>
      <w:r w:rsidR="00A06961">
        <w:rPr>
          <w:rFonts w:ascii="Arial" w:eastAsia="Verdana" w:hAnsi="Arial" w:cs="Arial"/>
          <w:sz w:val="20"/>
        </w:rPr>
        <w:t xml:space="preserve"> 57.20%</w:t>
      </w:r>
      <w:r w:rsidR="00A06961" w:rsidRPr="00010F2F">
        <w:rPr>
          <w:rFonts w:ascii="Arial" w:eastAsia="Verdana" w:hAnsi="Arial" w:cs="Arial"/>
          <w:sz w:val="20"/>
        </w:rPr>
        <w:t xml:space="preserve"> </w:t>
      </w:r>
      <w:r w:rsidR="00A06961">
        <w:rPr>
          <w:rFonts w:ascii="Arial" w:eastAsia="Verdana" w:hAnsi="Arial" w:cs="Arial"/>
          <w:sz w:val="20"/>
        </w:rPr>
        <w:t>fe</w:t>
      </w:r>
      <w:r w:rsidR="00A06961" w:rsidRPr="00010F2F">
        <w:rPr>
          <w:rFonts w:ascii="Arial" w:eastAsia="Verdana" w:hAnsi="Arial" w:cs="Arial"/>
          <w:sz w:val="20"/>
        </w:rPr>
        <w:t>male</w:t>
      </w:r>
      <w:r w:rsidR="00A06961">
        <w:rPr>
          <w:rFonts w:ascii="Arial" w:eastAsia="Verdana" w:hAnsi="Arial" w:cs="Arial"/>
          <w:sz w:val="20"/>
        </w:rPr>
        <w:t>,</w:t>
      </w:r>
      <w:r w:rsidR="00A06961" w:rsidRPr="00010F2F">
        <w:rPr>
          <w:rFonts w:ascii="Arial" w:eastAsia="Verdana" w:hAnsi="Arial" w:cs="Arial"/>
          <w:sz w:val="20"/>
        </w:rPr>
        <w:t xml:space="preserve"> </w:t>
      </w:r>
      <w:r w:rsidR="00A06961">
        <w:rPr>
          <w:rFonts w:ascii="Arial" w:eastAsia="Verdana" w:hAnsi="Arial" w:cs="Arial"/>
          <w:sz w:val="20"/>
        </w:rPr>
        <w:t>42.72</w:t>
      </w:r>
      <w:r w:rsidR="00A06961" w:rsidRPr="00010F2F">
        <w:rPr>
          <w:rFonts w:ascii="Arial" w:eastAsia="Verdana" w:hAnsi="Arial" w:cs="Arial"/>
          <w:sz w:val="20"/>
        </w:rPr>
        <w:t xml:space="preserve">% </w:t>
      </w:r>
      <w:r w:rsidR="00A06961">
        <w:rPr>
          <w:rFonts w:ascii="Arial" w:eastAsia="Verdana" w:hAnsi="Arial" w:cs="Arial"/>
          <w:sz w:val="20"/>
        </w:rPr>
        <w:t>male,</w:t>
      </w:r>
      <w:r w:rsidR="00A06961" w:rsidRPr="00010F2F">
        <w:rPr>
          <w:rFonts w:ascii="Arial" w:eastAsia="Verdana" w:hAnsi="Arial" w:cs="Arial"/>
          <w:sz w:val="20"/>
        </w:rPr>
        <w:t xml:space="preserve"> </w:t>
      </w:r>
      <w:r w:rsidR="00A06961">
        <w:rPr>
          <w:rFonts w:ascii="Arial" w:eastAsia="Verdana" w:hAnsi="Arial" w:cs="Arial"/>
          <w:sz w:val="20"/>
        </w:rPr>
        <w:t>and 14.48% Other</w:t>
      </w:r>
      <w:r w:rsidR="00A06961" w:rsidRPr="00010F2F">
        <w:rPr>
          <w:rFonts w:ascii="Arial" w:eastAsia="Verdana" w:hAnsi="Arial" w:cs="Arial"/>
          <w:sz w:val="20"/>
        </w:rPr>
        <w:t xml:space="preserve">. These percentages remained </w:t>
      </w:r>
      <w:r w:rsidR="00A06961">
        <w:rPr>
          <w:rFonts w:ascii="Arial" w:eastAsia="Verdana" w:hAnsi="Arial" w:cs="Arial"/>
          <w:sz w:val="20"/>
        </w:rPr>
        <w:t xml:space="preserve">largely </w:t>
      </w:r>
      <w:r w:rsidR="00A06961" w:rsidRPr="00010F2F">
        <w:rPr>
          <w:rFonts w:ascii="Arial" w:eastAsia="Verdana" w:hAnsi="Arial" w:cs="Arial"/>
          <w:sz w:val="20"/>
        </w:rPr>
        <w:t>unchanged between FY20 and FY22.</w:t>
      </w:r>
    </w:p>
    <w:p w14:paraId="32A91D93" w14:textId="77777777" w:rsidR="006E7DCB" w:rsidRPr="006E7DCB" w:rsidRDefault="006E7DCB" w:rsidP="006E7DCB">
      <w:pPr>
        <w:spacing w:after="0"/>
        <w:jc w:val="both"/>
        <w:rPr>
          <w:rFonts w:ascii="Arial" w:eastAsia="Verdana" w:hAnsi="Arial" w:cs="Arial"/>
          <w:sz w:val="20"/>
          <w:highlight w:val="yellow"/>
        </w:rPr>
      </w:pPr>
    </w:p>
    <w:p w14:paraId="1CE04E12" w14:textId="3D929F67" w:rsidR="006E7DCB" w:rsidRDefault="000E70B8" w:rsidP="006E7DCB">
      <w:pPr>
        <w:spacing w:after="0"/>
        <w:jc w:val="both"/>
        <w:rPr>
          <w:rFonts w:ascii="Arial" w:eastAsia="Verdana" w:hAnsi="Arial" w:cs="Arial"/>
          <w:sz w:val="20"/>
        </w:rPr>
      </w:pPr>
      <w:r>
        <w:rPr>
          <w:rFonts w:ascii="Arial" w:eastAsia="Verdana" w:hAnsi="Arial" w:cs="Arial"/>
          <w:b/>
          <w:bCs/>
          <w:sz w:val="20"/>
        </w:rPr>
        <w:t xml:space="preserve">Race </w:t>
      </w:r>
      <w:r w:rsidRPr="00A62EDE">
        <w:rPr>
          <w:rFonts w:ascii="Arial" w:hAnsi="Arial" w:cs="Arial"/>
          <w:sz w:val="20"/>
          <w:szCs w:val="20"/>
        </w:rPr>
        <w:t>–</w:t>
      </w:r>
      <w:r w:rsidRPr="00F450F9">
        <w:rPr>
          <w:rFonts w:ascii="Arial" w:eastAsia="Verdana" w:hAnsi="Arial" w:cs="Arial"/>
          <w:b/>
          <w:bCs/>
          <w:sz w:val="20"/>
        </w:rPr>
        <w:t xml:space="preserve"> </w:t>
      </w:r>
      <w:r w:rsidR="005948E7">
        <w:rPr>
          <w:rFonts w:ascii="Arial" w:eastAsia="Verdana" w:hAnsi="Arial" w:cs="Arial"/>
          <w:sz w:val="20"/>
        </w:rPr>
        <w:t>Approximately 73.38% of the Patient Panel self-identify as White</w:t>
      </w:r>
      <w:r w:rsidR="001B17C2">
        <w:rPr>
          <w:rFonts w:ascii="Arial" w:eastAsia="Verdana" w:hAnsi="Arial" w:cs="Arial"/>
          <w:sz w:val="20"/>
        </w:rPr>
        <w:t>.</w:t>
      </w:r>
    </w:p>
    <w:p w14:paraId="73968D13" w14:textId="71AEFBB3" w:rsidR="000E70B8" w:rsidRDefault="000E70B8" w:rsidP="006E7DCB">
      <w:pPr>
        <w:spacing w:after="0"/>
        <w:jc w:val="both"/>
        <w:rPr>
          <w:rFonts w:ascii="Arial" w:eastAsia="Verdana" w:hAnsi="Arial" w:cs="Arial"/>
          <w:sz w:val="20"/>
        </w:rPr>
      </w:pPr>
    </w:p>
    <w:p w14:paraId="60DCFCB2" w14:textId="3613A0D5" w:rsidR="000E70B8" w:rsidRDefault="000E70B8" w:rsidP="000E70B8">
      <w:pPr>
        <w:spacing w:after="0"/>
        <w:jc w:val="both"/>
        <w:rPr>
          <w:rFonts w:ascii="Arial" w:eastAsia="Verdana" w:hAnsi="Arial" w:cs="Arial"/>
          <w:sz w:val="20"/>
        </w:rPr>
      </w:pPr>
      <w:r w:rsidRPr="00A62EDE">
        <w:rPr>
          <w:rFonts w:ascii="Arial" w:hAnsi="Arial" w:cs="Arial"/>
          <w:b/>
          <w:bCs/>
          <w:sz w:val="20"/>
          <w:szCs w:val="20"/>
        </w:rPr>
        <w:t>Ethnicity</w:t>
      </w:r>
      <w:r w:rsidRPr="00A62EDE">
        <w:rPr>
          <w:rFonts w:ascii="Arial" w:hAnsi="Arial" w:cs="Arial"/>
          <w:sz w:val="20"/>
          <w:szCs w:val="20"/>
        </w:rPr>
        <w:t xml:space="preserve"> –</w:t>
      </w:r>
      <w:r>
        <w:rPr>
          <w:rFonts w:ascii="Arial" w:hAnsi="Arial" w:cs="Arial"/>
          <w:sz w:val="20"/>
          <w:szCs w:val="20"/>
        </w:rPr>
        <w:t xml:space="preserve"> </w:t>
      </w:r>
      <w:r>
        <w:rPr>
          <w:rFonts w:ascii="Arial" w:eastAsia="Verdana" w:hAnsi="Arial" w:cs="Arial"/>
          <w:sz w:val="20"/>
        </w:rPr>
        <w:t>Approximately 82.52% of the Patient Panel self-identi</w:t>
      </w:r>
      <w:r w:rsidR="001B17C2">
        <w:rPr>
          <w:rFonts w:ascii="Arial" w:eastAsia="Verdana" w:hAnsi="Arial" w:cs="Arial"/>
          <w:sz w:val="20"/>
        </w:rPr>
        <w:t>fy</w:t>
      </w:r>
      <w:r>
        <w:rPr>
          <w:rFonts w:ascii="Arial" w:eastAsia="Verdana" w:hAnsi="Arial" w:cs="Arial"/>
          <w:sz w:val="20"/>
        </w:rPr>
        <w:t xml:space="preserve"> as Not-Hispanic/Latino.</w:t>
      </w:r>
    </w:p>
    <w:p w14:paraId="641FCED2" w14:textId="18D72E4E" w:rsidR="006E7DCB" w:rsidRPr="006E7DCB" w:rsidRDefault="006E7DCB" w:rsidP="006E7DCB">
      <w:pPr>
        <w:spacing w:after="0"/>
        <w:jc w:val="both"/>
        <w:rPr>
          <w:rFonts w:ascii="Arial" w:eastAsia="Verdana" w:hAnsi="Arial" w:cs="Arial"/>
          <w:sz w:val="20"/>
          <w:highlight w:val="yellow"/>
        </w:rPr>
      </w:pPr>
    </w:p>
    <w:p w14:paraId="334E36AA" w14:textId="7F008522" w:rsidR="006E7DCB" w:rsidRPr="006261AF" w:rsidRDefault="006E7DCB" w:rsidP="006E7DCB">
      <w:pPr>
        <w:spacing w:after="0"/>
        <w:jc w:val="both"/>
        <w:rPr>
          <w:rFonts w:ascii="Arial" w:eastAsia="Verdana" w:hAnsi="Arial" w:cs="Arial"/>
          <w:sz w:val="20"/>
        </w:rPr>
      </w:pPr>
      <w:r w:rsidRPr="007347C1">
        <w:rPr>
          <w:rFonts w:ascii="Arial" w:eastAsia="Verdana" w:hAnsi="Arial" w:cs="Arial"/>
          <w:b/>
          <w:bCs/>
          <w:sz w:val="20"/>
        </w:rPr>
        <w:t>Payer Mix</w:t>
      </w:r>
      <w:r w:rsidR="000E70B8">
        <w:rPr>
          <w:rFonts w:ascii="Arial" w:eastAsia="Verdana" w:hAnsi="Arial" w:cs="Arial"/>
          <w:b/>
          <w:bCs/>
          <w:sz w:val="20"/>
        </w:rPr>
        <w:t xml:space="preserve"> </w:t>
      </w:r>
      <w:r w:rsidR="000E70B8" w:rsidRPr="00A62EDE">
        <w:rPr>
          <w:rFonts w:ascii="Arial" w:hAnsi="Arial" w:cs="Arial"/>
          <w:sz w:val="20"/>
          <w:szCs w:val="20"/>
        </w:rPr>
        <w:t>–</w:t>
      </w:r>
      <w:r w:rsidR="000E70B8" w:rsidRPr="005E79DE">
        <w:rPr>
          <w:rFonts w:ascii="Arial" w:eastAsia="Verdana" w:hAnsi="Arial" w:cs="Arial"/>
          <w:b/>
          <w:bCs/>
          <w:sz w:val="20"/>
        </w:rPr>
        <w:t xml:space="preserve"> </w:t>
      </w:r>
      <w:r w:rsidR="005948E7">
        <w:rPr>
          <w:rFonts w:ascii="Arial" w:eastAsia="Verdana" w:hAnsi="Arial" w:cs="Arial"/>
          <w:sz w:val="20"/>
        </w:rPr>
        <w:t xml:space="preserve">Commercial payers are the primary payer source (at approximately </w:t>
      </w:r>
      <w:r w:rsidR="00A62EDE">
        <w:rPr>
          <w:rFonts w:ascii="Arial" w:eastAsia="Verdana" w:hAnsi="Arial" w:cs="Arial"/>
          <w:sz w:val="20"/>
        </w:rPr>
        <w:t>50.48%), followed by Medicare (approximately 25.90%).</w:t>
      </w:r>
    </w:p>
    <w:p w14:paraId="306FBC16" w14:textId="77777777" w:rsidR="006E7DCB" w:rsidRPr="006E7DCB" w:rsidRDefault="006E7DCB" w:rsidP="007145AD">
      <w:pPr>
        <w:spacing w:after="0" w:line="240" w:lineRule="auto"/>
        <w:jc w:val="both"/>
        <w:rPr>
          <w:rFonts w:ascii="Arial" w:eastAsia="Times New Roman" w:hAnsi="Arial" w:cs="Arial"/>
          <w:color w:val="000000" w:themeColor="text1"/>
          <w:kern w:val="2"/>
          <w:sz w:val="20"/>
          <w:szCs w:val="20"/>
          <w:u w:val="single"/>
        </w:rPr>
      </w:pPr>
    </w:p>
    <w:p w14:paraId="2166EEA4" w14:textId="09D090E4" w:rsidR="00A56746" w:rsidRPr="007145AD" w:rsidRDefault="0076416F" w:rsidP="00A56746">
      <w:pPr>
        <w:pStyle w:val="ListParagraph"/>
        <w:numPr>
          <w:ilvl w:val="0"/>
          <w:numId w:val="19"/>
        </w:numPr>
        <w:spacing w:after="0" w:line="240" w:lineRule="auto"/>
        <w:ind w:left="360"/>
        <w:jc w:val="both"/>
        <w:rPr>
          <w:rFonts w:ascii="Arial" w:hAnsi="Arial"/>
          <w:color w:val="000000" w:themeColor="text1"/>
          <w:kern w:val="2"/>
          <w:sz w:val="20"/>
          <w:u w:val="single"/>
        </w:rPr>
      </w:pPr>
      <w:r>
        <w:rPr>
          <w:rFonts w:ascii="Arial" w:hAnsi="Arial"/>
          <w:color w:val="000000" w:themeColor="text1"/>
          <w:kern w:val="2"/>
          <w:sz w:val="20"/>
          <w:u w:val="single"/>
        </w:rPr>
        <w:t xml:space="preserve">Anna </w:t>
      </w:r>
      <w:proofErr w:type="spellStart"/>
      <w:r>
        <w:rPr>
          <w:rFonts w:ascii="Arial" w:hAnsi="Arial"/>
          <w:color w:val="000000" w:themeColor="text1"/>
          <w:kern w:val="2"/>
          <w:sz w:val="20"/>
          <w:u w:val="single"/>
        </w:rPr>
        <w:t>Jaques</w:t>
      </w:r>
      <w:proofErr w:type="spellEnd"/>
      <w:r>
        <w:rPr>
          <w:rFonts w:ascii="Arial" w:hAnsi="Arial"/>
          <w:color w:val="000000" w:themeColor="text1"/>
          <w:kern w:val="2"/>
          <w:sz w:val="20"/>
          <w:u w:val="single"/>
        </w:rPr>
        <w:t xml:space="preserve"> Hospital</w:t>
      </w:r>
      <w:r w:rsidR="009A335D">
        <w:rPr>
          <w:rFonts w:ascii="Arial" w:hAnsi="Arial"/>
          <w:color w:val="000000" w:themeColor="text1"/>
          <w:kern w:val="2"/>
          <w:sz w:val="20"/>
          <w:u w:val="single"/>
        </w:rPr>
        <w:t xml:space="preserve"> </w:t>
      </w:r>
    </w:p>
    <w:p w14:paraId="7140D305" w14:textId="522471CD" w:rsidR="00A56746" w:rsidRDefault="00A56746" w:rsidP="00A56746">
      <w:pPr>
        <w:spacing w:after="0" w:line="240" w:lineRule="auto"/>
        <w:jc w:val="both"/>
        <w:rPr>
          <w:rFonts w:ascii="Arial" w:eastAsia="Times New Roman" w:hAnsi="Arial" w:cs="Arial"/>
          <w:color w:val="000000" w:themeColor="text1"/>
          <w:kern w:val="2"/>
          <w:sz w:val="20"/>
          <w:szCs w:val="20"/>
          <w:u w:val="single"/>
        </w:rPr>
      </w:pPr>
    </w:p>
    <w:p w14:paraId="2D0A33B6" w14:textId="2651313E" w:rsidR="00832F3E" w:rsidRPr="00F23802" w:rsidRDefault="003C0117" w:rsidP="00F23802">
      <w:pPr>
        <w:spacing w:after="0" w:line="240" w:lineRule="auto"/>
        <w:jc w:val="both"/>
        <w:rPr>
          <w:rFonts w:ascii="Arial" w:eastAsia="Times New Roman" w:hAnsi="Arial" w:cs="Arial"/>
          <w:color w:val="000000" w:themeColor="text1"/>
          <w:kern w:val="2"/>
          <w:sz w:val="20"/>
          <w:szCs w:val="20"/>
        </w:rPr>
      </w:pPr>
      <w:r>
        <w:rPr>
          <w:rFonts w:ascii="Arial" w:eastAsia="Times New Roman" w:hAnsi="Arial" w:cs="Arial"/>
          <w:color w:val="000000" w:themeColor="text1"/>
          <w:kern w:val="2"/>
          <w:sz w:val="20"/>
          <w:szCs w:val="20"/>
        </w:rPr>
        <w:t>AJH is a community hospital serving the Merrimack Valley</w:t>
      </w:r>
      <w:r w:rsidR="00DF7DB4">
        <w:rPr>
          <w:rFonts w:ascii="Arial" w:eastAsia="Times New Roman" w:hAnsi="Arial" w:cs="Arial"/>
          <w:color w:val="000000" w:themeColor="text1"/>
          <w:kern w:val="2"/>
          <w:sz w:val="20"/>
          <w:szCs w:val="20"/>
        </w:rPr>
        <w:t xml:space="preserve"> and </w:t>
      </w:r>
      <w:r>
        <w:rPr>
          <w:rFonts w:ascii="Arial" w:eastAsia="Times New Roman" w:hAnsi="Arial" w:cs="Arial"/>
          <w:color w:val="000000" w:themeColor="text1"/>
          <w:kern w:val="2"/>
          <w:sz w:val="20"/>
          <w:szCs w:val="20"/>
        </w:rPr>
        <w:t xml:space="preserve">North Shore, </w:t>
      </w:r>
      <w:r w:rsidR="00DF7DB4">
        <w:rPr>
          <w:rFonts w:ascii="Arial" w:eastAsia="Times New Roman" w:hAnsi="Arial" w:cs="Arial"/>
          <w:color w:val="000000" w:themeColor="text1"/>
          <w:kern w:val="2"/>
          <w:sz w:val="20"/>
          <w:szCs w:val="20"/>
        </w:rPr>
        <w:t xml:space="preserve">regions of Massachusetts as well as </w:t>
      </w:r>
      <w:r>
        <w:rPr>
          <w:rFonts w:ascii="Arial" w:eastAsia="Times New Roman" w:hAnsi="Arial" w:cs="Arial"/>
          <w:color w:val="000000" w:themeColor="text1"/>
          <w:kern w:val="2"/>
          <w:sz w:val="20"/>
          <w:szCs w:val="20"/>
        </w:rPr>
        <w:t>Southern New Hampshire. AJH is recognized for delivering high</w:t>
      </w:r>
      <w:r w:rsidR="00DF7DB4">
        <w:rPr>
          <w:rFonts w:ascii="Arial" w:eastAsia="Times New Roman" w:hAnsi="Arial" w:cs="Arial"/>
          <w:color w:val="000000" w:themeColor="text1"/>
          <w:kern w:val="2"/>
          <w:sz w:val="20"/>
          <w:szCs w:val="20"/>
        </w:rPr>
        <w:t>-</w:t>
      </w:r>
      <w:r>
        <w:rPr>
          <w:rFonts w:ascii="Arial" w:eastAsia="Times New Roman" w:hAnsi="Arial" w:cs="Arial"/>
          <w:color w:val="000000" w:themeColor="text1"/>
          <w:kern w:val="2"/>
          <w:sz w:val="20"/>
          <w:szCs w:val="20"/>
        </w:rPr>
        <w:t xml:space="preserve">quality community health care at a lower cost with an emphasis on patient satisfaction. </w:t>
      </w:r>
      <w:r w:rsidR="0029534D">
        <w:rPr>
          <w:rFonts w:ascii="Arial" w:eastAsia="Times New Roman" w:hAnsi="Arial" w:cs="Arial"/>
          <w:color w:val="000000" w:themeColor="text1"/>
          <w:kern w:val="2"/>
          <w:sz w:val="20"/>
          <w:szCs w:val="20"/>
        </w:rPr>
        <w:t xml:space="preserve">AJH is </w:t>
      </w:r>
      <w:r w:rsidR="00DF7DB4">
        <w:rPr>
          <w:rFonts w:ascii="Arial" w:eastAsia="Times New Roman" w:hAnsi="Arial" w:cs="Arial"/>
          <w:color w:val="000000" w:themeColor="text1"/>
          <w:kern w:val="2"/>
          <w:sz w:val="20"/>
          <w:szCs w:val="20"/>
        </w:rPr>
        <w:t>a member of</w:t>
      </w:r>
      <w:r w:rsidR="0029534D">
        <w:rPr>
          <w:rFonts w:ascii="Arial" w:eastAsia="Times New Roman" w:hAnsi="Arial" w:cs="Arial"/>
          <w:color w:val="000000" w:themeColor="text1"/>
          <w:kern w:val="2"/>
          <w:sz w:val="20"/>
          <w:szCs w:val="20"/>
        </w:rPr>
        <w:t xml:space="preserve"> Beth Israel Lahey Health</w:t>
      </w:r>
      <w:r w:rsidR="00DF7DB4">
        <w:rPr>
          <w:rFonts w:ascii="Arial" w:eastAsia="Times New Roman" w:hAnsi="Arial" w:cs="Arial"/>
          <w:color w:val="000000" w:themeColor="text1"/>
          <w:kern w:val="2"/>
          <w:sz w:val="20"/>
          <w:szCs w:val="20"/>
        </w:rPr>
        <w:t xml:space="preserve">. </w:t>
      </w:r>
      <w:r w:rsidR="00F23802">
        <w:rPr>
          <w:rFonts w:ascii="Arial" w:eastAsia="Times New Roman" w:hAnsi="Arial" w:cs="Arial"/>
          <w:color w:val="000000" w:themeColor="text1"/>
          <w:kern w:val="2"/>
          <w:sz w:val="20"/>
          <w:szCs w:val="20"/>
        </w:rPr>
        <w:t xml:space="preserve">AJH’s </w:t>
      </w:r>
      <w:r w:rsidR="00F23802">
        <w:rPr>
          <w:rFonts w:ascii="Arial" w:eastAsia="Times New Roman" w:hAnsi="Arial" w:cs="Arial"/>
          <w:color w:val="000000" w:themeColor="text1"/>
          <w:kern w:val="2"/>
          <w:sz w:val="20"/>
          <w:szCs w:val="20"/>
        </w:rPr>
        <w:lastRenderedPageBreak/>
        <w:t>primary service area include</w:t>
      </w:r>
      <w:r w:rsidR="00DF7DB4">
        <w:rPr>
          <w:rFonts w:ascii="Arial" w:eastAsia="Times New Roman" w:hAnsi="Arial" w:cs="Arial"/>
          <w:color w:val="000000" w:themeColor="text1"/>
          <w:kern w:val="2"/>
          <w:sz w:val="20"/>
          <w:szCs w:val="20"/>
        </w:rPr>
        <w:t>s</w:t>
      </w:r>
      <w:r w:rsidR="00E13DE5">
        <w:rPr>
          <w:rFonts w:ascii="Arial" w:eastAsia="Times New Roman" w:hAnsi="Arial" w:cs="Arial"/>
          <w:color w:val="000000" w:themeColor="text1"/>
          <w:kern w:val="2"/>
          <w:sz w:val="20"/>
          <w:szCs w:val="20"/>
        </w:rPr>
        <w:t xml:space="preserve"> Newburyport, Amesbury, Haverhill, Salisbury, Merrimac, West Newbury, Newbury, and Byfield.</w:t>
      </w:r>
      <w:r w:rsidR="00E13DE5">
        <w:rPr>
          <w:rStyle w:val="FootnoteReference"/>
          <w:rFonts w:ascii="Arial" w:eastAsia="Times New Roman" w:hAnsi="Arial" w:cs="Arial"/>
          <w:color w:val="000000" w:themeColor="text1"/>
          <w:kern w:val="2"/>
          <w:sz w:val="20"/>
          <w:szCs w:val="20"/>
        </w:rPr>
        <w:footnoteReference w:id="10"/>
      </w:r>
      <w:r w:rsidR="00DF25D7">
        <w:rPr>
          <w:rFonts w:ascii="Arial" w:eastAsia="Times New Roman" w:hAnsi="Arial" w:cs="Arial"/>
          <w:color w:val="000000" w:themeColor="text1"/>
          <w:kern w:val="2"/>
          <w:sz w:val="20"/>
          <w:szCs w:val="20"/>
        </w:rPr>
        <w:t xml:space="preserve"> </w:t>
      </w:r>
      <w:r w:rsidR="00F23802">
        <w:rPr>
          <w:rFonts w:ascii="Arial" w:eastAsia="Times New Roman" w:hAnsi="Arial" w:cs="Arial"/>
          <w:color w:val="000000" w:themeColor="text1"/>
          <w:kern w:val="2"/>
          <w:sz w:val="20"/>
          <w:szCs w:val="20"/>
        </w:rPr>
        <w:t>The following table illustrates the demographic</w:t>
      </w:r>
      <w:r w:rsidR="000443FC">
        <w:rPr>
          <w:rFonts w:ascii="Arial" w:eastAsia="Times New Roman" w:hAnsi="Arial" w:cs="Arial"/>
          <w:color w:val="000000" w:themeColor="text1"/>
          <w:kern w:val="2"/>
          <w:sz w:val="20"/>
          <w:szCs w:val="20"/>
        </w:rPr>
        <w:t xml:space="preserve"> profile</w:t>
      </w:r>
      <w:r w:rsidR="00F23802">
        <w:rPr>
          <w:rFonts w:ascii="Arial" w:eastAsia="Times New Roman" w:hAnsi="Arial" w:cs="Arial"/>
          <w:color w:val="000000" w:themeColor="text1"/>
          <w:kern w:val="2"/>
          <w:sz w:val="20"/>
          <w:szCs w:val="20"/>
        </w:rPr>
        <w:t xml:space="preserve"> of AJH’s patient population. </w:t>
      </w:r>
    </w:p>
    <w:p w14:paraId="0867721B" w14:textId="77777777" w:rsidR="00F23802" w:rsidRPr="00A56746" w:rsidRDefault="00F23802" w:rsidP="00A56746">
      <w:pPr>
        <w:spacing w:after="0" w:line="240" w:lineRule="auto"/>
        <w:jc w:val="both"/>
        <w:rPr>
          <w:rFonts w:ascii="Arial" w:eastAsia="Times New Roman" w:hAnsi="Arial" w:cs="Arial"/>
          <w:color w:val="000000" w:themeColor="text1"/>
          <w:kern w:val="2"/>
          <w:sz w:val="20"/>
          <w:szCs w:val="20"/>
          <w:u w:val="single"/>
        </w:rPr>
      </w:pPr>
    </w:p>
    <w:p w14:paraId="21D95607" w14:textId="46DEC9E7" w:rsidR="007C2614" w:rsidRDefault="00197384" w:rsidP="00A45041">
      <w:pPr>
        <w:pStyle w:val="Heading7"/>
        <w:rPr>
          <w:sz w:val="20"/>
          <w:szCs w:val="20"/>
        </w:rPr>
      </w:pPr>
      <w:r>
        <w:t xml:space="preserve">     </w:t>
      </w:r>
      <w:r w:rsidR="00832F3E">
        <w:t xml:space="preserve">    </w:t>
      </w:r>
      <w:r w:rsidR="007C2614" w:rsidRPr="00832F3E">
        <w:rPr>
          <w:sz w:val="20"/>
          <w:szCs w:val="20"/>
        </w:rPr>
        <w:t>T</w:t>
      </w:r>
      <w:r w:rsidR="00832F3E">
        <w:rPr>
          <w:sz w:val="20"/>
          <w:szCs w:val="20"/>
        </w:rPr>
        <w:t xml:space="preserve">able </w:t>
      </w:r>
      <w:r w:rsidR="007C2614" w:rsidRPr="00832F3E">
        <w:rPr>
          <w:sz w:val="20"/>
          <w:szCs w:val="20"/>
        </w:rPr>
        <w:t>2</w:t>
      </w:r>
      <w:r w:rsidR="003E205D" w:rsidRPr="00832F3E">
        <w:rPr>
          <w:sz w:val="20"/>
          <w:szCs w:val="20"/>
        </w:rPr>
        <w:t xml:space="preserve">: </w:t>
      </w:r>
      <w:r w:rsidR="00832F3E">
        <w:rPr>
          <w:sz w:val="20"/>
          <w:szCs w:val="20"/>
        </w:rPr>
        <w:t>AJH’s</w:t>
      </w:r>
      <w:r w:rsidR="003E205D" w:rsidRPr="00832F3E">
        <w:rPr>
          <w:sz w:val="20"/>
          <w:szCs w:val="20"/>
        </w:rPr>
        <w:t xml:space="preserve"> Patient P</w:t>
      </w:r>
      <w:r w:rsidR="00832F3E">
        <w:rPr>
          <w:sz w:val="20"/>
          <w:szCs w:val="20"/>
        </w:rPr>
        <w:t>opulation</w:t>
      </w:r>
    </w:p>
    <w:tbl>
      <w:tblPr>
        <w:tblStyle w:val="TableGrid"/>
        <w:tblW w:w="0" w:type="auto"/>
        <w:tblLook w:val="04A0" w:firstRow="1" w:lastRow="0" w:firstColumn="1" w:lastColumn="0" w:noHBand="0" w:noVBand="1"/>
      </w:tblPr>
      <w:tblGrid>
        <w:gridCol w:w="2155"/>
        <w:gridCol w:w="1080"/>
        <w:gridCol w:w="1260"/>
        <w:gridCol w:w="1080"/>
        <w:gridCol w:w="1103"/>
        <w:gridCol w:w="967"/>
        <w:gridCol w:w="1080"/>
      </w:tblGrid>
      <w:tr w:rsidR="007E7083" w14:paraId="36B99213" w14:textId="77777777" w:rsidTr="009245CF">
        <w:trPr>
          <w:cantSplit/>
          <w:tblHeader/>
        </w:trPr>
        <w:tc>
          <w:tcPr>
            <w:tcW w:w="2155" w:type="dxa"/>
            <w:vAlign w:val="center"/>
          </w:tcPr>
          <w:p w14:paraId="0F22DA2F" w14:textId="1967426B" w:rsidR="007E7083" w:rsidRDefault="007E7083" w:rsidP="007E7083">
            <w:r w:rsidRPr="007E6BF7">
              <w:rPr>
                <w:rFonts w:asciiTheme="majorHAnsi" w:eastAsia="Verdana" w:hAnsiTheme="majorHAnsi" w:cstheme="majorHAnsi"/>
                <w:sz w:val="20"/>
                <w:szCs w:val="20"/>
              </w:rPr>
              <w:t>Demographic Measure</w:t>
            </w:r>
          </w:p>
        </w:tc>
        <w:tc>
          <w:tcPr>
            <w:tcW w:w="1080" w:type="dxa"/>
            <w:shd w:val="clear" w:color="auto" w:fill="B4C6E7" w:themeFill="accent1" w:themeFillTint="66"/>
            <w:vAlign w:val="center"/>
          </w:tcPr>
          <w:p w14:paraId="4718FE30" w14:textId="296BC32A" w:rsidR="007E7083" w:rsidRDefault="007E7083" w:rsidP="007E7083">
            <w:pPr>
              <w:jc w:val="center"/>
            </w:pPr>
            <w:r w:rsidRPr="000C14B0">
              <w:rPr>
                <w:rFonts w:asciiTheme="majorHAnsi" w:eastAsia="Times New Roman" w:hAnsiTheme="majorHAnsi" w:cstheme="majorHAnsi"/>
                <w:b/>
                <w:bCs/>
                <w:color w:val="000000"/>
                <w:sz w:val="20"/>
                <w:szCs w:val="20"/>
              </w:rPr>
              <w:t>FY2020</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Count</w:t>
            </w:r>
          </w:p>
        </w:tc>
        <w:tc>
          <w:tcPr>
            <w:tcW w:w="1260" w:type="dxa"/>
            <w:shd w:val="clear" w:color="auto" w:fill="B4C6E7" w:themeFill="accent1" w:themeFillTint="66"/>
            <w:vAlign w:val="center"/>
          </w:tcPr>
          <w:p w14:paraId="24DC4B5C" w14:textId="262ADB64" w:rsidR="007E7083" w:rsidRDefault="007E7083" w:rsidP="007E7083">
            <w:pPr>
              <w:jc w:val="center"/>
            </w:pPr>
            <w:r w:rsidRPr="000C14B0">
              <w:rPr>
                <w:rFonts w:asciiTheme="majorHAnsi" w:eastAsia="Times New Roman" w:hAnsiTheme="majorHAnsi" w:cstheme="majorHAnsi"/>
                <w:b/>
                <w:bCs/>
                <w:color w:val="000000"/>
                <w:sz w:val="20"/>
                <w:szCs w:val="20"/>
              </w:rPr>
              <w:t>FY2020</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Percent</w:t>
            </w:r>
          </w:p>
        </w:tc>
        <w:tc>
          <w:tcPr>
            <w:tcW w:w="1080" w:type="dxa"/>
            <w:shd w:val="clear" w:color="auto" w:fill="B4C6E7" w:themeFill="accent1" w:themeFillTint="66"/>
            <w:vAlign w:val="center"/>
          </w:tcPr>
          <w:p w14:paraId="3243CCAF" w14:textId="552F6534" w:rsidR="007E7083" w:rsidRDefault="007E7083" w:rsidP="007E7083">
            <w:pPr>
              <w:jc w:val="center"/>
            </w:pPr>
            <w:r w:rsidRPr="000C14B0">
              <w:rPr>
                <w:rFonts w:asciiTheme="majorHAnsi" w:eastAsia="Times New Roman" w:hAnsiTheme="majorHAnsi" w:cstheme="majorHAnsi"/>
                <w:b/>
                <w:bCs/>
                <w:color w:val="000000"/>
                <w:sz w:val="20"/>
                <w:szCs w:val="20"/>
              </w:rPr>
              <w:t>FY2021</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Count</w:t>
            </w:r>
          </w:p>
        </w:tc>
        <w:tc>
          <w:tcPr>
            <w:tcW w:w="1103" w:type="dxa"/>
            <w:shd w:val="clear" w:color="auto" w:fill="B4C6E7" w:themeFill="accent1" w:themeFillTint="66"/>
            <w:vAlign w:val="center"/>
          </w:tcPr>
          <w:p w14:paraId="6E101B41" w14:textId="164A643B" w:rsidR="007E7083" w:rsidRDefault="007E7083" w:rsidP="007E7083">
            <w:pPr>
              <w:jc w:val="center"/>
            </w:pPr>
            <w:r w:rsidRPr="000C14B0">
              <w:rPr>
                <w:rFonts w:asciiTheme="majorHAnsi" w:eastAsia="Times New Roman" w:hAnsiTheme="majorHAnsi" w:cstheme="majorHAnsi"/>
                <w:b/>
                <w:bCs/>
                <w:color w:val="000000"/>
                <w:sz w:val="20"/>
                <w:szCs w:val="20"/>
              </w:rPr>
              <w:t>FY2021</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Percent</w:t>
            </w:r>
          </w:p>
        </w:tc>
        <w:tc>
          <w:tcPr>
            <w:tcW w:w="967" w:type="dxa"/>
            <w:shd w:val="clear" w:color="auto" w:fill="B4C6E7" w:themeFill="accent1" w:themeFillTint="66"/>
            <w:vAlign w:val="center"/>
          </w:tcPr>
          <w:p w14:paraId="7AF289F7" w14:textId="3EF3EF9E" w:rsidR="007E7083" w:rsidRDefault="007E7083" w:rsidP="007E7083">
            <w:pPr>
              <w:jc w:val="center"/>
            </w:pPr>
            <w:r w:rsidRPr="000C14B0">
              <w:rPr>
                <w:rFonts w:asciiTheme="majorHAnsi" w:eastAsia="Times New Roman" w:hAnsiTheme="majorHAnsi" w:cstheme="majorHAnsi"/>
                <w:b/>
                <w:bCs/>
                <w:color w:val="000000"/>
                <w:sz w:val="20"/>
                <w:szCs w:val="20"/>
              </w:rPr>
              <w:t>FY2022</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Count</w:t>
            </w:r>
          </w:p>
        </w:tc>
        <w:tc>
          <w:tcPr>
            <w:tcW w:w="1080" w:type="dxa"/>
            <w:shd w:val="clear" w:color="auto" w:fill="B4C6E7" w:themeFill="accent1" w:themeFillTint="66"/>
            <w:vAlign w:val="center"/>
          </w:tcPr>
          <w:p w14:paraId="45A3C496" w14:textId="2F3C657A" w:rsidR="007E7083" w:rsidRDefault="007E7083" w:rsidP="007E7083">
            <w:pPr>
              <w:jc w:val="center"/>
            </w:pPr>
            <w:r w:rsidRPr="000C14B0">
              <w:rPr>
                <w:rFonts w:asciiTheme="majorHAnsi" w:eastAsia="Times New Roman" w:hAnsiTheme="majorHAnsi" w:cstheme="majorHAnsi"/>
                <w:b/>
                <w:bCs/>
                <w:color w:val="000000"/>
                <w:sz w:val="20"/>
                <w:szCs w:val="20"/>
              </w:rPr>
              <w:t>FY2022</w:t>
            </w:r>
            <w:r>
              <w:rPr>
                <w:rFonts w:asciiTheme="majorHAnsi" w:eastAsia="Times New Roman" w:hAnsiTheme="majorHAnsi" w:cstheme="majorHAnsi"/>
                <w:b/>
                <w:bCs/>
                <w:color w:val="000000"/>
                <w:sz w:val="20"/>
                <w:szCs w:val="20"/>
              </w:rPr>
              <w:t xml:space="preserve"> </w:t>
            </w:r>
            <w:r w:rsidRPr="000C14B0">
              <w:rPr>
                <w:rFonts w:asciiTheme="majorHAnsi" w:eastAsia="Times New Roman" w:hAnsiTheme="majorHAnsi" w:cstheme="majorHAnsi"/>
                <w:i/>
                <w:iCs/>
                <w:color w:val="000000"/>
                <w:sz w:val="20"/>
                <w:szCs w:val="20"/>
              </w:rPr>
              <w:t>Percent</w:t>
            </w:r>
          </w:p>
        </w:tc>
      </w:tr>
      <w:tr w:rsidR="007E7083" w14:paraId="737AEB99" w14:textId="77777777" w:rsidTr="009245CF">
        <w:trPr>
          <w:cantSplit/>
        </w:trPr>
        <w:tc>
          <w:tcPr>
            <w:tcW w:w="2155" w:type="dxa"/>
            <w:shd w:val="clear" w:color="auto" w:fill="D9E2F3" w:themeFill="accent1" w:themeFillTint="33"/>
          </w:tcPr>
          <w:p w14:paraId="0825A5BE" w14:textId="663FD66A" w:rsidR="007E7083" w:rsidRDefault="007E7083" w:rsidP="007E7083">
            <w:r>
              <w:rPr>
                <w:rFonts w:asciiTheme="majorHAnsi" w:eastAsia="Verdana" w:hAnsiTheme="majorHAnsi" w:cstheme="majorHAnsi"/>
                <w:sz w:val="20"/>
                <w:szCs w:val="20"/>
              </w:rPr>
              <w:t xml:space="preserve">Age - </w:t>
            </w:r>
            <w:r w:rsidRPr="007E6BF7">
              <w:rPr>
                <w:rFonts w:asciiTheme="majorHAnsi" w:eastAsia="Verdana" w:hAnsiTheme="majorHAnsi" w:cstheme="majorHAnsi"/>
                <w:sz w:val="20"/>
                <w:szCs w:val="20"/>
              </w:rPr>
              <w:t>0 to 17</w:t>
            </w:r>
          </w:p>
        </w:tc>
        <w:tc>
          <w:tcPr>
            <w:tcW w:w="1080" w:type="dxa"/>
            <w:shd w:val="clear" w:color="auto" w:fill="D9E2F3" w:themeFill="accent1" w:themeFillTint="33"/>
            <w:vAlign w:val="bottom"/>
          </w:tcPr>
          <w:p w14:paraId="27541E66" w14:textId="5133AD2C" w:rsidR="007E7083" w:rsidRDefault="007E7083" w:rsidP="007E7083">
            <w:pPr>
              <w:jc w:val="center"/>
            </w:pPr>
            <w:r w:rsidRPr="007E6BF7">
              <w:rPr>
                <w:rFonts w:asciiTheme="majorHAnsi" w:hAnsiTheme="majorHAnsi" w:cstheme="majorHAnsi"/>
                <w:color w:val="000000"/>
                <w:sz w:val="20"/>
                <w:szCs w:val="20"/>
              </w:rPr>
              <w:t>6</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959</w:t>
            </w:r>
          </w:p>
        </w:tc>
        <w:tc>
          <w:tcPr>
            <w:tcW w:w="1260" w:type="dxa"/>
            <w:shd w:val="clear" w:color="auto" w:fill="D9E2F3" w:themeFill="accent1" w:themeFillTint="33"/>
            <w:vAlign w:val="bottom"/>
          </w:tcPr>
          <w:p w14:paraId="611F079E" w14:textId="468754A4" w:rsidR="007E7083" w:rsidRDefault="007E7083" w:rsidP="007E7083">
            <w:pPr>
              <w:jc w:val="center"/>
            </w:pPr>
            <w:r w:rsidRPr="007E6BF7">
              <w:rPr>
                <w:rFonts w:asciiTheme="majorHAnsi" w:hAnsiTheme="majorHAnsi" w:cstheme="majorHAnsi"/>
                <w:color w:val="000000"/>
                <w:sz w:val="20"/>
                <w:szCs w:val="20"/>
              </w:rPr>
              <w:t>12.07%</w:t>
            </w:r>
          </w:p>
        </w:tc>
        <w:tc>
          <w:tcPr>
            <w:tcW w:w="1080" w:type="dxa"/>
            <w:shd w:val="clear" w:color="auto" w:fill="D9E2F3" w:themeFill="accent1" w:themeFillTint="33"/>
            <w:vAlign w:val="bottom"/>
          </w:tcPr>
          <w:p w14:paraId="7E742D0F" w14:textId="50C6E162" w:rsidR="007E7083" w:rsidRDefault="007E7083" w:rsidP="007E7083">
            <w:pPr>
              <w:jc w:val="center"/>
            </w:pPr>
            <w:r w:rsidRPr="007E6BF7">
              <w:rPr>
                <w:rFonts w:asciiTheme="majorHAnsi" w:hAnsiTheme="majorHAnsi" w:cstheme="majorHAnsi"/>
                <w:color w:val="000000"/>
                <w:sz w:val="20"/>
                <w:szCs w:val="20"/>
              </w:rPr>
              <w:t>6</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030</w:t>
            </w:r>
          </w:p>
        </w:tc>
        <w:tc>
          <w:tcPr>
            <w:tcW w:w="1103" w:type="dxa"/>
            <w:shd w:val="clear" w:color="auto" w:fill="D9E2F3" w:themeFill="accent1" w:themeFillTint="33"/>
            <w:vAlign w:val="bottom"/>
          </w:tcPr>
          <w:p w14:paraId="49F19188" w14:textId="78C14337" w:rsidR="007E7083" w:rsidRDefault="007E7083" w:rsidP="007E7083">
            <w:pPr>
              <w:jc w:val="center"/>
            </w:pPr>
            <w:r w:rsidRPr="007E6BF7">
              <w:rPr>
                <w:rFonts w:asciiTheme="majorHAnsi" w:hAnsiTheme="majorHAnsi" w:cstheme="majorHAnsi"/>
                <w:color w:val="000000"/>
                <w:sz w:val="20"/>
                <w:szCs w:val="20"/>
              </w:rPr>
              <w:t>9.10%</w:t>
            </w:r>
          </w:p>
        </w:tc>
        <w:tc>
          <w:tcPr>
            <w:tcW w:w="967" w:type="dxa"/>
            <w:shd w:val="clear" w:color="auto" w:fill="D9E2F3" w:themeFill="accent1" w:themeFillTint="33"/>
            <w:vAlign w:val="bottom"/>
          </w:tcPr>
          <w:p w14:paraId="5368FCA0" w14:textId="293C9449" w:rsidR="007E7083" w:rsidRDefault="007E7083" w:rsidP="007E7083">
            <w:pPr>
              <w:jc w:val="center"/>
            </w:pPr>
            <w:r w:rsidRPr="007E6BF7">
              <w:rPr>
                <w:rFonts w:asciiTheme="majorHAnsi" w:hAnsiTheme="majorHAnsi" w:cstheme="majorHAnsi"/>
                <w:color w:val="000000"/>
                <w:sz w:val="20"/>
                <w:szCs w:val="20"/>
              </w:rPr>
              <w:t>7</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186</w:t>
            </w:r>
          </w:p>
        </w:tc>
        <w:tc>
          <w:tcPr>
            <w:tcW w:w="1080" w:type="dxa"/>
            <w:shd w:val="clear" w:color="auto" w:fill="D9E2F3" w:themeFill="accent1" w:themeFillTint="33"/>
            <w:vAlign w:val="bottom"/>
          </w:tcPr>
          <w:p w14:paraId="7DB06761" w14:textId="14117F60" w:rsidR="007E7083" w:rsidRDefault="007E7083" w:rsidP="007E7083">
            <w:pPr>
              <w:jc w:val="center"/>
            </w:pPr>
            <w:r w:rsidRPr="007E6BF7">
              <w:rPr>
                <w:rFonts w:asciiTheme="majorHAnsi" w:hAnsiTheme="majorHAnsi" w:cstheme="majorHAnsi"/>
                <w:color w:val="000000"/>
                <w:sz w:val="20"/>
                <w:szCs w:val="20"/>
              </w:rPr>
              <w:t>11.67%</w:t>
            </w:r>
          </w:p>
        </w:tc>
      </w:tr>
      <w:tr w:rsidR="007E7083" w14:paraId="0239586E" w14:textId="77777777" w:rsidTr="009245CF">
        <w:trPr>
          <w:cantSplit/>
        </w:trPr>
        <w:tc>
          <w:tcPr>
            <w:tcW w:w="2155" w:type="dxa"/>
            <w:shd w:val="clear" w:color="auto" w:fill="D9E2F3" w:themeFill="accent1" w:themeFillTint="33"/>
          </w:tcPr>
          <w:p w14:paraId="4DAD340F" w14:textId="4465D4FE" w:rsidR="007E7083" w:rsidRDefault="007E7083" w:rsidP="007E7083">
            <w:r>
              <w:rPr>
                <w:rFonts w:asciiTheme="majorHAnsi" w:eastAsia="Verdana" w:hAnsiTheme="majorHAnsi" w:cstheme="majorHAnsi"/>
                <w:sz w:val="20"/>
                <w:szCs w:val="20"/>
              </w:rPr>
              <w:t xml:space="preserve">Age - </w:t>
            </w:r>
            <w:r w:rsidRPr="007E6BF7">
              <w:rPr>
                <w:rFonts w:asciiTheme="majorHAnsi" w:eastAsia="Verdana" w:hAnsiTheme="majorHAnsi" w:cstheme="majorHAnsi"/>
                <w:sz w:val="20"/>
                <w:szCs w:val="20"/>
              </w:rPr>
              <w:t>18 to 64</w:t>
            </w:r>
          </w:p>
        </w:tc>
        <w:tc>
          <w:tcPr>
            <w:tcW w:w="1080" w:type="dxa"/>
            <w:shd w:val="clear" w:color="auto" w:fill="D9E2F3" w:themeFill="accent1" w:themeFillTint="33"/>
            <w:vAlign w:val="bottom"/>
          </w:tcPr>
          <w:p w14:paraId="08B2F773" w14:textId="695884F9" w:rsidR="007E7083" w:rsidRDefault="007E7083" w:rsidP="007E7083">
            <w:pPr>
              <w:jc w:val="center"/>
            </w:pPr>
            <w:r w:rsidRPr="007E6BF7">
              <w:rPr>
                <w:rFonts w:asciiTheme="majorHAnsi" w:hAnsiTheme="majorHAnsi" w:cstheme="majorHAnsi"/>
                <w:color w:val="000000"/>
                <w:sz w:val="20"/>
                <w:szCs w:val="20"/>
              </w:rPr>
              <w:t>34</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821</w:t>
            </w:r>
          </w:p>
        </w:tc>
        <w:tc>
          <w:tcPr>
            <w:tcW w:w="1260" w:type="dxa"/>
            <w:shd w:val="clear" w:color="auto" w:fill="D9E2F3" w:themeFill="accent1" w:themeFillTint="33"/>
            <w:vAlign w:val="bottom"/>
          </w:tcPr>
          <w:p w14:paraId="54CB9BA4" w14:textId="03F23AEC" w:rsidR="007E7083" w:rsidRDefault="007E7083" w:rsidP="007E7083">
            <w:pPr>
              <w:jc w:val="center"/>
            </w:pPr>
            <w:r w:rsidRPr="007E6BF7">
              <w:rPr>
                <w:rFonts w:asciiTheme="majorHAnsi" w:hAnsiTheme="majorHAnsi" w:cstheme="majorHAnsi"/>
                <w:color w:val="000000"/>
                <w:sz w:val="20"/>
                <w:szCs w:val="20"/>
              </w:rPr>
              <w:t>60.38%</w:t>
            </w:r>
          </w:p>
        </w:tc>
        <w:tc>
          <w:tcPr>
            <w:tcW w:w="1080" w:type="dxa"/>
            <w:shd w:val="clear" w:color="auto" w:fill="D9E2F3" w:themeFill="accent1" w:themeFillTint="33"/>
            <w:vAlign w:val="bottom"/>
          </w:tcPr>
          <w:p w14:paraId="221ECA81" w14:textId="7ECB29E0" w:rsidR="007E7083" w:rsidRDefault="007E7083" w:rsidP="007E7083">
            <w:pPr>
              <w:jc w:val="center"/>
            </w:pPr>
            <w:r w:rsidRPr="007E6BF7">
              <w:rPr>
                <w:rFonts w:asciiTheme="majorHAnsi" w:hAnsiTheme="majorHAnsi" w:cstheme="majorHAnsi"/>
                <w:color w:val="000000"/>
                <w:sz w:val="20"/>
                <w:szCs w:val="20"/>
              </w:rPr>
              <w:t>40</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785</w:t>
            </w:r>
          </w:p>
        </w:tc>
        <w:tc>
          <w:tcPr>
            <w:tcW w:w="1103" w:type="dxa"/>
            <w:shd w:val="clear" w:color="auto" w:fill="D9E2F3" w:themeFill="accent1" w:themeFillTint="33"/>
            <w:vAlign w:val="bottom"/>
          </w:tcPr>
          <w:p w14:paraId="124B8E3C" w14:textId="531274C7" w:rsidR="007E7083" w:rsidRDefault="007E7083" w:rsidP="007E7083">
            <w:pPr>
              <w:jc w:val="center"/>
            </w:pPr>
            <w:r w:rsidRPr="007E6BF7">
              <w:rPr>
                <w:rFonts w:asciiTheme="majorHAnsi" w:hAnsiTheme="majorHAnsi" w:cstheme="majorHAnsi"/>
                <w:color w:val="000000"/>
                <w:sz w:val="20"/>
                <w:szCs w:val="20"/>
              </w:rPr>
              <w:t>61.57%</w:t>
            </w:r>
          </w:p>
        </w:tc>
        <w:tc>
          <w:tcPr>
            <w:tcW w:w="967" w:type="dxa"/>
            <w:shd w:val="clear" w:color="auto" w:fill="D9E2F3" w:themeFill="accent1" w:themeFillTint="33"/>
            <w:vAlign w:val="bottom"/>
          </w:tcPr>
          <w:p w14:paraId="779C3F54" w14:textId="0616E09F" w:rsidR="007E7083" w:rsidRDefault="007E7083" w:rsidP="007E7083">
            <w:pPr>
              <w:jc w:val="center"/>
            </w:pPr>
            <w:r w:rsidRPr="007E6BF7">
              <w:rPr>
                <w:rFonts w:asciiTheme="majorHAnsi" w:hAnsiTheme="majorHAnsi" w:cstheme="majorHAnsi"/>
                <w:color w:val="000000"/>
                <w:sz w:val="20"/>
                <w:szCs w:val="20"/>
              </w:rPr>
              <w:t>36</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187</w:t>
            </w:r>
          </w:p>
        </w:tc>
        <w:tc>
          <w:tcPr>
            <w:tcW w:w="1080" w:type="dxa"/>
            <w:shd w:val="clear" w:color="auto" w:fill="D9E2F3" w:themeFill="accent1" w:themeFillTint="33"/>
            <w:vAlign w:val="bottom"/>
          </w:tcPr>
          <w:p w14:paraId="403667CF" w14:textId="36B3DD93" w:rsidR="007E7083" w:rsidRDefault="007E7083" w:rsidP="007E7083">
            <w:pPr>
              <w:jc w:val="center"/>
            </w:pPr>
            <w:r w:rsidRPr="007E6BF7">
              <w:rPr>
                <w:rFonts w:asciiTheme="majorHAnsi" w:hAnsiTheme="majorHAnsi" w:cstheme="majorHAnsi"/>
                <w:color w:val="000000"/>
                <w:sz w:val="20"/>
                <w:szCs w:val="20"/>
              </w:rPr>
              <w:t>58.79%</w:t>
            </w:r>
          </w:p>
        </w:tc>
      </w:tr>
      <w:tr w:rsidR="007E7083" w14:paraId="36535A2D" w14:textId="77777777" w:rsidTr="009245CF">
        <w:trPr>
          <w:cantSplit/>
        </w:trPr>
        <w:tc>
          <w:tcPr>
            <w:tcW w:w="2155" w:type="dxa"/>
            <w:shd w:val="clear" w:color="auto" w:fill="D9E2F3" w:themeFill="accent1" w:themeFillTint="33"/>
          </w:tcPr>
          <w:p w14:paraId="6D021A79" w14:textId="7D9BF812" w:rsidR="007E7083" w:rsidRDefault="007E7083" w:rsidP="007E7083">
            <w:r>
              <w:rPr>
                <w:rFonts w:asciiTheme="majorHAnsi" w:eastAsia="Verdana" w:hAnsiTheme="majorHAnsi" w:cstheme="majorHAnsi"/>
                <w:sz w:val="20"/>
                <w:szCs w:val="20"/>
              </w:rPr>
              <w:t xml:space="preserve">Age - </w:t>
            </w:r>
            <w:r w:rsidRPr="007E6BF7">
              <w:rPr>
                <w:rFonts w:asciiTheme="majorHAnsi" w:eastAsia="Verdana" w:hAnsiTheme="majorHAnsi" w:cstheme="majorHAnsi"/>
                <w:sz w:val="20"/>
                <w:szCs w:val="20"/>
              </w:rPr>
              <w:t>65+</w:t>
            </w:r>
          </w:p>
        </w:tc>
        <w:tc>
          <w:tcPr>
            <w:tcW w:w="1080" w:type="dxa"/>
            <w:shd w:val="clear" w:color="auto" w:fill="D9E2F3" w:themeFill="accent1" w:themeFillTint="33"/>
            <w:vAlign w:val="bottom"/>
          </w:tcPr>
          <w:p w14:paraId="04BE7BBD" w14:textId="40D4C8E0" w:rsidR="007E7083" w:rsidRDefault="007E7083" w:rsidP="007E7083">
            <w:pPr>
              <w:jc w:val="center"/>
            </w:pPr>
            <w:r w:rsidRPr="007E6BF7">
              <w:rPr>
                <w:rFonts w:asciiTheme="majorHAnsi" w:hAnsiTheme="majorHAnsi" w:cstheme="majorHAnsi"/>
                <w:color w:val="000000"/>
                <w:sz w:val="20"/>
                <w:szCs w:val="20"/>
              </w:rPr>
              <w:t>15</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894</w:t>
            </w:r>
          </w:p>
        </w:tc>
        <w:tc>
          <w:tcPr>
            <w:tcW w:w="1260" w:type="dxa"/>
            <w:shd w:val="clear" w:color="auto" w:fill="D9E2F3" w:themeFill="accent1" w:themeFillTint="33"/>
            <w:vAlign w:val="bottom"/>
          </w:tcPr>
          <w:p w14:paraId="1A9DBBBB" w14:textId="3E2AFDA3" w:rsidR="007E7083" w:rsidRDefault="007E7083" w:rsidP="007E7083">
            <w:pPr>
              <w:jc w:val="center"/>
            </w:pPr>
            <w:r w:rsidRPr="007E6BF7">
              <w:rPr>
                <w:rFonts w:asciiTheme="majorHAnsi" w:hAnsiTheme="majorHAnsi" w:cstheme="majorHAnsi"/>
                <w:color w:val="000000"/>
                <w:sz w:val="20"/>
                <w:szCs w:val="20"/>
              </w:rPr>
              <w:t>27.56%</w:t>
            </w:r>
          </w:p>
        </w:tc>
        <w:tc>
          <w:tcPr>
            <w:tcW w:w="1080" w:type="dxa"/>
            <w:shd w:val="clear" w:color="auto" w:fill="D9E2F3" w:themeFill="accent1" w:themeFillTint="33"/>
            <w:vAlign w:val="bottom"/>
          </w:tcPr>
          <w:p w14:paraId="3037C602" w14:textId="12511BE7" w:rsidR="007E7083" w:rsidRDefault="007E7083" w:rsidP="007E7083">
            <w:pPr>
              <w:jc w:val="center"/>
            </w:pPr>
            <w:r w:rsidRPr="007E6BF7">
              <w:rPr>
                <w:rFonts w:asciiTheme="majorHAnsi" w:hAnsiTheme="majorHAnsi" w:cstheme="majorHAnsi"/>
                <w:color w:val="000000"/>
                <w:sz w:val="20"/>
                <w:szCs w:val="20"/>
              </w:rPr>
              <w:t>19</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422</w:t>
            </w:r>
          </w:p>
        </w:tc>
        <w:tc>
          <w:tcPr>
            <w:tcW w:w="1103" w:type="dxa"/>
            <w:shd w:val="clear" w:color="auto" w:fill="D9E2F3" w:themeFill="accent1" w:themeFillTint="33"/>
            <w:vAlign w:val="bottom"/>
          </w:tcPr>
          <w:p w14:paraId="66B402BB" w14:textId="4CA81D8C" w:rsidR="007E7083" w:rsidRDefault="007E7083" w:rsidP="007E7083">
            <w:pPr>
              <w:jc w:val="center"/>
            </w:pPr>
            <w:r w:rsidRPr="007E6BF7">
              <w:rPr>
                <w:rFonts w:asciiTheme="majorHAnsi" w:hAnsiTheme="majorHAnsi" w:cstheme="majorHAnsi"/>
                <w:color w:val="000000"/>
                <w:sz w:val="20"/>
                <w:szCs w:val="20"/>
              </w:rPr>
              <w:t>29.32%</w:t>
            </w:r>
          </w:p>
        </w:tc>
        <w:tc>
          <w:tcPr>
            <w:tcW w:w="967" w:type="dxa"/>
            <w:shd w:val="clear" w:color="auto" w:fill="D9E2F3" w:themeFill="accent1" w:themeFillTint="33"/>
            <w:vAlign w:val="bottom"/>
          </w:tcPr>
          <w:p w14:paraId="22D9AF21" w14:textId="68825947" w:rsidR="007E7083" w:rsidRDefault="007E7083" w:rsidP="007E7083">
            <w:pPr>
              <w:jc w:val="center"/>
            </w:pPr>
            <w:r w:rsidRPr="007E6BF7">
              <w:rPr>
                <w:rFonts w:asciiTheme="majorHAnsi" w:hAnsiTheme="majorHAnsi" w:cstheme="majorHAnsi"/>
                <w:color w:val="000000"/>
                <w:sz w:val="20"/>
                <w:szCs w:val="20"/>
              </w:rPr>
              <w:t>18</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182</w:t>
            </w:r>
          </w:p>
        </w:tc>
        <w:tc>
          <w:tcPr>
            <w:tcW w:w="1080" w:type="dxa"/>
            <w:shd w:val="clear" w:color="auto" w:fill="D9E2F3" w:themeFill="accent1" w:themeFillTint="33"/>
            <w:vAlign w:val="bottom"/>
          </w:tcPr>
          <w:p w14:paraId="14204DBF" w14:textId="6BA7D554" w:rsidR="007E7083" w:rsidRDefault="007E7083" w:rsidP="007E7083">
            <w:pPr>
              <w:jc w:val="center"/>
            </w:pPr>
            <w:r w:rsidRPr="007E6BF7">
              <w:rPr>
                <w:rFonts w:asciiTheme="majorHAnsi" w:hAnsiTheme="majorHAnsi" w:cstheme="majorHAnsi"/>
                <w:color w:val="000000"/>
                <w:sz w:val="20"/>
                <w:szCs w:val="20"/>
              </w:rPr>
              <w:t>29.54%</w:t>
            </w:r>
          </w:p>
        </w:tc>
      </w:tr>
      <w:tr w:rsidR="0071796E" w14:paraId="309465CD" w14:textId="77777777" w:rsidTr="009245CF">
        <w:trPr>
          <w:cantSplit/>
        </w:trPr>
        <w:tc>
          <w:tcPr>
            <w:tcW w:w="2155" w:type="dxa"/>
            <w:shd w:val="clear" w:color="auto" w:fill="D9E2F3" w:themeFill="accent1" w:themeFillTint="33"/>
          </w:tcPr>
          <w:p w14:paraId="36B73642" w14:textId="20AFDDDF" w:rsidR="007E7083" w:rsidRDefault="007E7083" w:rsidP="007E7083">
            <w:r w:rsidRPr="007E6BF7">
              <w:rPr>
                <w:rFonts w:asciiTheme="majorHAnsi" w:eastAsia="Verdana" w:hAnsiTheme="majorHAnsi" w:cstheme="majorHAnsi"/>
                <w:sz w:val="20"/>
                <w:szCs w:val="20"/>
              </w:rPr>
              <w:t>Total</w:t>
            </w:r>
          </w:p>
        </w:tc>
        <w:tc>
          <w:tcPr>
            <w:tcW w:w="1080" w:type="dxa"/>
            <w:shd w:val="clear" w:color="auto" w:fill="D9E2F3" w:themeFill="accent1" w:themeFillTint="33"/>
          </w:tcPr>
          <w:p w14:paraId="2DA94783" w14:textId="15DF6C49" w:rsidR="007E7083" w:rsidRDefault="007E7083" w:rsidP="007E7083">
            <w:pPr>
              <w:jc w:val="center"/>
            </w:pPr>
            <w:r w:rsidRPr="007E6BF7">
              <w:rPr>
                <w:rFonts w:asciiTheme="majorHAnsi" w:eastAsia="Verdana" w:hAnsiTheme="majorHAnsi" w:cstheme="majorHAnsi"/>
                <w:sz w:val="20"/>
                <w:szCs w:val="20"/>
              </w:rPr>
              <w:t>57,674</w:t>
            </w:r>
          </w:p>
        </w:tc>
        <w:tc>
          <w:tcPr>
            <w:tcW w:w="1260" w:type="dxa"/>
            <w:shd w:val="clear" w:color="auto" w:fill="D9E2F3" w:themeFill="accent1" w:themeFillTint="33"/>
          </w:tcPr>
          <w:p w14:paraId="522935A5" w14:textId="3749EFCE" w:rsidR="007E7083" w:rsidRDefault="007E7083" w:rsidP="007E7083">
            <w:pPr>
              <w:jc w:val="center"/>
            </w:pPr>
            <w:r w:rsidRPr="007E6BF7">
              <w:rPr>
                <w:rFonts w:asciiTheme="majorHAnsi" w:eastAsia="Verdana" w:hAnsiTheme="majorHAnsi" w:cstheme="majorHAnsi"/>
                <w:sz w:val="20"/>
                <w:szCs w:val="20"/>
              </w:rPr>
              <w:t>100.00%</w:t>
            </w:r>
          </w:p>
        </w:tc>
        <w:tc>
          <w:tcPr>
            <w:tcW w:w="1080" w:type="dxa"/>
            <w:shd w:val="clear" w:color="auto" w:fill="D9E2F3" w:themeFill="accent1" w:themeFillTint="33"/>
          </w:tcPr>
          <w:p w14:paraId="11FBD89B" w14:textId="2A819006" w:rsidR="007E7083" w:rsidRDefault="007E7083" w:rsidP="007E7083">
            <w:pPr>
              <w:jc w:val="center"/>
            </w:pPr>
            <w:r w:rsidRPr="007E6BF7">
              <w:rPr>
                <w:rFonts w:asciiTheme="majorHAnsi" w:eastAsia="Verdana" w:hAnsiTheme="majorHAnsi" w:cstheme="majorHAnsi"/>
                <w:sz w:val="20"/>
                <w:szCs w:val="20"/>
              </w:rPr>
              <w:t>66,237</w:t>
            </w:r>
          </w:p>
        </w:tc>
        <w:tc>
          <w:tcPr>
            <w:tcW w:w="1103" w:type="dxa"/>
            <w:shd w:val="clear" w:color="auto" w:fill="D9E2F3" w:themeFill="accent1" w:themeFillTint="33"/>
          </w:tcPr>
          <w:p w14:paraId="05B167BD" w14:textId="477EF605" w:rsidR="007E7083" w:rsidRDefault="007E7083" w:rsidP="007E7083">
            <w:pPr>
              <w:jc w:val="center"/>
            </w:pPr>
            <w:r w:rsidRPr="007E6BF7">
              <w:rPr>
                <w:rFonts w:asciiTheme="majorHAnsi" w:eastAsia="Verdana" w:hAnsiTheme="majorHAnsi" w:cstheme="majorHAnsi"/>
                <w:sz w:val="20"/>
                <w:szCs w:val="20"/>
              </w:rPr>
              <w:t>100.00%</w:t>
            </w:r>
          </w:p>
        </w:tc>
        <w:tc>
          <w:tcPr>
            <w:tcW w:w="967" w:type="dxa"/>
            <w:shd w:val="clear" w:color="auto" w:fill="D9E2F3" w:themeFill="accent1" w:themeFillTint="33"/>
          </w:tcPr>
          <w:p w14:paraId="01E55E55" w14:textId="6CB0EE5D" w:rsidR="007E7083" w:rsidRDefault="007E7083" w:rsidP="007E7083">
            <w:pPr>
              <w:jc w:val="center"/>
            </w:pPr>
            <w:r w:rsidRPr="007E6BF7">
              <w:rPr>
                <w:rFonts w:asciiTheme="majorHAnsi" w:eastAsia="Verdana" w:hAnsiTheme="majorHAnsi" w:cstheme="majorHAnsi"/>
                <w:sz w:val="20"/>
                <w:szCs w:val="20"/>
              </w:rPr>
              <w:t>61,555</w:t>
            </w:r>
          </w:p>
        </w:tc>
        <w:tc>
          <w:tcPr>
            <w:tcW w:w="1080" w:type="dxa"/>
            <w:shd w:val="clear" w:color="auto" w:fill="D9E2F3" w:themeFill="accent1" w:themeFillTint="33"/>
          </w:tcPr>
          <w:p w14:paraId="57609DD9" w14:textId="5AB549BD" w:rsidR="007E7083" w:rsidRDefault="007E7083" w:rsidP="007E7083">
            <w:pPr>
              <w:jc w:val="center"/>
            </w:pPr>
            <w:r w:rsidRPr="007E6BF7">
              <w:rPr>
                <w:rFonts w:asciiTheme="majorHAnsi" w:eastAsia="Verdana" w:hAnsiTheme="majorHAnsi" w:cstheme="majorHAnsi"/>
                <w:sz w:val="20"/>
                <w:szCs w:val="20"/>
              </w:rPr>
              <w:t>100.00%</w:t>
            </w:r>
          </w:p>
        </w:tc>
      </w:tr>
      <w:tr w:rsidR="007E7083" w14:paraId="41A0B4C8" w14:textId="77777777" w:rsidTr="009245CF">
        <w:trPr>
          <w:cantSplit/>
        </w:trPr>
        <w:tc>
          <w:tcPr>
            <w:tcW w:w="2155" w:type="dxa"/>
            <w:shd w:val="clear" w:color="auto" w:fill="FBE4D5" w:themeFill="accent2" w:themeFillTint="33"/>
          </w:tcPr>
          <w:p w14:paraId="48123D64" w14:textId="3E8DD215" w:rsidR="007E7083" w:rsidRDefault="007E7083" w:rsidP="007E7083">
            <w:r>
              <w:rPr>
                <w:rFonts w:asciiTheme="majorHAnsi" w:eastAsia="Verdana" w:hAnsiTheme="majorHAnsi" w:cstheme="majorHAnsi"/>
                <w:sz w:val="20"/>
                <w:szCs w:val="20"/>
              </w:rPr>
              <w:t>Gender -</w:t>
            </w:r>
            <w:r w:rsidRPr="007E6BF7">
              <w:rPr>
                <w:rFonts w:asciiTheme="majorHAnsi" w:eastAsia="Verdana" w:hAnsiTheme="majorHAnsi" w:cstheme="majorHAnsi"/>
                <w:sz w:val="20"/>
                <w:szCs w:val="20"/>
              </w:rPr>
              <w:t>Female</w:t>
            </w:r>
          </w:p>
        </w:tc>
        <w:tc>
          <w:tcPr>
            <w:tcW w:w="1080" w:type="dxa"/>
            <w:shd w:val="clear" w:color="auto" w:fill="FBE4D5" w:themeFill="accent2" w:themeFillTint="33"/>
            <w:vAlign w:val="bottom"/>
          </w:tcPr>
          <w:p w14:paraId="7ECA0FF3" w14:textId="66987D6E" w:rsidR="007E7083" w:rsidRDefault="007E7083" w:rsidP="007E7083">
            <w:pPr>
              <w:jc w:val="center"/>
            </w:pPr>
            <w:r w:rsidRPr="007E6BF7">
              <w:rPr>
                <w:rFonts w:asciiTheme="majorHAnsi" w:hAnsiTheme="majorHAnsi" w:cstheme="majorHAnsi"/>
                <w:color w:val="000000"/>
                <w:sz w:val="20"/>
                <w:szCs w:val="20"/>
              </w:rPr>
              <w:t>35</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 xml:space="preserve">642                                                 </w:t>
            </w:r>
          </w:p>
        </w:tc>
        <w:tc>
          <w:tcPr>
            <w:tcW w:w="1260" w:type="dxa"/>
            <w:shd w:val="clear" w:color="auto" w:fill="FBE4D5" w:themeFill="accent2" w:themeFillTint="33"/>
            <w:vAlign w:val="bottom"/>
          </w:tcPr>
          <w:p w14:paraId="28D2C953" w14:textId="0310C2C6" w:rsidR="007E7083" w:rsidRDefault="007E7083" w:rsidP="007E7083">
            <w:pPr>
              <w:jc w:val="center"/>
            </w:pPr>
            <w:r w:rsidRPr="007E6BF7">
              <w:rPr>
                <w:rFonts w:asciiTheme="majorHAnsi" w:hAnsiTheme="majorHAnsi" w:cstheme="majorHAnsi"/>
                <w:color w:val="000000"/>
                <w:sz w:val="20"/>
                <w:szCs w:val="20"/>
              </w:rPr>
              <w:t>61.80%</w:t>
            </w:r>
          </w:p>
        </w:tc>
        <w:tc>
          <w:tcPr>
            <w:tcW w:w="1080" w:type="dxa"/>
            <w:shd w:val="clear" w:color="auto" w:fill="FBE4D5" w:themeFill="accent2" w:themeFillTint="33"/>
            <w:vAlign w:val="bottom"/>
          </w:tcPr>
          <w:p w14:paraId="39824C4B" w14:textId="350CE94B" w:rsidR="007E7083" w:rsidRDefault="007E7083" w:rsidP="007E7083">
            <w:pPr>
              <w:jc w:val="center"/>
            </w:pPr>
            <w:r w:rsidRPr="007E6BF7">
              <w:rPr>
                <w:rFonts w:asciiTheme="majorHAnsi" w:hAnsiTheme="majorHAnsi" w:cstheme="majorHAnsi"/>
                <w:color w:val="000000"/>
                <w:sz w:val="20"/>
                <w:szCs w:val="20"/>
              </w:rPr>
              <w:t>40</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425</w:t>
            </w:r>
          </w:p>
        </w:tc>
        <w:tc>
          <w:tcPr>
            <w:tcW w:w="1103" w:type="dxa"/>
            <w:shd w:val="clear" w:color="auto" w:fill="FBE4D5" w:themeFill="accent2" w:themeFillTint="33"/>
            <w:vAlign w:val="bottom"/>
          </w:tcPr>
          <w:p w14:paraId="56B5BC9A" w14:textId="4B5EA10A" w:rsidR="007E7083" w:rsidRDefault="007E7083" w:rsidP="007E7083">
            <w:pPr>
              <w:jc w:val="center"/>
            </w:pPr>
            <w:r w:rsidRPr="007E6BF7">
              <w:rPr>
                <w:rFonts w:asciiTheme="majorHAnsi" w:hAnsiTheme="majorHAnsi" w:cstheme="majorHAnsi"/>
                <w:color w:val="000000"/>
                <w:sz w:val="20"/>
                <w:szCs w:val="20"/>
              </w:rPr>
              <w:t>61.03%</w:t>
            </w:r>
          </w:p>
        </w:tc>
        <w:tc>
          <w:tcPr>
            <w:tcW w:w="967" w:type="dxa"/>
            <w:shd w:val="clear" w:color="auto" w:fill="FBE4D5" w:themeFill="accent2" w:themeFillTint="33"/>
            <w:vAlign w:val="bottom"/>
          </w:tcPr>
          <w:p w14:paraId="1511343E" w14:textId="0854CF5B" w:rsidR="007E7083" w:rsidRDefault="007E7083" w:rsidP="007E7083">
            <w:pPr>
              <w:jc w:val="center"/>
            </w:pPr>
            <w:r w:rsidRPr="007E6BF7">
              <w:rPr>
                <w:rFonts w:asciiTheme="majorHAnsi" w:hAnsiTheme="majorHAnsi" w:cstheme="majorHAnsi"/>
                <w:color w:val="000000"/>
                <w:sz w:val="20"/>
                <w:szCs w:val="20"/>
              </w:rPr>
              <w:t>38</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433</w:t>
            </w:r>
          </w:p>
        </w:tc>
        <w:tc>
          <w:tcPr>
            <w:tcW w:w="1080" w:type="dxa"/>
            <w:shd w:val="clear" w:color="auto" w:fill="FBE4D5" w:themeFill="accent2" w:themeFillTint="33"/>
            <w:vAlign w:val="bottom"/>
          </w:tcPr>
          <w:p w14:paraId="500DEF43" w14:textId="38A39DEA" w:rsidR="007E7083" w:rsidRDefault="007E7083" w:rsidP="007E7083">
            <w:pPr>
              <w:jc w:val="center"/>
            </w:pPr>
            <w:r w:rsidRPr="007E6BF7">
              <w:rPr>
                <w:rFonts w:asciiTheme="majorHAnsi" w:hAnsiTheme="majorHAnsi" w:cstheme="majorHAnsi"/>
                <w:color w:val="000000"/>
                <w:sz w:val="20"/>
                <w:szCs w:val="20"/>
              </w:rPr>
              <w:t>62.44%</w:t>
            </w:r>
          </w:p>
        </w:tc>
      </w:tr>
      <w:tr w:rsidR="007E7083" w14:paraId="79075FCB" w14:textId="77777777" w:rsidTr="009245CF">
        <w:trPr>
          <w:cantSplit/>
        </w:trPr>
        <w:tc>
          <w:tcPr>
            <w:tcW w:w="2155" w:type="dxa"/>
            <w:shd w:val="clear" w:color="auto" w:fill="FBE4D5" w:themeFill="accent2" w:themeFillTint="33"/>
          </w:tcPr>
          <w:p w14:paraId="3D55C887" w14:textId="280B582C" w:rsidR="007E7083" w:rsidRDefault="007E7083" w:rsidP="007E7083">
            <w:r>
              <w:rPr>
                <w:rFonts w:asciiTheme="majorHAnsi" w:eastAsia="Verdana" w:hAnsiTheme="majorHAnsi" w:cstheme="majorHAnsi"/>
                <w:sz w:val="20"/>
                <w:szCs w:val="20"/>
              </w:rPr>
              <w:t xml:space="preserve">Gender - </w:t>
            </w:r>
            <w:r w:rsidRPr="007E6BF7">
              <w:rPr>
                <w:rFonts w:asciiTheme="majorHAnsi" w:eastAsia="Verdana" w:hAnsiTheme="majorHAnsi" w:cstheme="majorHAnsi"/>
                <w:sz w:val="20"/>
                <w:szCs w:val="20"/>
              </w:rPr>
              <w:t>Male</w:t>
            </w:r>
            <w:r w:rsidRPr="007E6BF7">
              <w:rPr>
                <w:rStyle w:val="FootnoteReference"/>
                <w:rFonts w:asciiTheme="majorHAnsi" w:eastAsia="Verdana" w:hAnsiTheme="majorHAnsi" w:cstheme="majorHAnsi"/>
                <w:sz w:val="20"/>
                <w:szCs w:val="20"/>
              </w:rPr>
              <w:footnoteReference w:id="11"/>
            </w:r>
          </w:p>
        </w:tc>
        <w:tc>
          <w:tcPr>
            <w:tcW w:w="1080" w:type="dxa"/>
            <w:shd w:val="clear" w:color="auto" w:fill="FBE4D5" w:themeFill="accent2" w:themeFillTint="33"/>
            <w:vAlign w:val="bottom"/>
          </w:tcPr>
          <w:p w14:paraId="1EFABF82" w14:textId="20A19173" w:rsidR="007E7083" w:rsidRDefault="007E7083" w:rsidP="007E7083">
            <w:pPr>
              <w:jc w:val="center"/>
            </w:pPr>
            <w:r w:rsidRPr="007E6BF7">
              <w:rPr>
                <w:rFonts w:asciiTheme="majorHAnsi" w:hAnsiTheme="majorHAnsi" w:cstheme="majorHAnsi"/>
                <w:color w:val="000000"/>
                <w:sz w:val="20"/>
                <w:szCs w:val="20"/>
              </w:rPr>
              <w:t>22</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 xml:space="preserve">032                                                </w:t>
            </w:r>
          </w:p>
        </w:tc>
        <w:tc>
          <w:tcPr>
            <w:tcW w:w="1260" w:type="dxa"/>
            <w:shd w:val="clear" w:color="auto" w:fill="FBE4D5" w:themeFill="accent2" w:themeFillTint="33"/>
            <w:vAlign w:val="bottom"/>
          </w:tcPr>
          <w:p w14:paraId="14919740" w14:textId="7155A1DF" w:rsidR="007E7083" w:rsidRDefault="007E7083" w:rsidP="007E7083">
            <w:pPr>
              <w:jc w:val="center"/>
            </w:pPr>
            <w:r w:rsidRPr="007E6BF7">
              <w:rPr>
                <w:rFonts w:asciiTheme="majorHAnsi" w:hAnsiTheme="majorHAnsi" w:cstheme="majorHAnsi"/>
                <w:color w:val="000000"/>
                <w:sz w:val="20"/>
                <w:szCs w:val="20"/>
              </w:rPr>
              <w:t>38.20%</w:t>
            </w:r>
          </w:p>
        </w:tc>
        <w:tc>
          <w:tcPr>
            <w:tcW w:w="1080" w:type="dxa"/>
            <w:shd w:val="clear" w:color="auto" w:fill="FBE4D5" w:themeFill="accent2" w:themeFillTint="33"/>
            <w:vAlign w:val="bottom"/>
          </w:tcPr>
          <w:p w14:paraId="30642E7E" w14:textId="7D2FD195" w:rsidR="007E7083" w:rsidRDefault="007E7083" w:rsidP="007E7083">
            <w:pPr>
              <w:jc w:val="center"/>
            </w:pPr>
            <w:r w:rsidRPr="007E6BF7">
              <w:rPr>
                <w:rFonts w:asciiTheme="majorHAnsi" w:hAnsiTheme="majorHAnsi" w:cstheme="majorHAnsi"/>
                <w:color w:val="000000"/>
                <w:sz w:val="20"/>
                <w:szCs w:val="20"/>
              </w:rPr>
              <w:t>25</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 xml:space="preserve">812  </w:t>
            </w:r>
          </w:p>
        </w:tc>
        <w:tc>
          <w:tcPr>
            <w:tcW w:w="1103" w:type="dxa"/>
            <w:shd w:val="clear" w:color="auto" w:fill="FBE4D5" w:themeFill="accent2" w:themeFillTint="33"/>
            <w:vAlign w:val="bottom"/>
          </w:tcPr>
          <w:p w14:paraId="0E58731D" w14:textId="2E883EC9" w:rsidR="007E7083" w:rsidRDefault="007E7083" w:rsidP="007E7083">
            <w:pPr>
              <w:jc w:val="center"/>
            </w:pPr>
            <w:r w:rsidRPr="007E6BF7">
              <w:rPr>
                <w:rFonts w:asciiTheme="majorHAnsi" w:hAnsiTheme="majorHAnsi" w:cstheme="majorHAnsi"/>
                <w:color w:val="000000"/>
                <w:sz w:val="20"/>
                <w:szCs w:val="20"/>
              </w:rPr>
              <w:t>38.97%</w:t>
            </w:r>
          </w:p>
        </w:tc>
        <w:tc>
          <w:tcPr>
            <w:tcW w:w="967" w:type="dxa"/>
            <w:shd w:val="clear" w:color="auto" w:fill="FBE4D5" w:themeFill="accent2" w:themeFillTint="33"/>
            <w:vAlign w:val="bottom"/>
          </w:tcPr>
          <w:p w14:paraId="7244E31E" w14:textId="3BDD7006" w:rsidR="007E7083" w:rsidRDefault="007E7083" w:rsidP="007E7083">
            <w:pPr>
              <w:jc w:val="center"/>
            </w:pPr>
            <w:r w:rsidRPr="007E6BF7">
              <w:rPr>
                <w:rFonts w:asciiTheme="majorHAnsi" w:hAnsiTheme="majorHAnsi" w:cstheme="majorHAnsi"/>
                <w:color w:val="000000"/>
                <w:sz w:val="20"/>
                <w:szCs w:val="20"/>
              </w:rPr>
              <w:t>23</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122</w:t>
            </w:r>
          </w:p>
        </w:tc>
        <w:tc>
          <w:tcPr>
            <w:tcW w:w="1080" w:type="dxa"/>
            <w:shd w:val="clear" w:color="auto" w:fill="FBE4D5" w:themeFill="accent2" w:themeFillTint="33"/>
            <w:vAlign w:val="bottom"/>
          </w:tcPr>
          <w:p w14:paraId="57C9EFF5" w14:textId="391F6933" w:rsidR="007E7083" w:rsidRDefault="007E7083" w:rsidP="007E7083">
            <w:pPr>
              <w:jc w:val="center"/>
            </w:pPr>
            <w:r w:rsidRPr="007E6BF7">
              <w:rPr>
                <w:rFonts w:asciiTheme="majorHAnsi" w:hAnsiTheme="majorHAnsi" w:cstheme="majorHAnsi"/>
                <w:color w:val="000000"/>
                <w:sz w:val="20"/>
                <w:szCs w:val="20"/>
              </w:rPr>
              <w:t>37.57%</w:t>
            </w:r>
          </w:p>
        </w:tc>
      </w:tr>
      <w:tr w:rsidR="007E7083" w14:paraId="454A739B" w14:textId="77777777" w:rsidTr="009245CF">
        <w:trPr>
          <w:cantSplit/>
        </w:trPr>
        <w:tc>
          <w:tcPr>
            <w:tcW w:w="2155" w:type="dxa"/>
            <w:shd w:val="clear" w:color="auto" w:fill="FBE4D5" w:themeFill="accent2" w:themeFillTint="33"/>
          </w:tcPr>
          <w:p w14:paraId="026E5630" w14:textId="0513AD43" w:rsidR="007E7083" w:rsidRDefault="007E7083" w:rsidP="007E7083">
            <w:r w:rsidRPr="007E6BF7">
              <w:rPr>
                <w:rFonts w:asciiTheme="majorHAnsi" w:eastAsia="Verdana" w:hAnsiTheme="majorHAnsi" w:cstheme="majorHAnsi"/>
                <w:sz w:val="20"/>
                <w:szCs w:val="20"/>
              </w:rPr>
              <w:t>Total</w:t>
            </w:r>
          </w:p>
        </w:tc>
        <w:tc>
          <w:tcPr>
            <w:tcW w:w="1080" w:type="dxa"/>
            <w:shd w:val="clear" w:color="auto" w:fill="FBE4D5" w:themeFill="accent2" w:themeFillTint="33"/>
          </w:tcPr>
          <w:p w14:paraId="5DED3379" w14:textId="5EEA8DBF" w:rsidR="007E7083" w:rsidRDefault="007E7083" w:rsidP="007E7083">
            <w:pPr>
              <w:jc w:val="center"/>
            </w:pPr>
            <w:r w:rsidRPr="007E6BF7">
              <w:rPr>
                <w:rFonts w:asciiTheme="majorHAnsi" w:eastAsia="Verdana" w:hAnsiTheme="majorHAnsi" w:cstheme="majorHAnsi"/>
                <w:sz w:val="20"/>
                <w:szCs w:val="20"/>
              </w:rPr>
              <w:t>57,674</w:t>
            </w:r>
          </w:p>
        </w:tc>
        <w:tc>
          <w:tcPr>
            <w:tcW w:w="1260" w:type="dxa"/>
            <w:shd w:val="clear" w:color="auto" w:fill="FBE4D5" w:themeFill="accent2" w:themeFillTint="33"/>
          </w:tcPr>
          <w:p w14:paraId="6FDC8019" w14:textId="674CD13E" w:rsidR="007E7083" w:rsidRDefault="007E7083" w:rsidP="007E7083">
            <w:pPr>
              <w:jc w:val="center"/>
            </w:pPr>
            <w:r w:rsidRPr="007E6BF7">
              <w:rPr>
                <w:rFonts w:asciiTheme="majorHAnsi" w:eastAsia="Verdana" w:hAnsiTheme="majorHAnsi" w:cstheme="majorHAnsi"/>
                <w:sz w:val="20"/>
                <w:szCs w:val="20"/>
              </w:rPr>
              <w:t>100.00%</w:t>
            </w:r>
          </w:p>
        </w:tc>
        <w:tc>
          <w:tcPr>
            <w:tcW w:w="1080" w:type="dxa"/>
            <w:shd w:val="clear" w:color="auto" w:fill="FBE4D5" w:themeFill="accent2" w:themeFillTint="33"/>
          </w:tcPr>
          <w:p w14:paraId="792B3970" w14:textId="09043734" w:rsidR="007E7083" w:rsidRDefault="007E7083" w:rsidP="007E7083">
            <w:pPr>
              <w:jc w:val="center"/>
            </w:pPr>
            <w:r w:rsidRPr="007E6BF7">
              <w:rPr>
                <w:rFonts w:asciiTheme="majorHAnsi" w:eastAsia="Verdana" w:hAnsiTheme="majorHAnsi" w:cstheme="majorHAnsi"/>
                <w:sz w:val="20"/>
                <w:szCs w:val="20"/>
              </w:rPr>
              <w:t>66,237</w:t>
            </w:r>
          </w:p>
        </w:tc>
        <w:tc>
          <w:tcPr>
            <w:tcW w:w="1103" w:type="dxa"/>
            <w:shd w:val="clear" w:color="auto" w:fill="FBE4D5" w:themeFill="accent2" w:themeFillTint="33"/>
          </w:tcPr>
          <w:p w14:paraId="0A476F5B" w14:textId="01C68D27" w:rsidR="007E7083" w:rsidRDefault="007E7083" w:rsidP="007E7083">
            <w:pPr>
              <w:jc w:val="center"/>
            </w:pPr>
            <w:r w:rsidRPr="007E6BF7">
              <w:rPr>
                <w:rFonts w:asciiTheme="majorHAnsi" w:eastAsia="Verdana" w:hAnsiTheme="majorHAnsi" w:cstheme="majorHAnsi"/>
                <w:sz w:val="20"/>
                <w:szCs w:val="20"/>
              </w:rPr>
              <w:t>100.00%</w:t>
            </w:r>
          </w:p>
        </w:tc>
        <w:tc>
          <w:tcPr>
            <w:tcW w:w="967" w:type="dxa"/>
            <w:shd w:val="clear" w:color="auto" w:fill="FBE4D5" w:themeFill="accent2" w:themeFillTint="33"/>
          </w:tcPr>
          <w:p w14:paraId="7187BEA9" w14:textId="3921BAAE" w:rsidR="007E7083" w:rsidRDefault="007E7083" w:rsidP="007E7083">
            <w:pPr>
              <w:jc w:val="center"/>
            </w:pPr>
            <w:r w:rsidRPr="007E6BF7">
              <w:rPr>
                <w:rFonts w:asciiTheme="majorHAnsi" w:eastAsia="Verdana" w:hAnsiTheme="majorHAnsi" w:cstheme="majorHAnsi"/>
                <w:sz w:val="20"/>
                <w:szCs w:val="20"/>
              </w:rPr>
              <w:t>61,555</w:t>
            </w:r>
          </w:p>
        </w:tc>
        <w:tc>
          <w:tcPr>
            <w:tcW w:w="1080" w:type="dxa"/>
            <w:shd w:val="clear" w:color="auto" w:fill="FBE4D5" w:themeFill="accent2" w:themeFillTint="33"/>
          </w:tcPr>
          <w:p w14:paraId="7FAA59F8" w14:textId="5E0370D0" w:rsidR="007E7083" w:rsidRDefault="007E7083" w:rsidP="007E7083">
            <w:pPr>
              <w:jc w:val="center"/>
            </w:pPr>
            <w:r w:rsidRPr="007E6BF7">
              <w:rPr>
                <w:rFonts w:asciiTheme="majorHAnsi" w:eastAsia="Verdana" w:hAnsiTheme="majorHAnsi" w:cstheme="majorHAnsi"/>
                <w:sz w:val="20"/>
                <w:szCs w:val="20"/>
              </w:rPr>
              <w:t>100.00%</w:t>
            </w:r>
          </w:p>
        </w:tc>
      </w:tr>
      <w:tr w:rsidR="007E7083" w14:paraId="7B8DB4F0" w14:textId="77777777" w:rsidTr="009245CF">
        <w:trPr>
          <w:cantSplit/>
        </w:trPr>
        <w:tc>
          <w:tcPr>
            <w:tcW w:w="2155" w:type="dxa"/>
            <w:shd w:val="clear" w:color="auto" w:fill="E2EFD9" w:themeFill="accent6" w:themeFillTint="33"/>
            <w:vAlign w:val="bottom"/>
          </w:tcPr>
          <w:p w14:paraId="3E6E7E6E" w14:textId="76EF2F80" w:rsidR="007E7083" w:rsidRDefault="007E7083" w:rsidP="007E7083">
            <w:r>
              <w:rPr>
                <w:rFonts w:asciiTheme="majorHAnsi" w:hAnsiTheme="majorHAnsi" w:cstheme="majorHAnsi"/>
                <w:color w:val="000000"/>
                <w:sz w:val="20"/>
                <w:szCs w:val="20"/>
              </w:rPr>
              <w:t xml:space="preserve">Race - </w:t>
            </w:r>
            <w:r w:rsidRPr="007E6BF7">
              <w:rPr>
                <w:rFonts w:asciiTheme="majorHAnsi" w:hAnsiTheme="majorHAnsi" w:cstheme="majorHAnsi"/>
                <w:color w:val="000000"/>
                <w:sz w:val="20"/>
                <w:szCs w:val="20"/>
              </w:rPr>
              <w:t>White</w:t>
            </w:r>
          </w:p>
        </w:tc>
        <w:tc>
          <w:tcPr>
            <w:tcW w:w="1080" w:type="dxa"/>
            <w:shd w:val="clear" w:color="auto" w:fill="E2EFD9" w:themeFill="accent6" w:themeFillTint="33"/>
            <w:vAlign w:val="bottom"/>
          </w:tcPr>
          <w:p w14:paraId="2FF522EB" w14:textId="043E1B77" w:rsidR="007E7083" w:rsidRDefault="007E7083" w:rsidP="007E7083">
            <w:pPr>
              <w:jc w:val="center"/>
            </w:pPr>
            <w:r w:rsidRPr="007E6BF7">
              <w:rPr>
                <w:rFonts w:asciiTheme="majorHAnsi" w:hAnsiTheme="majorHAnsi" w:cstheme="majorHAnsi"/>
                <w:color w:val="000000"/>
                <w:sz w:val="20"/>
                <w:szCs w:val="20"/>
              </w:rPr>
              <w:t>53</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694</w:t>
            </w:r>
          </w:p>
        </w:tc>
        <w:tc>
          <w:tcPr>
            <w:tcW w:w="1260" w:type="dxa"/>
            <w:shd w:val="clear" w:color="auto" w:fill="E2EFD9" w:themeFill="accent6" w:themeFillTint="33"/>
            <w:vAlign w:val="bottom"/>
          </w:tcPr>
          <w:p w14:paraId="6A496CDB" w14:textId="5DB05695" w:rsidR="007E7083" w:rsidRDefault="007E7083" w:rsidP="007E7083">
            <w:pPr>
              <w:jc w:val="center"/>
            </w:pPr>
            <w:r w:rsidRPr="007E6BF7">
              <w:rPr>
                <w:rFonts w:asciiTheme="majorHAnsi" w:hAnsiTheme="majorHAnsi" w:cstheme="majorHAnsi"/>
                <w:color w:val="000000"/>
                <w:sz w:val="20"/>
                <w:szCs w:val="20"/>
              </w:rPr>
              <w:t>93.10%</w:t>
            </w:r>
          </w:p>
        </w:tc>
        <w:tc>
          <w:tcPr>
            <w:tcW w:w="1080" w:type="dxa"/>
            <w:shd w:val="clear" w:color="auto" w:fill="E2EFD9" w:themeFill="accent6" w:themeFillTint="33"/>
            <w:vAlign w:val="bottom"/>
          </w:tcPr>
          <w:p w14:paraId="1DE20572" w14:textId="50F66E5D" w:rsidR="007E7083" w:rsidRDefault="007E7083" w:rsidP="007E7083">
            <w:pPr>
              <w:jc w:val="center"/>
            </w:pPr>
            <w:r w:rsidRPr="007E6BF7">
              <w:rPr>
                <w:rFonts w:asciiTheme="majorHAnsi" w:hAnsiTheme="majorHAnsi" w:cstheme="majorHAnsi"/>
                <w:color w:val="000000"/>
                <w:sz w:val="20"/>
                <w:szCs w:val="20"/>
              </w:rPr>
              <w:t>55</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363</w:t>
            </w:r>
          </w:p>
        </w:tc>
        <w:tc>
          <w:tcPr>
            <w:tcW w:w="1103" w:type="dxa"/>
            <w:shd w:val="clear" w:color="auto" w:fill="E2EFD9" w:themeFill="accent6" w:themeFillTint="33"/>
            <w:vAlign w:val="bottom"/>
          </w:tcPr>
          <w:p w14:paraId="02F7B1DF" w14:textId="18F4D6A1" w:rsidR="007E7083" w:rsidRDefault="007E7083" w:rsidP="007E7083">
            <w:pPr>
              <w:jc w:val="center"/>
            </w:pPr>
            <w:r w:rsidRPr="007E6BF7">
              <w:rPr>
                <w:rFonts w:asciiTheme="majorHAnsi" w:hAnsiTheme="majorHAnsi" w:cstheme="majorHAnsi"/>
                <w:color w:val="000000"/>
                <w:sz w:val="20"/>
                <w:szCs w:val="20"/>
              </w:rPr>
              <w:t>83.58%</w:t>
            </w:r>
          </w:p>
        </w:tc>
        <w:tc>
          <w:tcPr>
            <w:tcW w:w="967" w:type="dxa"/>
            <w:shd w:val="clear" w:color="auto" w:fill="E2EFD9" w:themeFill="accent6" w:themeFillTint="33"/>
            <w:vAlign w:val="bottom"/>
          </w:tcPr>
          <w:p w14:paraId="736F681D" w14:textId="03DAA719" w:rsidR="007E7083" w:rsidRDefault="007E7083" w:rsidP="007E7083">
            <w:pPr>
              <w:jc w:val="center"/>
            </w:pPr>
            <w:r w:rsidRPr="007E6BF7">
              <w:rPr>
                <w:rFonts w:asciiTheme="majorHAnsi" w:hAnsiTheme="majorHAnsi" w:cstheme="majorHAnsi"/>
                <w:color w:val="000000"/>
                <w:sz w:val="20"/>
                <w:szCs w:val="20"/>
              </w:rPr>
              <w:t>55</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363</w:t>
            </w:r>
          </w:p>
        </w:tc>
        <w:tc>
          <w:tcPr>
            <w:tcW w:w="1080" w:type="dxa"/>
            <w:shd w:val="clear" w:color="auto" w:fill="E2EFD9" w:themeFill="accent6" w:themeFillTint="33"/>
            <w:vAlign w:val="bottom"/>
          </w:tcPr>
          <w:p w14:paraId="13FA11E8" w14:textId="76491DEE" w:rsidR="007E7083" w:rsidRDefault="007E7083" w:rsidP="007E7083">
            <w:pPr>
              <w:jc w:val="center"/>
            </w:pPr>
            <w:r w:rsidRPr="007E6BF7">
              <w:rPr>
                <w:rFonts w:asciiTheme="majorHAnsi" w:hAnsiTheme="majorHAnsi" w:cstheme="majorHAnsi"/>
                <w:color w:val="000000"/>
                <w:sz w:val="20"/>
                <w:szCs w:val="20"/>
              </w:rPr>
              <w:t>92.42%</w:t>
            </w:r>
          </w:p>
        </w:tc>
      </w:tr>
      <w:tr w:rsidR="007E7083" w14:paraId="11CFFF12" w14:textId="77777777" w:rsidTr="009245CF">
        <w:trPr>
          <w:cantSplit/>
        </w:trPr>
        <w:tc>
          <w:tcPr>
            <w:tcW w:w="2155" w:type="dxa"/>
            <w:shd w:val="clear" w:color="auto" w:fill="E2EFD9" w:themeFill="accent6" w:themeFillTint="33"/>
            <w:vAlign w:val="bottom"/>
          </w:tcPr>
          <w:p w14:paraId="6F207712" w14:textId="6D5C2A1D" w:rsidR="007E7083" w:rsidRDefault="007E7083" w:rsidP="007E7083">
            <w:r>
              <w:rPr>
                <w:rFonts w:asciiTheme="majorHAnsi" w:hAnsiTheme="majorHAnsi" w:cstheme="majorHAnsi"/>
                <w:color w:val="000000"/>
                <w:sz w:val="20"/>
                <w:szCs w:val="20"/>
              </w:rPr>
              <w:t xml:space="preserve">Race - </w:t>
            </w:r>
            <w:r w:rsidRPr="007E6BF7">
              <w:rPr>
                <w:rFonts w:asciiTheme="majorHAnsi" w:hAnsiTheme="majorHAnsi" w:cstheme="majorHAnsi"/>
                <w:color w:val="000000"/>
                <w:sz w:val="20"/>
                <w:szCs w:val="20"/>
              </w:rPr>
              <w:t>African American</w:t>
            </w:r>
          </w:p>
        </w:tc>
        <w:tc>
          <w:tcPr>
            <w:tcW w:w="1080" w:type="dxa"/>
            <w:shd w:val="clear" w:color="auto" w:fill="E2EFD9" w:themeFill="accent6" w:themeFillTint="33"/>
            <w:vAlign w:val="bottom"/>
          </w:tcPr>
          <w:p w14:paraId="4B84D7F0" w14:textId="302066AE" w:rsidR="007E7083" w:rsidRDefault="007E7083" w:rsidP="007E7083">
            <w:pPr>
              <w:jc w:val="center"/>
            </w:pPr>
            <w:r w:rsidRPr="007E6BF7">
              <w:rPr>
                <w:rFonts w:asciiTheme="majorHAnsi" w:hAnsiTheme="majorHAnsi" w:cstheme="majorHAnsi"/>
                <w:color w:val="000000"/>
                <w:sz w:val="20"/>
                <w:szCs w:val="20"/>
              </w:rPr>
              <w:t>760</w:t>
            </w:r>
          </w:p>
        </w:tc>
        <w:tc>
          <w:tcPr>
            <w:tcW w:w="1260" w:type="dxa"/>
            <w:shd w:val="clear" w:color="auto" w:fill="E2EFD9" w:themeFill="accent6" w:themeFillTint="33"/>
            <w:vAlign w:val="bottom"/>
          </w:tcPr>
          <w:p w14:paraId="425CE954" w14:textId="660FF85A" w:rsidR="007E7083" w:rsidRDefault="007E7083" w:rsidP="007E7083">
            <w:pPr>
              <w:jc w:val="center"/>
            </w:pPr>
            <w:r w:rsidRPr="007E6BF7">
              <w:rPr>
                <w:rFonts w:asciiTheme="majorHAnsi" w:hAnsiTheme="majorHAnsi" w:cstheme="majorHAnsi"/>
                <w:color w:val="000000"/>
                <w:sz w:val="20"/>
                <w:szCs w:val="20"/>
              </w:rPr>
              <w:t>1.32%</w:t>
            </w:r>
          </w:p>
        </w:tc>
        <w:tc>
          <w:tcPr>
            <w:tcW w:w="1080" w:type="dxa"/>
            <w:shd w:val="clear" w:color="auto" w:fill="E2EFD9" w:themeFill="accent6" w:themeFillTint="33"/>
            <w:vAlign w:val="bottom"/>
          </w:tcPr>
          <w:p w14:paraId="01701EE0" w14:textId="0DB7780E" w:rsidR="007E7083" w:rsidRDefault="007E7083" w:rsidP="007E7083">
            <w:pPr>
              <w:jc w:val="center"/>
            </w:pPr>
            <w:r w:rsidRPr="007E6BF7">
              <w:rPr>
                <w:rFonts w:asciiTheme="majorHAnsi" w:hAnsiTheme="majorHAnsi" w:cstheme="majorHAnsi"/>
                <w:color w:val="000000"/>
                <w:sz w:val="20"/>
                <w:szCs w:val="20"/>
              </w:rPr>
              <w:t>769</w:t>
            </w:r>
          </w:p>
        </w:tc>
        <w:tc>
          <w:tcPr>
            <w:tcW w:w="1103" w:type="dxa"/>
            <w:shd w:val="clear" w:color="auto" w:fill="E2EFD9" w:themeFill="accent6" w:themeFillTint="33"/>
            <w:vAlign w:val="bottom"/>
          </w:tcPr>
          <w:p w14:paraId="455D254E" w14:textId="52855F04" w:rsidR="007E7083" w:rsidRDefault="007E7083" w:rsidP="007E7083">
            <w:pPr>
              <w:jc w:val="center"/>
            </w:pPr>
            <w:r w:rsidRPr="007E6BF7">
              <w:rPr>
                <w:rFonts w:asciiTheme="majorHAnsi" w:hAnsiTheme="majorHAnsi" w:cstheme="majorHAnsi"/>
                <w:color w:val="000000"/>
                <w:sz w:val="20"/>
                <w:szCs w:val="20"/>
              </w:rPr>
              <w:t>1.16%</w:t>
            </w:r>
          </w:p>
        </w:tc>
        <w:tc>
          <w:tcPr>
            <w:tcW w:w="967" w:type="dxa"/>
            <w:shd w:val="clear" w:color="auto" w:fill="E2EFD9" w:themeFill="accent6" w:themeFillTint="33"/>
            <w:vAlign w:val="bottom"/>
          </w:tcPr>
          <w:p w14:paraId="216D0871" w14:textId="619B038D" w:rsidR="007E7083" w:rsidRDefault="007E7083" w:rsidP="007E7083">
            <w:pPr>
              <w:jc w:val="center"/>
            </w:pPr>
            <w:r w:rsidRPr="007E6BF7">
              <w:rPr>
                <w:rFonts w:asciiTheme="majorHAnsi" w:hAnsiTheme="majorHAnsi" w:cstheme="majorHAnsi"/>
                <w:color w:val="000000"/>
                <w:sz w:val="20"/>
                <w:szCs w:val="20"/>
              </w:rPr>
              <w:t>769</w:t>
            </w:r>
          </w:p>
        </w:tc>
        <w:tc>
          <w:tcPr>
            <w:tcW w:w="1080" w:type="dxa"/>
            <w:shd w:val="clear" w:color="auto" w:fill="E2EFD9" w:themeFill="accent6" w:themeFillTint="33"/>
            <w:vAlign w:val="bottom"/>
          </w:tcPr>
          <w:p w14:paraId="6EE99397" w14:textId="12E43608" w:rsidR="007E7083" w:rsidRDefault="007E7083" w:rsidP="007E7083">
            <w:pPr>
              <w:jc w:val="center"/>
            </w:pPr>
            <w:r w:rsidRPr="007E6BF7">
              <w:rPr>
                <w:rFonts w:asciiTheme="majorHAnsi" w:hAnsiTheme="majorHAnsi" w:cstheme="majorHAnsi"/>
                <w:color w:val="000000"/>
                <w:sz w:val="20"/>
                <w:szCs w:val="20"/>
              </w:rPr>
              <w:t>1.28%</w:t>
            </w:r>
          </w:p>
        </w:tc>
      </w:tr>
      <w:tr w:rsidR="007E7083" w14:paraId="55CDC8A4" w14:textId="77777777" w:rsidTr="009245CF">
        <w:trPr>
          <w:cantSplit/>
        </w:trPr>
        <w:tc>
          <w:tcPr>
            <w:tcW w:w="2155" w:type="dxa"/>
            <w:shd w:val="clear" w:color="auto" w:fill="E2EFD9" w:themeFill="accent6" w:themeFillTint="33"/>
            <w:vAlign w:val="bottom"/>
          </w:tcPr>
          <w:p w14:paraId="3DCC9943" w14:textId="3FCFB73F" w:rsidR="007E7083" w:rsidRDefault="007E7083" w:rsidP="007E7083">
            <w:r>
              <w:rPr>
                <w:rFonts w:asciiTheme="majorHAnsi" w:hAnsiTheme="majorHAnsi" w:cstheme="majorHAnsi"/>
                <w:color w:val="000000"/>
                <w:sz w:val="20"/>
                <w:szCs w:val="20"/>
              </w:rPr>
              <w:t xml:space="preserve">Race - </w:t>
            </w:r>
            <w:r w:rsidRPr="007E6BF7">
              <w:rPr>
                <w:rFonts w:asciiTheme="majorHAnsi" w:hAnsiTheme="majorHAnsi" w:cstheme="majorHAnsi"/>
                <w:color w:val="000000"/>
                <w:sz w:val="20"/>
                <w:szCs w:val="20"/>
              </w:rPr>
              <w:t>American Indian or Alaska Native</w:t>
            </w:r>
          </w:p>
        </w:tc>
        <w:tc>
          <w:tcPr>
            <w:tcW w:w="1080" w:type="dxa"/>
            <w:shd w:val="clear" w:color="auto" w:fill="E2EFD9" w:themeFill="accent6" w:themeFillTint="33"/>
            <w:vAlign w:val="bottom"/>
          </w:tcPr>
          <w:p w14:paraId="6D2067CB" w14:textId="1A3316F5" w:rsidR="007E7083" w:rsidRDefault="007E7083" w:rsidP="007E7083">
            <w:pPr>
              <w:jc w:val="center"/>
            </w:pPr>
            <w:r w:rsidRPr="007E6BF7">
              <w:rPr>
                <w:rFonts w:asciiTheme="majorHAnsi" w:hAnsiTheme="majorHAnsi" w:cstheme="majorHAnsi"/>
                <w:color w:val="000000"/>
                <w:sz w:val="20"/>
                <w:szCs w:val="20"/>
              </w:rPr>
              <w:t>11</w:t>
            </w:r>
          </w:p>
        </w:tc>
        <w:tc>
          <w:tcPr>
            <w:tcW w:w="1260" w:type="dxa"/>
            <w:shd w:val="clear" w:color="auto" w:fill="E2EFD9" w:themeFill="accent6" w:themeFillTint="33"/>
            <w:vAlign w:val="bottom"/>
          </w:tcPr>
          <w:p w14:paraId="0F3AC964" w14:textId="3504773E" w:rsidR="007E7083" w:rsidRDefault="007E7083" w:rsidP="007E7083">
            <w:pPr>
              <w:jc w:val="center"/>
            </w:pPr>
            <w:r w:rsidRPr="007E6BF7">
              <w:rPr>
                <w:rFonts w:asciiTheme="majorHAnsi" w:hAnsiTheme="majorHAnsi" w:cstheme="majorHAnsi"/>
                <w:color w:val="000000"/>
                <w:sz w:val="20"/>
                <w:szCs w:val="20"/>
              </w:rPr>
              <w:t>0.02%</w:t>
            </w:r>
          </w:p>
        </w:tc>
        <w:tc>
          <w:tcPr>
            <w:tcW w:w="1080" w:type="dxa"/>
            <w:shd w:val="clear" w:color="auto" w:fill="E2EFD9" w:themeFill="accent6" w:themeFillTint="33"/>
            <w:vAlign w:val="bottom"/>
          </w:tcPr>
          <w:p w14:paraId="5D4CB181" w14:textId="075F4EE2" w:rsidR="007E7083" w:rsidRDefault="007E7083" w:rsidP="007E7083">
            <w:pPr>
              <w:jc w:val="center"/>
            </w:pPr>
            <w:r w:rsidRPr="007E6BF7">
              <w:rPr>
                <w:rFonts w:asciiTheme="majorHAnsi" w:hAnsiTheme="majorHAnsi" w:cstheme="majorHAnsi"/>
                <w:color w:val="000000"/>
                <w:sz w:val="20"/>
                <w:szCs w:val="20"/>
              </w:rPr>
              <w:t>13</w:t>
            </w:r>
          </w:p>
        </w:tc>
        <w:tc>
          <w:tcPr>
            <w:tcW w:w="1103" w:type="dxa"/>
            <w:shd w:val="clear" w:color="auto" w:fill="E2EFD9" w:themeFill="accent6" w:themeFillTint="33"/>
            <w:vAlign w:val="bottom"/>
          </w:tcPr>
          <w:p w14:paraId="62429A32" w14:textId="6E61E0E8" w:rsidR="007E7083" w:rsidRDefault="007E7083" w:rsidP="007E7083">
            <w:pPr>
              <w:jc w:val="center"/>
            </w:pPr>
            <w:r w:rsidRPr="007E6BF7">
              <w:rPr>
                <w:rFonts w:asciiTheme="majorHAnsi" w:hAnsiTheme="majorHAnsi" w:cstheme="majorHAnsi"/>
                <w:color w:val="000000"/>
                <w:sz w:val="20"/>
                <w:szCs w:val="20"/>
              </w:rPr>
              <w:t>0.02%</w:t>
            </w:r>
          </w:p>
        </w:tc>
        <w:tc>
          <w:tcPr>
            <w:tcW w:w="967" w:type="dxa"/>
            <w:shd w:val="clear" w:color="auto" w:fill="E2EFD9" w:themeFill="accent6" w:themeFillTint="33"/>
            <w:vAlign w:val="bottom"/>
          </w:tcPr>
          <w:p w14:paraId="3022656E" w14:textId="3BFE15F3" w:rsidR="007E7083" w:rsidRDefault="007E7083" w:rsidP="007E7083">
            <w:pPr>
              <w:jc w:val="center"/>
            </w:pPr>
            <w:r w:rsidRPr="007E6BF7">
              <w:rPr>
                <w:rFonts w:asciiTheme="majorHAnsi" w:hAnsiTheme="majorHAnsi" w:cstheme="majorHAnsi"/>
                <w:color w:val="000000"/>
                <w:sz w:val="20"/>
                <w:szCs w:val="20"/>
              </w:rPr>
              <w:t>13</w:t>
            </w:r>
          </w:p>
        </w:tc>
        <w:tc>
          <w:tcPr>
            <w:tcW w:w="1080" w:type="dxa"/>
            <w:shd w:val="clear" w:color="auto" w:fill="E2EFD9" w:themeFill="accent6" w:themeFillTint="33"/>
            <w:vAlign w:val="bottom"/>
          </w:tcPr>
          <w:p w14:paraId="3299EAB4" w14:textId="1D9CD3E3" w:rsidR="007E7083" w:rsidRDefault="007E7083" w:rsidP="007E7083">
            <w:pPr>
              <w:jc w:val="center"/>
            </w:pPr>
            <w:r w:rsidRPr="007E6BF7">
              <w:rPr>
                <w:rFonts w:asciiTheme="majorHAnsi" w:hAnsiTheme="majorHAnsi" w:cstheme="majorHAnsi"/>
                <w:color w:val="000000"/>
                <w:sz w:val="20"/>
                <w:szCs w:val="20"/>
              </w:rPr>
              <w:t>0.03%</w:t>
            </w:r>
          </w:p>
        </w:tc>
      </w:tr>
      <w:tr w:rsidR="007E7083" w14:paraId="6B71C21B" w14:textId="77777777" w:rsidTr="009245CF">
        <w:trPr>
          <w:cantSplit/>
        </w:trPr>
        <w:tc>
          <w:tcPr>
            <w:tcW w:w="2155" w:type="dxa"/>
            <w:shd w:val="clear" w:color="auto" w:fill="E2EFD9" w:themeFill="accent6" w:themeFillTint="33"/>
            <w:vAlign w:val="bottom"/>
          </w:tcPr>
          <w:p w14:paraId="3680AC47" w14:textId="65CCD51A" w:rsidR="007E7083" w:rsidRDefault="007E7083" w:rsidP="007E7083">
            <w:r>
              <w:rPr>
                <w:rFonts w:asciiTheme="majorHAnsi" w:hAnsiTheme="majorHAnsi" w:cstheme="majorHAnsi"/>
                <w:color w:val="000000"/>
                <w:sz w:val="20"/>
                <w:szCs w:val="20"/>
              </w:rPr>
              <w:t xml:space="preserve">Race - </w:t>
            </w:r>
            <w:r w:rsidRPr="007E6BF7">
              <w:rPr>
                <w:rFonts w:asciiTheme="majorHAnsi" w:hAnsiTheme="majorHAnsi" w:cstheme="majorHAnsi"/>
                <w:color w:val="000000"/>
                <w:sz w:val="20"/>
                <w:szCs w:val="20"/>
              </w:rPr>
              <w:t>Asian</w:t>
            </w:r>
          </w:p>
        </w:tc>
        <w:tc>
          <w:tcPr>
            <w:tcW w:w="1080" w:type="dxa"/>
            <w:shd w:val="clear" w:color="auto" w:fill="E2EFD9" w:themeFill="accent6" w:themeFillTint="33"/>
            <w:vAlign w:val="bottom"/>
          </w:tcPr>
          <w:p w14:paraId="015DEB06" w14:textId="5F4A7493" w:rsidR="007E7083" w:rsidRDefault="007E7083" w:rsidP="007E7083">
            <w:pPr>
              <w:jc w:val="center"/>
            </w:pPr>
            <w:r w:rsidRPr="007E6BF7">
              <w:rPr>
                <w:rFonts w:asciiTheme="majorHAnsi" w:hAnsiTheme="majorHAnsi" w:cstheme="majorHAnsi"/>
                <w:color w:val="000000"/>
                <w:sz w:val="20"/>
                <w:szCs w:val="20"/>
              </w:rPr>
              <w:t>538</w:t>
            </w:r>
          </w:p>
        </w:tc>
        <w:tc>
          <w:tcPr>
            <w:tcW w:w="1260" w:type="dxa"/>
            <w:shd w:val="clear" w:color="auto" w:fill="E2EFD9" w:themeFill="accent6" w:themeFillTint="33"/>
            <w:vAlign w:val="bottom"/>
          </w:tcPr>
          <w:p w14:paraId="0B0E06BF" w14:textId="4667168D" w:rsidR="007E7083" w:rsidRDefault="007E7083" w:rsidP="007E7083">
            <w:pPr>
              <w:jc w:val="center"/>
            </w:pPr>
            <w:r w:rsidRPr="007E6BF7">
              <w:rPr>
                <w:rFonts w:asciiTheme="majorHAnsi" w:hAnsiTheme="majorHAnsi" w:cstheme="majorHAnsi"/>
                <w:color w:val="000000"/>
                <w:sz w:val="20"/>
                <w:szCs w:val="20"/>
              </w:rPr>
              <w:t>0.93%</w:t>
            </w:r>
          </w:p>
        </w:tc>
        <w:tc>
          <w:tcPr>
            <w:tcW w:w="1080" w:type="dxa"/>
            <w:shd w:val="clear" w:color="auto" w:fill="E2EFD9" w:themeFill="accent6" w:themeFillTint="33"/>
            <w:vAlign w:val="bottom"/>
          </w:tcPr>
          <w:p w14:paraId="34257E64" w14:textId="7BD8EF51" w:rsidR="007E7083" w:rsidRDefault="007E7083" w:rsidP="007E7083">
            <w:pPr>
              <w:jc w:val="center"/>
            </w:pPr>
            <w:r w:rsidRPr="007E6BF7">
              <w:rPr>
                <w:rFonts w:asciiTheme="majorHAnsi" w:hAnsiTheme="majorHAnsi" w:cstheme="majorHAnsi"/>
                <w:color w:val="000000"/>
                <w:sz w:val="20"/>
                <w:szCs w:val="20"/>
              </w:rPr>
              <w:t>564</w:t>
            </w:r>
          </w:p>
        </w:tc>
        <w:tc>
          <w:tcPr>
            <w:tcW w:w="1103" w:type="dxa"/>
            <w:shd w:val="clear" w:color="auto" w:fill="E2EFD9" w:themeFill="accent6" w:themeFillTint="33"/>
            <w:vAlign w:val="bottom"/>
          </w:tcPr>
          <w:p w14:paraId="1D6E9FBB" w14:textId="4C61FD4C" w:rsidR="007E7083" w:rsidRDefault="007E7083" w:rsidP="007E7083">
            <w:pPr>
              <w:jc w:val="center"/>
            </w:pPr>
            <w:r w:rsidRPr="007E6BF7">
              <w:rPr>
                <w:rFonts w:asciiTheme="majorHAnsi" w:hAnsiTheme="majorHAnsi" w:cstheme="majorHAnsi"/>
                <w:color w:val="000000"/>
                <w:sz w:val="20"/>
                <w:szCs w:val="20"/>
              </w:rPr>
              <w:t>0.85%</w:t>
            </w:r>
          </w:p>
        </w:tc>
        <w:tc>
          <w:tcPr>
            <w:tcW w:w="967" w:type="dxa"/>
            <w:shd w:val="clear" w:color="auto" w:fill="E2EFD9" w:themeFill="accent6" w:themeFillTint="33"/>
            <w:vAlign w:val="bottom"/>
          </w:tcPr>
          <w:p w14:paraId="37F27927" w14:textId="663F24A6" w:rsidR="007E7083" w:rsidRDefault="007E7083" w:rsidP="007E7083">
            <w:pPr>
              <w:jc w:val="center"/>
            </w:pPr>
            <w:r w:rsidRPr="007E6BF7">
              <w:rPr>
                <w:rFonts w:asciiTheme="majorHAnsi" w:hAnsiTheme="majorHAnsi" w:cstheme="majorHAnsi"/>
                <w:color w:val="000000"/>
                <w:sz w:val="20"/>
                <w:szCs w:val="20"/>
              </w:rPr>
              <w:t>564</w:t>
            </w:r>
          </w:p>
        </w:tc>
        <w:tc>
          <w:tcPr>
            <w:tcW w:w="1080" w:type="dxa"/>
            <w:shd w:val="clear" w:color="auto" w:fill="E2EFD9" w:themeFill="accent6" w:themeFillTint="33"/>
            <w:vAlign w:val="bottom"/>
          </w:tcPr>
          <w:p w14:paraId="6C1E8F71" w14:textId="1F6DDE8E" w:rsidR="007E7083" w:rsidRDefault="007E7083" w:rsidP="007E7083">
            <w:pPr>
              <w:jc w:val="center"/>
            </w:pPr>
            <w:r w:rsidRPr="007E6BF7">
              <w:rPr>
                <w:rFonts w:asciiTheme="majorHAnsi" w:hAnsiTheme="majorHAnsi" w:cstheme="majorHAnsi"/>
                <w:color w:val="000000"/>
                <w:sz w:val="20"/>
                <w:szCs w:val="20"/>
              </w:rPr>
              <w:t>0.95%</w:t>
            </w:r>
          </w:p>
        </w:tc>
      </w:tr>
      <w:tr w:rsidR="007E7083" w14:paraId="63F2756B" w14:textId="77777777" w:rsidTr="009245CF">
        <w:trPr>
          <w:cantSplit/>
        </w:trPr>
        <w:tc>
          <w:tcPr>
            <w:tcW w:w="2155" w:type="dxa"/>
            <w:shd w:val="clear" w:color="auto" w:fill="E2EFD9" w:themeFill="accent6" w:themeFillTint="33"/>
            <w:vAlign w:val="bottom"/>
          </w:tcPr>
          <w:p w14:paraId="5CB3C9E8" w14:textId="25516054" w:rsidR="007E7083" w:rsidRDefault="007E7083" w:rsidP="007E7083">
            <w:r>
              <w:rPr>
                <w:rFonts w:asciiTheme="majorHAnsi" w:hAnsiTheme="majorHAnsi" w:cstheme="majorHAnsi"/>
                <w:color w:val="000000"/>
                <w:sz w:val="20"/>
                <w:szCs w:val="20"/>
              </w:rPr>
              <w:t xml:space="preserve">Race - </w:t>
            </w:r>
            <w:r w:rsidRPr="007E6BF7">
              <w:rPr>
                <w:rFonts w:asciiTheme="majorHAnsi" w:hAnsiTheme="majorHAnsi" w:cstheme="majorHAnsi"/>
                <w:color w:val="000000"/>
                <w:sz w:val="20"/>
                <w:szCs w:val="20"/>
              </w:rPr>
              <w:t>Native Hawaiian or Other Pacific Islander</w:t>
            </w:r>
          </w:p>
        </w:tc>
        <w:tc>
          <w:tcPr>
            <w:tcW w:w="1080" w:type="dxa"/>
            <w:shd w:val="clear" w:color="auto" w:fill="E2EFD9" w:themeFill="accent6" w:themeFillTint="33"/>
            <w:vAlign w:val="bottom"/>
          </w:tcPr>
          <w:p w14:paraId="7855A0DF" w14:textId="71144EFA" w:rsidR="007E7083" w:rsidRDefault="007E7083" w:rsidP="007E7083">
            <w:pPr>
              <w:jc w:val="center"/>
            </w:pPr>
            <w:r w:rsidRPr="007E6BF7">
              <w:rPr>
                <w:rFonts w:asciiTheme="majorHAnsi" w:hAnsiTheme="majorHAnsi" w:cstheme="majorHAnsi"/>
                <w:color w:val="000000"/>
                <w:sz w:val="20"/>
                <w:szCs w:val="20"/>
              </w:rPr>
              <w:t>17</w:t>
            </w:r>
          </w:p>
        </w:tc>
        <w:tc>
          <w:tcPr>
            <w:tcW w:w="1260" w:type="dxa"/>
            <w:shd w:val="clear" w:color="auto" w:fill="E2EFD9" w:themeFill="accent6" w:themeFillTint="33"/>
            <w:vAlign w:val="bottom"/>
          </w:tcPr>
          <w:p w14:paraId="080971D1" w14:textId="3326C6BB" w:rsidR="007E7083" w:rsidRDefault="007E7083" w:rsidP="007E7083">
            <w:pPr>
              <w:jc w:val="center"/>
            </w:pPr>
            <w:r w:rsidRPr="007E6BF7">
              <w:rPr>
                <w:rFonts w:asciiTheme="majorHAnsi" w:hAnsiTheme="majorHAnsi" w:cstheme="majorHAnsi"/>
                <w:color w:val="000000"/>
                <w:sz w:val="20"/>
                <w:szCs w:val="20"/>
              </w:rPr>
              <w:t>0.03%</w:t>
            </w:r>
          </w:p>
        </w:tc>
        <w:tc>
          <w:tcPr>
            <w:tcW w:w="1080" w:type="dxa"/>
            <w:shd w:val="clear" w:color="auto" w:fill="E2EFD9" w:themeFill="accent6" w:themeFillTint="33"/>
            <w:vAlign w:val="bottom"/>
          </w:tcPr>
          <w:p w14:paraId="6D601A7E" w14:textId="71A2BBCA" w:rsidR="007E7083" w:rsidRDefault="007E7083" w:rsidP="007E7083">
            <w:pPr>
              <w:jc w:val="center"/>
            </w:pPr>
            <w:r w:rsidRPr="007E6BF7">
              <w:rPr>
                <w:rFonts w:asciiTheme="majorHAnsi" w:hAnsiTheme="majorHAnsi" w:cstheme="majorHAnsi"/>
                <w:color w:val="000000"/>
                <w:sz w:val="20"/>
                <w:szCs w:val="20"/>
              </w:rPr>
              <w:t>18</w:t>
            </w:r>
          </w:p>
        </w:tc>
        <w:tc>
          <w:tcPr>
            <w:tcW w:w="1103" w:type="dxa"/>
            <w:shd w:val="clear" w:color="auto" w:fill="E2EFD9" w:themeFill="accent6" w:themeFillTint="33"/>
            <w:vAlign w:val="bottom"/>
          </w:tcPr>
          <w:p w14:paraId="1AE53D20" w14:textId="0B0B15A5" w:rsidR="007E7083" w:rsidRDefault="007E7083" w:rsidP="007E7083">
            <w:pPr>
              <w:jc w:val="center"/>
            </w:pPr>
            <w:r w:rsidRPr="007E6BF7">
              <w:rPr>
                <w:rFonts w:asciiTheme="majorHAnsi" w:hAnsiTheme="majorHAnsi" w:cstheme="majorHAnsi"/>
                <w:color w:val="000000"/>
                <w:sz w:val="20"/>
                <w:szCs w:val="20"/>
              </w:rPr>
              <w:t>0.03%</w:t>
            </w:r>
          </w:p>
        </w:tc>
        <w:tc>
          <w:tcPr>
            <w:tcW w:w="967" w:type="dxa"/>
            <w:shd w:val="clear" w:color="auto" w:fill="E2EFD9" w:themeFill="accent6" w:themeFillTint="33"/>
            <w:vAlign w:val="bottom"/>
          </w:tcPr>
          <w:p w14:paraId="6766B716" w14:textId="434A05BA" w:rsidR="007E7083" w:rsidRDefault="007E7083" w:rsidP="007E7083">
            <w:pPr>
              <w:jc w:val="center"/>
            </w:pPr>
            <w:r w:rsidRPr="007E6BF7">
              <w:rPr>
                <w:rFonts w:asciiTheme="majorHAnsi" w:hAnsiTheme="majorHAnsi" w:cstheme="majorHAnsi"/>
                <w:color w:val="000000"/>
                <w:sz w:val="20"/>
                <w:szCs w:val="20"/>
              </w:rPr>
              <w:t>18</w:t>
            </w:r>
          </w:p>
        </w:tc>
        <w:tc>
          <w:tcPr>
            <w:tcW w:w="1080" w:type="dxa"/>
            <w:shd w:val="clear" w:color="auto" w:fill="E2EFD9" w:themeFill="accent6" w:themeFillTint="33"/>
            <w:vAlign w:val="bottom"/>
          </w:tcPr>
          <w:p w14:paraId="6A8AA540" w14:textId="09CA7F8C" w:rsidR="007E7083" w:rsidRDefault="007E7083" w:rsidP="007E7083">
            <w:pPr>
              <w:jc w:val="center"/>
            </w:pPr>
            <w:r w:rsidRPr="007E6BF7">
              <w:rPr>
                <w:rFonts w:asciiTheme="majorHAnsi" w:hAnsiTheme="majorHAnsi" w:cstheme="majorHAnsi"/>
                <w:color w:val="000000"/>
                <w:sz w:val="20"/>
                <w:szCs w:val="20"/>
              </w:rPr>
              <w:t>0.02%</w:t>
            </w:r>
          </w:p>
        </w:tc>
      </w:tr>
      <w:tr w:rsidR="007E7083" w14:paraId="058DBE99" w14:textId="77777777" w:rsidTr="009245CF">
        <w:trPr>
          <w:cantSplit/>
        </w:trPr>
        <w:tc>
          <w:tcPr>
            <w:tcW w:w="2155" w:type="dxa"/>
            <w:shd w:val="clear" w:color="auto" w:fill="E2EFD9" w:themeFill="accent6" w:themeFillTint="33"/>
            <w:vAlign w:val="bottom"/>
          </w:tcPr>
          <w:p w14:paraId="3CDC74BB" w14:textId="179753E9" w:rsidR="007E7083" w:rsidRDefault="007E7083" w:rsidP="007E7083">
            <w:r>
              <w:rPr>
                <w:rFonts w:asciiTheme="majorHAnsi" w:hAnsiTheme="majorHAnsi" w:cstheme="majorHAnsi"/>
                <w:color w:val="000000"/>
                <w:sz w:val="20"/>
                <w:szCs w:val="20"/>
              </w:rPr>
              <w:t xml:space="preserve">Race - </w:t>
            </w:r>
            <w:r w:rsidRPr="007E6BF7">
              <w:rPr>
                <w:rFonts w:asciiTheme="majorHAnsi" w:hAnsiTheme="majorHAnsi" w:cstheme="majorHAnsi"/>
                <w:color w:val="000000"/>
                <w:sz w:val="20"/>
                <w:szCs w:val="20"/>
              </w:rPr>
              <w:t>Other</w:t>
            </w:r>
          </w:p>
        </w:tc>
        <w:tc>
          <w:tcPr>
            <w:tcW w:w="1080" w:type="dxa"/>
            <w:shd w:val="clear" w:color="auto" w:fill="E2EFD9" w:themeFill="accent6" w:themeFillTint="33"/>
            <w:vAlign w:val="bottom"/>
          </w:tcPr>
          <w:p w14:paraId="7076F48F" w14:textId="697FC42B" w:rsidR="007E7083" w:rsidRDefault="007E7083" w:rsidP="007E7083">
            <w:pPr>
              <w:jc w:val="center"/>
            </w:pPr>
            <w:r w:rsidRPr="007E6BF7">
              <w:rPr>
                <w:rFonts w:asciiTheme="majorHAnsi" w:hAnsiTheme="majorHAnsi" w:cstheme="majorHAnsi"/>
                <w:color w:val="000000"/>
                <w:sz w:val="20"/>
                <w:szCs w:val="20"/>
              </w:rPr>
              <w:t>1075</w:t>
            </w:r>
          </w:p>
        </w:tc>
        <w:tc>
          <w:tcPr>
            <w:tcW w:w="1260" w:type="dxa"/>
            <w:shd w:val="clear" w:color="auto" w:fill="E2EFD9" w:themeFill="accent6" w:themeFillTint="33"/>
            <w:vAlign w:val="bottom"/>
          </w:tcPr>
          <w:p w14:paraId="1E910EDB" w14:textId="65958A3F" w:rsidR="007E7083" w:rsidRDefault="007E7083" w:rsidP="007E7083">
            <w:pPr>
              <w:jc w:val="center"/>
            </w:pPr>
            <w:r w:rsidRPr="007E6BF7">
              <w:rPr>
                <w:rFonts w:asciiTheme="majorHAnsi" w:hAnsiTheme="majorHAnsi" w:cstheme="majorHAnsi"/>
                <w:color w:val="000000"/>
                <w:sz w:val="20"/>
                <w:szCs w:val="20"/>
              </w:rPr>
              <w:t>1.86%</w:t>
            </w:r>
          </w:p>
        </w:tc>
        <w:tc>
          <w:tcPr>
            <w:tcW w:w="1080" w:type="dxa"/>
            <w:shd w:val="clear" w:color="auto" w:fill="E2EFD9" w:themeFill="accent6" w:themeFillTint="33"/>
            <w:vAlign w:val="bottom"/>
          </w:tcPr>
          <w:p w14:paraId="3DF3B99B" w14:textId="34E590EB" w:rsidR="007E7083" w:rsidRDefault="007E7083" w:rsidP="007E7083">
            <w:pPr>
              <w:jc w:val="center"/>
            </w:pPr>
            <w:r w:rsidRPr="007E6BF7">
              <w:rPr>
                <w:rFonts w:asciiTheme="majorHAnsi" w:hAnsiTheme="majorHAnsi" w:cstheme="majorHAnsi"/>
                <w:color w:val="000000"/>
                <w:sz w:val="20"/>
                <w:szCs w:val="20"/>
              </w:rPr>
              <w:t>1165</w:t>
            </w:r>
          </w:p>
        </w:tc>
        <w:tc>
          <w:tcPr>
            <w:tcW w:w="1103" w:type="dxa"/>
            <w:shd w:val="clear" w:color="auto" w:fill="E2EFD9" w:themeFill="accent6" w:themeFillTint="33"/>
            <w:vAlign w:val="bottom"/>
          </w:tcPr>
          <w:p w14:paraId="4A24452D" w14:textId="65F54EC7" w:rsidR="007E7083" w:rsidRDefault="007E7083" w:rsidP="007E7083">
            <w:pPr>
              <w:jc w:val="center"/>
            </w:pPr>
            <w:r w:rsidRPr="007E6BF7">
              <w:rPr>
                <w:rFonts w:asciiTheme="majorHAnsi" w:hAnsiTheme="majorHAnsi" w:cstheme="majorHAnsi"/>
                <w:color w:val="000000"/>
                <w:sz w:val="20"/>
                <w:szCs w:val="20"/>
              </w:rPr>
              <w:t>1.76%</w:t>
            </w:r>
          </w:p>
        </w:tc>
        <w:tc>
          <w:tcPr>
            <w:tcW w:w="967" w:type="dxa"/>
            <w:shd w:val="clear" w:color="auto" w:fill="E2EFD9" w:themeFill="accent6" w:themeFillTint="33"/>
            <w:vAlign w:val="bottom"/>
          </w:tcPr>
          <w:p w14:paraId="6C7EAF54" w14:textId="0EDC061B" w:rsidR="007E7083" w:rsidRDefault="007E7083" w:rsidP="007E7083">
            <w:pPr>
              <w:jc w:val="center"/>
            </w:pPr>
            <w:r w:rsidRPr="007E6BF7">
              <w:rPr>
                <w:rFonts w:asciiTheme="majorHAnsi" w:hAnsiTheme="majorHAnsi" w:cstheme="majorHAnsi"/>
                <w:color w:val="000000"/>
                <w:sz w:val="20"/>
                <w:szCs w:val="20"/>
              </w:rPr>
              <w:t>1165</w:t>
            </w:r>
          </w:p>
        </w:tc>
        <w:tc>
          <w:tcPr>
            <w:tcW w:w="1080" w:type="dxa"/>
            <w:shd w:val="clear" w:color="auto" w:fill="E2EFD9" w:themeFill="accent6" w:themeFillTint="33"/>
            <w:vAlign w:val="bottom"/>
          </w:tcPr>
          <w:p w14:paraId="53191D81" w14:textId="29E2FD2C" w:rsidR="007E7083" w:rsidRDefault="007E7083" w:rsidP="007E7083">
            <w:pPr>
              <w:jc w:val="center"/>
            </w:pPr>
            <w:r w:rsidRPr="007E6BF7">
              <w:rPr>
                <w:rFonts w:asciiTheme="majorHAnsi" w:hAnsiTheme="majorHAnsi" w:cstheme="majorHAnsi"/>
                <w:color w:val="000000"/>
                <w:sz w:val="20"/>
                <w:szCs w:val="20"/>
              </w:rPr>
              <w:t>2.21%</w:t>
            </w:r>
          </w:p>
        </w:tc>
      </w:tr>
      <w:tr w:rsidR="007E7083" w14:paraId="441457D7" w14:textId="77777777" w:rsidTr="009245CF">
        <w:trPr>
          <w:cantSplit/>
        </w:trPr>
        <w:tc>
          <w:tcPr>
            <w:tcW w:w="2155" w:type="dxa"/>
            <w:shd w:val="clear" w:color="auto" w:fill="E2EFD9" w:themeFill="accent6" w:themeFillTint="33"/>
            <w:vAlign w:val="bottom"/>
          </w:tcPr>
          <w:p w14:paraId="6A21C207" w14:textId="510DA6EC" w:rsidR="007E7083" w:rsidRDefault="007E7083" w:rsidP="007E7083">
            <w:r>
              <w:rPr>
                <w:rFonts w:asciiTheme="majorHAnsi" w:hAnsiTheme="majorHAnsi" w:cstheme="majorHAnsi"/>
                <w:color w:val="000000"/>
                <w:sz w:val="20"/>
                <w:szCs w:val="20"/>
              </w:rPr>
              <w:t xml:space="preserve">Race - </w:t>
            </w:r>
            <w:r w:rsidRPr="007E6BF7">
              <w:rPr>
                <w:rFonts w:asciiTheme="majorHAnsi" w:hAnsiTheme="majorHAnsi" w:cstheme="majorHAnsi"/>
                <w:color w:val="000000"/>
                <w:sz w:val="20"/>
                <w:szCs w:val="20"/>
              </w:rPr>
              <w:t>Unknown</w:t>
            </w:r>
          </w:p>
        </w:tc>
        <w:tc>
          <w:tcPr>
            <w:tcW w:w="1080" w:type="dxa"/>
            <w:shd w:val="clear" w:color="auto" w:fill="E2EFD9" w:themeFill="accent6" w:themeFillTint="33"/>
            <w:vAlign w:val="bottom"/>
          </w:tcPr>
          <w:p w14:paraId="2C1D634E" w14:textId="0AF67104" w:rsidR="007E7083" w:rsidRDefault="007E7083" w:rsidP="007E7083">
            <w:pPr>
              <w:jc w:val="center"/>
            </w:pPr>
            <w:r w:rsidRPr="007E6BF7">
              <w:rPr>
                <w:rFonts w:asciiTheme="majorHAnsi" w:hAnsiTheme="majorHAnsi" w:cstheme="majorHAnsi"/>
                <w:color w:val="000000"/>
                <w:sz w:val="20"/>
                <w:szCs w:val="20"/>
              </w:rPr>
              <w:t>1009</w:t>
            </w:r>
          </w:p>
        </w:tc>
        <w:tc>
          <w:tcPr>
            <w:tcW w:w="1260" w:type="dxa"/>
            <w:shd w:val="clear" w:color="auto" w:fill="E2EFD9" w:themeFill="accent6" w:themeFillTint="33"/>
            <w:vAlign w:val="bottom"/>
          </w:tcPr>
          <w:p w14:paraId="7E777C3A" w14:textId="2B5A5104" w:rsidR="007E7083" w:rsidRDefault="007E7083" w:rsidP="007E7083">
            <w:pPr>
              <w:jc w:val="center"/>
            </w:pPr>
            <w:r w:rsidRPr="007E6BF7">
              <w:rPr>
                <w:rFonts w:asciiTheme="majorHAnsi" w:hAnsiTheme="majorHAnsi" w:cstheme="majorHAnsi"/>
                <w:color w:val="000000"/>
                <w:sz w:val="20"/>
                <w:szCs w:val="20"/>
              </w:rPr>
              <w:t>1.75%</w:t>
            </w:r>
          </w:p>
        </w:tc>
        <w:tc>
          <w:tcPr>
            <w:tcW w:w="1080" w:type="dxa"/>
            <w:shd w:val="clear" w:color="auto" w:fill="E2EFD9" w:themeFill="accent6" w:themeFillTint="33"/>
            <w:vAlign w:val="bottom"/>
          </w:tcPr>
          <w:p w14:paraId="48E5B58E" w14:textId="42E2C086" w:rsidR="007E7083" w:rsidRDefault="007E7083" w:rsidP="007E7083">
            <w:pPr>
              <w:jc w:val="center"/>
            </w:pPr>
            <w:r w:rsidRPr="007E6BF7">
              <w:rPr>
                <w:rFonts w:asciiTheme="majorHAnsi" w:hAnsiTheme="majorHAnsi" w:cstheme="majorHAnsi"/>
                <w:color w:val="000000"/>
                <w:sz w:val="20"/>
                <w:szCs w:val="20"/>
              </w:rPr>
              <w:t>1069</w:t>
            </w:r>
          </w:p>
        </w:tc>
        <w:tc>
          <w:tcPr>
            <w:tcW w:w="1103" w:type="dxa"/>
            <w:shd w:val="clear" w:color="auto" w:fill="E2EFD9" w:themeFill="accent6" w:themeFillTint="33"/>
            <w:vAlign w:val="bottom"/>
          </w:tcPr>
          <w:p w14:paraId="2F72E56C" w14:textId="1000A5C1" w:rsidR="007E7083" w:rsidRDefault="007E7083" w:rsidP="007E7083">
            <w:pPr>
              <w:jc w:val="center"/>
            </w:pPr>
            <w:r w:rsidRPr="007E6BF7">
              <w:rPr>
                <w:rFonts w:asciiTheme="majorHAnsi" w:hAnsiTheme="majorHAnsi" w:cstheme="majorHAnsi"/>
                <w:color w:val="000000"/>
                <w:sz w:val="20"/>
                <w:szCs w:val="20"/>
              </w:rPr>
              <w:t>1.61%</w:t>
            </w:r>
          </w:p>
        </w:tc>
        <w:tc>
          <w:tcPr>
            <w:tcW w:w="967" w:type="dxa"/>
            <w:shd w:val="clear" w:color="auto" w:fill="E2EFD9" w:themeFill="accent6" w:themeFillTint="33"/>
            <w:vAlign w:val="bottom"/>
          </w:tcPr>
          <w:p w14:paraId="65D83C18" w14:textId="03E3A520" w:rsidR="007E7083" w:rsidRDefault="007E7083" w:rsidP="007E7083">
            <w:pPr>
              <w:jc w:val="center"/>
            </w:pPr>
            <w:r w:rsidRPr="007E6BF7">
              <w:rPr>
                <w:rFonts w:asciiTheme="majorHAnsi" w:hAnsiTheme="majorHAnsi" w:cstheme="majorHAnsi"/>
                <w:color w:val="000000"/>
                <w:sz w:val="20"/>
                <w:szCs w:val="20"/>
              </w:rPr>
              <w:t>1069</w:t>
            </w:r>
          </w:p>
        </w:tc>
        <w:tc>
          <w:tcPr>
            <w:tcW w:w="1080" w:type="dxa"/>
            <w:shd w:val="clear" w:color="auto" w:fill="E2EFD9" w:themeFill="accent6" w:themeFillTint="33"/>
            <w:vAlign w:val="bottom"/>
          </w:tcPr>
          <w:p w14:paraId="33865915" w14:textId="4F425F17" w:rsidR="007E7083" w:rsidRDefault="007E7083" w:rsidP="007E7083">
            <w:pPr>
              <w:jc w:val="center"/>
            </w:pPr>
            <w:r w:rsidRPr="007E6BF7">
              <w:rPr>
                <w:rFonts w:asciiTheme="majorHAnsi" w:hAnsiTheme="majorHAnsi" w:cstheme="majorHAnsi"/>
                <w:color w:val="000000"/>
                <w:sz w:val="20"/>
                <w:szCs w:val="20"/>
              </w:rPr>
              <w:t>1.77%</w:t>
            </w:r>
          </w:p>
        </w:tc>
      </w:tr>
      <w:tr w:rsidR="007E7083" w14:paraId="7AC3FC47" w14:textId="77777777" w:rsidTr="009245CF">
        <w:trPr>
          <w:cantSplit/>
        </w:trPr>
        <w:tc>
          <w:tcPr>
            <w:tcW w:w="2155" w:type="dxa"/>
            <w:shd w:val="clear" w:color="auto" w:fill="E2EFD9" w:themeFill="accent6" w:themeFillTint="33"/>
            <w:vAlign w:val="bottom"/>
          </w:tcPr>
          <w:p w14:paraId="142B489D" w14:textId="4EAE9D7D" w:rsidR="007E7083" w:rsidRDefault="007E7083" w:rsidP="007E7083">
            <w:r>
              <w:rPr>
                <w:rFonts w:asciiTheme="majorHAnsi" w:hAnsiTheme="majorHAnsi" w:cstheme="majorHAnsi"/>
                <w:color w:val="000000"/>
                <w:sz w:val="20"/>
                <w:szCs w:val="20"/>
              </w:rPr>
              <w:t xml:space="preserve">Race - </w:t>
            </w:r>
            <w:r w:rsidRPr="007E6BF7">
              <w:rPr>
                <w:rFonts w:asciiTheme="majorHAnsi" w:hAnsiTheme="majorHAnsi" w:cstheme="majorHAnsi"/>
                <w:color w:val="000000"/>
                <w:sz w:val="20"/>
                <w:szCs w:val="20"/>
              </w:rPr>
              <w:t>Patient Declined</w:t>
            </w:r>
          </w:p>
        </w:tc>
        <w:tc>
          <w:tcPr>
            <w:tcW w:w="1080" w:type="dxa"/>
            <w:shd w:val="clear" w:color="auto" w:fill="E2EFD9" w:themeFill="accent6" w:themeFillTint="33"/>
            <w:vAlign w:val="bottom"/>
          </w:tcPr>
          <w:p w14:paraId="5B8D7850" w14:textId="7AB7DE1B" w:rsidR="007E7083" w:rsidRDefault="007E7083" w:rsidP="007E7083">
            <w:pPr>
              <w:jc w:val="center"/>
            </w:pPr>
            <w:r w:rsidRPr="007E6BF7">
              <w:rPr>
                <w:rFonts w:asciiTheme="majorHAnsi" w:hAnsiTheme="majorHAnsi" w:cstheme="majorHAnsi"/>
                <w:color w:val="000000"/>
                <w:sz w:val="20"/>
                <w:szCs w:val="20"/>
              </w:rPr>
              <w:t>570</w:t>
            </w:r>
          </w:p>
        </w:tc>
        <w:tc>
          <w:tcPr>
            <w:tcW w:w="1260" w:type="dxa"/>
            <w:shd w:val="clear" w:color="auto" w:fill="E2EFD9" w:themeFill="accent6" w:themeFillTint="33"/>
            <w:vAlign w:val="bottom"/>
          </w:tcPr>
          <w:p w14:paraId="5D4D87A0" w14:textId="7AD09E14" w:rsidR="007E7083" w:rsidRDefault="007E7083" w:rsidP="007E7083">
            <w:pPr>
              <w:jc w:val="center"/>
            </w:pPr>
            <w:r w:rsidRPr="007E6BF7">
              <w:rPr>
                <w:rFonts w:asciiTheme="majorHAnsi" w:hAnsiTheme="majorHAnsi" w:cstheme="majorHAnsi"/>
                <w:color w:val="000000"/>
                <w:sz w:val="20"/>
                <w:szCs w:val="20"/>
              </w:rPr>
              <w:t>0.99%</w:t>
            </w:r>
          </w:p>
        </w:tc>
        <w:tc>
          <w:tcPr>
            <w:tcW w:w="1080" w:type="dxa"/>
            <w:shd w:val="clear" w:color="auto" w:fill="E2EFD9" w:themeFill="accent6" w:themeFillTint="33"/>
            <w:vAlign w:val="bottom"/>
          </w:tcPr>
          <w:p w14:paraId="0258FAEB" w14:textId="304D513D" w:rsidR="007E7083" w:rsidRDefault="007E7083" w:rsidP="007E7083">
            <w:pPr>
              <w:jc w:val="center"/>
            </w:pPr>
            <w:r w:rsidRPr="007E6BF7">
              <w:rPr>
                <w:rFonts w:asciiTheme="majorHAnsi" w:hAnsiTheme="majorHAnsi" w:cstheme="majorHAnsi"/>
                <w:color w:val="000000"/>
                <w:sz w:val="20"/>
                <w:szCs w:val="20"/>
              </w:rPr>
              <w:t>7276</w:t>
            </w:r>
          </w:p>
        </w:tc>
        <w:tc>
          <w:tcPr>
            <w:tcW w:w="1103" w:type="dxa"/>
            <w:shd w:val="clear" w:color="auto" w:fill="E2EFD9" w:themeFill="accent6" w:themeFillTint="33"/>
            <w:vAlign w:val="bottom"/>
          </w:tcPr>
          <w:p w14:paraId="2A9EAB2A" w14:textId="21326143" w:rsidR="007E7083" w:rsidRDefault="007E7083" w:rsidP="007E7083">
            <w:pPr>
              <w:jc w:val="center"/>
            </w:pPr>
            <w:r w:rsidRPr="007E6BF7">
              <w:rPr>
                <w:rFonts w:asciiTheme="majorHAnsi" w:hAnsiTheme="majorHAnsi" w:cstheme="majorHAnsi"/>
                <w:color w:val="000000"/>
                <w:sz w:val="20"/>
                <w:szCs w:val="20"/>
              </w:rPr>
              <w:t>10.98%</w:t>
            </w:r>
          </w:p>
        </w:tc>
        <w:tc>
          <w:tcPr>
            <w:tcW w:w="967" w:type="dxa"/>
            <w:shd w:val="clear" w:color="auto" w:fill="E2EFD9" w:themeFill="accent6" w:themeFillTint="33"/>
            <w:vAlign w:val="bottom"/>
          </w:tcPr>
          <w:p w14:paraId="24194107" w14:textId="24CA017C" w:rsidR="007E7083" w:rsidRDefault="007E7083" w:rsidP="007E7083">
            <w:pPr>
              <w:jc w:val="center"/>
            </w:pPr>
            <w:r w:rsidRPr="007E6BF7">
              <w:rPr>
                <w:rFonts w:asciiTheme="majorHAnsi" w:hAnsiTheme="majorHAnsi" w:cstheme="majorHAnsi"/>
                <w:color w:val="000000"/>
                <w:sz w:val="20"/>
                <w:szCs w:val="20"/>
              </w:rPr>
              <w:t>7276</w:t>
            </w:r>
          </w:p>
        </w:tc>
        <w:tc>
          <w:tcPr>
            <w:tcW w:w="1080" w:type="dxa"/>
            <w:shd w:val="clear" w:color="auto" w:fill="E2EFD9" w:themeFill="accent6" w:themeFillTint="33"/>
            <w:vAlign w:val="bottom"/>
          </w:tcPr>
          <w:p w14:paraId="77E0810E" w14:textId="74A7CA16" w:rsidR="007E7083" w:rsidRDefault="007E7083" w:rsidP="007E7083">
            <w:pPr>
              <w:jc w:val="center"/>
            </w:pPr>
            <w:r w:rsidRPr="007E6BF7">
              <w:rPr>
                <w:rFonts w:asciiTheme="majorHAnsi" w:hAnsiTheme="majorHAnsi" w:cstheme="majorHAnsi"/>
                <w:color w:val="000000"/>
                <w:sz w:val="20"/>
                <w:szCs w:val="20"/>
              </w:rPr>
              <w:t>1.32%</w:t>
            </w:r>
          </w:p>
        </w:tc>
      </w:tr>
      <w:tr w:rsidR="007E7083" w14:paraId="6B224B9B" w14:textId="77777777" w:rsidTr="009245CF">
        <w:trPr>
          <w:cantSplit/>
        </w:trPr>
        <w:tc>
          <w:tcPr>
            <w:tcW w:w="2155" w:type="dxa"/>
            <w:shd w:val="clear" w:color="auto" w:fill="E2EFD9" w:themeFill="accent6" w:themeFillTint="33"/>
            <w:vAlign w:val="bottom"/>
          </w:tcPr>
          <w:p w14:paraId="73FD55DD" w14:textId="6400983D" w:rsidR="007E7083" w:rsidRDefault="007E7083" w:rsidP="007E7083">
            <w:r w:rsidRPr="007E6BF7">
              <w:rPr>
                <w:rFonts w:asciiTheme="majorHAnsi" w:hAnsiTheme="majorHAnsi" w:cstheme="majorHAnsi"/>
                <w:color w:val="000000"/>
                <w:sz w:val="20"/>
                <w:szCs w:val="20"/>
              </w:rPr>
              <w:t>Total</w:t>
            </w:r>
          </w:p>
        </w:tc>
        <w:tc>
          <w:tcPr>
            <w:tcW w:w="1080" w:type="dxa"/>
            <w:shd w:val="clear" w:color="auto" w:fill="E2EFD9" w:themeFill="accent6" w:themeFillTint="33"/>
            <w:vAlign w:val="bottom"/>
          </w:tcPr>
          <w:p w14:paraId="58D3FF90" w14:textId="05DD4BE2" w:rsidR="007E7083" w:rsidRDefault="007E7083" w:rsidP="007E7083">
            <w:pPr>
              <w:jc w:val="center"/>
            </w:pPr>
            <w:r w:rsidRPr="007E6BF7">
              <w:rPr>
                <w:rFonts w:asciiTheme="majorHAnsi" w:eastAsia="Verdana" w:hAnsiTheme="majorHAnsi" w:cstheme="majorHAnsi"/>
                <w:sz w:val="20"/>
                <w:szCs w:val="20"/>
              </w:rPr>
              <w:t>57,674</w:t>
            </w:r>
          </w:p>
        </w:tc>
        <w:tc>
          <w:tcPr>
            <w:tcW w:w="1260" w:type="dxa"/>
            <w:shd w:val="clear" w:color="auto" w:fill="E2EFD9" w:themeFill="accent6" w:themeFillTint="33"/>
            <w:vAlign w:val="bottom"/>
          </w:tcPr>
          <w:p w14:paraId="58000FF4" w14:textId="15B4C9E9" w:rsidR="007E7083" w:rsidRDefault="007E7083" w:rsidP="007E7083">
            <w:pPr>
              <w:jc w:val="center"/>
            </w:pPr>
            <w:r w:rsidRPr="007E6BF7">
              <w:rPr>
                <w:rFonts w:asciiTheme="majorHAnsi" w:hAnsiTheme="majorHAnsi" w:cstheme="majorHAnsi"/>
                <w:color w:val="000000"/>
                <w:sz w:val="20"/>
                <w:szCs w:val="20"/>
              </w:rPr>
              <w:t>100.00%</w:t>
            </w:r>
          </w:p>
        </w:tc>
        <w:tc>
          <w:tcPr>
            <w:tcW w:w="1080" w:type="dxa"/>
            <w:shd w:val="clear" w:color="auto" w:fill="E2EFD9" w:themeFill="accent6" w:themeFillTint="33"/>
          </w:tcPr>
          <w:p w14:paraId="1570D8E9" w14:textId="53B2BAF2" w:rsidR="007E7083" w:rsidRDefault="007E7083" w:rsidP="007E7083">
            <w:pPr>
              <w:jc w:val="center"/>
            </w:pPr>
            <w:r w:rsidRPr="007E6BF7">
              <w:rPr>
                <w:rFonts w:asciiTheme="majorHAnsi" w:eastAsia="Verdana" w:hAnsiTheme="majorHAnsi" w:cstheme="majorHAnsi"/>
                <w:sz w:val="20"/>
                <w:szCs w:val="20"/>
              </w:rPr>
              <w:t>66,237</w:t>
            </w:r>
          </w:p>
        </w:tc>
        <w:tc>
          <w:tcPr>
            <w:tcW w:w="1103" w:type="dxa"/>
            <w:shd w:val="clear" w:color="auto" w:fill="E2EFD9" w:themeFill="accent6" w:themeFillTint="33"/>
            <w:vAlign w:val="bottom"/>
          </w:tcPr>
          <w:p w14:paraId="253E313F" w14:textId="0ABAC4D0" w:rsidR="007E7083" w:rsidRDefault="007E7083" w:rsidP="007E7083">
            <w:pPr>
              <w:jc w:val="center"/>
            </w:pPr>
            <w:r w:rsidRPr="007E6BF7">
              <w:rPr>
                <w:rFonts w:asciiTheme="majorHAnsi" w:hAnsiTheme="majorHAnsi" w:cstheme="majorHAnsi"/>
                <w:color w:val="000000"/>
                <w:sz w:val="20"/>
                <w:szCs w:val="20"/>
              </w:rPr>
              <w:t>100.00%</w:t>
            </w:r>
          </w:p>
        </w:tc>
        <w:tc>
          <w:tcPr>
            <w:tcW w:w="967" w:type="dxa"/>
            <w:shd w:val="clear" w:color="auto" w:fill="E2EFD9" w:themeFill="accent6" w:themeFillTint="33"/>
            <w:vAlign w:val="bottom"/>
          </w:tcPr>
          <w:p w14:paraId="5DF4061E" w14:textId="3A1D0C72" w:rsidR="007E7083" w:rsidRDefault="007E7083" w:rsidP="007E7083">
            <w:pPr>
              <w:jc w:val="center"/>
            </w:pPr>
            <w:r w:rsidRPr="007E6BF7">
              <w:rPr>
                <w:rFonts w:asciiTheme="majorHAnsi" w:eastAsia="Verdana" w:hAnsiTheme="majorHAnsi" w:cstheme="majorHAnsi"/>
                <w:sz w:val="20"/>
                <w:szCs w:val="20"/>
              </w:rPr>
              <w:t>61,555</w:t>
            </w:r>
          </w:p>
        </w:tc>
        <w:tc>
          <w:tcPr>
            <w:tcW w:w="1080" w:type="dxa"/>
            <w:shd w:val="clear" w:color="auto" w:fill="E2EFD9" w:themeFill="accent6" w:themeFillTint="33"/>
            <w:vAlign w:val="bottom"/>
          </w:tcPr>
          <w:p w14:paraId="759B8AA1" w14:textId="077343B0" w:rsidR="007E7083" w:rsidRDefault="007E7083" w:rsidP="007E7083">
            <w:pPr>
              <w:jc w:val="center"/>
            </w:pPr>
            <w:r w:rsidRPr="007E6BF7">
              <w:rPr>
                <w:rFonts w:asciiTheme="majorHAnsi" w:hAnsiTheme="majorHAnsi" w:cstheme="majorHAnsi"/>
                <w:color w:val="000000"/>
                <w:sz w:val="20"/>
                <w:szCs w:val="20"/>
              </w:rPr>
              <w:t>100.00%</w:t>
            </w:r>
          </w:p>
        </w:tc>
      </w:tr>
      <w:tr w:rsidR="007E7083" w14:paraId="3065F184" w14:textId="77777777" w:rsidTr="009245CF">
        <w:trPr>
          <w:cantSplit/>
        </w:trPr>
        <w:tc>
          <w:tcPr>
            <w:tcW w:w="2155" w:type="dxa"/>
            <w:shd w:val="clear" w:color="auto" w:fill="FFF2CC" w:themeFill="accent4" w:themeFillTint="33"/>
            <w:vAlign w:val="bottom"/>
          </w:tcPr>
          <w:p w14:paraId="39C7F9D5" w14:textId="7138F2D1" w:rsidR="007E7083" w:rsidRDefault="007E7083" w:rsidP="007E7083">
            <w:r>
              <w:rPr>
                <w:rFonts w:asciiTheme="majorHAnsi" w:hAnsiTheme="majorHAnsi" w:cstheme="majorHAnsi"/>
                <w:color w:val="000000"/>
                <w:sz w:val="20"/>
                <w:szCs w:val="20"/>
              </w:rPr>
              <w:t xml:space="preserve">Ethnicity - </w:t>
            </w:r>
            <w:r w:rsidRPr="007E6BF7">
              <w:rPr>
                <w:rFonts w:asciiTheme="majorHAnsi" w:hAnsiTheme="majorHAnsi" w:cstheme="majorHAnsi"/>
                <w:color w:val="000000"/>
                <w:sz w:val="20"/>
                <w:szCs w:val="20"/>
              </w:rPr>
              <w:t>Hispanic/Latino</w:t>
            </w:r>
          </w:p>
        </w:tc>
        <w:tc>
          <w:tcPr>
            <w:tcW w:w="1080" w:type="dxa"/>
            <w:shd w:val="clear" w:color="auto" w:fill="FFF2CC" w:themeFill="accent4" w:themeFillTint="33"/>
            <w:vAlign w:val="bottom"/>
          </w:tcPr>
          <w:p w14:paraId="47C841EF" w14:textId="54FFFB15" w:rsidR="007E7083" w:rsidRDefault="007E7083" w:rsidP="007E7083">
            <w:pPr>
              <w:jc w:val="center"/>
            </w:pPr>
            <w:r w:rsidRPr="007E6BF7">
              <w:rPr>
                <w:rFonts w:asciiTheme="majorHAnsi" w:hAnsiTheme="majorHAnsi" w:cstheme="majorHAnsi"/>
                <w:color w:val="000000"/>
                <w:sz w:val="20"/>
                <w:szCs w:val="20"/>
              </w:rPr>
              <w:t>1</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034</w:t>
            </w:r>
          </w:p>
        </w:tc>
        <w:tc>
          <w:tcPr>
            <w:tcW w:w="1260" w:type="dxa"/>
            <w:shd w:val="clear" w:color="auto" w:fill="FFF2CC" w:themeFill="accent4" w:themeFillTint="33"/>
            <w:vAlign w:val="bottom"/>
          </w:tcPr>
          <w:p w14:paraId="68965AB1" w14:textId="7B504219" w:rsidR="007E7083" w:rsidRDefault="007E7083" w:rsidP="007E7083">
            <w:pPr>
              <w:jc w:val="center"/>
            </w:pPr>
            <w:r w:rsidRPr="007E6BF7">
              <w:rPr>
                <w:rFonts w:asciiTheme="majorHAnsi" w:hAnsiTheme="majorHAnsi" w:cstheme="majorHAnsi"/>
                <w:color w:val="000000"/>
                <w:sz w:val="20"/>
                <w:szCs w:val="20"/>
              </w:rPr>
              <w:t>1.79%</w:t>
            </w:r>
          </w:p>
        </w:tc>
        <w:tc>
          <w:tcPr>
            <w:tcW w:w="1080" w:type="dxa"/>
            <w:shd w:val="clear" w:color="auto" w:fill="FFF2CC" w:themeFill="accent4" w:themeFillTint="33"/>
            <w:vAlign w:val="bottom"/>
          </w:tcPr>
          <w:p w14:paraId="6B223594" w14:textId="5104A162" w:rsidR="007E7083" w:rsidRDefault="007E7083" w:rsidP="007E7083">
            <w:pPr>
              <w:jc w:val="center"/>
            </w:pPr>
            <w:r w:rsidRPr="007E6BF7">
              <w:rPr>
                <w:rFonts w:asciiTheme="majorHAnsi" w:hAnsiTheme="majorHAnsi" w:cstheme="majorHAnsi"/>
                <w:color w:val="000000"/>
                <w:sz w:val="20"/>
                <w:szCs w:val="20"/>
              </w:rPr>
              <w:t>1</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099</w:t>
            </w:r>
          </w:p>
        </w:tc>
        <w:tc>
          <w:tcPr>
            <w:tcW w:w="1103" w:type="dxa"/>
            <w:shd w:val="clear" w:color="auto" w:fill="FFF2CC" w:themeFill="accent4" w:themeFillTint="33"/>
            <w:vAlign w:val="bottom"/>
          </w:tcPr>
          <w:p w14:paraId="1A6E6395" w14:textId="39B00072" w:rsidR="007E7083" w:rsidRDefault="007E7083" w:rsidP="007E7083">
            <w:pPr>
              <w:jc w:val="center"/>
            </w:pPr>
            <w:r w:rsidRPr="007E6BF7">
              <w:rPr>
                <w:rFonts w:asciiTheme="majorHAnsi" w:hAnsiTheme="majorHAnsi" w:cstheme="majorHAnsi"/>
                <w:color w:val="000000"/>
                <w:sz w:val="20"/>
                <w:szCs w:val="20"/>
              </w:rPr>
              <w:t>1.66%</w:t>
            </w:r>
          </w:p>
        </w:tc>
        <w:tc>
          <w:tcPr>
            <w:tcW w:w="967" w:type="dxa"/>
            <w:shd w:val="clear" w:color="auto" w:fill="FFF2CC" w:themeFill="accent4" w:themeFillTint="33"/>
            <w:vAlign w:val="bottom"/>
          </w:tcPr>
          <w:p w14:paraId="17EF0580" w14:textId="300DF912" w:rsidR="007E7083" w:rsidRDefault="007E7083" w:rsidP="007E7083">
            <w:pPr>
              <w:jc w:val="center"/>
            </w:pPr>
            <w:r w:rsidRPr="007E6BF7">
              <w:rPr>
                <w:rFonts w:asciiTheme="majorHAnsi" w:hAnsiTheme="majorHAnsi" w:cstheme="majorHAnsi"/>
                <w:color w:val="000000"/>
                <w:sz w:val="20"/>
                <w:szCs w:val="20"/>
              </w:rPr>
              <w:t>1</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617</w:t>
            </w:r>
          </w:p>
        </w:tc>
        <w:tc>
          <w:tcPr>
            <w:tcW w:w="1080" w:type="dxa"/>
            <w:shd w:val="clear" w:color="auto" w:fill="FFF2CC" w:themeFill="accent4" w:themeFillTint="33"/>
            <w:vAlign w:val="bottom"/>
          </w:tcPr>
          <w:p w14:paraId="47B2C615" w14:textId="2318F158" w:rsidR="007E7083" w:rsidRDefault="007E7083" w:rsidP="007E7083">
            <w:pPr>
              <w:jc w:val="center"/>
            </w:pPr>
            <w:r w:rsidRPr="007E6BF7">
              <w:rPr>
                <w:rFonts w:asciiTheme="majorHAnsi" w:hAnsiTheme="majorHAnsi" w:cstheme="majorHAnsi"/>
                <w:color w:val="000000"/>
                <w:sz w:val="20"/>
                <w:szCs w:val="20"/>
              </w:rPr>
              <w:t>2.63%</w:t>
            </w:r>
          </w:p>
        </w:tc>
      </w:tr>
      <w:tr w:rsidR="007E7083" w14:paraId="075EE9E6" w14:textId="77777777" w:rsidTr="009245CF">
        <w:trPr>
          <w:cantSplit/>
        </w:trPr>
        <w:tc>
          <w:tcPr>
            <w:tcW w:w="2155" w:type="dxa"/>
            <w:shd w:val="clear" w:color="auto" w:fill="FFF2CC" w:themeFill="accent4" w:themeFillTint="33"/>
            <w:vAlign w:val="bottom"/>
          </w:tcPr>
          <w:p w14:paraId="1C1F262E" w14:textId="0A47CBE1" w:rsidR="007E7083" w:rsidRDefault="007E7083" w:rsidP="007E7083">
            <w:r>
              <w:rPr>
                <w:rFonts w:asciiTheme="majorHAnsi" w:hAnsiTheme="majorHAnsi" w:cstheme="majorHAnsi"/>
                <w:color w:val="000000"/>
                <w:sz w:val="20"/>
                <w:szCs w:val="20"/>
              </w:rPr>
              <w:t xml:space="preserve">Ethnicity - </w:t>
            </w:r>
            <w:r w:rsidRPr="007E6BF7">
              <w:rPr>
                <w:rFonts w:asciiTheme="majorHAnsi" w:hAnsiTheme="majorHAnsi" w:cstheme="majorHAnsi"/>
                <w:color w:val="000000"/>
                <w:sz w:val="20"/>
                <w:szCs w:val="20"/>
              </w:rPr>
              <w:t>Not Hispanic/Latino</w:t>
            </w:r>
          </w:p>
        </w:tc>
        <w:tc>
          <w:tcPr>
            <w:tcW w:w="1080" w:type="dxa"/>
            <w:shd w:val="clear" w:color="auto" w:fill="FFF2CC" w:themeFill="accent4" w:themeFillTint="33"/>
            <w:vAlign w:val="bottom"/>
          </w:tcPr>
          <w:p w14:paraId="72088175" w14:textId="17FDBA6F" w:rsidR="007E7083" w:rsidRDefault="007E7083" w:rsidP="007E7083">
            <w:pPr>
              <w:jc w:val="center"/>
            </w:pPr>
            <w:r w:rsidRPr="007E6BF7">
              <w:rPr>
                <w:rFonts w:asciiTheme="majorHAnsi" w:hAnsiTheme="majorHAnsi" w:cstheme="majorHAnsi"/>
                <w:color w:val="000000"/>
                <w:sz w:val="20"/>
                <w:szCs w:val="20"/>
              </w:rPr>
              <w:t>37</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268</w:t>
            </w:r>
          </w:p>
        </w:tc>
        <w:tc>
          <w:tcPr>
            <w:tcW w:w="1260" w:type="dxa"/>
            <w:shd w:val="clear" w:color="auto" w:fill="FFF2CC" w:themeFill="accent4" w:themeFillTint="33"/>
            <w:vAlign w:val="bottom"/>
          </w:tcPr>
          <w:p w14:paraId="4B5B6209" w14:textId="7BE5FF19" w:rsidR="007E7083" w:rsidRDefault="007E7083" w:rsidP="007E7083">
            <w:pPr>
              <w:jc w:val="center"/>
            </w:pPr>
            <w:r w:rsidRPr="007E6BF7">
              <w:rPr>
                <w:rFonts w:asciiTheme="majorHAnsi" w:hAnsiTheme="majorHAnsi" w:cstheme="majorHAnsi"/>
                <w:color w:val="000000"/>
                <w:sz w:val="20"/>
                <w:szCs w:val="20"/>
              </w:rPr>
              <w:t>64.62%</w:t>
            </w:r>
          </w:p>
        </w:tc>
        <w:tc>
          <w:tcPr>
            <w:tcW w:w="1080" w:type="dxa"/>
            <w:shd w:val="clear" w:color="auto" w:fill="FFF2CC" w:themeFill="accent4" w:themeFillTint="33"/>
            <w:vAlign w:val="bottom"/>
          </w:tcPr>
          <w:p w14:paraId="0BCCC8EB" w14:textId="41786CED" w:rsidR="007E7083" w:rsidRDefault="007E7083" w:rsidP="007E7083">
            <w:pPr>
              <w:jc w:val="center"/>
            </w:pPr>
            <w:r w:rsidRPr="007E6BF7">
              <w:rPr>
                <w:rFonts w:asciiTheme="majorHAnsi" w:hAnsiTheme="majorHAnsi" w:cstheme="majorHAnsi"/>
                <w:color w:val="000000"/>
                <w:sz w:val="20"/>
                <w:szCs w:val="20"/>
              </w:rPr>
              <w:t>38</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617</w:t>
            </w:r>
          </w:p>
        </w:tc>
        <w:tc>
          <w:tcPr>
            <w:tcW w:w="1103" w:type="dxa"/>
            <w:shd w:val="clear" w:color="auto" w:fill="FFF2CC" w:themeFill="accent4" w:themeFillTint="33"/>
            <w:vAlign w:val="bottom"/>
          </w:tcPr>
          <w:p w14:paraId="4A448416" w14:textId="43F789E7" w:rsidR="007E7083" w:rsidRDefault="007E7083" w:rsidP="007E7083">
            <w:pPr>
              <w:jc w:val="center"/>
            </w:pPr>
            <w:r w:rsidRPr="007E6BF7">
              <w:rPr>
                <w:rFonts w:asciiTheme="majorHAnsi" w:hAnsiTheme="majorHAnsi" w:cstheme="majorHAnsi"/>
                <w:color w:val="000000"/>
                <w:sz w:val="20"/>
                <w:szCs w:val="20"/>
              </w:rPr>
              <w:t>58.30%</w:t>
            </w:r>
          </w:p>
        </w:tc>
        <w:tc>
          <w:tcPr>
            <w:tcW w:w="967" w:type="dxa"/>
            <w:shd w:val="clear" w:color="auto" w:fill="FFF2CC" w:themeFill="accent4" w:themeFillTint="33"/>
            <w:vAlign w:val="bottom"/>
          </w:tcPr>
          <w:p w14:paraId="418C19FB" w14:textId="0A72398A" w:rsidR="007E7083" w:rsidRDefault="007E7083" w:rsidP="007E7083">
            <w:pPr>
              <w:jc w:val="center"/>
            </w:pPr>
            <w:r w:rsidRPr="007E6BF7">
              <w:rPr>
                <w:rFonts w:asciiTheme="majorHAnsi" w:hAnsiTheme="majorHAnsi" w:cstheme="majorHAnsi"/>
                <w:color w:val="000000"/>
                <w:sz w:val="20"/>
                <w:szCs w:val="20"/>
              </w:rPr>
              <w:t>43</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927</w:t>
            </w:r>
          </w:p>
        </w:tc>
        <w:tc>
          <w:tcPr>
            <w:tcW w:w="1080" w:type="dxa"/>
            <w:shd w:val="clear" w:color="auto" w:fill="FFF2CC" w:themeFill="accent4" w:themeFillTint="33"/>
            <w:vAlign w:val="bottom"/>
          </w:tcPr>
          <w:p w14:paraId="36CD91CB" w14:textId="5B1615B5" w:rsidR="007E7083" w:rsidRDefault="007E7083" w:rsidP="007E7083">
            <w:pPr>
              <w:jc w:val="center"/>
            </w:pPr>
            <w:r w:rsidRPr="007E6BF7">
              <w:rPr>
                <w:rFonts w:asciiTheme="majorHAnsi" w:hAnsiTheme="majorHAnsi" w:cstheme="majorHAnsi"/>
                <w:color w:val="000000"/>
                <w:sz w:val="20"/>
                <w:szCs w:val="20"/>
              </w:rPr>
              <w:t>71.36%</w:t>
            </w:r>
          </w:p>
        </w:tc>
      </w:tr>
      <w:tr w:rsidR="007E7083" w14:paraId="0588333E" w14:textId="77777777" w:rsidTr="009245CF">
        <w:trPr>
          <w:cantSplit/>
        </w:trPr>
        <w:tc>
          <w:tcPr>
            <w:tcW w:w="2155" w:type="dxa"/>
            <w:shd w:val="clear" w:color="auto" w:fill="FFF2CC" w:themeFill="accent4" w:themeFillTint="33"/>
            <w:vAlign w:val="bottom"/>
          </w:tcPr>
          <w:p w14:paraId="237DC437" w14:textId="65200806" w:rsidR="007E7083" w:rsidRDefault="007E7083" w:rsidP="007E7083">
            <w:r>
              <w:rPr>
                <w:rFonts w:asciiTheme="majorHAnsi" w:hAnsiTheme="majorHAnsi" w:cstheme="majorHAnsi"/>
                <w:color w:val="000000"/>
                <w:sz w:val="20"/>
                <w:szCs w:val="20"/>
              </w:rPr>
              <w:t xml:space="preserve">Ethnicity - </w:t>
            </w:r>
            <w:r w:rsidRPr="007E6BF7">
              <w:rPr>
                <w:rFonts w:asciiTheme="majorHAnsi" w:hAnsiTheme="majorHAnsi" w:cstheme="majorHAnsi"/>
                <w:color w:val="000000"/>
                <w:sz w:val="20"/>
                <w:szCs w:val="20"/>
              </w:rPr>
              <w:t>Patient Declined</w:t>
            </w:r>
          </w:p>
        </w:tc>
        <w:tc>
          <w:tcPr>
            <w:tcW w:w="1080" w:type="dxa"/>
            <w:shd w:val="clear" w:color="auto" w:fill="FFF2CC" w:themeFill="accent4" w:themeFillTint="33"/>
            <w:vAlign w:val="bottom"/>
          </w:tcPr>
          <w:p w14:paraId="2ADD30C6" w14:textId="67F482AB" w:rsidR="007E7083" w:rsidRDefault="007E7083" w:rsidP="007E7083">
            <w:pPr>
              <w:jc w:val="center"/>
            </w:pPr>
            <w:r w:rsidRPr="007E6BF7">
              <w:rPr>
                <w:rFonts w:asciiTheme="majorHAnsi" w:hAnsiTheme="majorHAnsi" w:cstheme="majorHAnsi"/>
                <w:color w:val="000000"/>
                <w:sz w:val="20"/>
                <w:szCs w:val="20"/>
              </w:rPr>
              <w:t>19</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372</w:t>
            </w:r>
          </w:p>
        </w:tc>
        <w:tc>
          <w:tcPr>
            <w:tcW w:w="1260" w:type="dxa"/>
            <w:shd w:val="clear" w:color="auto" w:fill="FFF2CC" w:themeFill="accent4" w:themeFillTint="33"/>
            <w:vAlign w:val="bottom"/>
          </w:tcPr>
          <w:p w14:paraId="02A4D7A7" w14:textId="2A45CA4A" w:rsidR="007E7083" w:rsidRDefault="007E7083" w:rsidP="007E7083">
            <w:pPr>
              <w:jc w:val="center"/>
            </w:pPr>
            <w:r w:rsidRPr="007E6BF7">
              <w:rPr>
                <w:rFonts w:asciiTheme="majorHAnsi" w:hAnsiTheme="majorHAnsi" w:cstheme="majorHAnsi"/>
                <w:color w:val="000000"/>
                <w:sz w:val="20"/>
                <w:szCs w:val="20"/>
              </w:rPr>
              <w:t>33.59%</w:t>
            </w:r>
          </w:p>
        </w:tc>
        <w:tc>
          <w:tcPr>
            <w:tcW w:w="1080" w:type="dxa"/>
            <w:shd w:val="clear" w:color="auto" w:fill="FFF2CC" w:themeFill="accent4" w:themeFillTint="33"/>
            <w:vAlign w:val="bottom"/>
          </w:tcPr>
          <w:p w14:paraId="08F1CC3B" w14:textId="526E4F80" w:rsidR="007E7083" w:rsidRDefault="007E7083" w:rsidP="007E7083">
            <w:pPr>
              <w:jc w:val="center"/>
            </w:pPr>
            <w:r w:rsidRPr="007E6BF7">
              <w:rPr>
                <w:rFonts w:asciiTheme="majorHAnsi" w:hAnsiTheme="majorHAnsi" w:cstheme="majorHAnsi"/>
                <w:color w:val="000000"/>
                <w:sz w:val="20"/>
                <w:szCs w:val="20"/>
              </w:rPr>
              <w:t>26</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521</w:t>
            </w:r>
          </w:p>
        </w:tc>
        <w:tc>
          <w:tcPr>
            <w:tcW w:w="1103" w:type="dxa"/>
            <w:shd w:val="clear" w:color="auto" w:fill="FFF2CC" w:themeFill="accent4" w:themeFillTint="33"/>
            <w:vAlign w:val="bottom"/>
          </w:tcPr>
          <w:p w14:paraId="3F34AD81" w14:textId="6CECBA70" w:rsidR="007E7083" w:rsidRDefault="007E7083" w:rsidP="007E7083">
            <w:pPr>
              <w:jc w:val="center"/>
            </w:pPr>
            <w:r w:rsidRPr="007E6BF7">
              <w:rPr>
                <w:rFonts w:asciiTheme="majorHAnsi" w:hAnsiTheme="majorHAnsi" w:cstheme="majorHAnsi"/>
                <w:color w:val="000000"/>
                <w:sz w:val="20"/>
                <w:szCs w:val="20"/>
              </w:rPr>
              <w:t>40.04%</w:t>
            </w:r>
          </w:p>
        </w:tc>
        <w:tc>
          <w:tcPr>
            <w:tcW w:w="967" w:type="dxa"/>
            <w:shd w:val="clear" w:color="auto" w:fill="FFF2CC" w:themeFill="accent4" w:themeFillTint="33"/>
            <w:vAlign w:val="bottom"/>
          </w:tcPr>
          <w:p w14:paraId="62F115ED" w14:textId="50B94BD4" w:rsidR="007E7083" w:rsidRDefault="007E7083" w:rsidP="007E7083">
            <w:pPr>
              <w:jc w:val="center"/>
            </w:pPr>
            <w:r w:rsidRPr="007E6BF7">
              <w:rPr>
                <w:rFonts w:asciiTheme="majorHAnsi" w:hAnsiTheme="majorHAnsi" w:cstheme="majorHAnsi"/>
                <w:color w:val="000000"/>
                <w:sz w:val="20"/>
                <w:szCs w:val="20"/>
              </w:rPr>
              <w:t>16</w:t>
            </w:r>
            <w:r>
              <w:rPr>
                <w:rFonts w:asciiTheme="majorHAnsi" w:hAnsiTheme="majorHAnsi" w:cstheme="majorHAnsi"/>
                <w:color w:val="000000"/>
                <w:sz w:val="20"/>
                <w:szCs w:val="20"/>
              </w:rPr>
              <w:t>,</w:t>
            </w:r>
            <w:r w:rsidRPr="007E6BF7">
              <w:rPr>
                <w:rFonts w:asciiTheme="majorHAnsi" w:hAnsiTheme="majorHAnsi" w:cstheme="majorHAnsi"/>
                <w:color w:val="000000"/>
                <w:sz w:val="20"/>
                <w:szCs w:val="20"/>
              </w:rPr>
              <w:t>011</w:t>
            </w:r>
          </w:p>
        </w:tc>
        <w:tc>
          <w:tcPr>
            <w:tcW w:w="1080" w:type="dxa"/>
            <w:shd w:val="clear" w:color="auto" w:fill="FFF2CC" w:themeFill="accent4" w:themeFillTint="33"/>
            <w:vAlign w:val="bottom"/>
          </w:tcPr>
          <w:p w14:paraId="55E3217A" w14:textId="6F9EE8A4" w:rsidR="007E7083" w:rsidRDefault="007E7083" w:rsidP="007E7083">
            <w:pPr>
              <w:jc w:val="center"/>
            </w:pPr>
            <w:r w:rsidRPr="007E6BF7">
              <w:rPr>
                <w:rFonts w:asciiTheme="majorHAnsi" w:hAnsiTheme="majorHAnsi" w:cstheme="majorHAnsi"/>
                <w:color w:val="000000"/>
                <w:sz w:val="20"/>
                <w:szCs w:val="20"/>
              </w:rPr>
              <w:t>26.01%</w:t>
            </w:r>
          </w:p>
        </w:tc>
      </w:tr>
      <w:tr w:rsidR="007E7083" w14:paraId="24337E5F" w14:textId="77777777" w:rsidTr="009245CF">
        <w:trPr>
          <w:cantSplit/>
        </w:trPr>
        <w:tc>
          <w:tcPr>
            <w:tcW w:w="2155" w:type="dxa"/>
            <w:shd w:val="clear" w:color="auto" w:fill="FFF2CC" w:themeFill="accent4" w:themeFillTint="33"/>
            <w:vAlign w:val="bottom"/>
          </w:tcPr>
          <w:p w14:paraId="10728708" w14:textId="00E7B378" w:rsidR="007E7083" w:rsidRDefault="007E7083" w:rsidP="007E7083">
            <w:r>
              <w:rPr>
                <w:rFonts w:asciiTheme="majorHAnsi" w:hAnsiTheme="majorHAnsi" w:cstheme="majorHAnsi"/>
                <w:color w:val="000000"/>
                <w:sz w:val="20"/>
                <w:szCs w:val="20"/>
              </w:rPr>
              <w:t xml:space="preserve">Ethnicity - </w:t>
            </w:r>
            <w:r w:rsidRPr="007E6BF7">
              <w:rPr>
                <w:rFonts w:asciiTheme="majorHAnsi" w:hAnsiTheme="majorHAnsi" w:cstheme="majorHAnsi"/>
                <w:color w:val="000000"/>
                <w:sz w:val="20"/>
                <w:szCs w:val="20"/>
              </w:rPr>
              <w:t>Unknown</w:t>
            </w:r>
          </w:p>
        </w:tc>
        <w:tc>
          <w:tcPr>
            <w:tcW w:w="1080" w:type="dxa"/>
            <w:shd w:val="clear" w:color="auto" w:fill="FFF2CC" w:themeFill="accent4" w:themeFillTint="33"/>
            <w:vAlign w:val="bottom"/>
          </w:tcPr>
          <w:p w14:paraId="14B2F31C" w14:textId="185BFD3B" w:rsidR="007E7083" w:rsidRDefault="007E7083" w:rsidP="007E7083">
            <w:pPr>
              <w:jc w:val="center"/>
            </w:pPr>
            <w:r w:rsidRPr="007E6BF7">
              <w:rPr>
                <w:rFonts w:asciiTheme="majorHAnsi" w:hAnsiTheme="majorHAnsi" w:cstheme="majorHAnsi"/>
                <w:color w:val="000000"/>
                <w:sz w:val="20"/>
                <w:szCs w:val="20"/>
              </w:rPr>
              <w:t>0</w:t>
            </w:r>
          </w:p>
        </w:tc>
        <w:tc>
          <w:tcPr>
            <w:tcW w:w="1260" w:type="dxa"/>
            <w:shd w:val="clear" w:color="auto" w:fill="FFF2CC" w:themeFill="accent4" w:themeFillTint="33"/>
            <w:vAlign w:val="bottom"/>
          </w:tcPr>
          <w:p w14:paraId="30252B4D" w14:textId="1C0E85D2" w:rsidR="007E7083" w:rsidRDefault="007E7083" w:rsidP="007E7083">
            <w:pPr>
              <w:jc w:val="center"/>
            </w:pPr>
            <w:r w:rsidRPr="007E6BF7">
              <w:rPr>
                <w:rFonts w:asciiTheme="majorHAnsi" w:hAnsiTheme="majorHAnsi" w:cstheme="majorHAnsi"/>
                <w:color w:val="000000"/>
                <w:sz w:val="20"/>
                <w:szCs w:val="20"/>
              </w:rPr>
              <w:t>0.00%</w:t>
            </w:r>
          </w:p>
        </w:tc>
        <w:tc>
          <w:tcPr>
            <w:tcW w:w="1080" w:type="dxa"/>
            <w:shd w:val="clear" w:color="auto" w:fill="FFF2CC" w:themeFill="accent4" w:themeFillTint="33"/>
            <w:vAlign w:val="bottom"/>
          </w:tcPr>
          <w:p w14:paraId="1CFAF04F" w14:textId="74308468" w:rsidR="007E7083" w:rsidRDefault="007E7083" w:rsidP="007E7083">
            <w:pPr>
              <w:jc w:val="center"/>
            </w:pPr>
            <w:r w:rsidRPr="007E6BF7">
              <w:rPr>
                <w:rFonts w:asciiTheme="majorHAnsi" w:hAnsiTheme="majorHAnsi" w:cstheme="majorHAnsi"/>
                <w:color w:val="000000"/>
                <w:sz w:val="20"/>
                <w:szCs w:val="20"/>
              </w:rPr>
              <w:t>0</w:t>
            </w:r>
          </w:p>
        </w:tc>
        <w:tc>
          <w:tcPr>
            <w:tcW w:w="1103" w:type="dxa"/>
            <w:shd w:val="clear" w:color="auto" w:fill="FFF2CC" w:themeFill="accent4" w:themeFillTint="33"/>
            <w:vAlign w:val="bottom"/>
          </w:tcPr>
          <w:p w14:paraId="61E1B72D" w14:textId="04546FB0" w:rsidR="007E7083" w:rsidRDefault="007E7083" w:rsidP="007E7083">
            <w:pPr>
              <w:jc w:val="center"/>
            </w:pPr>
            <w:r w:rsidRPr="007E6BF7">
              <w:rPr>
                <w:rFonts w:asciiTheme="majorHAnsi" w:hAnsiTheme="majorHAnsi" w:cstheme="majorHAnsi"/>
                <w:color w:val="000000"/>
                <w:sz w:val="20"/>
                <w:szCs w:val="20"/>
              </w:rPr>
              <w:t>0.00%</w:t>
            </w:r>
          </w:p>
        </w:tc>
        <w:tc>
          <w:tcPr>
            <w:tcW w:w="967" w:type="dxa"/>
            <w:shd w:val="clear" w:color="auto" w:fill="FFF2CC" w:themeFill="accent4" w:themeFillTint="33"/>
            <w:vAlign w:val="bottom"/>
          </w:tcPr>
          <w:p w14:paraId="2B3D2732" w14:textId="364D679D" w:rsidR="007E7083" w:rsidRDefault="007E7083" w:rsidP="007E7083">
            <w:pPr>
              <w:jc w:val="center"/>
            </w:pPr>
            <w:r w:rsidRPr="007E6BF7">
              <w:rPr>
                <w:rFonts w:asciiTheme="majorHAnsi" w:hAnsiTheme="majorHAnsi" w:cstheme="majorHAnsi"/>
                <w:color w:val="000000"/>
                <w:sz w:val="20"/>
                <w:szCs w:val="20"/>
              </w:rPr>
              <w:t>0</w:t>
            </w:r>
          </w:p>
        </w:tc>
        <w:tc>
          <w:tcPr>
            <w:tcW w:w="1080" w:type="dxa"/>
            <w:shd w:val="clear" w:color="auto" w:fill="FFF2CC" w:themeFill="accent4" w:themeFillTint="33"/>
            <w:vAlign w:val="bottom"/>
          </w:tcPr>
          <w:p w14:paraId="64156794" w14:textId="528CC01C" w:rsidR="007E7083" w:rsidRDefault="007E7083" w:rsidP="007E7083">
            <w:pPr>
              <w:jc w:val="center"/>
            </w:pPr>
            <w:r w:rsidRPr="007E6BF7">
              <w:rPr>
                <w:rFonts w:asciiTheme="majorHAnsi" w:hAnsiTheme="majorHAnsi" w:cstheme="majorHAnsi"/>
                <w:color w:val="000000"/>
                <w:sz w:val="20"/>
                <w:szCs w:val="20"/>
              </w:rPr>
              <w:t>0.00%</w:t>
            </w:r>
          </w:p>
        </w:tc>
      </w:tr>
      <w:tr w:rsidR="007E7083" w14:paraId="71BBE990" w14:textId="77777777" w:rsidTr="009245CF">
        <w:trPr>
          <w:cantSplit/>
        </w:trPr>
        <w:tc>
          <w:tcPr>
            <w:tcW w:w="2155" w:type="dxa"/>
            <w:shd w:val="clear" w:color="auto" w:fill="FFF2CC" w:themeFill="accent4" w:themeFillTint="33"/>
            <w:vAlign w:val="bottom"/>
          </w:tcPr>
          <w:p w14:paraId="28F48E2A" w14:textId="57978750" w:rsidR="007E7083" w:rsidRDefault="007E7083" w:rsidP="007E7083">
            <w:r>
              <w:rPr>
                <w:rFonts w:asciiTheme="majorHAnsi" w:hAnsiTheme="majorHAnsi" w:cstheme="majorHAnsi"/>
                <w:color w:val="000000"/>
                <w:sz w:val="20"/>
                <w:szCs w:val="20"/>
              </w:rPr>
              <w:t xml:space="preserve">Ethnicity - </w:t>
            </w:r>
            <w:r w:rsidRPr="007E6BF7">
              <w:rPr>
                <w:rFonts w:asciiTheme="majorHAnsi" w:hAnsiTheme="majorHAnsi" w:cstheme="majorHAnsi"/>
                <w:color w:val="000000"/>
                <w:sz w:val="20"/>
                <w:szCs w:val="20"/>
              </w:rPr>
              <w:t>Other</w:t>
            </w:r>
          </w:p>
        </w:tc>
        <w:tc>
          <w:tcPr>
            <w:tcW w:w="1080" w:type="dxa"/>
            <w:shd w:val="clear" w:color="auto" w:fill="FFF2CC" w:themeFill="accent4" w:themeFillTint="33"/>
            <w:vAlign w:val="bottom"/>
          </w:tcPr>
          <w:p w14:paraId="48FEB900" w14:textId="73D60EE9" w:rsidR="007E7083" w:rsidRDefault="007E7083" w:rsidP="007E7083">
            <w:pPr>
              <w:jc w:val="center"/>
            </w:pPr>
            <w:r w:rsidRPr="007E6BF7">
              <w:rPr>
                <w:rFonts w:asciiTheme="majorHAnsi" w:hAnsiTheme="majorHAnsi" w:cstheme="majorHAnsi"/>
                <w:color w:val="000000"/>
                <w:sz w:val="20"/>
                <w:szCs w:val="20"/>
              </w:rPr>
              <w:t>0</w:t>
            </w:r>
          </w:p>
        </w:tc>
        <w:tc>
          <w:tcPr>
            <w:tcW w:w="1260" w:type="dxa"/>
            <w:shd w:val="clear" w:color="auto" w:fill="FFF2CC" w:themeFill="accent4" w:themeFillTint="33"/>
            <w:vAlign w:val="bottom"/>
          </w:tcPr>
          <w:p w14:paraId="6F0C035F" w14:textId="76070723" w:rsidR="007E7083" w:rsidRDefault="007E7083" w:rsidP="007E7083">
            <w:pPr>
              <w:jc w:val="center"/>
            </w:pPr>
            <w:r w:rsidRPr="007E6BF7">
              <w:rPr>
                <w:rFonts w:asciiTheme="majorHAnsi" w:hAnsiTheme="majorHAnsi" w:cstheme="majorHAnsi"/>
                <w:color w:val="000000"/>
                <w:sz w:val="20"/>
                <w:szCs w:val="20"/>
              </w:rPr>
              <w:t>0.00%</w:t>
            </w:r>
          </w:p>
        </w:tc>
        <w:tc>
          <w:tcPr>
            <w:tcW w:w="1080" w:type="dxa"/>
            <w:shd w:val="clear" w:color="auto" w:fill="FFF2CC" w:themeFill="accent4" w:themeFillTint="33"/>
            <w:vAlign w:val="bottom"/>
          </w:tcPr>
          <w:p w14:paraId="3AEA5391" w14:textId="06A9CBB8" w:rsidR="007E7083" w:rsidRDefault="007E7083" w:rsidP="007E7083">
            <w:pPr>
              <w:jc w:val="center"/>
            </w:pPr>
            <w:r w:rsidRPr="007E6BF7">
              <w:rPr>
                <w:rFonts w:asciiTheme="majorHAnsi" w:hAnsiTheme="majorHAnsi" w:cstheme="majorHAnsi"/>
                <w:color w:val="000000"/>
                <w:sz w:val="20"/>
                <w:szCs w:val="20"/>
              </w:rPr>
              <w:t>0</w:t>
            </w:r>
          </w:p>
        </w:tc>
        <w:tc>
          <w:tcPr>
            <w:tcW w:w="1103" w:type="dxa"/>
            <w:shd w:val="clear" w:color="auto" w:fill="FFF2CC" w:themeFill="accent4" w:themeFillTint="33"/>
            <w:vAlign w:val="bottom"/>
          </w:tcPr>
          <w:p w14:paraId="4A94A57C" w14:textId="3AF90B04" w:rsidR="007E7083" w:rsidRDefault="007E7083" w:rsidP="007E7083">
            <w:pPr>
              <w:jc w:val="center"/>
            </w:pPr>
            <w:r w:rsidRPr="007E6BF7">
              <w:rPr>
                <w:rFonts w:asciiTheme="majorHAnsi" w:hAnsiTheme="majorHAnsi" w:cstheme="majorHAnsi"/>
                <w:color w:val="000000"/>
                <w:sz w:val="20"/>
                <w:szCs w:val="20"/>
              </w:rPr>
              <w:t>0.00%</w:t>
            </w:r>
          </w:p>
        </w:tc>
        <w:tc>
          <w:tcPr>
            <w:tcW w:w="967" w:type="dxa"/>
            <w:shd w:val="clear" w:color="auto" w:fill="FFF2CC" w:themeFill="accent4" w:themeFillTint="33"/>
            <w:vAlign w:val="bottom"/>
          </w:tcPr>
          <w:p w14:paraId="439D6EA6" w14:textId="7F2862A1" w:rsidR="007E7083" w:rsidRDefault="007E7083" w:rsidP="007E7083">
            <w:pPr>
              <w:jc w:val="center"/>
            </w:pPr>
            <w:r w:rsidRPr="007E6BF7">
              <w:rPr>
                <w:rFonts w:asciiTheme="majorHAnsi" w:hAnsiTheme="majorHAnsi" w:cstheme="majorHAnsi"/>
                <w:color w:val="000000"/>
                <w:sz w:val="20"/>
                <w:szCs w:val="20"/>
              </w:rPr>
              <w:t>0</w:t>
            </w:r>
          </w:p>
        </w:tc>
        <w:tc>
          <w:tcPr>
            <w:tcW w:w="1080" w:type="dxa"/>
            <w:shd w:val="clear" w:color="auto" w:fill="FFF2CC" w:themeFill="accent4" w:themeFillTint="33"/>
            <w:vAlign w:val="bottom"/>
          </w:tcPr>
          <w:p w14:paraId="09AA9FAA" w14:textId="4B5CB3F2" w:rsidR="007E7083" w:rsidRDefault="007E7083" w:rsidP="007E7083">
            <w:pPr>
              <w:jc w:val="center"/>
            </w:pPr>
            <w:r w:rsidRPr="007E6BF7">
              <w:rPr>
                <w:rFonts w:asciiTheme="majorHAnsi" w:hAnsiTheme="majorHAnsi" w:cstheme="majorHAnsi"/>
                <w:color w:val="000000"/>
                <w:sz w:val="20"/>
                <w:szCs w:val="20"/>
              </w:rPr>
              <w:t>0.00%</w:t>
            </w:r>
          </w:p>
        </w:tc>
      </w:tr>
      <w:tr w:rsidR="007E7083" w14:paraId="235E6BE9" w14:textId="77777777" w:rsidTr="009245CF">
        <w:trPr>
          <w:cantSplit/>
        </w:trPr>
        <w:tc>
          <w:tcPr>
            <w:tcW w:w="2155" w:type="dxa"/>
            <w:shd w:val="clear" w:color="auto" w:fill="FFF2CC" w:themeFill="accent4" w:themeFillTint="33"/>
            <w:vAlign w:val="bottom"/>
          </w:tcPr>
          <w:p w14:paraId="30212A17" w14:textId="3E7035B0" w:rsidR="007E7083" w:rsidRDefault="007E7083" w:rsidP="007E7083">
            <w:r w:rsidRPr="00AE324F">
              <w:rPr>
                <w:rFonts w:asciiTheme="majorHAnsi" w:hAnsiTheme="majorHAnsi" w:cstheme="majorHAnsi"/>
                <w:color w:val="000000"/>
                <w:sz w:val="18"/>
                <w:szCs w:val="18"/>
              </w:rPr>
              <w:t>Total</w:t>
            </w:r>
          </w:p>
        </w:tc>
        <w:tc>
          <w:tcPr>
            <w:tcW w:w="1080" w:type="dxa"/>
            <w:shd w:val="clear" w:color="auto" w:fill="FFF2CC" w:themeFill="accent4" w:themeFillTint="33"/>
            <w:vAlign w:val="bottom"/>
          </w:tcPr>
          <w:p w14:paraId="035878FE" w14:textId="71C8748E" w:rsidR="007E7083" w:rsidRDefault="007E7083" w:rsidP="007E7083">
            <w:pPr>
              <w:jc w:val="center"/>
            </w:pPr>
            <w:r>
              <w:rPr>
                <w:rFonts w:asciiTheme="majorHAnsi" w:eastAsia="Verdana" w:hAnsiTheme="majorHAnsi" w:cstheme="majorHAnsi"/>
                <w:sz w:val="18"/>
                <w:szCs w:val="18"/>
              </w:rPr>
              <w:t>57,674</w:t>
            </w:r>
          </w:p>
        </w:tc>
        <w:tc>
          <w:tcPr>
            <w:tcW w:w="1260" w:type="dxa"/>
            <w:shd w:val="clear" w:color="auto" w:fill="FFF2CC" w:themeFill="accent4" w:themeFillTint="33"/>
            <w:vAlign w:val="bottom"/>
          </w:tcPr>
          <w:p w14:paraId="74266A6F" w14:textId="322C60B3" w:rsidR="007E7083" w:rsidRDefault="007E7083" w:rsidP="007E7083">
            <w:pPr>
              <w:jc w:val="center"/>
            </w:pPr>
            <w:r w:rsidRPr="002B01A1">
              <w:rPr>
                <w:rFonts w:asciiTheme="majorHAnsi" w:hAnsiTheme="majorHAnsi" w:cstheme="majorHAnsi"/>
                <w:color w:val="000000"/>
                <w:sz w:val="18"/>
                <w:szCs w:val="18"/>
              </w:rPr>
              <w:t>100.00%</w:t>
            </w:r>
          </w:p>
        </w:tc>
        <w:tc>
          <w:tcPr>
            <w:tcW w:w="1080" w:type="dxa"/>
            <w:shd w:val="clear" w:color="auto" w:fill="FFF2CC" w:themeFill="accent4" w:themeFillTint="33"/>
          </w:tcPr>
          <w:p w14:paraId="00CE0D14" w14:textId="6B868944" w:rsidR="007E7083" w:rsidRDefault="007E7083" w:rsidP="007E7083">
            <w:pPr>
              <w:jc w:val="center"/>
            </w:pPr>
            <w:r>
              <w:rPr>
                <w:rFonts w:asciiTheme="majorHAnsi" w:eastAsia="Verdana" w:hAnsiTheme="majorHAnsi" w:cstheme="majorHAnsi"/>
                <w:sz w:val="18"/>
                <w:szCs w:val="18"/>
              </w:rPr>
              <w:t>66,237</w:t>
            </w:r>
          </w:p>
        </w:tc>
        <w:tc>
          <w:tcPr>
            <w:tcW w:w="1103" w:type="dxa"/>
            <w:shd w:val="clear" w:color="auto" w:fill="FFF2CC" w:themeFill="accent4" w:themeFillTint="33"/>
            <w:vAlign w:val="bottom"/>
          </w:tcPr>
          <w:p w14:paraId="7BD86957" w14:textId="234CF888" w:rsidR="007E7083" w:rsidRDefault="007E7083" w:rsidP="007E7083">
            <w:pPr>
              <w:jc w:val="center"/>
            </w:pPr>
            <w:r w:rsidRPr="002B01A1">
              <w:rPr>
                <w:rFonts w:asciiTheme="majorHAnsi" w:hAnsiTheme="majorHAnsi" w:cstheme="majorHAnsi"/>
                <w:color w:val="000000"/>
                <w:sz w:val="18"/>
                <w:szCs w:val="18"/>
              </w:rPr>
              <w:t>100.00%</w:t>
            </w:r>
          </w:p>
        </w:tc>
        <w:tc>
          <w:tcPr>
            <w:tcW w:w="967" w:type="dxa"/>
            <w:shd w:val="clear" w:color="auto" w:fill="FFF2CC" w:themeFill="accent4" w:themeFillTint="33"/>
            <w:vAlign w:val="bottom"/>
          </w:tcPr>
          <w:p w14:paraId="384E2DD6" w14:textId="5AE73293" w:rsidR="007E7083" w:rsidRDefault="007E7083" w:rsidP="007E7083">
            <w:pPr>
              <w:jc w:val="center"/>
            </w:pPr>
            <w:r>
              <w:rPr>
                <w:rFonts w:asciiTheme="majorHAnsi" w:eastAsia="Verdana" w:hAnsiTheme="majorHAnsi" w:cstheme="majorHAnsi"/>
                <w:sz w:val="18"/>
                <w:szCs w:val="18"/>
              </w:rPr>
              <w:t>61,555</w:t>
            </w:r>
          </w:p>
        </w:tc>
        <w:tc>
          <w:tcPr>
            <w:tcW w:w="1080" w:type="dxa"/>
            <w:shd w:val="clear" w:color="auto" w:fill="FFF2CC" w:themeFill="accent4" w:themeFillTint="33"/>
            <w:vAlign w:val="bottom"/>
          </w:tcPr>
          <w:p w14:paraId="2A413A18" w14:textId="728C21F1" w:rsidR="007E7083" w:rsidRDefault="007E7083" w:rsidP="007E7083">
            <w:pPr>
              <w:jc w:val="center"/>
            </w:pPr>
            <w:r w:rsidRPr="002B01A1">
              <w:rPr>
                <w:rFonts w:asciiTheme="majorHAnsi" w:hAnsiTheme="majorHAnsi" w:cstheme="majorHAnsi"/>
                <w:color w:val="000000"/>
                <w:sz w:val="18"/>
                <w:szCs w:val="18"/>
              </w:rPr>
              <w:t>100.00%</w:t>
            </w:r>
          </w:p>
        </w:tc>
      </w:tr>
      <w:tr w:rsidR="007E7083" w14:paraId="4FF20693" w14:textId="77777777" w:rsidTr="009245CF">
        <w:trPr>
          <w:cantSplit/>
        </w:trPr>
        <w:tc>
          <w:tcPr>
            <w:tcW w:w="2155" w:type="dxa"/>
            <w:shd w:val="clear" w:color="auto" w:fill="F2F2F2" w:themeFill="background1" w:themeFillShade="F2"/>
            <w:vAlign w:val="bottom"/>
          </w:tcPr>
          <w:p w14:paraId="03A876E0" w14:textId="4FDAD16C" w:rsidR="007E7083" w:rsidRDefault="007E7083" w:rsidP="007E7083">
            <w:r>
              <w:rPr>
                <w:rFonts w:asciiTheme="majorHAnsi" w:eastAsia="Times New Roman" w:hAnsiTheme="majorHAnsi" w:cstheme="majorHAnsi"/>
                <w:color w:val="000000"/>
                <w:sz w:val="20"/>
                <w:szCs w:val="20"/>
              </w:rPr>
              <w:t xml:space="preserve">Payer - </w:t>
            </w:r>
            <w:r w:rsidRPr="000C14B0">
              <w:rPr>
                <w:rFonts w:asciiTheme="majorHAnsi" w:eastAsia="Times New Roman" w:hAnsiTheme="majorHAnsi" w:cstheme="majorHAnsi"/>
                <w:color w:val="000000"/>
                <w:sz w:val="20"/>
                <w:szCs w:val="20"/>
              </w:rPr>
              <w:t>Commercia</w:t>
            </w:r>
            <w:r>
              <w:rPr>
                <w:rFonts w:asciiTheme="majorHAnsi" w:eastAsia="Times New Roman" w:hAnsiTheme="majorHAnsi" w:cstheme="majorHAnsi"/>
                <w:color w:val="000000"/>
                <w:sz w:val="20"/>
                <w:szCs w:val="20"/>
              </w:rPr>
              <w:t>l</w:t>
            </w:r>
          </w:p>
        </w:tc>
        <w:tc>
          <w:tcPr>
            <w:tcW w:w="1080" w:type="dxa"/>
            <w:shd w:val="clear" w:color="auto" w:fill="F2F2F2" w:themeFill="background1" w:themeFillShade="F2"/>
            <w:vAlign w:val="bottom"/>
          </w:tcPr>
          <w:p w14:paraId="70E52E16" w14:textId="7D5306CD" w:rsidR="007E7083" w:rsidRDefault="007E7083" w:rsidP="007E7083">
            <w:pPr>
              <w:jc w:val="center"/>
            </w:pPr>
            <w:r>
              <w:rPr>
                <w:rFonts w:asciiTheme="majorHAnsi" w:eastAsia="Verdana" w:hAnsiTheme="majorHAnsi" w:cstheme="majorHAnsi"/>
                <w:sz w:val="18"/>
                <w:szCs w:val="18"/>
              </w:rPr>
              <w:t>31,425</w:t>
            </w:r>
          </w:p>
        </w:tc>
        <w:tc>
          <w:tcPr>
            <w:tcW w:w="1260" w:type="dxa"/>
            <w:shd w:val="clear" w:color="auto" w:fill="F2F2F2" w:themeFill="background1" w:themeFillShade="F2"/>
            <w:vAlign w:val="bottom"/>
          </w:tcPr>
          <w:p w14:paraId="23260378" w14:textId="7538D464" w:rsidR="007E7083" w:rsidRDefault="007E7083" w:rsidP="007E7083">
            <w:pPr>
              <w:jc w:val="center"/>
            </w:pPr>
            <w:r w:rsidRPr="004008AE">
              <w:rPr>
                <w:rFonts w:asciiTheme="majorHAnsi" w:hAnsiTheme="majorHAnsi" w:cstheme="majorHAnsi"/>
                <w:color w:val="000000"/>
                <w:sz w:val="18"/>
                <w:szCs w:val="18"/>
              </w:rPr>
              <w:t>54.49%</w:t>
            </w:r>
          </w:p>
        </w:tc>
        <w:tc>
          <w:tcPr>
            <w:tcW w:w="1080" w:type="dxa"/>
            <w:shd w:val="clear" w:color="auto" w:fill="F2F2F2" w:themeFill="background1" w:themeFillShade="F2"/>
          </w:tcPr>
          <w:p w14:paraId="045FE7A4" w14:textId="42C85654" w:rsidR="007E7083" w:rsidRDefault="007E7083" w:rsidP="007E7083">
            <w:pPr>
              <w:jc w:val="center"/>
            </w:pPr>
            <w:r>
              <w:rPr>
                <w:rFonts w:asciiTheme="majorHAnsi" w:eastAsia="Verdana" w:hAnsiTheme="majorHAnsi" w:cstheme="majorHAnsi"/>
                <w:sz w:val="18"/>
                <w:szCs w:val="18"/>
              </w:rPr>
              <w:t>34,901</w:t>
            </w:r>
          </w:p>
        </w:tc>
        <w:tc>
          <w:tcPr>
            <w:tcW w:w="1103" w:type="dxa"/>
            <w:shd w:val="clear" w:color="auto" w:fill="F2F2F2" w:themeFill="background1" w:themeFillShade="F2"/>
            <w:vAlign w:val="bottom"/>
          </w:tcPr>
          <w:p w14:paraId="6E463845" w14:textId="1AA4BD45" w:rsidR="007E7083" w:rsidRDefault="007E7083" w:rsidP="007E7083">
            <w:pPr>
              <w:jc w:val="center"/>
            </w:pPr>
            <w:r w:rsidRPr="004008AE">
              <w:rPr>
                <w:rFonts w:asciiTheme="majorHAnsi" w:hAnsiTheme="majorHAnsi" w:cstheme="majorHAnsi"/>
                <w:color w:val="000000"/>
                <w:sz w:val="18"/>
                <w:szCs w:val="18"/>
              </w:rPr>
              <w:t>52.69%</w:t>
            </w:r>
          </w:p>
        </w:tc>
        <w:tc>
          <w:tcPr>
            <w:tcW w:w="967" w:type="dxa"/>
            <w:shd w:val="clear" w:color="auto" w:fill="F2F2F2" w:themeFill="background1" w:themeFillShade="F2"/>
            <w:vAlign w:val="bottom"/>
          </w:tcPr>
          <w:p w14:paraId="16E9AA07" w14:textId="3CFDB0FF" w:rsidR="007E7083" w:rsidRDefault="007E7083" w:rsidP="007E7083">
            <w:pPr>
              <w:jc w:val="center"/>
            </w:pPr>
            <w:r>
              <w:rPr>
                <w:rFonts w:asciiTheme="majorHAnsi" w:eastAsia="Verdana" w:hAnsiTheme="majorHAnsi" w:cstheme="majorHAnsi"/>
                <w:sz w:val="18"/>
                <w:szCs w:val="18"/>
              </w:rPr>
              <w:t>31,929</w:t>
            </w:r>
          </w:p>
        </w:tc>
        <w:tc>
          <w:tcPr>
            <w:tcW w:w="1080" w:type="dxa"/>
            <w:shd w:val="clear" w:color="auto" w:fill="F2F2F2" w:themeFill="background1" w:themeFillShade="F2"/>
            <w:vAlign w:val="bottom"/>
          </w:tcPr>
          <w:p w14:paraId="1D2C84DE" w14:textId="6B7BF190" w:rsidR="007E7083" w:rsidRDefault="007E7083" w:rsidP="007E7083">
            <w:pPr>
              <w:jc w:val="center"/>
            </w:pPr>
            <w:r w:rsidRPr="004008AE">
              <w:rPr>
                <w:rFonts w:asciiTheme="majorHAnsi" w:hAnsiTheme="majorHAnsi" w:cstheme="majorHAnsi"/>
                <w:color w:val="000000"/>
                <w:sz w:val="18"/>
                <w:szCs w:val="18"/>
              </w:rPr>
              <w:t>51.87%</w:t>
            </w:r>
          </w:p>
        </w:tc>
      </w:tr>
      <w:tr w:rsidR="007E7083" w14:paraId="3A72B13B" w14:textId="77777777" w:rsidTr="009245CF">
        <w:trPr>
          <w:cantSplit/>
        </w:trPr>
        <w:tc>
          <w:tcPr>
            <w:tcW w:w="2155" w:type="dxa"/>
            <w:shd w:val="clear" w:color="auto" w:fill="F2F2F2" w:themeFill="background1" w:themeFillShade="F2"/>
            <w:vAlign w:val="bottom"/>
          </w:tcPr>
          <w:p w14:paraId="51ED6D05" w14:textId="29384522" w:rsidR="007E7083" w:rsidRDefault="007E7083" w:rsidP="007E7083">
            <w:r>
              <w:rPr>
                <w:rFonts w:asciiTheme="majorHAnsi" w:eastAsia="Times New Roman" w:hAnsiTheme="majorHAnsi" w:cstheme="majorHAnsi"/>
                <w:color w:val="000000"/>
                <w:sz w:val="20"/>
                <w:szCs w:val="20"/>
              </w:rPr>
              <w:t>Payer - Medicare</w:t>
            </w:r>
          </w:p>
        </w:tc>
        <w:tc>
          <w:tcPr>
            <w:tcW w:w="1080" w:type="dxa"/>
            <w:shd w:val="clear" w:color="auto" w:fill="F2F2F2" w:themeFill="background1" w:themeFillShade="F2"/>
            <w:vAlign w:val="bottom"/>
          </w:tcPr>
          <w:p w14:paraId="1C7C2E16" w14:textId="4AD4AE7F" w:rsidR="007E7083" w:rsidRDefault="007E7083" w:rsidP="007E7083">
            <w:pPr>
              <w:jc w:val="center"/>
            </w:pPr>
            <w:r>
              <w:rPr>
                <w:rFonts w:asciiTheme="majorHAnsi" w:eastAsia="Verdana" w:hAnsiTheme="majorHAnsi" w:cstheme="majorHAnsi"/>
                <w:sz w:val="18"/>
                <w:szCs w:val="18"/>
              </w:rPr>
              <w:t>16,414</w:t>
            </w:r>
          </w:p>
        </w:tc>
        <w:tc>
          <w:tcPr>
            <w:tcW w:w="1260" w:type="dxa"/>
            <w:shd w:val="clear" w:color="auto" w:fill="F2F2F2" w:themeFill="background1" w:themeFillShade="F2"/>
            <w:vAlign w:val="bottom"/>
          </w:tcPr>
          <w:p w14:paraId="6300D097" w14:textId="5C371580" w:rsidR="007E7083" w:rsidRDefault="007E7083" w:rsidP="007E7083">
            <w:pPr>
              <w:jc w:val="center"/>
            </w:pPr>
            <w:r w:rsidRPr="004008AE">
              <w:rPr>
                <w:rFonts w:asciiTheme="majorHAnsi" w:hAnsiTheme="majorHAnsi" w:cstheme="majorHAnsi"/>
                <w:color w:val="000000"/>
                <w:sz w:val="18"/>
                <w:szCs w:val="18"/>
              </w:rPr>
              <w:t>28.46%</w:t>
            </w:r>
          </w:p>
        </w:tc>
        <w:tc>
          <w:tcPr>
            <w:tcW w:w="1080" w:type="dxa"/>
            <w:shd w:val="clear" w:color="auto" w:fill="F2F2F2" w:themeFill="background1" w:themeFillShade="F2"/>
          </w:tcPr>
          <w:p w14:paraId="314F1F73" w14:textId="4840C7C2" w:rsidR="007E7083" w:rsidRDefault="007E7083" w:rsidP="007E7083">
            <w:pPr>
              <w:jc w:val="center"/>
            </w:pPr>
            <w:r>
              <w:rPr>
                <w:rFonts w:asciiTheme="majorHAnsi" w:eastAsia="Verdana" w:hAnsiTheme="majorHAnsi" w:cstheme="majorHAnsi"/>
                <w:sz w:val="18"/>
                <w:szCs w:val="18"/>
              </w:rPr>
              <w:t>19,329</w:t>
            </w:r>
          </w:p>
        </w:tc>
        <w:tc>
          <w:tcPr>
            <w:tcW w:w="1103" w:type="dxa"/>
            <w:shd w:val="clear" w:color="auto" w:fill="F2F2F2" w:themeFill="background1" w:themeFillShade="F2"/>
            <w:vAlign w:val="bottom"/>
          </w:tcPr>
          <w:p w14:paraId="43765C83" w14:textId="783C4BC5" w:rsidR="007E7083" w:rsidRDefault="007E7083" w:rsidP="007E7083">
            <w:pPr>
              <w:jc w:val="center"/>
            </w:pPr>
            <w:r w:rsidRPr="004008AE">
              <w:rPr>
                <w:rFonts w:asciiTheme="majorHAnsi" w:hAnsiTheme="majorHAnsi" w:cstheme="majorHAnsi"/>
                <w:color w:val="000000"/>
                <w:sz w:val="18"/>
                <w:szCs w:val="18"/>
              </w:rPr>
              <w:t>29.18%</w:t>
            </w:r>
          </w:p>
        </w:tc>
        <w:tc>
          <w:tcPr>
            <w:tcW w:w="967" w:type="dxa"/>
            <w:shd w:val="clear" w:color="auto" w:fill="F2F2F2" w:themeFill="background1" w:themeFillShade="F2"/>
            <w:vAlign w:val="bottom"/>
          </w:tcPr>
          <w:p w14:paraId="2EC7F059" w14:textId="3C33ACCB" w:rsidR="007E7083" w:rsidRDefault="007E7083" w:rsidP="007E7083">
            <w:pPr>
              <w:jc w:val="center"/>
            </w:pPr>
            <w:r>
              <w:rPr>
                <w:rFonts w:asciiTheme="majorHAnsi" w:eastAsia="Verdana" w:hAnsiTheme="majorHAnsi" w:cstheme="majorHAnsi"/>
                <w:sz w:val="18"/>
                <w:szCs w:val="18"/>
              </w:rPr>
              <w:t>18,623</w:t>
            </w:r>
          </w:p>
        </w:tc>
        <w:tc>
          <w:tcPr>
            <w:tcW w:w="1080" w:type="dxa"/>
            <w:shd w:val="clear" w:color="auto" w:fill="F2F2F2" w:themeFill="background1" w:themeFillShade="F2"/>
            <w:vAlign w:val="bottom"/>
          </w:tcPr>
          <w:p w14:paraId="475C493E" w14:textId="2578B4B3" w:rsidR="007E7083" w:rsidRDefault="007E7083" w:rsidP="007E7083">
            <w:pPr>
              <w:jc w:val="center"/>
            </w:pPr>
            <w:r w:rsidRPr="004008AE">
              <w:rPr>
                <w:rFonts w:asciiTheme="majorHAnsi" w:hAnsiTheme="majorHAnsi" w:cstheme="majorHAnsi"/>
                <w:color w:val="000000"/>
                <w:sz w:val="18"/>
                <w:szCs w:val="18"/>
              </w:rPr>
              <w:t>30.25%</w:t>
            </w:r>
          </w:p>
        </w:tc>
      </w:tr>
      <w:tr w:rsidR="007E7083" w14:paraId="2D1D215E" w14:textId="77777777" w:rsidTr="009245CF">
        <w:trPr>
          <w:cantSplit/>
        </w:trPr>
        <w:tc>
          <w:tcPr>
            <w:tcW w:w="2155" w:type="dxa"/>
            <w:shd w:val="clear" w:color="auto" w:fill="F2F2F2" w:themeFill="background1" w:themeFillShade="F2"/>
            <w:vAlign w:val="bottom"/>
          </w:tcPr>
          <w:p w14:paraId="117D00B0" w14:textId="6D5300B6" w:rsidR="007E7083" w:rsidRDefault="007E7083" w:rsidP="007E7083">
            <w:r>
              <w:rPr>
                <w:rFonts w:asciiTheme="majorHAnsi" w:eastAsia="Times New Roman" w:hAnsiTheme="majorHAnsi" w:cstheme="majorHAnsi"/>
                <w:color w:val="000000"/>
                <w:sz w:val="20"/>
                <w:szCs w:val="20"/>
              </w:rPr>
              <w:t>Payer - Medicaid</w:t>
            </w:r>
          </w:p>
        </w:tc>
        <w:tc>
          <w:tcPr>
            <w:tcW w:w="1080" w:type="dxa"/>
            <w:shd w:val="clear" w:color="auto" w:fill="F2F2F2" w:themeFill="background1" w:themeFillShade="F2"/>
            <w:vAlign w:val="bottom"/>
          </w:tcPr>
          <w:p w14:paraId="03901D02" w14:textId="2E2B2474" w:rsidR="007E7083" w:rsidRDefault="007E7083" w:rsidP="007E7083">
            <w:pPr>
              <w:jc w:val="center"/>
            </w:pPr>
            <w:r>
              <w:rPr>
                <w:rFonts w:asciiTheme="majorHAnsi" w:eastAsia="Verdana" w:hAnsiTheme="majorHAnsi" w:cstheme="majorHAnsi"/>
                <w:sz w:val="18"/>
                <w:szCs w:val="18"/>
              </w:rPr>
              <w:t>6,232</w:t>
            </w:r>
          </w:p>
        </w:tc>
        <w:tc>
          <w:tcPr>
            <w:tcW w:w="1260" w:type="dxa"/>
            <w:shd w:val="clear" w:color="auto" w:fill="F2F2F2" w:themeFill="background1" w:themeFillShade="F2"/>
            <w:vAlign w:val="bottom"/>
          </w:tcPr>
          <w:p w14:paraId="4AB58AA0" w14:textId="482250A7" w:rsidR="007E7083" w:rsidRDefault="007E7083" w:rsidP="007E7083">
            <w:pPr>
              <w:jc w:val="center"/>
            </w:pPr>
            <w:r w:rsidRPr="004008AE">
              <w:rPr>
                <w:rFonts w:asciiTheme="majorHAnsi" w:hAnsiTheme="majorHAnsi" w:cstheme="majorHAnsi"/>
                <w:color w:val="000000"/>
                <w:sz w:val="18"/>
                <w:szCs w:val="18"/>
              </w:rPr>
              <w:t>10.81%</w:t>
            </w:r>
          </w:p>
        </w:tc>
        <w:tc>
          <w:tcPr>
            <w:tcW w:w="1080" w:type="dxa"/>
            <w:shd w:val="clear" w:color="auto" w:fill="F2F2F2" w:themeFill="background1" w:themeFillShade="F2"/>
          </w:tcPr>
          <w:p w14:paraId="3193FF1B" w14:textId="677D00B0" w:rsidR="007E7083" w:rsidRDefault="007E7083" w:rsidP="007E7083">
            <w:pPr>
              <w:jc w:val="center"/>
            </w:pPr>
            <w:r>
              <w:rPr>
                <w:rFonts w:asciiTheme="majorHAnsi" w:eastAsia="Verdana" w:hAnsiTheme="majorHAnsi" w:cstheme="majorHAnsi"/>
                <w:sz w:val="18"/>
                <w:szCs w:val="18"/>
              </w:rPr>
              <w:t>6,909</w:t>
            </w:r>
          </w:p>
        </w:tc>
        <w:tc>
          <w:tcPr>
            <w:tcW w:w="1103" w:type="dxa"/>
            <w:shd w:val="clear" w:color="auto" w:fill="F2F2F2" w:themeFill="background1" w:themeFillShade="F2"/>
            <w:vAlign w:val="bottom"/>
          </w:tcPr>
          <w:p w14:paraId="15AE86A1" w14:textId="419060F7" w:rsidR="007E7083" w:rsidRDefault="007E7083" w:rsidP="007E7083">
            <w:pPr>
              <w:jc w:val="center"/>
            </w:pPr>
            <w:r w:rsidRPr="004008AE">
              <w:rPr>
                <w:rFonts w:asciiTheme="majorHAnsi" w:hAnsiTheme="majorHAnsi" w:cstheme="majorHAnsi"/>
                <w:color w:val="000000"/>
                <w:sz w:val="18"/>
                <w:szCs w:val="18"/>
              </w:rPr>
              <w:t>10.43%</w:t>
            </w:r>
          </w:p>
        </w:tc>
        <w:tc>
          <w:tcPr>
            <w:tcW w:w="967" w:type="dxa"/>
            <w:shd w:val="clear" w:color="auto" w:fill="F2F2F2" w:themeFill="background1" w:themeFillShade="F2"/>
            <w:vAlign w:val="bottom"/>
          </w:tcPr>
          <w:p w14:paraId="636F7D77" w14:textId="5AE4B553" w:rsidR="007E7083" w:rsidRDefault="007E7083" w:rsidP="007E7083">
            <w:pPr>
              <w:jc w:val="center"/>
            </w:pPr>
            <w:r>
              <w:rPr>
                <w:rFonts w:asciiTheme="majorHAnsi" w:eastAsia="Verdana" w:hAnsiTheme="majorHAnsi" w:cstheme="majorHAnsi"/>
                <w:sz w:val="18"/>
                <w:szCs w:val="18"/>
              </w:rPr>
              <w:t>7,621</w:t>
            </w:r>
          </w:p>
        </w:tc>
        <w:tc>
          <w:tcPr>
            <w:tcW w:w="1080" w:type="dxa"/>
            <w:shd w:val="clear" w:color="auto" w:fill="F2F2F2" w:themeFill="background1" w:themeFillShade="F2"/>
            <w:vAlign w:val="bottom"/>
          </w:tcPr>
          <w:p w14:paraId="472D3A29" w14:textId="130D29F1" w:rsidR="007E7083" w:rsidRDefault="007E7083" w:rsidP="007E7083">
            <w:pPr>
              <w:jc w:val="center"/>
            </w:pPr>
            <w:r w:rsidRPr="004008AE">
              <w:rPr>
                <w:rFonts w:asciiTheme="majorHAnsi" w:hAnsiTheme="majorHAnsi" w:cstheme="majorHAnsi"/>
                <w:color w:val="000000"/>
                <w:sz w:val="18"/>
                <w:szCs w:val="18"/>
              </w:rPr>
              <w:t>12.38%</w:t>
            </w:r>
          </w:p>
        </w:tc>
      </w:tr>
      <w:tr w:rsidR="007E7083" w14:paraId="024FDF68" w14:textId="77777777" w:rsidTr="009245CF">
        <w:trPr>
          <w:cantSplit/>
        </w:trPr>
        <w:tc>
          <w:tcPr>
            <w:tcW w:w="2155" w:type="dxa"/>
            <w:shd w:val="clear" w:color="auto" w:fill="F2F2F2" w:themeFill="background1" w:themeFillShade="F2"/>
            <w:vAlign w:val="bottom"/>
          </w:tcPr>
          <w:p w14:paraId="029858DD" w14:textId="785A29E9" w:rsidR="007E7083" w:rsidRDefault="007E7083" w:rsidP="007E7083">
            <w:r>
              <w:rPr>
                <w:rFonts w:asciiTheme="majorHAnsi" w:eastAsia="Times New Roman" w:hAnsiTheme="majorHAnsi" w:cstheme="majorHAnsi"/>
                <w:color w:val="000000"/>
                <w:sz w:val="20"/>
                <w:szCs w:val="20"/>
              </w:rPr>
              <w:t xml:space="preserve">Payer - </w:t>
            </w:r>
            <w:r>
              <w:rPr>
                <w:rFonts w:asciiTheme="majorHAnsi" w:hAnsiTheme="majorHAnsi" w:cstheme="majorHAnsi"/>
                <w:color w:val="000000"/>
                <w:sz w:val="18"/>
                <w:szCs w:val="18"/>
              </w:rPr>
              <w:t>Multiple Payors</w:t>
            </w:r>
            <w:r>
              <w:rPr>
                <w:rStyle w:val="FootnoteReference"/>
                <w:rFonts w:asciiTheme="majorHAnsi" w:hAnsiTheme="majorHAnsi" w:cstheme="majorHAnsi"/>
                <w:color w:val="000000"/>
                <w:sz w:val="18"/>
                <w:szCs w:val="18"/>
              </w:rPr>
              <w:footnoteReference w:id="12"/>
            </w:r>
          </w:p>
        </w:tc>
        <w:tc>
          <w:tcPr>
            <w:tcW w:w="1080" w:type="dxa"/>
            <w:shd w:val="clear" w:color="auto" w:fill="F2F2F2" w:themeFill="background1" w:themeFillShade="F2"/>
            <w:vAlign w:val="bottom"/>
          </w:tcPr>
          <w:p w14:paraId="2995B89B" w14:textId="45866872" w:rsidR="007E7083" w:rsidRDefault="007E7083" w:rsidP="007E7083">
            <w:pPr>
              <w:jc w:val="center"/>
            </w:pPr>
            <w:r>
              <w:rPr>
                <w:rFonts w:asciiTheme="majorHAnsi" w:eastAsia="Verdana" w:hAnsiTheme="majorHAnsi" w:cstheme="majorHAnsi"/>
                <w:sz w:val="18"/>
                <w:szCs w:val="18"/>
              </w:rPr>
              <w:t>0</w:t>
            </w:r>
          </w:p>
        </w:tc>
        <w:tc>
          <w:tcPr>
            <w:tcW w:w="1260" w:type="dxa"/>
            <w:shd w:val="clear" w:color="auto" w:fill="F2F2F2" w:themeFill="background1" w:themeFillShade="F2"/>
            <w:vAlign w:val="bottom"/>
          </w:tcPr>
          <w:p w14:paraId="6FD7CD21" w14:textId="5061B322" w:rsidR="007E7083" w:rsidRDefault="007E7083" w:rsidP="007E7083">
            <w:pPr>
              <w:jc w:val="center"/>
            </w:pPr>
            <w:r w:rsidRPr="004008AE">
              <w:rPr>
                <w:rFonts w:asciiTheme="majorHAnsi" w:hAnsiTheme="majorHAnsi" w:cstheme="majorHAnsi"/>
                <w:color w:val="000000"/>
                <w:sz w:val="18"/>
                <w:szCs w:val="18"/>
              </w:rPr>
              <w:t>0.00%</w:t>
            </w:r>
          </w:p>
        </w:tc>
        <w:tc>
          <w:tcPr>
            <w:tcW w:w="1080" w:type="dxa"/>
            <w:shd w:val="clear" w:color="auto" w:fill="F2F2F2" w:themeFill="background1" w:themeFillShade="F2"/>
          </w:tcPr>
          <w:p w14:paraId="44E54C05" w14:textId="4F21F166" w:rsidR="007E7083" w:rsidRDefault="007E7083" w:rsidP="007E7083">
            <w:pPr>
              <w:jc w:val="center"/>
            </w:pPr>
            <w:r>
              <w:rPr>
                <w:rFonts w:asciiTheme="majorHAnsi" w:eastAsia="Verdana" w:hAnsiTheme="majorHAnsi" w:cstheme="majorHAnsi"/>
                <w:sz w:val="18"/>
                <w:szCs w:val="18"/>
              </w:rPr>
              <w:t>0</w:t>
            </w:r>
          </w:p>
        </w:tc>
        <w:tc>
          <w:tcPr>
            <w:tcW w:w="1103" w:type="dxa"/>
            <w:shd w:val="clear" w:color="auto" w:fill="F2F2F2" w:themeFill="background1" w:themeFillShade="F2"/>
            <w:vAlign w:val="bottom"/>
          </w:tcPr>
          <w:p w14:paraId="2BA23E59" w14:textId="6436ABEC" w:rsidR="007E7083" w:rsidRDefault="007E7083" w:rsidP="007E7083">
            <w:pPr>
              <w:jc w:val="center"/>
            </w:pPr>
            <w:r w:rsidRPr="004008AE">
              <w:rPr>
                <w:rFonts w:asciiTheme="majorHAnsi" w:hAnsiTheme="majorHAnsi" w:cstheme="majorHAnsi"/>
                <w:color w:val="000000"/>
                <w:sz w:val="18"/>
                <w:szCs w:val="18"/>
              </w:rPr>
              <w:t>0.00%</w:t>
            </w:r>
          </w:p>
        </w:tc>
        <w:tc>
          <w:tcPr>
            <w:tcW w:w="967" w:type="dxa"/>
            <w:shd w:val="clear" w:color="auto" w:fill="F2F2F2" w:themeFill="background1" w:themeFillShade="F2"/>
            <w:vAlign w:val="bottom"/>
          </w:tcPr>
          <w:p w14:paraId="0A3EB0B4" w14:textId="206E5CB8" w:rsidR="007E7083" w:rsidRDefault="007E7083" w:rsidP="007E7083">
            <w:pPr>
              <w:jc w:val="center"/>
            </w:pPr>
            <w:r>
              <w:rPr>
                <w:rFonts w:asciiTheme="majorHAnsi" w:eastAsia="Verdana" w:hAnsiTheme="majorHAnsi" w:cstheme="majorHAnsi"/>
                <w:sz w:val="18"/>
                <w:szCs w:val="18"/>
              </w:rPr>
              <w:t>0</w:t>
            </w:r>
          </w:p>
        </w:tc>
        <w:tc>
          <w:tcPr>
            <w:tcW w:w="1080" w:type="dxa"/>
            <w:shd w:val="clear" w:color="auto" w:fill="F2F2F2" w:themeFill="background1" w:themeFillShade="F2"/>
            <w:vAlign w:val="bottom"/>
          </w:tcPr>
          <w:p w14:paraId="220DB119" w14:textId="44E7CC78" w:rsidR="007E7083" w:rsidRDefault="007E7083" w:rsidP="007E7083">
            <w:pPr>
              <w:jc w:val="center"/>
            </w:pPr>
            <w:r w:rsidRPr="004008AE">
              <w:rPr>
                <w:rFonts w:asciiTheme="majorHAnsi" w:hAnsiTheme="majorHAnsi" w:cstheme="majorHAnsi"/>
                <w:color w:val="000000"/>
                <w:sz w:val="18"/>
                <w:szCs w:val="18"/>
              </w:rPr>
              <w:t>0.00%</w:t>
            </w:r>
          </w:p>
        </w:tc>
      </w:tr>
      <w:tr w:rsidR="007E7083" w14:paraId="722BC921" w14:textId="77777777" w:rsidTr="009245CF">
        <w:trPr>
          <w:cantSplit/>
        </w:trPr>
        <w:tc>
          <w:tcPr>
            <w:tcW w:w="2155" w:type="dxa"/>
            <w:shd w:val="clear" w:color="auto" w:fill="F2F2F2" w:themeFill="background1" w:themeFillShade="F2"/>
            <w:vAlign w:val="bottom"/>
          </w:tcPr>
          <w:p w14:paraId="5A65A1B6" w14:textId="2777ABC1" w:rsidR="007E7083" w:rsidRDefault="007E7083" w:rsidP="007E7083">
            <w:r>
              <w:rPr>
                <w:rFonts w:asciiTheme="majorHAnsi" w:eastAsia="Times New Roman" w:hAnsiTheme="majorHAnsi" w:cstheme="majorHAnsi"/>
                <w:color w:val="000000"/>
                <w:sz w:val="20"/>
                <w:szCs w:val="20"/>
              </w:rPr>
              <w:t xml:space="preserve">Payer - </w:t>
            </w:r>
            <w:r>
              <w:rPr>
                <w:rFonts w:asciiTheme="majorHAnsi" w:hAnsiTheme="majorHAnsi" w:cstheme="majorHAnsi"/>
                <w:color w:val="000000"/>
                <w:sz w:val="18"/>
                <w:szCs w:val="18"/>
              </w:rPr>
              <w:t>Other</w:t>
            </w:r>
            <w:r w:rsidRPr="00AE324F">
              <w:rPr>
                <w:rStyle w:val="FootnoteReference"/>
                <w:rFonts w:asciiTheme="majorHAnsi" w:hAnsiTheme="majorHAnsi" w:cstheme="majorHAnsi"/>
                <w:color w:val="000000"/>
                <w:sz w:val="18"/>
                <w:szCs w:val="18"/>
              </w:rPr>
              <w:footnoteReference w:id="13"/>
            </w:r>
          </w:p>
        </w:tc>
        <w:tc>
          <w:tcPr>
            <w:tcW w:w="1080" w:type="dxa"/>
            <w:shd w:val="clear" w:color="auto" w:fill="F2F2F2" w:themeFill="background1" w:themeFillShade="F2"/>
            <w:vAlign w:val="bottom"/>
          </w:tcPr>
          <w:p w14:paraId="07F9AAF9" w14:textId="02A31DF9" w:rsidR="007E7083" w:rsidRDefault="007E7083" w:rsidP="007E7083">
            <w:pPr>
              <w:jc w:val="center"/>
            </w:pPr>
            <w:r>
              <w:rPr>
                <w:rFonts w:asciiTheme="majorHAnsi" w:eastAsia="Verdana" w:hAnsiTheme="majorHAnsi" w:cstheme="majorHAnsi"/>
                <w:sz w:val="18"/>
                <w:szCs w:val="18"/>
              </w:rPr>
              <w:t>3,603</w:t>
            </w:r>
          </w:p>
        </w:tc>
        <w:tc>
          <w:tcPr>
            <w:tcW w:w="1260" w:type="dxa"/>
            <w:shd w:val="clear" w:color="auto" w:fill="F2F2F2" w:themeFill="background1" w:themeFillShade="F2"/>
            <w:vAlign w:val="bottom"/>
          </w:tcPr>
          <w:p w14:paraId="1020BC7F" w14:textId="46C17D7F" w:rsidR="007E7083" w:rsidRDefault="007E7083" w:rsidP="007E7083">
            <w:pPr>
              <w:jc w:val="center"/>
            </w:pPr>
            <w:r w:rsidRPr="004008AE">
              <w:rPr>
                <w:rFonts w:asciiTheme="majorHAnsi" w:hAnsiTheme="majorHAnsi" w:cstheme="majorHAnsi"/>
                <w:color w:val="000000"/>
                <w:sz w:val="18"/>
                <w:szCs w:val="18"/>
              </w:rPr>
              <w:t>6.2</w:t>
            </w:r>
            <w:r>
              <w:rPr>
                <w:rFonts w:asciiTheme="majorHAnsi" w:hAnsiTheme="majorHAnsi" w:cstheme="majorHAnsi"/>
                <w:color w:val="000000"/>
                <w:sz w:val="18"/>
                <w:szCs w:val="18"/>
              </w:rPr>
              <w:t>4</w:t>
            </w:r>
            <w:r w:rsidRPr="004008AE">
              <w:rPr>
                <w:rFonts w:asciiTheme="majorHAnsi" w:hAnsiTheme="majorHAnsi" w:cstheme="majorHAnsi"/>
                <w:color w:val="000000"/>
                <w:sz w:val="18"/>
                <w:szCs w:val="18"/>
              </w:rPr>
              <w:t>%</w:t>
            </w:r>
          </w:p>
        </w:tc>
        <w:tc>
          <w:tcPr>
            <w:tcW w:w="1080" w:type="dxa"/>
            <w:shd w:val="clear" w:color="auto" w:fill="F2F2F2" w:themeFill="background1" w:themeFillShade="F2"/>
          </w:tcPr>
          <w:p w14:paraId="52EC03CA" w14:textId="07F85925" w:rsidR="007E7083" w:rsidRDefault="007E7083" w:rsidP="007E7083">
            <w:pPr>
              <w:jc w:val="center"/>
            </w:pPr>
            <w:r>
              <w:rPr>
                <w:rFonts w:asciiTheme="majorHAnsi" w:eastAsia="Verdana" w:hAnsiTheme="majorHAnsi" w:cstheme="majorHAnsi"/>
                <w:sz w:val="18"/>
                <w:szCs w:val="18"/>
              </w:rPr>
              <w:t>5,098</w:t>
            </w:r>
          </w:p>
        </w:tc>
        <w:tc>
          <w:tcPr>
            <w:tcW w:w="1103" w:type="dxa"/>
            <w:shd w:val="clear" w:color="auto" w:fill="F2F2F2" w:themeFill="background1" w:themeFillShade="F2"/>
            <w:vAlign w:val="bottom"/>
          </w:tcPr>
          <w:p w14:paraId="435A4A4E" w14:textId="5D80890D" w:rsidR="007E7083" w:rsidRDefault="007E7083" w:rsidP="007E7083">
            <w:pPr>
              <w:jc w:val="center"/>
            </w:pPr>
            <w:r w:rsidRPr="004008AE">
              <w:rPr>
                <w:rFonts w:asciiTheme="majorHAnsi" w:hAnsiTheme="majorHAnsi" w:cstheme="majorHAnsi"/>
                <w:color w:val="000000"/>
                <w:sz w:val="18"/>
                <w:szCs w:val="18"/>
              </w:rPr>
              <w:t>7.69%</w:t>
            </w:r>
          </w:p>
        </w:tc>
        <w:tc>
          <w:tcPr>
            <w:tcW w:w="967" w:type="dxa"/>
            <w:shd w:val="clear" w:color="auto" w:fill="F2F2F2" w:themeFill="background1" w:themeFillShade="F2"/>
            <w:vAlign w:val="bottom"/>
          </w:tcPr>
          <w:p w14:paraId="79E157B7" w14:textId="2716A2CC" w:rsidR="007E7083" w:rsidRDefault="007E7083" w:rsidP="007E7083">
            <w:pPr>
              <w:jc w:val="center"/>
            </w:pPr>
            <w:r>
              <w:rPr>
                <w:rFonts w:asciiTheme="majorHAnsi" w:eastAsia="Verdana" w:hAnsiTheme="majorHAnsi" w:cstheme="majorHAnsi"/>
                <w:sz w:val="18"/>
                <w:szCs w:val="18"/>
              </w:rPr>
              <w:t>3,382</w:t>
            </w:r>
          </w:p>
        </w:tc>
        <w:tc>
          <w:tcPr>
            <w:tcW w:w="1080" w:type="dxa"/>
            <w:shd w:val="clear" w:color="auto" w:fill="F2F2F2" w:themeFill="background1" w:themeFillShade="F2"/>
            <w:vAlign w:val="bottom"/>
          </w:tcPr>
          <w:p w14:paraId="54EF0F53" w14:textId="2A70353E" w:rsidR="007E7083" w:rsidRDefault="007E7083" w:rsidP="007E7083">
            <w:pPr>
              <w:jc w:val="center"/>
            </w:pPr>
            <w:r w:rsidRPr="004008AE">
              <w:rPr>
                <w:rFonts w:asciiTheme="majorHAnsi" w:hAnsiTheme="majorHAnsi" w:cstheme="majorHAnsi"/>
                <w:color w:val="000000"/>
                <w:sz w:val="18"/>
                <w:szCs w:val="18"/>
              </w:rPr>
              <w:t>5.4</w:t>
            </w:r>
            <w:r>
              <w:rPr>
                <w:rFonts w:asciiTheme="majorHAnsi" w:hAnsiTheme="majorHAnsi" w:cstheme="majorHAnsi"/>
                <w:color w:val="000000"/>
                <w:sz w:val="18"/>
                <w:szCs w:val="18"/>
              </w:rPr>
              <w:t>9</w:t>
            </w:r>
            <w:r w:rsidRPr="004008AE">
              <w:rPr>
                <w:rFonts w:asciiTheme="majorHAnsi" w:hAnsiTheme="majorHAnsi" w:cstheme="majorHAnsi"/>
                <w:color w:val="000000"/>
                <w:sz w:val="18"/>
                <w:szCs w:val="18"/>
              </w:rPr>
              <w:t>%</w:t>
            </w:r>
          </w:p>
        </w:tc>
      </w:tr>
      <w:tr w:rsidR="007E7083" w14:paraId="0902A2AE" w14:textId="77777777" w:rsidTr="009245CF">
        <w:trPr>
          <w:cantSplit/>
        </w:trPr>
        <w:tc>
          <w:tcPr>
            <w:tcW w:w="2155" w:type="dxa"/>
            <w:shd w:val="clear" w:color="auto" w:fill="F2F2F2" w:themeFill="background1" w:themeFillShade="F2"/>
            <w:vAlign w:val="bottom"/>
          </w:tcPr>
          <w:p w14:paraId="1D58E3EB" w14:textId="2DB749CA" w:rsidR="007E7083" w:rsidRDefault="007E7083" w:rsidP="007E7083">
            <w:r w:rsidRPr="00AE324F">
              <w:rPr>
                <w:rFonts w:asciiTheme="majorHAnsi" w:hAnsiTheme="majorHAnsi" w:cstheme="majorHAnsi"/>
                <w:color w:val="000000"/>
                <w:sz w:val="18"/>
                <w:szCs w:val="18"/>
              </w:rPr>
              <w:t>Total</w:t>
            </w:r>
          </w:p>
        </w:tc>
        <w:tc>
          <w:tcPr>
            <w:tcW w:w="1080" w:type="dxa"/>
            <w:shd w:val="clear" w:color="auto" w:fill="F2F2F2" w:themeFill="background1" w:themeFillShade="F2"/>
            <w:vAlign w:val="bottom"/>
          </w:tcPr>
          <w:p w14:paraId="762C7F11" w14:textId="6B96A20C" w:rsidR="007E7083" w:rsidRDefault="007E7083" w:rsidP="007E7083">
            <w:pPr>
              <w:jc w:val="center"/>
            </w:pPr>
            <w:r>
              <w:rPr>
                <w:rFonts w:asciiTheme="majorHAnsi" w:eastAsia="Verdana" w:hAnsiTheme="majorHAnsi" w:cstheme="majorHAnsi"/>
                <w:sz w:val="18"/>
                <w:szCs w:val="18"/>
              </w:rPr>
              <w:t>57,674</w:t>
            </w:r>
          </w:p>
        </w:tc>
        <w:tc>
          <w:tcPr>
            <w:tcW w:w="1260" w:type="dxa"/>
            <w:shd w:val="clear" w:color="auto" w:fill="F2F2F2" w:themeFill="background1" w:themeFillShade="F2"/>
            <w:vAlign w:val="bottom"/>
          </w:tcPr>
          <w:p w14:paraId="2413A112" w14:textId="0CD39422" w:rsidR="007E7083" w:rsidRDefault="007E7083" w:rsidP="007E7083">
            <w:pPr>
              <w:jc w:val="center"/>
            </w:pPr>
            <w:r w:rsidRPr="002B01A1">
              <w:rPr>
                <w:rFonts w:asciiTheme="majorHAnsi" w:hAnsiTheme="majorHAnsi" w:cstheme="majorHAnsi"/>
                <w:color w:val="000000"/>
                <w:sz w:val="18"/>
                <w:szCs w:val="18"/>
              </w:rPr>
              <w:t>100.00%</w:t>
            </w:r>
          </w:p>
        </w:tc>
        <w:tc>
          <w:tcPr>
            <w:tcW w:w="1080" w:type="dxa"/>
            <w:shd w:val="clear" w:color="auto" w:fill="F2F2F2" w:themeFill="background1" w:themeFillShade="F2"/>
          </w:tcPr>
          <w:p w14:paraId="2016E69D" w14:textId="2BE693E0" w:rsidR="007E7083" w:rsidRDefault="007E7083" w:rsidP="007E7083">
            <w:pPr>
              <w:jc w:val="center"/>
            </w:pPr>
            <w:r>
              <w:rPr>
                <w:rFonts w:asciiTheme="majorHAnsi" w:eastAsia="Verdana" w:hAnsiTheme="majorHAnsi" w:cstheme="majorHAnsi"/>
                <w:sz w:val="18"/>
                <w:szCs w:val="18"/>
              </w:rPr>
              <w:t>66,237</w:t>
            </w:r>
          </w:p>
        </w:tc>
        <w:tc>
          <w:tcPr>
            <w:tcW w:w="1103" w:type="dxa"/>
            <w:shd w:val="clear" w:color="auto" w:fill="F2F2F2" w:themeFill="background1" w:themeFillShade="F2"/>
            <w:vAlign w:val="bottom"/>
          </w:tcPr>
          <w:p w14:paraId="2999DBEB" w14:textId="47C3C2B4" w:rsidR="007E7083" w:rsidRDefault="007E7083" w:rsidP="007E7083">
            <w:pPr>
              <w:jc w:val="center"/>
            </w:pPr>
            <w:r w:rsidRPr="002B01A1">
              <w:rPr>
                <w:rFonts w:asciiTheme="majorHAnsi" w:hAnsiTheme="majorHAnsi" w:cstheme="majorHAnsi"/>
                <w:color w:val="000000"/>
                <w:sz w:val="18"/>
                <w:szCs w:val="18"/>
              </w:rPr>
              <w:t>100.00%</w:t>
            </w:r>
          </w:p>
        </w:tc>
        <w:tc>
          <w:tcPr>
            <w:tcW w:w="967" w:type="dxa"/>
            <w:shd w:val="clear" w:color="auto" w:fill="F2F2F2" w:themeFill="background1" w:themeFillShade="F2"/>
            <w:vAlign w:val="bottom"/>
          </w:tcPr>
          <w:p w14:paraId="0E9699C5" w14:textId="3C11546C" w:rsidR="007E7083" w:rsidRDefault="007E7083" w:rsidP="007E7083">
            <w:pPr>
              <w:jc w:val="center"/>
            </w:pPr>
            <w:r>
              <w:rPr>
                <w:rFonts w:asciiTheme="majorHAnsi" w:eastAsia="Verdana" w:hAnsiTheme="majorHAnsi" w:cstheme="majorHAnsi"/>
                <w:sz w:val="18"/>
                <w:szCs w:val="18"/>
              </w:rPr>
              <w:t>61,555</w:t>
            </w:r>
          </w:p>
        </w:tc>
        <w:tc>
          <w:tcPr>
            <w:tcW w:w="1080" w:type="dxa"/>
            <w:shd w:val="clear" w:color="auto" w:fill="F2F2F2" w:themeFill="background1" w:themeFillShade="F2"/>
            <w:vAlign w:val="bottom"/>
          </w:tcPr>
          <w:p w14:paraId="4295D469" w14:textId="7FE095B0" w:rsidR="007E7083" w:rsidRDefault="007E7083" w:rsidP="007E7083">
            <w:pPr>
              <w:jc w:val="center"/>
            </w:pPr>
            <w:r w:rsidRPr="002B01A1">
              <w:rPr>
                <w:rFonts w:asciiTheme="majorHAnsi" w:hAnsiTheme="majorHAnsi" w:cstheme="majorHAnsi"/>
                <w:color w:val="000000"/>
                <w:sz w:val="18"/>
                <w:szCs w:val="18"/>
              </w:rPr>
              <w:t>100.00%</w:t>
            </w:r>
          </w:p>
        </w:tc>
      </w:tr>
    </w:tbl>
    <w:p w14:paraId="6BF47F9A" w14:textId="77777777" w:rsidR="007E7083" w:rsidRPr="007E7083" w:rsidRDefault="007E7083" w:rsidP="007E7083"/>
    <w:p w14:paraId="6D3F0BF2" w14:textId="03BEBA3B" w:rsidR="005948E7" w:rsidRDefault="005948E7" w:rsidP="005948E7">
      <w:pPr>
        <w:spacing w:after="0" w:line="240" w:lineRule="auto"/>
        <w:jc w:val="both"/>
        <w:rPr>
          <w:rFonts w:ascii="Arial" w:hAnsi="Arial" w:cs="Arial"/>
          <w:sz w:val="20"/>
          <w:szCs w:val="20"/>
        </w:rPr>
      </w:pPr>
      <w:r>
        <w:rPr>
          <w:rFonts w:ascii="Arial" w:hAnsi="Arial" w:cs="Arial"/>
          <w:sz w:val="20"/>
          <w:szCs w:val="20"/>
        </w:rPr>
        <w:t xml:space="preserve">When compared to the BILH Patient Panel, the following observations about AJH’s </w:t>
      </w:r>
      <w:r w:rsidR="001B17C2">
        <w:rPr>
          <w:rFonts w:ascii="Arial" w:hAnsi="Arial" w:cs="Arial"/>
          <w:sz w:val="20"/>
          <w:szCs w:val="20"/>
        </w:rPr>
        <w:t>p</w:t>
      </w:r>
      <w:r>
        <w:rPr>
          <w:rFonts w:ascii="Arial" w:hAnsi="Arial" w:cs="Arial"/>
          <w:sz w:val="20"/>
          <w:szCs w:val="20"/>
        </w:rPr>
        <w:t xml:space="preserve">atient </w:t>
      </w:r>
      <w:r w:rsidR="001B17C2">
        <w:rPr>
          <w:rFonts w:ascii="Arial" w:hAnsi="Arial" w:cs="Arial"/>
          <w:sz w:val="20"/>
          <w:szCs w:val="20"/>
        </w:rPr>
        <w:t>p</w:t>
      </w:r>
      <w:r>
        <w:rPr>
          <w:rFonts w:ascii="Arial" w:hAnsi="Arial" w:cs="Arial"/>
          <w:sz w:val="20"/>
          <w:szCs w:val="20"/>
        </w:rPr>
        <w:t>opulation are not</w:t>
      </w:r>
      <w:r w:rsidR="001B17C2">
        <w:rPr>
          <w:rFonts w:ascii="Arial" w:hAnsi="Arial" w:cs="Arial"/>
          <w:sz w:val="20"/>
          <w:szCs w:val="20"/>
        </w:rPr>
        <w:t>able</w:t>
      </w:r>
      <w:r>
        <w:rPr>
          <w:rFonts w:ascii="Arial" w:hAnsi="Arial" w:cs="Arial"/>
          <w:sz w:val="20"/>
          <w:szCs w:val="20"/>
        </w:rPr>
        <w:t xml:space="preserve">: </w:t>
      </w:r>
    </w:p>
    <w:p w14:paraId="0A9A9FCC" w14:textId="65F5B00F" w:rsidR="00213732" w:rsidRDefault="00213732" w:rsidP="006C7671">
      <w:pPr>
        <w:spacing w:after="0" w:line="240" w:lineRule="auto"/>
        <w:jc w:val="both"/>
        <w:rPr>
          <w:rFonts w:ascii="Arial" w:eastAsia="Calibri" w:hAnsi="Arial" w:cs="Arial"/>
          <w:b/>
          <w:kern w:val="2"/>
          <w:highlight w:val="yellow"/>
        </w:rPr>
      </w:pPr>
    </w:p>
    <w:p w14:paraId="70AC4039" w14:textId="3362E6CF" w:rsidR="005948E7" w:rsidRPr="00A62EDE" w:rsidRDefault="005948E7" w:rsidP="00A62EDE">
      <w:pPr>
        <w:autoSpaceDE w:val="0"/>
        <w:autoSpaceDN w:val="0"/>
        <w:adjustRightInd w:val="0"/>
        <w:spacing w:after="0" w:line="240" w:lineRule="auto"/>
        <w:rPr>
          <w:rFonts w:ascii="Arial" w:hAnsi="Arial" w:cs="Arial"/>
          <w:sz w:val="20"/>
          <w:szCs w:val="20"/>
        </w:rPr>
      </w:pPr>
      <w:r w:rsidRPr="00A62EDE">
        <w:rPr>
          <w:rFonts w:ascii="Arial" w:hAnsi="Arial" w:cs="Arial"/>
          <w:b/>
          <w:bCs/>
          <w:sz w:val="20"/>
          <w:szCs w:val="20"/>
        </w:rPr>
        <w:t>Age</w:t>
      </w:r>
      <w:r w:rsidRPr="00A62EDE">
        <w:rPr>
          <w:rFonts w:ascii="Arial" w:hAnsi="Arial" w:cs="Arial"/>
          <w:sz w:val="20"/>
          <w:szCs w:val="20"/>
        </w:rPr>
        <w:t xml:space="preserve"> – </w:t>
      </w:r>
      <w:r w:rsidR="00A62EDE" w:rsidRPr="00A62EDE">
        <w:rPr>
          <w:rFonts w:ascii="Arial" w:hAnsi="Arial" w:cs="Arial"/>
          <w:sz w:val="20"/>
          <w:szCs w:val="20"/>
        </w:rPr>
        <w:t xml:space="preserve">Like BILH, </w:t>
      </w:r>
      <w:r w:rsidR="00A62EDE" w:rsidRPr="00A62EDE">
        <w:rPr>
          <w:rFonts w:ascii="Arial" w:eastAsia="Verdana" w:hAnsi="Arial" w:cs="Arial"/>
          <w:sz w:val="20"/>
        </w:rPr>
        <w:t xml:space="preserve">data for FY20-FY22 show that </w:t>
      </w:r>
      <w:r w:rsidR="001B17C2">
        <w:rPr>
          <w:rFonts w:ascii="Arial" w:eastAsia="Verdana" w:hAnsi="Arial" w:cs="Arial"/>
          <w:sz w:val="20"/>
        </w:rPr>
        <w:t xml:space="preserve">the </w:t>
      </w:r>
      <w:r w:rsidR="00A62EDE" w:rsidRPr="00A62EDE">
        <w:rPr>
          <w:rFonts w:ascii="Arial" w:eastAsia="Verdana" w:hAnsi="Arial" w:cs="Arial"/>
          <w:sz w:val="20"/>
        </w:rPr>
        <w:t xml:space="preserve">majority of AJH’s </w:t>
      </w:r>
      <w:r w:rsidR="001B17C2">
        <w:rPr>
          <w:rFonts w:ascii="Arial" w:eastAsia="Verdana" w:hAnsi="Arial" w:cs="Arial"/>
          <w:sz w:val="20"/>
        </w:rPr>
        <w:t>patient population</w:t>
      </w:r>
      <w:r w:rsidR="00A62EDE" w:rsidRPr="00A62EDE">
        <w:rPr>
          <w:rFonts w:ascii="Arial" w:eastAsia="Verdana" w:hAnsi="Arial" w:cs="Arial"/>
          <w:sz w:val="20"/>
        </w:rPr>
        <w:t xml:space="preserve"> is between 18 to 64, followed by 65+ and 0-17 age cohorts, respectively</w:t>
      </w:r>
      <w:r w:rsidR="00A62EDE" w:rsidRPr="00A62EDE">
        <w:rPr>
          <w:rFonts w:ascii="Arial" w:hAnsi="Arial" w:cs="Arial"/>
          <w:sz w:val="20"/>
          <w:szCs w:val="20"/>
        </w:rPr>
        <w:t>.</w:t>
      </w:r>
      <w:r w:rsidRPr="00A62EDE">
        <w:rPr>
          <w:rFonts w:ascii="Arial" w:hAnsi="Arial" w:cs="Arial"/>
          <w:sz w:val="20"/>
          <w:szCs w:val="20"/>
        </w:rPr>
        <w:t xml:space="preserve"> </w:t>
      </w:r>
    </w:p>
    <w:p w14:paraId="5340F2C8" w14:textId="77777777" w:rsidR="00A62EDE" w:rsidRPr="00A62EDE" w:rsidRDefault="00A62EDE" w:rsidP="00A62EDE">
      <w:pPr>
        <w:pStyle w:val="ListParagraph"/>
        <w:autoSpaceDE w:val="0"/>
        <w:autoSpaceDN w:val="0"/>
        <w:adjustRightInd w:val="0"/>
        <w:spacing w:after="0" w:line="240" w:lineRule="auto"/>
        <w:ind w:left="360"/>
        <w:rPr>
          <w:rFonts w:ascii="Arial" w:hAnsi="Arial" w:cs="Arial"/>
          <w:sz w:val="20"/>
          <w:szCs w:val="20"/>
        </w:rPr>
      </w:pPr>
    </w:p>
    <w:p w14:paraId="1B28BA47" w14:textId="44B7590A" w:rsidR="005948E7" w:rsidRDefault="005948E7" w:rsidP="00A62EDE">
      <w:pPr>
        <w:autoSpaceDE w:val="0"/>
        <w:autoSpaceDN w:val="0"/>
        <w:adjustRightInd w:val="0"/>
        <w:spacing w:after="0" w:line="240" w:lineRule="auto"/>
        <w:rPr>
          <w:rFonts w:ascii="Arial" w:hAnsi="Arial" w:cs="Arial"/>
          <w:sz w:val="20"/>
          <w:szCs w:val="20"/>
        </w:rPr>
      </w:pPr>
      <w:r w:rsidRPr="00A62EDE">
        <w:rPr>
          <w:rFonts w:ascii="Arial" w:hAnsi="Arial" w:cs="Arial"/>
          <w:b/>
          <w:bCs/>
          <w:sz w:val="20"/>
          <w:szCs w:val="20"/>
        </w:rPr>
        <w:t>Race</w:t>
      </w:r>
      <w:r w:rsidRPr="00A62EDE">
        <w:rPr>
          <w:rFonts w:ascii="Arial" w:hAnsi="Arial" w:cs="Arial"/>
          <w:sz w:val="20"/>
          <w:szCs w:val="20"/>
        </w:rPr>
        <w:t xml:space="preserve"> </w:t>
      </w:r>
      <w:r w:rsidR="00A62EDE">
        <w:rPr>
          <w:rFonts w:ascii="Arial" w:hAnsi="Arial" w:cs="Arial"/>
          <w:sz w:val="20"/>
          <w:szCs w:val="20"/>
        </w:rPr>
        <w:t>–</w:t>
      </w:r>
      <w:r w:rsidRPr="00A62EDE">
        <w:rPr>
          <w:rFonts w:ascii="Arial" w:hAnsi="Arial" w:cs="Arial"/>
          <w:sz w:val="20"/>
          <w:szCs w:val="20"/>
        </w:rPr>
        <w:t xml:space="preserve"> </w:t>
      </w:r>
      <w:r w:rsidR="00A62EDE">
        <w:rPr>
          <w:rFonts w:ascii="Arial" w:hAnsi="Arial" w:cs="Arial"/>
          <w:sz w:val="20"/>
          <w:szCs w:val="20"/>
        </w:rPr>
        <w:t xml:space="preserve">Approximately </w:t>
      </w:r>
      <w:r w:rsidRPr="00A62EDE">
        <w:rPr>
          <w:rFonts w:ascii="Arial" w:hAnsi="Arial" w:cs="Arial"/>
          <w:sz w:val="20"/>
          <w:szCs w:val="20"/>
        </w:rPr>
        <w:t>8</w:t>
      </w:r>
      <w:r w:rsidR="00A62EDE">
        <w:rPr>
          <w:rFonts w:ascii="Arial" w:hAnsi="Arial" w:cs="Arial"/>
          <w:sz w:val="20"/>
          <w:szCs w:val="20"/>
        </w:rPr>
        <w:t>9.7</w:t>
      </w:r>
      <w:r w:rsidRPr="00A62EDE">
        <w:rPr>
          <w:rFonts w:ascii="Arial" w:hAnsi="Arial" w:cs="Arial"/>
          <w:sz w:val="20"/>
          <w:szCs w:val="20"/>
        </w:rPr>
        <w:t xml:space="preserve">% of the </w:t>
      </w:r>
      <w:r w:rsidR="00A62EDE">
        <w:rPr>
          <w:rFonts w:ascii="Arial" w:hAnsi="Arial" w:cs="Arial"/>
          <w:sz w:val="20"/>
          <w:szCs w:val="20"/>
        </w:rPr>
        <w:t>AJH</w:t>
      </w:r>
      <w:r w:rsidRPr="00A62EDE">
        <w:rPr>
          <w:rFonts w:ascii="Arial" w:hAnsi="Arial" w:cs="Arial"/>
          <w:sz w:val="20"/>
          <w:szCs w:val="20"/>
        </w:rPr>
        <w:t xml:space="preserve"> patient population </w:t>
      </w:r>
      <w:r w:rsidR="00A62EDE">
        <w:rPr>
          <w:rFonts w:ascii="Arial" w:hAnsi="Arial" w:cs="Arial"/>
          <w:sz w:val="20"/>
          <w:szCs w:val="20"/>
        </w:rPr>
        <w:t>self-</w:t>
      </w:r>
      <w:r w:rsidRPr="00A62EDE">
        <w:rPr>
          <w:rFonts w:ascii="Arial" w:hAnsi="Arial" w:cs="Arial"/>
          <w:sz w:val="20"/>
          <w:szCs w:val="20"/>
        </w:rPr>
        <w:t xml:space="preserve">identify as White compared to </w:t>
      </w:r>
      <w:r w:rsidR="000E70B8">
        <w:rPr>
          <w:rFonts w:ascii="Arial" w:eastAsia="Verdana" w:hAnsi="Arial" w:cs="Arial"/>
          <w:sz w:val="20"/>
        </w:rPr>
        <w:t>73.38</w:t>
      </w:r>
      <w:r w:rsidRPr="00A62EDE">
        <w:rPr>
          <w:rFonts w:ascii="Arial" w:hAnsi="Arial" w:cs="Arial"/>
          <w:sz w:val="20"/>
          <w:szCs w:val="20"/>
        </w:rPr>
        <w:t>% of the BILH Patient Panel</w:t>
      </w:r>
      <w:r w:rsidR="00C37955">
        <w:rPr>
          <w:rFonts w:ascii="Arial" w:hAnsi="Arial" w:cs="Arial"/>
          <w:sz w:val="20"/>
          <w:szCs w:val="20"/>
        </w:rPr>
        <w:t xml:space="preserve"> who self-identify as White.</w:t>
      </w:r>
      <w:r w:rsidRPr="00A62EDE">
        <w:rPr>
          <w:rFonts w:ascii="Arial" w:hAnsi="Arial" w:cs="Arial"/>
          <w:sz w:val="20"/>
          <w:szCs w:val="20"/>
        </w:rPr>
        <w:t xml:space="preserve"> </w:t>
      </w:r>
    </w:p>
    <w:p w14:paraId="7D5D6C49" w14:textId="77777777" w:rsidR="000E70B8" w:rsidRPr="00A62EDE" w:rsidRDefault="000E70B8" w:rsidP="00A62EDE">
      <w:pPr>
        <w:autoSpaceDE w:val="0"/>
        <w:autoSpaceDN w:val="0"/>
        <w:adjustRightInd w:val="0"/>
        <w:spacing w:after="0" w:line="240" w:lineRule="auto"/>
        <w:rPr>
          <w:rFonts w:ascii="Arial" w:hAnsi="Arial" w:cs="Arial"/>
          <w:sz w:val="20"/>
          <w:szCs w:val="20"/>
        </w:rPr>
      </w:pPr>
    </w:p>
    <w:p w14:paraId="047EFB1B" w14:textId="261EBCC9" w:rsidR="005948E7" w:rsidRPr="00A62EDE" w:rsidRDefault="005948E7" w:rsidP="00A62EDE">
      <w:pPr>
        <w:autoSpaceDE w:val="0"/>
        <w:autoSpaceDN w:val="0"/>
        <w:adjustRightInd w:val="0"/>
        <w:spacing w:after="0" w:line="240" w:lineRule="auto"/>
        <w:rPr>
          <w:rFonts w:ascii="Arial" w:hAnsi="Arial" w:cs="Arial"/>
          <w:sz w:val="20"/>
          <w:szCs w:val="20"/>
        </w:rPr>
      </w:pPr>
      <w:r w:rsidRPr="00A62EDE">
        <w:rPr>
          <w:rFonts w:ascii="Arial" w:hAnsi="Arial" w:cs="Arial"/>
          <w:b/>
          <w:bCs/>
          <w:sz w:val="20"/>
          <w:szCs w:val="20"/>
        </w:rPr>
        <w:t>Ethnicity</w:t>
      </w:r>
      <w:r w:rsidRPr="00A62EDE">
        <w:rPr>
          <w:rFonts w:ascii="Arial" w:hAnsi="Arial" w:cs="Arial"/>
          <w:sz w:val="20"/>
          <w:szCs w:val="20"/>
        </w:rPr>
        <w:t xml:space="preserve"> – </w:t>
      </w:r>
      <w:r w:rsidR="00C37955">
        <w:rPr>
          <w:rFonts w:ascii="Arial" w:hAnsi="Arial" w:cs="Arial"/>
          <w:sz w:val="20"/>
          <w:szCs w:val="20"/>
        </w:rPr>
        <w:t>Similar to BILH, the majority of</w:t>
      </w:r>
      <w:r w:rsidR="001B17C2">
        <w:rPr>
          <w:rFonts w:ascii="Arial" w:hAnsi="Arial" w:cs="Arial"/>
          <w:sz w:val="20"/>
          <w:szCs w:val="20"/>
        </w:rPr>
        <w:t xml:space="preserve"> the</w:t>
      </w:r>
      <w:r w:rsidR="00C37955">
        <w:rPr>
          <w:rFonts w:ascii="Arial" w:hAnsi="Arial" w:cs="Arial"/>
          <w:sz w:val="20"/>
          <w:szCs w:val="20"/>
        </w:rPr>
        <w:t xml:space="preserve"> AJH patient population self-identified as Not Hispanic/Latino (64.76%).</w:t>
      </w:r>
      <w:r w:rsidRPr="00A62EDE">
        <w:rPr>
          <w:rFonts w:ascii="Arial" w:hAnsi="Arial" w:cs="Arial"/>
          <w:sz w:val="20"/>
          <w:szCs w:val="20"/>
        </w:rPr>
        <w:t xml:space="preserve"> </w:t>
      </w:r>
      <w:r w:rsidR="000443FC">
        <w:rPr>
          <w:rFonts w:ascii="Arial" w:hAnsi="Arial" w:cs="Arial"/>
          <w:sz w:val="20"/>
          <w:szCs w:val="20"/>
        </w:rPr>
        <w:t>However, on average, 33.21% of patients declined to disclose.</w:t>
      </w:r>
    </w:p>
    <w:p w14:paraId="709ACB6E" w14:textId="77777777" w:rsidR="000E70B8" w:rsidRDefault="000E70B8" w:rsidP="00A62EDE">
      <w:pPr>
        <w:autoSpaceDE w:val="0"/>
        <w:autoSpaceDN w:val="0"/>
        <w:adjustRightInd w:val="0"/>
        <w:spacing w:after="0" w:line="240" w:lineRule="auto"/>
        <w:rPr>
          <w:rFonts w:ascii="Arial" w:hAnsi="Arial" w:cs="Arial"/>
          <w:b/>
          <w:bCs/>
          <w:sz w:val="20"/>
          <w:szCs w:val="20"/>
        </w:rPr>
      </w:pPr>
    </w:p>
    <w:p w14:paraId="1673EEF6" w14:textId="5507A81E" w:rsidR="005948E7" w:rsidRPr="00A62EDE" w:rsidRDefault="005948E7" w:rsidP="00A62EDE">
      <w:pPr>
        <w:autoSpaceDE w:val="0"/>
        <w:autoSpaceDN w:val="0"/>
        <w:adjustRightInd w:val="0"/>
        <w:spacing w:after="0" w:line="240" w:lineRule="auto"/>
        <w:rPr>
          <w:rFonts w:ascii="Arial" w:hAnsi="Arial" w:cs="Arial"/>
          <w:sz w:val="20"/>
          <w:szCs w:val="20"/>
        </w:rPr>
      </w:pPr>
      <w:r w:rsidRPr="00A62EDE">
        <w:rPr>
          <w:rFonts w:ascii="Arial" w:hAnsi="Arial" w:cs="Arial"/>
          <w:b/>
          <w:bCs/>
          <w:sz w:val="20"/>
          <w:szCs w:val="20"/>
        </w:rPr>
        <w:t>Payer Mix</w:t>
      </w:r>
      <w:r w:rsidRPr="00A62EDE">
        <w:rPr>
          <w:rFonts w:ascii="Arial" w:hAnsi="Arial" w:cs="Arial"/>
          <w:sz w:val="20"/>
          <w:szCs w:val="20"/>
        </w:rPr>
        <w:t xml:space="preserve"> </w:t>
      </w:r>
      <w:r w:rsidR="007F6719">
        <w:rPr>
          <w:rFonts w:ascii="Arial" w:hAnsi="Arial" w:cs="Arial"/>
          <w:sz w:val="20"/>
          <w:szCs w:val="20"/>
        </w:rPr>
        <w:t>–</w:t>
      </w:r>
      <w:r w:rsidRPr="00A62EDE">
        <w:rPr>
          <w:rFonts w:ascii="Arial" w:hAnsi="Arial" w:cs="Arial"/>
          <w:sz w:val="20"/>
          <w:szCs w:val="20"/>
        </w:rPr>
        <w:t xml:space="preserve"> </w:t>
      </w:r>
      <w:r w:rsidR="007F6719">
        <w:rPr>
          <w:rFonts w:ascii="Arial" w:hAnsi="Arial" w:cs="Arial"/>
          <w:sz w:val="20"/>
          <w:szCs w:val="20"/>
        </w:rPr>
        <w:t xml:space="preserve">Like BILH, </w:t>
      </w:r>
      <w:r w:rsidRPr="00A62EDE">
        <w:rPr>
          <w:rFonts w:ascii="Arial" w:hAnsi="Arial" w:cs="Arial"/>
          <w:sz w:val="20"/>
          <w:szCs w:val="20"/>
        </w:rPr>
        <w:t xml:space="preserve">Commercial payers are the primary payer source </w:t>
      </w:r>
      <w:r w:rsidR="007F6719">
        <w:rPr>
          <w:rFonts w:ascii="Arial" w:hAnsi="Arial" w:cs="Arial"/>
          <w:sz w:val="20"/>
          <w:szCs w:val="20"/>
        </w:rPr>
        <w:t>for AJH (53.02%)</w:t>
      </w:r>
      <w:r w:rsidRPr="00A62EDE">
        <w:rPr>
          <w:rFonts w:ascii="Arial" w:hAnsi="Arial" w:cs="Arial"/>
          <w:sz w:val="20"/>
          <w:szCs w:val="20"/>
        </w:rPr>
        <w:t>, followed by Medicare (</w:t>
      </w:r>
      <w:r w:rsidR="007F6719">
        <w:rPr>
          <w:rFonts w:ascii="Arial" w:hAnsi="Arial" w:cs="Arial"/>
          <w:sz w:val="20"/>
          <w:szCs w:val="20"/>
        </w:rPr>
        <w:t>29.30</w:t>
      </w:r>
      <w:r w:rsidRPr="00A62EDE">
        <w:rPr>
          <w:rFonts w:ascii="Arial" w:hAnsi="Arial" w:cs="Arial"/>
          <w:sz w:val="20"/>
          <w:szCs w:val="20"/>
        </w:rPr>
        <w:t>%)</w:t>
      </w:r>
      <w:r w:rsidR="000443FC">
        <w:rPr>
          <w:rFonts w:ascii="Arial" w:hAnsi="Arial" w:cs="Arial"/>
          <w:sz w:val="20"/>
          <w:szCs w:val="20"/>
        </w:rPr>
        <w:t xml:space="preserve"> and MassHealth (11.21%).</w:t>
      </w:r>
    </w:p>
    <w:p w14:paraId="1D701A43" w14:textId="77777777" w:rsidR="005948E7" w:rsidRDefault="005948E7" w:rsidP="006C7671">
      <w:pPr>
        <w:spacing w:after="0" w:line="240" w:lineRule="auto"/>
        <w:jc w:val="both"/>
        <w:rPr>
          <w:rFonts w:ascii="Arial" w:eastAsia="Calibri" w:hAnsi="Arial" w:cs="Arial"/>
          <w:b/>
          <w:kern w:val="2"/>
          <w:highlight w:val="yellow"/>
        </w:rPr>
      </w:pPr>
    </w:p>
    <w:p w14:paraId="0F454B4D" w14:textId="77777777" w:rsidR="00CC24A7" w:rsidRPr="00702EAF" w:rsidRDefault="00CC24A7" w:rsidP="006C7671">
      <w:pPr>
        <w:spacing w:after="0" w:line="240" w:lineRule="auto"/>
        <w:jc w:val="both"/>
        <w:rPr>
          <w:rFonts w:ascii="Arial" w:eastAsia="Calibri" w:hAnsi="Arial" w:cs="Arial"/>
          <w:b/>
          <w:kern w:val="2"/>
          <w:highlight w:val="yellow"/>
        </w:rPr>
      </w:pPr>
    </w:p>
    <w:p w14:paraId="38519970" w14:textId="48932353" w:rsidR="006C7671" w:rsidRPr="009E7F98" w:rsidRDefault="006C7671" w:rsidP="006C7671">
      <w:pPr>
        <w:spacing w:after="0" w:line="240" w:lineRule="auto"/>
        <w:jc w:val="both"/>
        <w:rPr>
          <w:rFonts w:ascii="Arial" w:eastAsia="Arial" w:hAnsi="Arial" w:cs="Arial"/>
          <w:kern w:val="2"/>
          <w:u w:val="single"/>
        </w:rPr>
      </w:pPr>
      <w:r w:rsidRPr="009E7F98">
        <w:rPr>
          <w:rFonts w:ascii="Arial" w:eastAsia="Calibri" w:hAnsi="Arial" w:cs="Arial"/>
          <w:b/>
          <w:kern w:val="2"/>
        </w:rPr>
        <w:t>F1.a.ii</w:t>
      </w:r>
      <w:r w:rsidRPr="009E7F98">
        <w:rPr>
          <w:rFonts w:ascii="Arial" w:eastAsia="Calibri" w:hAnsi="Arial" w:cs="Arial"/>
          <w:b/>
          <w:kern w:val="2"/>
        </w:rPr>
        <w:tab/>
      </w:r>
      <w:r w:rsidRPr="009E7F98">
        <w:rPr>
          <w:rFonts w:ascii="Arial" w:eastAsia="Calibri" w:hAnsi="Arial" w:cs="Arial"/>
          <w:kern w:val="2"/>
        </w:rPr>
        <w:tab/>
      </w:r>
      <w:r w:rsidRPr="009E7F98">
        <w:rPr>
          <w:rFonts w:ascii="Arial" w:eastAsia="Calibri" w:hAnsi="Arial" w:cs="Arial"/>
          <w:b/>
          <w:kern w:val="2"/>
          <w:u w:val="single"/>
        </w:rPr>
        <w:t>Need by Patient Panel:</w:t>
      </w:r>
    </w:p>
    <w:p w14:paraId="548A0D4A" w14:textId="21090AE3" w:rsidR="00E915CA" w:rsidRDefault="006C7671" w:rsidP="00097257">
      <w:pPr>
        <w:spacing w:after="0" w:line="240" w:lineRule="auto"/>
        <w:ind w:left="1440"/>
        <w:jc w:val="both"/>
        <w:rPr>
          <w:rFonts w:ascii="Arial" w:eastAsia="Times New Roman" w:hAnsi="Arial" w:cs="Arial"/>
          <w:b/>
          <w:kern w:val="2"/>
        </w:rPr>
      </w:pPr>
      <w:r w:rsidRPr="009E7F98">
        <w:rPr>
          <w:rFonts w:ascii="Arial" w:eastAsia="Times New Roman" w:hAnsi="Arial" w:cs="Arial"/>
          <w:b/>
          <w:kern w:val="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72F402D4" w14:textId="77777777" w:rsidR="000B2331" w:rsidRDefault="000B2331" w:rsidP="007E5003">
      <w:pPr>
        <w:spacing w:after="0" w:line="240" w:lineRule="auto"/>
        <w:jc w:val="both"/>
        <w:rPr>
          <w:rFonts w:ascii="Arial" w:eastAsia="Times New Roman" w:hAnsi="Arial" w:cs="Arial"/>
          <w:bCs/>
          <w:kern w:val="2"/>
          <w:sz w:val="20"/>
          <w:szCs w:val="20"/>
        </w:rPr>
      </w:pPr>
    </w:p>
    <w:p w14:paraId="54960625" w14:textId="7970F9E2" w:rsidR="007E5003" w:rsidRPr="007E5003" w:rsidRDefault="007E5003" w:rsidP="007E5003">
      <w:pPr>
        <w:spacing w:after="0" w:line="240" w:lineRule="auto"/>
        <w:jc w:val="both"/>
        <w:rPr>
          <w:rFonts w:ascii="Arial" w:eastAsia="Times New Roman" w:hAnsi="Arial" w:cs="Arial"/>
          <w:bCs/>
          <w:kern w:val="2"/>
          <w:sz w:val="20"/>
          <w:szCs w:val="20"/>
        </w:rPr>
      </w:pPr>
      <w:r w:rsidRPr="007E5003">
        <w:rPr>
          <w:rFonts w:ascii="Arial" w:eastAsia="Times New Roman" w:hAnsi="Arial" w:cs="Arial"/>
          <w:bCs/>
          <w:kern w:val="2"/>
          <w:sz w:val="20"/>
          <w:szCs w:val="20"/>
        </w:rPr>
        <w:t xml:space="preserve">The </w:t>
      </w:r>
      <w:r>
        <w:rPr>
          <w:rFonts w:ascii="Arial" w:eastAsia="Times New Roman" w:hAnsi="Arial" w:cs="Arial"/>
          <w:bCs/>
          <w:kern w:val="2"/>
          <w:sz w:val="20"/>
          <w:szCs w:val="20"/>
        </w:rPr>
        <w:t>Applicant seeks to add a second CT unit at AJH to meet the needs of its patient population to ensure access to CT imaging, and to expand its interventional radiology and</w:t>
      </w:r>
      <w:r w:rsidR="00F01C47">
        <w:rPr>
          <w:rFonts w:ascii="Arial" w:eastAsia="Times New Roman" w:hAnsi="Arial" w:cs="Arial"/>
          <w:bCs/>
          <w:kern w:val="2"/>
          <w:sz w:val="20"/>
          <w:szCs w:val="20"/>
        </w:rPr>
        <w:t xml:space="preserve"> low-dose CT</w:t>
      </w:r>
      <w:r>
        <w:rPr>
          <w:rFonts w:ascii="Arial" w:eastAsia="Times New Roman" w:hAnsi="Arial" w:cs="Arial"/>
          <w:bCs/>
          <w:kern w:val="2"/>
          <w:sz w:val="20"/>
          <w:szCs w:val="20"/>
        </w:rPr>
        <w:t xml:space="preserve"> </w:t>
      </w:r>
      <w:r w:rsidR="00F01C47">
        <w:rPr>
          <w:rFonts w:ascii="Arial" w:eastAsia="Times New Roman" w:hAnsi="Arial" w:cs="Arial"/>
          <w:bCs/>
          <w:kern w:val="2"/>
          <w:sz w:val="20"/>
          <w:szCs w:val="20"/>
        </w:rPr>
        <w:t>(“</w:t>
      </w:r>
      <w:r>
        <w:rPr>
          <w:rFonts w:ascii="Arial" w:eastAsia="Times New Roman" w:hAnsi="Arial" w:cs="Arial"/>
          <w:bCs/>
          <w:kern w:val="2"/>
          <w:sz w:val="20"/>
          <w:szCs w:val="20"/>
        </w:rPr>
        <w:t>LDCT</w:t>
      </w:r>
      <w:r w:rsidR="00F01C47">
        <w:rPr>
          <w:rFonts w:ascii="Arial" w:eastAsia="Times New Roman" w:hAnsi="Arial" w:cs="Arial"/>
          <w:bCs/>
          <w:kern w:val="2"/>
          <w:sz w:val="20"/>
          <w:szCs w:val="20"/>
        </w:rPr>
        <w:t>”)</w:t>
      </w:r>
      <w:r>
        <w:rPr>
          <w:rFonts w:ascii="Arial" w:eastAsia="Times New Roman" w:hAnsi="Arial" w:cs="Arial"/>
          <w:bCs/>
          <w:kern w:val="2"/>
          <w:sz w:val="20"/>
          <w:szCs w:val="20"/>
        </w:rPr>
        <w:t xml:space="preserve"> program</w:t>
      </w:r>
      <w:r w:rsidR="00992D0C">
        <w:rPr>
          <w:rFonts w:ascii="Arial" w:eastAsia="Times New Roman" w:hAnsi="Arial" w:cs="Arial"/>
          <w:bCs/>
          <w:kern w:val="2"/>
          <w:sz w:val="20"/>
          <w:szCs w:val="20"/>
        </w:rPr>
        <w:t>s</w:t>
      </w:r>
      <w:r>
        <w:rPr>
          <w:rFonts w:ascii="Arial" w:eastAsia="Times New Roman" w:hAnsi="Arial" w:cs="Arial"/>
          <w:bCs/>
          <w:kern w:val="2"/>
          <w:sz w:val="20"/>
          <w:szCs w:val="20"/>
        </w:rPr>
        <w:t xml:space="preserve">. As </w:t>
      </w:r>
      <w:r w:rsidR="009201D1">
        <w:rPr>
          <w:rFonts w:ascii="Arial" w:eastAsia="Times New Roman" w:hAnsi="Arial" w:cs="Arial"/>
          <w:bCs/>
          <w:kern w:val="2"/>
          <w:sz w:val="20"/>
          <w:szCs w:val="20"/>
        </w:rPr>
        <w:t xml:space="preserve">reflected in the data below, there has been an increase in CT utilization. With one </w:t>
      </w:r>
      <w:r w:rsidR="00FF407A">
        <w:rPr>
          <w:rFonts w:ascii="Arial" w:eastAsia="Times New Roman" w:hAnsi="Arial" w:cs="Arial"/>
          <w:bCs/>
          <w:kern w:val="2"/>
          <w:sz w:val="20"/>
          <w:szCs w:val="20"/>
        </w:rPr>
        <w:t xml:space="preserve">CT </w:t>
      </w:r>
      <w:r w:rsidR="009201D1">
        <w:rPr>
          <w:rFonts w:ascii="Arial" w:eastAsia="Times New Roman" w:hAnsi="Arial" w:cs="Arial"/>
          <w:bCs/>
          <w:kern w:val="2"/>
          <w:sz w:val="20"/>
          <w:szCs w:val="20"/>
        </w:rPr>
        <w:t xml:space="preserve">unit, urgent or emergency </w:t>
      </w:r>
      <w:r w:rsidR="00992D0C">
        <w:rPr>
          <w:rFonts w:ascii="Arial" w:eastAsia="Times New Roman" w:hAnsi="Arial" w:cs="Arial"/>
          <w:bCs/>
          <w:kern w:val="2"/>
          <w:sz w:val="20"/>
          <w:szCs w:val="20"/>
        </w:rPr>
        <w:t>patients in need of CT</w:t>
      </w:r>
      <w:r w:rsidR="009201D1">
        <w:rPr>
          <w:rFonts w:ascii="Arial" w:eastAsia="Times New Roman" w:hAnsi="Arial" w:cs="Arial"/>
          <w:bCs/>
          <w:kern w:val="2"/>
          <w:sz w:val="20"/>
          <w:szCs w:val="20"/>
        </w:rPr>
        <w:t xml:space="preserve"> delay</w:t>
      </w:r>
      <w:r w:rsidR="00097194">
        <w:rPr>
          <w:rFonts w:ascii="Arial" w:eastAsia="Times New Roman" w:hAnsi="Arial" w:cs="Arial"/>
          <w:bCs/>
          <w:kern w:val="2"/>
          <w:sz w:val="20"/>
          <w:szCs w:val="20"/>
        </w:rPr>
        <w:t xml:space="preserve"> access to CT for</w:t>
      </w:r>
      <w:r w:rsidR="009201D1">
        <w:rPr>
          <w:rFonts w:ascii="Arial" w:eastAsia="Times New Roman" w:hAnsi="Arial" w:cs="Arial"/>
          <w:bCs/>
          <w:kern w:val="2"/>
          <w:sz w:val="20"/>
          <w:szCs w:val="20"/>
        </w:rPr>
        <w:t xml:space="preserve"> inpatien</w:t>
      </w:r>
      <w:r w:rsidR="00097194">
        <w:rPr>
          <w:rFonts w:ascii="Arial" w:eastAsia="Times New Roman" w:hAnsi="Arial" w:cs="Arial"/>
          <w:bCs/>
          <w:kern w:val="2"/>
          <w:sz w:val="20"/>
          <w:szCs w:val="20"/>
        </w:rPr>
        <w:t xml:space="preserve">ts </w:t>
      </w:r>
      <w:r w:rsidR="009201D1">
        <w:rPr>
          <w:rFonts w:ascii="Arial" w:eastAsia="Times New Roman" w:hAnsi="Arial" w:cs="Arial"/>
          <w:bCs/>
          <w:kern w:val="2"/>
          <w:sz w:val="20"/>
          <w:szCs w:val="20"/>
        </w:rPr>
        <w:t>and disrupt</w:t>
      </w:r>
      <w:r w:rsidR="00097194">
        <w:rPr>
          <w:rFonts w:ascii="Arial" w:eastAsia="Times New Roman" w:hAnsi="Arial" w:cs="Arial"/>
          <w:bCs/>
          <w:kern w:val="2"/>
          <w:sz w:val="20"/>
          <w:szCs w:val="20"/>
        </w:rPr>
        <w:t>s</w:t>
      </w:r>
      <w:r w:rsidR="009201D1">
        <w:rPr>
          <w:rFonts w:ascii="Arial" w:eastAsia="Times New Roman" w:hAnsi="Arial" w:cs="Arial"/>
          <w:bCs/>
          <w:kern w:val="2"/>
          <w:sz w:val="20"/>
          <w:szCs w:val="20"/>
        </w:rPr>
        <w:t xml:space="preserve"> the outpatient schedule. In addition, downtime to perform CT maintenance</w:t>
      </w:r>
      <w:r w:rsidR="00097194">
        <w:rPr>
          <w:rFonts w:ascii="Arial" w:eastAsia="Times New Roman" w:hAnsi="Arial" w:cs="Arial"/>
          <w:bCs/>
          <w:kern w:val="2"/>
          <w:sz w:val="20"/>
          <w:szCs w:val="20"/>
        </w:rPr>
        <w:t xml:space="preserve"> </w:t>
      </w:r>
      <w:r w:rsidR="009201D1">
        <w:rPr>
          <w:rFonts w:ascii="Arial" w:eastAsia="Times New Roman" w:hAnsi="Arial" w:cs="Arial"/>
          <w:bCs/>
          <w:kern w:val="2"/>
          <w:sz w:val="20"/>
          <w:szCs w:val="20"/>
        </w:rPr>
        <w:t>leaves the hospital without CT capability</w:t>
      </w:r>
      <w:r w:rsidR="00FF407A">
        <w:rPr>
          <w:rFonts w:ascii="Arial" w:eastAsia="Times New Roman" w:hAnsi="Arial" w:cs="Arial"/>
          <w:bCs/>
          <w:kern w:val="2"/>
          <w:sz w:val="20"/>
          <w:szCs w:val="20"/>
        </w:rPr>
        <w:t xml:space="preserve">. As a result, </w:t>
      </w:r>
      <w:r w:rsidR="009201D1">
        <w:rPr>
          <w:rFonts w:ascii="Arial" w:eastAsia="Times New Roman" w:hAnsi="Arial" w:cs="Arial"/>
          <w:bCs/>
          <w:kern w:val="2"/>
          <w:sz w:val="20"/>
          <w:szCs w:val="20"/>
        </w:rPr>
        <w:t xml:space="preserve">patients </w:t>
      </w:r>
      <w:r w:rsidR="00C40672">
        <w:rPr>
          <w:rFonts w:ascii="Arial" w:eastAsia="Times New Roman" w:hAnsi="Arial" w:cs="Arial"/>
          <w:bCs/>
          <w:kern w:val="2"/>
          <w:sz w:val="20"/>
          <w:szCs w:val="20"/>
        </w:rPr>
        <w:t xml:space="preserve">are </w:t>
      </w:r>
      <w:r w:rsidR="00097194">
        <w:rPr>
          <w:rFonts w:ascii="Arial" w:eastAsia="Times New Roman" w:hAnsi="Arial" w:cs="Arial"/>
          <w:bCs/>
          <w:kern w:val="2"/>
          <w:sz w:val="20"/>
          <w:szCs w:val="20"/>
        </w:rPr>
        <w:t xml:space="preserve">rescheduled, and stroke patients may be </w:t>
      </w:r>
      <w:r w:rsidR="009201D1">
        <w:rPr>
          <w:rFonts w:ascii="Arial" w:eastAsia="Times New Roman" w:hAnsi="Arial" w:cs="Arial"/>
          <w:bCs/>
          <w:kern w:val="2"/>
          <w:sz w:val="20"/>
          <w:szCs w:val="20"/>
        </w:rPr>
        <w:t>diverted to other facilities. Capacity constrains also hamper the Hospital</w:t>
      </w:r>
      <w:r w:rsidR="00FF407A">
        <w:rPr>
          <w:rFonts w:ascii="Arial" w:eastAsia="Times New Roman" w:hAnsi="Arial" w:cs="Arial"/>
          <w:bCs/>
          <w:kern w:val="2"/>
          <w:sz w:val="20"/>
          <w:szCs w:val="20"/>
        </w:rPr>
        <w:t>’</w:t>
      </w:r>
      <w:r w:rsidR="009201D1">
        <w:rPr>
          <w:rFonts w:ascii="Arial" w:eastAsia="Times New Roman" w:hAnsi="Arial" w:cs="Arial"/>
          <w:bCs/>
          <w:kern w:val="2"/>
          <w:sz w:val="20"/>
          <w:szCs w:val="20"/>
        </w:rPr>
        <w:t xml:space="preserve">s ability to expand </w:t>
      </w:r>
      <w:r w:rsidR="00097194">
        <w:rPr>
          <w:rFonts w:ascii="Arial" w:eastAsia="Times New Roman" w:hAnsi="Arial" w:cs="Arial"/>
          <w:bCs/>
          <w:kern w:val="2"/>
          <w:sz w:val="20"/>
          <w:szCs w:val="20"/>
        </w:rPr>
        <w:t xml:space="preserve">access </w:t>
      </w:r>
      <w:r w:rsidR="009201D1">
        <w:rPr>
          <w:rFonts w:ascii="Arial" w:eastAsia="Times New Roman" w:hAnsi="Arial" w:cs="Arial"/>
          <w:bCs/>
          <w:kern w:val="2"/>
          <w:sz w:val="20"/>
          <w:szCs w:val="20"/>
        </w:rPr>
        <w:t xml:space="preserve">to interventional radiology procedures and LDCT lung cancer screening consistent with recommended screening guidelines. </w:t>
      </w:r>
      <w:r w:rsidR="00DA7954">
        <w:rPr>
          <w:rFonts w:ascii="Arial" w:eastAsia="Times New Roman" w:hAnsi="Arial" w:cs="Arial"/>
          <w:bCs/>
          <w:kern w:val="2"/>
          <w:sz w:val="20"/>
          <w:szCs w:val="20"/>
        </w:rPr>
        <w:t>Moreover, t</w:t>
      </w:r>
      <w:r w:rsidR="006220ED">
        <w:rPr>
          <w:rFonts w:ascii="Arial" w:eastAsia="Times New Roman" w:hAnsi="Arial" w:cs="Arial"/>
          <w:bCs/>
          <w:kern w:val="2"/>
          <w:sz w:val="20"/>
          <w:szCs w:val="20"/>
        </w:rPr>
        <w:t>he high demand for CT imaging</w:t>
      </w:r>
      <w:r w:rsidR="00097194">
        <w:rPr>
          <w:rFonts w:ascii="Arial" w:eastAsia="Times New Roman" w:hAnsi="Arial" w:cs="Arial"/>
          <w:bCs/>
          <w:kern w:val="2"/>
          <w:sz w:val="20"/>
          <w:szCs w:val="20"/>
        </w:rPr>
        <w:t xml:space="preserve"> by the Hospital’s large </w:t>
      </w:r>
      <w:r w:rsidR="006220ED">
        <w:rPr>
          <w:rFonts w:ascii="Arial" w:eastAsia="Times New Roman" w:hAnsi="Arial" w:cs="Arial"/>
          <w:bCs/>
          <w:kern w:val="2"/>
          <w:sz w:val="20"/>
          <w:szCs w:val="20"/>
        </w:rPr>
        <w:t xml:space="preserve">geriatric population will only continue to grow as the patient population ages. Therefore, a second CT unit is needed to improve access </w:t>
      </w:r>
      <w:r w:rsidR="00FF407A">
        <w:rPr>
          <w:rFonts w:ascii="Arial" w:eastAsia="Times New Roman" w:hAnsi="Arial" w:cs="Arial"/>
          <w:bCs/>
          <w:kern w:val="2"/>
          <w:sz w:val="20"/>
          <w:szCs w:val="20"/>
        </w:rPr>
        <w:t xml:space="preserve">to CT </w:t>
      </w:r>
      <w:r w:rsidR="006220ED">
        <w:rPr>
          <w:rFonts w:ascii="Arial" w:eastAsia="Times New Roman" w:hAnsi="Arial" w:cs="Arial"/>
          <w:bCs/>
          <w:kern w:val="2"/>
          <w:sz w:val="20"/>
          <w:szCs w:val="20"/>
        </w:rPr>
        <w:t xml:space="preserve">and health outcomes for the patient population. </w:t>
      </w:r>
    </w:p>
    <w:p w14:paraId="5427C9DE" w14:textId="3D89258E" w:rsidR="007E5003" w:rsidRPr="007E5003" w:rsidRDefault="007E5003" w:rsidP="007E5003">
      <w:pPr>
        <w:pStyle w:val="ListParagraph"/>
        <w:spacing w:after="0" w:line="240" w:lineRule="auto"/>
        <w:ind w:left="360"/>
        <w:jc w:val="both"/>
        <w:rPr>
          <w:rFonts w:ascii="Arial" w:eastAsia="Times New Roman" w:hAnsi="Arial" w:cs="Arial"/>
          <w:bCs/>
          <w:kern w:val="2"/>
          <w:sz w:val="20"/>
          <w:szCs w:val="20"/>
        </w:rPr>
      </w:pPr>
    </w:p>
    <w:p w14:paraId="72F36301" w14:textId="318EF692" w:rsidR="00097257" w:rsidRPr="00C40672" w:rsidRDefault="007E5003" w:rsidP="007E5003">
      <w:pPr>
        <w:pStyle w:val="ListParagraph"/>
        <w:numPr>
          <w:ilvl w:val="0"/>
          <w:numId w:val="46"/>
        </w:numPr>
        <w:spacing w:after="0" w:line="240" w:lineRule="auto"/>
        <w:ind w:left="360"/>
        <w:jc w:val="both"/>
        <w:rPr>
          <w:rFonts w:ascii="Arial" w:eastAsia="Times New Roman" w:hAnsi="Arial" w:cs="Arial"/>
          <w:bCs/>
          <w:kern w:val="2"/>
          <w:sz w:val="20"/>
          <w:szCs w:val="20"/>
          <w:u w:val="single"/>
        </w:rPr>
      </w:pPr>
      <w:r w:rsidRPr="00C40672">
        <w:rPr>
          <w:rFonts w:ascii="Arial" w:eastAsia="Times New Roman" w:hAnsi="Arial" w:cs="Arial"/>
          <w:bCs/>
          <w:kern w:val="2"/>
          <w:sz w:val="20"/>
          <w:szCs w:val="20"/>
          <w:u w:val="single"/>
        </w:rPr>
        <w:t>Historic Utilization</w:t>
      </w:r>
    </w:p>
    <w:p w14:paraId="19CFC6B0" w14:textId="609F58E6" w:rsidR="00382EC7" w:rsidRDefault="007E5003" w:rsidP="007E5003">
      <w:pPr>
        <w:spacing w:after="0" w:line="240" w:lineRule="auto"/>
        <w:jc w:val="both"/>
        <w:rPr>
          <w:rFonts w:ascii="Arial" w:hAnsi="Arial" w:cs="Arial"/>
          <w:sz w:val="20"/>
          <w:szCs w:val="20"/>
        </w:rPr>
      </w:pPr>
      <w:r w:rsidRPr="007E5003">
        <w:rPr>
          <w:rFonts w:ascii="Arial" w:hAnsi="Arial" w:cs="Arial"/>
          <w:sz w:val="20"/>
          <w:szCs w:val="20"/>
        </w:rPr>
        <w:t xml:space="preserve"> </w:t>
      </w:r>
    </w:p>
    <w:p w14:paraId="312C4FC0" w14:textId="21937C98" w:rsidR="00382EC7" w:rsidRPr="007F7CBE" w:rsidRDefault="00382EC7" w:rsidP="00382EC7">
      <w:pPr>
        <w:spacing w:after="0" w:line="240" w:lineRule="auto"/>
        <w:jc w:val="both"/>
        <w:rPr>
          <w:rFonts w:ascii="Arial" w:hAnsi="Arial" w:cs="Arial"/>
          <w:sz w:val="20"/>
          <w:szCs w:val="20"/>
        </w:rPr>
      </w:pPr>
      <w:r>
        <w:rPr>
          <w:rFonts w:ascii="Arial" w:hAnsi="Arial" w:cs="Arial"/>
          <w:sz w:val="20"/>
          <w:szCs w:val="20"/>
        </w:rPr>
        <w:t xml:space="preserve">As illustrated </w:t>
      </w:r>
      <w:r w:rsidR="00FF407A">
        <w:rPr>
          <w:rFonts w:ascii="Arial" w:hAnsi="Arial" w:cs="Arial"/>
          <w:sz w:val="20"/>
          <w:szCs w:val="20"/>
        </w:rPr>
        <w:t xml:space="preserve">in Table 3 </w:t>
      </w:r>
      <w:r>
        <w:rPr>
          <w:rFonts w:ascii="Arial" w:hAnsi="Arial" w:cs="Arial"/>
          <w:sz w:val="20"/>
          <w:szCs w:val="20"/>
        </w:rPr>
        <w:t>below, AJH</w:t>
      </w:r>
      <w:r w:rsidRPr="007F7CBE">
        <w:rPr>
          <w:rFonts w:ascii="Arial" w:hAnsi="Arial" w:cs="Arial"/>
          <w:sz w:val="20"/>
          <w:szCs w:val="20"/>
        </w:rPr>
        <w:t xml:space="preserve"> experienced a </w:t>
      </w:r>
      <w:r>
        <w:rPr>
          <w:rFonts w:ascii="Arial" w:hAnsi="Arial" w:cs="Arial"/>
          <w:sz w:val="20"/>
          <w:szCs w:val="20"/>
        </w:rPr>
        <w:t>9.74</w:t>
      </w:r>
      <w:r w:rsidRPr="007F7CBE">
        <w:rPr>
          <w:rFonts w:ascii="Arial" w:hAnsi="Arial" w:cs="Arial"/>
          <w:sz w:val="20"/>
          <w:szCs w:val="20"/>
        </w:rPr>
        <w:t xml:space="preserve">% increase in CT scan volume </w:t>
      </w:r>
      <w:r w:rsidR="00097194">
        <w:rPr>
          <w:rFonts w:ascii="Arial" w:hAnsi="Arial" w:cs="Arial"/>
          <w:sz w:val="20"/>
          <w:szCs w:val="20"/>
        </w:rPr>
        <w:t>between</w:t>
      </w:r>
      <w:r w:rsidRPr="007F7CBE">
        <w:rPr>
          <w:rFonts w:ascii="Arial" w:hAnsi="Arial" w:cs="Arial"/>
          <w:sz w:val="20"/>
          <w:szCs w:val="20"/>
        </w:rPr>
        <w:t xml:space="preserve"> FY</w:t>
      </w:r>
      <w:r>
        <w:rPr>
          <w:rFonts w:ascii="Arial" w:hAnsi="Arial" w:cs="Arial"/>
          <w:sz w:val="20"/>
          <w:szCs w:val="20"/>
        </w:rPr>
        <w:t xml:space="preserve">21 </w:t>
      </w:r>
      <w:r w:rsidR="00097194">
        <w:rPr>
          <w:rFonts w:ascii="Arial" w:hAnsi="Arial" w:cs="Arial"/>
          <w:sz w:val="20"/>
          <w:szCs w:val="20"/>
        </w:rPr>
        <w:t xml:space="preserve">and </w:t>
      </w:r>
      <w:r w:rsidRPr="007F7CBE">
        <w:rPr>
          <w:rFonts w:ascii="Arial" w:hAnsi="Arial" w:cs="Arial"/>
          <w:sz w:val="20"/>
          <w:szCs w:val="20"/>
        </w:rPr>
        <w:t>FY2</w:t>
      </w:r>
      <w:r>
        <w:rPr>
          <w:rFonts w:ascii="Arial" w:hAnsi="Arial" w:cs="Arial"/>
          <w:sz w:val="20"/>
          <w:szCs w:val="20"/>
        </w:rPr>
        <w:t xml:space="preserve">2. Notably, patients in the 65+ age cohort represented over half (53.37%) of the patient population </w:t>
      </w:r>
      <w:r w:rsidR="00C40672">
        <w:rPr>
          <w:rFonts w:ascii="Arial" w:hAnsi="Arial" w:cs="Arial"/>
          <w:sz w:val="20"/>
          <w:szCs w:val="20"/>
        </w:rPr>
        <w:t>receiving</w:t>
      </w:r>
      <w:r>
        <w:rPr>
          <w:rFonts w:ascii="Arial" w:hAnsi="Arial" w:cs="Arial"/>
          <w:sz w:val="20"/>
          <w:szCs w:val="20"/>
        </w:rPr>
        <w:t xml:space="preserve"> a CT scan in FY22. In FY20 and FY2</w:t>
      </w:r>
      <w:r w:rsidR="00C40672">
        <w:rPr>
          <w:rFonts w:ascii="Arial" w:hAnsi="Arial" w:cs="Arial"/>
          <w:sz w:val="20"/>
          <w:szCs w:val="20"/>
        </w:rPr>
        <w:t>1</w:t>
      </w:r>
      <w:r>
        <w:rPr>
          <w:rFonts w:ascii="Arial" w:hAnsi="Arial" w:cs="Arial"/>
          <w:sz w:val="20"/>
          <w:szCs w:val="20"/>
        </w:rPr>
        <w:t xml:space="preserve"> this age cohort represented approximately 49% of patients who received a CT scan. </w:t>
      </w:r>
      <w:r w:rsidR="00097194">
        <w:rPr>
          <w:rFonts w:ascii="Arial" w:hAnsi="Arial" w:cs="Arial"/>
          <w:sz w:val="20"/>
          <w:szCs w:val="20"/>
        </w:rPr>
        <w:t xml:space="preserve">This increase in utilization by an aging patient population is reflective of the growth in the Hospital’s </w:t>
      </w:r>
      <w:r>
        <w:rPr>
          <w:rFonts w:ascii="Arial" w:hAnsi="Arial" w:cs="Arial"/>
          <w:sz w:val="20"/>
          <w:szCs w:val="20"/>
        </w:rPr>
        <w:t xml:space="preserve">65+ age cohort </w:t>
      </w:r>
      <w:r w:rsidR="00097194">
        <w:rPr>
          <w:rFonts w:ascii="Arial" w:hAnsi="Arial" w:cs="Arial"/>
          <w:sz w:val="20"/>
          <w:szCs w:val="20"/>
        </w:rPr>
        <w:t xml:space="preserve">, which </w:t>
      </w:r>
      <w:r>
        <w:rPr>
          <w:rFonts w:ascii="Arial" w:hAnsi="Arial" w:cs="Arial"/>
          <w:sz w:val="20"/>
          <w:szCs w:val="20"/>
        </w:rPr>
        <w:t>grew 14.40% between FY20 and FY22.</w:t>
      </w:r>
    </w:p>
    <w:p w14:paraId="2831D407" w14:textId="77777777" w:rsidR="00382EC7" w:rsidRDefault="00382EC7" w:rsidP="007E5003">
      <w:pPr>
        <w:spacing w:after="0" w:line="240" w:lineRule="auto"/>
        <w:jc w:val="both"/>
        <w:rPr>
          <w:rFonts w:ascii="Arial" w:hAnsi="Arial" w:cs="Arial"/>
          <w:sz w:val="20"/>
          <w:szCs w:val="20"/>
        </w:rPr>
      </w:pPr>
    </w:p>
    <w:p w14:paraId="03560883" w14:textId="77777777" w:rsidR="009201D1" w:rsidRPr="007E5003" w:rsidRDefault="009201D1" w:rsidP="007E5003">
      <w:pPr>
        <w:spacing w:after="0" w:line="240" w:lineRule="auto"/>
        <w:jc w:val="both"/>
        <w:rPr>
          <w:rFonts w:ascii="Arial" w:hAnsi="Arial" w:cs="Arial"/>
          <w:sz w:val="20"/>
          <w:szCs w:val="20"/>
        </w:rPr>
      </w:pPr>
    </w:p>
    <w:p w14:paraId="2553C4E1" w14:textId="3889080F" w:rsidR="007E5003" w:rsidRPr="009201D1" w:rsidRDefault="009201D1" w:rsidP="009201D1">
      <w:pPr>
        <w:spacing w:after="0" w:line="240" w:lineRule="auto"/>
        <w:jc w:val="both"/>
        <w:rPr>
          <w:rFonts w:ascii="Arial" w:eastAsia="Times New Roman" w:hAnsi="Arial" w:cs="Arial"/>
          <w:b/>
          <w:kern w:val="2"/>
          <w:sz w:val="20"/>
          <w:szCs w:val="20"/>
        </w:rPr>
      </w:pPr>
      <w:r w:rsidRPr="009201D1">
        <w:rPr>
          <w:rFonts w:ascii="Arial" w:eastAsia="Times New Roman" w:hAnsi="Arial" w:cs="Arial"/>
          <w:b/>
          <w:kern w:val="2"/>
          <w:sz w:val="20"/>
          <w:szCs w:val="20"/>
        </w:rPr>
        <w:t>TABLE 3: Historical CT Volume</w:t>
      </w:r>
    </w:p>
    <w:tbl>
      <w:tblPr>
        <w:tblStyle w:val="TableGrid"/>
        <w:tblW w:w="7436" w:type="dxa"/>
        <w:tblLayout w:type="fixed"/>
        <w:tblLook w:val="04A0" w:firstRow="1" w:lastRow="0" w:firstColumn="1" w:lastColumn="0" w:noHBand="0" w:noVBand="1"/>
      </w:tblPr>
      <w:tblGrid>
        <w:gridCol w:w="2203"/>
        <w:gridCol w:w="766"/>
        <w:gridCol w:w="1138"/>
        <w:gridCol w:w="745"/>
        <w:gridCol w:w="934"/>
        <w:gridCol w:w="825"/>
        <w:gridCol w:w="825"/>
      </w:tblGrid>
      <w:tr w:rsidR="008C2772" w:rsidRPr="00D360C2" w14:paraId="2F95FE9C" w14:textId="6C10DD30" w:rsidTr="00A62F6E">
        <w:trPr>
          <w:trHeight w:val="333"/>
        </w:trPr>
        <w:tc>
          <w:tcPr>
            <w:tcW w:w="2203" w:type="dxa"/>
            <w:shd w:val="clear" w:color="auto" w:fill="B4C6E7" w:themeFill="accent1" w:themeFillTint="66"/>
            <w:vAlign w:val="bottom"/>
          </w:tcPr>
          <w:p w14:paraId="2C044584" w14:textId="77777777" w:rsidR="008C2772" w:rsidRDefault="008C2772" w:rsidP="008C2772">
            <w:pPr>
              <w:pStyle w:val="BodyText2"/>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rPr>
              <w:t>Historical CT Volume</w:t>
            </w:r>
          </w:p>
          <w:p w14:paraId="5CBBA174" w14:textId="2E130DC7" w:rsidR="008C2772" w:rsidRPr="00D360C2" w:rsidRDefault="008C2772" w:rsidP="008C2772">
            <w:pPr>
              <w:pStyle w:val="BodyText2"/>
              <w:jc w:val="center"/>
              <w:rPr>
                <w:rFonts w:asciiTheme="majorHAnsi" w:hAnsiTheme="majorHAnsi" w:cstheme="majorHAnsi"/>
                <w:sz w:val="18"/>
                <w:szCs w:val="18"/>
              </w:rPr>
            </w:pPr>
          </w:p>
        </w:tc>
        <w:tc>
          <w:tcPr>
            <w:tcW w:w="766" w:type="dxa"/>
            <w:shd w:val="clear" w:color="auto" w:fill="B4C6E7" w:themeFill="accent1" w:themeFillTint="66"/>
            <w:vAlign w:val="center"/>
          </w:tcPr>
          <w:p w14:paraId="252DB948" w14:textId="63BC76A8" w:rsidR="008C2772" w:rsidRPr="00D360C2" w:rsidRDefault="008C2772" w:rsidP="008C2772">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FY</w:t>
            </w:r>
            <w:r>
              <w:rPr>
                <w:rFonts w:asciiTheme="majorHAnsi" w:hAnsiTheme="majorHAnsi" w:cstheme="majorHAnsi"/>
                <w:b/>
                <w:bCs/>
                <w:color w:val="000000"/>
                <w:sz w:val="18"/>
                <w:szCs w:val="18"/>
              </w:rPr>
              <w:t>20</w:t>
            </w:r>
            <w:r>
              <w:rPr>
                <w:rStyle w:val="FootnoteReference"/>
                <w:rFonts w:asciiTheme="majorHAnsi" w:hAnsiTheme="majorHAnsi" w:cstheme="majorHAnsi"/>
                <w:b/>
                <w:bCs/>
                <w:color w:val="000000"/>
                <w:sz w:val="18"/>
                <w:szCs w:val="18"/>
              </w:rPr>
              <w:footnoteReference w:id="14"/>
            </w:r>
          </w:p>
        </w:tc>
        <w:tc>
          <w:tcPr>
            <w:tcW w:w="1138" w:type="dxa"/>
            <w:shd w:val="clear" w:color="auto" w:fill="B4C6E7" w:themeFill="accent1" w:themeFillTint="66"/>
            <w:vAlign w:val="bottom"/>
          </w:tcPr>
          <w:p w14:paraId="6629C656" w14:textId="77777777" w:rsidR="008C2772" w:rsidRDefault="008C2772" w:rsidP="008C2772">
            <w:pPr>
              <w:pStyle w:val="BodyText2"/>
              <w:jc w:val="center"/>
              <w:rPr>
                <w:rFonts w:asciiTheme="majorHAnsi" w:hAnsiTheme="majorHAnsi" w:cstheme="majorHAnsi"/>
                <w:b/>
                <w:bCs/>
                <w:sz w:val="18"/>
                <w:szCs w:val="18"/>
              </w:rPr>
            </w:pPr>
            <w:r w:rsidRPr="00D360C2">
              <w:rPr>
                <w:rFonts w:asciiTheme="majorHAnsi" w:hAnsiTheme="majorHAnsi" w:cstheme="majorHAnsi"/>
                <w:b/>
                <w:bCs/>
                <w:sz w:val="18"/>
                <w:szCs w:val="18"/>
              </w:rPr>
              <w:t>Percent Change</w:t>
            </w:r>
          </w:p>
          <w:p w14:paraId="6BAAC082" w14:textId="77777777" w:rsidR="008C2772" w:rsidRPr="00D360C2" w:rsidRDefault="008C2772" w:rsidP="008C2772">
            <w:pPr>
              <w:pStyle w:val="BodyText2"/>
              <w:jc w:val="center"/>
              <w:rPr>
                <w:rFonts w:asciiTheme="majorHAnsi" w:hAnsiTheme="majorHAnsi" w:cstheme="majorHAnsi"/>
                <w:b/>
                <w:bCs/>
                <w:sz w:val="18"/>
                <w:szCs w:val="18"/>
              </w:rPr>
            </w:pPr>
          </w:p>
        </w:tc>
        <w:tc>
          <w:tcPr>
            <w:tcW w:w="745" w:type="dxa"/>
            <w:shd w:val="clear" w:color="auto" w:fill="B4C6E7" w:themeFill="accent1" w:themeFillTint="66"/>
            <w:vAlign w:val="center"/>
          </w:tcPr>
          <w:p w14:paraId="10A83151" w14:textId="2A3F1F24" w:rsidR="008C2772" w:rsidRPr="00D360C2" w:rsidRDefault="008C2772" w:rsidP="008C2772">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FY2</w:t>
            </w:r>
            <w:r>
              <w:rPr>
                <w:rFonts w:asciiTheme="majorHAnsi" w:hAnsiTheme="majorHAnsi" w:cstheme="majorHAnsi"/>
                <w:b/>
                <w:bCs/>
                <w:color w:val="000000"/>
                <w:sz w:val="18"/>
                <w:szCs w:val="18"/>
              </w:rPr>
              <w:t>1</w:t>
            </w:r>
            <w:r w:rsidRPr="00D360C2">
              <w:rPr>
                <w:rStyle w:val="FootnoteReference"/>
                <w:rFonts w:asciiTheme="majorHAnsi" w:hAnsiTheme="majorHAnsi" w:cstheme="majorHAnsi"/>
                <w:b/>
                <w:bCs/>
                <w:color w:val="000000"/>
                <w:sz w:val="18"/>
                <w:szCs w:val="18"/>
              </w:rPr>
              <w:footnoteReference w:id="15"/>
            </w:r>
          </w:p>
        </w:tc>
        <w:tc>
          <w:tcPr>
            <w:tcW w:w="934" w:type="dxa"/>
            <w:shd w:val="clear" w:color="auto" w:fill="B4C6E7" w:themeFill="accent1" w:themeFillTint="66"/>
          </w:tcPr>
          <w:p w14:paraId="1F78AE18" w14:textId="77777777" w:rsidR="008C2772" w:rsidRDefault="008C2772" w:rsidP="008C2772">
            <w:pPr>
              <w:pStyle w:val="BodyText2"/>
              <w:jc w:val="center"/>
              <w:rPr>
                <w:rFonts w:asciiTheme="majorHAnsi" w:hAnsiTheme="majorHAnsi" w:cstheme="majorHAnsi"/>
                <w:b/>
                <w:bCs/>
                <w:sz w:val="18"/>
                <w:szCs w:val="18"/>
              </w:rPr>
            </w:pPr>
          </w:p>
          <w:p w14:paraId="73BB9500" w14:textId="77777777" w:rsidR="008C2772" w:rsidRPr="00D360C2" w:rsidRDefault="008C2772" w:rsidP="008C2772">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sz w:val="18"/>
                <w:szCs w:val="18"/>
              </w:rPr>
              <w:t>Percent Change</w:t>
            </w:r>
          </w:p>
        </w:tc>
        <w:tc>
          <w:tcPr>
            <w:tcW w:w="825" w:type="dxa"/>
            <w:shd w:val="clear" w:color="auto" w:fill="B4C6E7" w:themeFill="accent1" w:themeFillTint="66"/>
            <w:vAlign w:val="center"/>
          </w:tcPr>
          <w:p w14:paraId="7E50095F" w14:textId="07F4C9F9" w:rsidR="008C2772" w:rsidRPr="00D360C2" w:rsidRDefault="008C2772" w:rsidP="008C2772">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FY2</w:t>
            </w:r>
            <w:r>
              <w:rPr>
                <w:rFonts w:asciiTheme="majorHAnsi" w:hAnsiTheme="majorHAnsi" w:cstheme="majorHAnsi"/>
                <w:b/>
                <w:bCs/>
                <w:color w:val="000000"/>
                <w:sz w:val="18"/>
                <w:szCs w:val="18"/>
              </w:rPr>
              <w:t>2</w:t>
            </w:r>
          </w:p>
        </w:tc>
        <w:tc>
          <w:tcPr>
            <w:tcW w:w="825" w:type="dxa"/>
            <w:shd w:val="clear" w:color="auto" w:fill="B4C6E7" w:themeFill="accent1" w:themeFillTint="66"/>
            <w:vAlign w:val="center"/>
          </w:tcPr>
          <w:p w14:paraId="5E026D14" w14:textId="7CD97423" w:rsidR="008C2772" w:rsidRPr="00D360C2" w:rsidRDefault="008C2772" w:rsidP="008C2772">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FY2</w:t>
            </w:r>
            <w:r>
              <w:rPr>
                <w:rFonts w:asciiTheme="majorHAnsi" w:hAnsiTheme="majorHAnsi" w:cstheme="majorHAnsi"/>
                <w:b/>
                <w:bCs/>
                <w:color w:val="000000"/>
                <w:sz w:val="18"/>
                <w:szCs w:val="18"/>
              </w:rPr>
              <w:t>3 through April</w:t>
            </w:r>
          </w:p>
        </w:tc>
      </w:tr>
      <w:tr w:rsidR="008C2772" w:rsidRPr="00D360C2" w14:paraId="298AE684" w14:textId="1E1F6ECF" w:rsidTr="00A62F6E">
        <w:trPr>
          <w:trHeight w:val="333"/>
        </w:trPr>
        <w:tc>
          <w:tcPr>
            <w:tcW w:w="2203" w:type="dxa"/>
          </w:tcPr>
          <w:p w14:paraId="2855677D" w14:textId="748B7D73" w:rsidR="008C2772" w:rsidRPr="00D360C2" w:rsidRDefault="008C2772" w:rsidP="008C2772">
            <w:pPr>
              <w:pStyle w:val="BodyText2"/>
              <w:jc w:val="center"/>
              <w:rPr>
                <w:rFonts w:asciiTheme="majorHAnsi" w:hAnsiTheme="majorHAnsi" w:cstheme="majorHAnsi"/>
                <w:sz w:val="18"/>
                <w:szCs w:val="18"/>
              </w:rPr>
            </w:pPr>
            <w:r>
              <w:rPr>
                <w:rFonts w:asciiTheme="majorHAnsi" w:hAnsiTheme="majorHAnsi" w:cstheme="majorHAnsi"/>
                <w:b/>
                <w:bCs/>
                <w:color w:val="000000"/>
                <w:sz w:val="18"/>
                <w:szCs w:val="18"/>
              </w:rPr>
              <w:t>CT Volume</w:t>
            </w:r>
          </w:p>
        </w:tc>
        <w:tc>
          <w:tcPr>
            <w:tcW w:w="766" w:type="dxa"/>
            <w:vAlign w:val="center"/>
          </w:tcPr>
          <w:p w14:paraId="6F6FDE74" w14:textId="27B14935" w:rsidR="008C2772" w:rsidRPr="00034402" w:rsidRDefault="00034402" w:rsidP="008C2772">
            <w:pPr>
              <w:pStyle w:val="BodyText2"/>
              <w:spacing w:line="720" w:lineRule="auto"/>
              <w:jc w:val="center"/>
              <w:rPr>
                <w:rFonts w:asciiTheme="majorHAnsi" w:hAnsiTheme="majorHAnsi" w:cstheme="majorHAnsi"/>
                <w:sz w:val="18"/>
                <w:szCs w:val="18"/>
              </w:rPr>
            </w:pPr>
            <w:r w:rsidRPr="00034402">
              <w:rPr>
                <w:rFonts w:ascii="Calibri Light" w:hAnsi="Calibri Light" w:cs="Calibri Light"/>
                <w:sz w:val="18"/>
                <w:szCs w:val="18"/>
              </w:rPr>
              <w:t>17,271</w:t>
            </w:r>
          </w:p>
        </w:tc>
        <w:tc>
          <w:tcPr>
            <w:tcW w:w="1138" w:type="dxa"/>
          </w:tcPr>
          <w:p w14:paraId="31B60340" w14:textId="303A6FA3" w:rsidR="008C2772" w:rsidRPr="00034402" w:rsidRDefault="00034402" w:rsidP="008C2772">
            <w:pPr>
              <w:pStyle w:val="BodyText2"/>
              <w:spacing w:line="720" w:lineRule="auto"/>
              <w:jc w:val="center"/>
              <w:rPr>
                <w:rFonts w:asciiTheme="majorHAnsi" w:hAnsiTheme="majorHAnsi" w:cstheme="majorHAnsi"/>
                <w:sz w:val="18"/>
                <w:szCs w:val="18"/>
              </w:rPr>
            </w:pPr>
            <w:r w:rsidRPr="00034402">
              <w:rPr>
                <w:rFonts w:ascii="Calibri Light" w:hAnsi="Calibri Light" w:cs="Calibri Light"/>
                <w:sz w:val="18"/>
                <w:szCs w:val="18"/>
              </w:rPr>
              <w:t>-2.21%</w:t>
            </w:r>
          </w:p>
        </w:tc>
        <w:tc>
          <w:tcPr>
            <w:tcW w:w="745" w:type="dxa"/>
            <w:vAlign w:val="center"/>
          </w:tcPr>
          <w:p w14:paraId="2EA77283" w14:textId="1072BBF0" w:rsidR="008C2772" w:rsidRPr="00034402" w:rsidRDefault="00034402" w:rsidP="008C2772">
            <w:pPr>
              <w:pStyle w:val="BodyText2"/>
              <w:spacing w:line="720" w:lineRule="auto"/>
              <w:jc w:val="center"/>
              <w:rPr>
                <w:rFonts w:asciiTheme="majorHAnsi" w:hAnsiTheme="majorHAnsi" w:cstheme="majorHAnsi"/>
                <w:sz w:val="18"/>
                <w:szCs w:val="18"/>
              </w:rPr>
            </w:pPr>
            <w:r w:rsidRPr="00034402">
              <w:rPr>
                <w:rFonts w:ascii="Calibri Light" w:hAnsi="Calibri Light" w:cs="Calibri Light"/>
                <w:sz w:val="18"/>
                <w:szCs w:val="18"/>
              </w:rPr>
              <w:t>16,890</w:t>
            </w:r>
          </w:p>
        </w:tc>
        <w:tc>
          <w:tcPr>
            <w:tcW w:w="934" w:type="dxa"/>
          </w:tcPr>
          <w:p w14:paraId="68E0D145" w14:textId="317F6A23" w:rsidR="008C2772" w:rsidRPr="00034402" w:rsidRDefault="00034402" w:rsidP="008C2772">
            <w:pPr>
              <w:pStyle w:val="BodyText2"/>
              <w:spacing w:line="720" w:lineRule="auto"/>
              <w:jc w:val="center"/>
              <w:rPr>
                <w:rFonts w:asciiTheme="majorHAnsi" w:hAnsiTheme="majorHAnsi" w:cstheme="majorHAnsi"/>
                <w:sz w:val="18"/>
                <w:szCs w:val="18"/>
              </w:rPr>
            </w:pPr>
            <w:r w:rsidRPr="00034402">
              <w:rPr>
                <w:rFonts w:ascii="Calibri Light" w:hAnsi="Calibri Light" w:cs="Calibri Light"/>
                <w:sz w:val="18"/>
                <w:szCs w:val="18"/>
              </w:rPr>
              <w:t>5.07%</w:t>
            </w:r>
          </w:p>
        </w:tc>
        <w:tc>
          <w:tcPr>
            <w:tcW w:w="825" w:type="dxa"/>
            <w:vAlign w:val="center"/>
          </w:tcPr>
          <w:p w14:paraId="13C9416D" w14:textId="3865561B" w:rsidR="008C2772" w:rsidRPr="00034402" w:rsidRDefault="00034402" w:rsidP="008C2772">
            <w:pPr>
              <w:pStyle w:val="BodyText2"/>
              <w:spacing w:line="720" w:lineRule="auto"/>
              <w:jc w:val="center"/>
              <w:rPr>
                <w:rFonts w:asciiTheme="majorHAnsi" w:hAnsiTheme="majorHAnsi" w:cstheme="majorHAnsi"/>
                <w:sz w:val="18"/>
                <w:szCs w:val="18"/>
              </w:rPr>
            </w:pPr>
            <w:r w:rsidRPr="00034402">
              <w:rPr>
                <w:rFonts w:ascii="Calibri Light" w:hAnsi="Calibri Light" w:cs="Calibri Light"/>
                <w:sz w:val="18"/>
                <w:szCs w:val="18"/>
              </w:rPr>
              <w:t>16,890</w:t>
            </w:r>
          </w:p>
        </w:tc>
        <w:tc>
          <w:tcPr>
            <w:tcW w:w="825" w:type="dxa"/>
            <w:vAlign w:val="center"/>
          </w:tcPr>
          <w:p w14:paraId="36EACD2C" w14:textId="3335E440" w:rsidR="008C2772" w:rsidRPr="00034402" w:rsidRDefault="00034402" w:rsidP="008C2772">
            <w:pPr>
              <w:pStyle w:val="BodyText2"/>
              <w:spacing w:line="720" w:lineRule="auto"/>
              <w:jc w:val="center"/>
              <w:rPr>
                <w:rFonts w:asciiTheme="majorHAnsi" w:hAnsiTheme="majorHAnsi" w:cstheme="majorHAnsi"/>
                <w:sz w:val="18"/>
                <w:szCs w:val="18"/>
              </w:rPr>
            </w:pPr>
            <w:r w:rsidRPr="00034402">
              <w:rPr>
                <w:rFonts w:ascii="Calibri Light" w:hAnsi="Calibri Light" w:cs="Calibri Light"/>
                <w:sz w:val="18"/>
                <w:szCs w:val="18"/>
              </w:rPr>
              <w:t>10,547</w:t>
            </w:r>
          </w:p>
        </w:tc>
      </w:tr>
    </w:tbl>
    <w:p w14:paraId="1FE4E272" w14:textId="0E4AB921" w:rsidR="00024013" w:rsidRDefault="00024013" w:rsidP="007E5003">
      <w:pPr>
        <w:pStyle w:val="ListParagraph"/>
        <w:spacing w:after="0" w:line="240" w:lineRule="auto"/>
        <w:ind w:left="360"/>
        <w:jc w:val="both"/>
        <w:rPr>
          <w:rFonts w:ascii="Arial" w:eastAsia="Times New Roman" w:hAnsi="Arial" w:cs="Arial"/>
          <w:bCs/>
          <w:kern w:val="2"/>
          <w:sz w:val="20"/>
          <w:szCs w:val="20"/>
        </w:rPr>
      </w:pPr>
    </w:p>
    <w:p w14:paraId="653B3E32" w14:textId="7F3DD633" w:rsidR="007E5003" w:rsidRPr="00C40672" w:rsidRDefault="00024013" w:rsidP="00E04200">
      <w:pPr>
        <w:rPr>
          <w:rFonts w:ascii="Arial" w:eastAsia="Times New Roman" w:hAnsi="Arial" w:cs="Arial"/>
          <w:bCs/>
          <w:kern w:val="2"/>
          <w:sz w:val="20"/>
          <w:szCs w:val="20"/>
          <w:u w:val="single"/>
        </w:rPr>
      </w:pPr>
      <w:r>
        <w:rPr>
          <w:rFonts w:ascii="Arial" w:eastAsia="Times New Roman" w:hAnsi="Arial" w:cs="Arial"/>
          <w:bCs/>
          <w:kern w:val="2"/>
          <w:sz w:val="20"/>
          <w:szCs w:val="20"/>
        </w:rPr>
        <w:br w:type="page"/>
      </w:r>
      <w:r w:rsidR="007E5003" w:rsidRPr="00C40672">
        <w:rPr>
          <w:rFonts w:ascii="Arial" w:eastAsia="Times New Roman" w:hAnsi="Arial" w:cs="Arial"/>
          <w:bCs/>
          <w:kern w:val="2"/>
          <w:sz w:val="20"/>
          <w:szCs w:val="20"/>
          <w:u w:val="single"/>
        </w:rPr>
        <w:lastRenderedPageBreak/>
        <w:t>Limitations of One CT Unit</w:t>
      </w:r>
    </w:p>
    <w:p w14:paraId="469E56E0" w14:textId="77777777" w:rsidR="00722B50" w:rsidRPr="00722B50" w:rsidRDefault="00722B50" w:rsidP="00722B50">
      <w:pPr>
        <w:pStyle w:val="ListParagraph"/>
        <w:spacing w:after="0" w:line="240" w:lineRule="auto"/>
        <w:ind w:left="360"/>
        <w:jc w:val="both"/>
        <w:rPr>
          <w:rFonts w:ascii="Arial" w:eastAsia="Times New Roman" w:hAnsi="Arial" w:cs="Arial"/>
          <w:bCs/>
          <w:kern w:val="2"/>
          <w:sz w:val="20"/>
          <w:szCs w:val="20"/>
        </w:rPr>
      </w:pPr>
    </w:p>
    <w:p w14:paraId="7EEA2625" w14:textId="5B1BE613" w:rsidR="00382EC7" w:rsidRDefault="00C40672" w:rsidP="003858F2">
      <w:pPr>
        <w:jc w:val="both"/>
        <w:rPr>
          <w:rFonts w:ascii="Arial" w:hAnsi="Arial" w:cs="Arial"/>
          <w:sz w:val="20"/>
          <w:szCs w:val="20"/>
        </w:rPr>
      </w:pPr>
      <w:r>
        <w:rPr>
          <w:rFonts w:ascii="Arial" w:hAnsi="Arial" w:cs="Arial"/>
          <w:sz w:val="20"/>
          <w:szCs w:val="20"/>
        </w:rPr>
        <w:t xml:space="preserve">Currently, one CT unit at AJH </w:t>
      </w:r>
      <w:r w:rsidR="00722B50">
        <w:rPr>
          <w:rFonts w:ascii="Arial" w:hAnsi="Arial" w:cs="Arial"/>
          <w:sz w:val="20"/>
          <w:szCs w:val="20"/>
        </w:rPr>
        <w:t>serve</w:t>
      </w:r>
      <w:r w:rsidR="005D5F3F">
        <w:rPr>
          <w:rFonts w:ascii="Arial" w:hAnsi="Arial" w:cs="Arial"/>
          <w:sz w:val="20"/>
          <w:szCs w:val="20"/>
        </w:rPr>
        <w:t>s the</w:t>
      </w:r>
      <w:r>
        <w:rPr>
          <w:rFonts w:ascii="Arial" w:hAnsi="Arial" w:cs="Arial"/>
          <w:sz w:val="20"/>
          <w:szCs w:val="20"/>
        </w:rPr>
        <w:t xml:space="preserve"> CT needs of</w:t>
      </w:r>
      <w:r w:rsidR="005D5F3F">
        <w:rPr>
          <w:rFonts w:ascii="Arial" w:hAnsi="Arial" w:cs="Arial"/>
          <w:sz w:val="20"/>
          <w:szCs w:val="20"/>
        </w:rPr>
        <w:t xml:space="preserve"> the Hospital’s</w:t>
      </w:r>
      <w:r w:rsidR="00722B50">
        <w:rPr>
          <w:rFonts w:ascii="Arial" w:hAnsi="Arial" w:cs="Arial"/>
          <w:sz w:val="20"/>
          <w:szCs w:val="20"/>
        </w:rPr>
        <w:t xml:space="preserve"> inpatients, ED </w:t>
      </w:r>
      <w:r>
        <w:rPr>
          <w:rFonts w:ascii="Arial" w:hAnsi="Arial" w:cs="Arial"/>
          <w:sz w:val="20"/>
          <w:szCs w:val="20"/>
        </w:rPr>
        <w:t xml:space="preserve">patients, </w:t>
      </w:r>
      <w:r w:rsidR="00722B50">
        <w:rPr>
          <w:rFonts w:ascii="Arial" w:hAnsi="Arial" w:cs="Arial"/>
          <w:sz w:val="20"/>
          <w:szCs w:val="20"/>
        </w:rPr>
        <w:t xml:space="preserve">and outpatients. </w:t>
      </w:r>
      <w:r w:rsidR="005D5F3F">
        <w:rPr>
          <w:rFonts w:ascii="Arial" w:hAnsi="Arial" w:cs="Arial"/>
          <w:sz w:val="20"/>
          <w:szCs w:val="20"/>
        </w:rPr>
        <w:t>Emergent and stroke patients must receive CT imaging quickly. As a result, these cases often disrupt access for inpatients and cause scheduled outpatient</w:t>
      </w:r>
      <w:r w:rsidR="0033593B">
        <w:rPr>
          <w:rFonts w:ascii="Arial" w:hAnsi="Arial" w:cs="Arial"/>
          <w:sz w:val="20"/>
          <w:szCs w:val="20"/>
        </w:rPr>
        <w:t>s</w:t>
      </w:r>
      <w:r w:rsidR="005D5F3F">
        <w:rPr>
          <w:rFonts w:ascii="Arial" w:hAnsi="Arial" w:cs="Arial"/>
          <w:sz w:val="20"/>
          <w:szCs w:val="20"/>
        </w:rPr>
        <w:t xml:space="preserve"> to be delayed or rescheduled. </w:t>
      </w:r>
      <w:r w:rsidR="0033593B">
        <w:rPr>
          <w:rFonts w:ascii="Arial" w:hAnsi="Arial" w:cs="Arial"/>
          <w:sz w:val="20"/>
          <w:szCs w:val="20"/>
        </w:rPr>
        <w:t xml:space="preserve">With only one CT, </w:t>
      </w:r>
      <w:r w:rsidR="00722B50">
        <w:rPr>
          <w:rFonts w:ascii="Arial" w:hAnsi="Arial" w:cs="Arial"/>
          <w:sz w:val="20"/>
          <w:szCs w:val="20"/>
        </w:rPr>
        <w:t>AJH is</w:t>
      </w:r>
      <w:r>
        <w:rPr>
          <w:rFonts w:ascii="Arial" w:hAnsi="Arial" w:cs="Arial"/>
          <w:sz w:val="20"/>
          <w:szCs w:val="20"/>
        </w:rPr>
        <w:t xml:space="preserve"> also</w:t>
      </w:r>
      <w:r w:rsidR="00722B50">
        <w:rPr>
          <w:rFonts w:ascii="Arial" w:hAnsi="Arial" w:cs="Arial"/>
          <w:sz w:val="20"/>
          <w:szCs w:val="20"/>
        </w:rPr>
        <w:t xml:space="preserve"> limited in its ability to provide interventional radiology procedures without impeding access to CT imaging for stroke </w:t>
      </w:r>
      <w:r w:rsidR="005D5F3F">
        <w:rPr>
          <w:rFonts w:ascii="Arial" w:hAnsi="Arial" w:cs="Arial"/>
          <w:sz w:val="20"/>
          <w:szCs w:val="20"/>
        </w:rPr>
        <w:t xml:space="preserve">and other </w:t>
      </w:r>
      <w:r w:rsidR="00722B50">
        <w:rPr>
          <w:rFonts w:ascii="Arial" w:hAnsi="Arial" w:cs="Arial"/>
          <w:sz w:val="20"/>
          <w:szCs w:val="20"/>
        </w:rPr>
        <w:t xml:space="preserve">ED patients. </w:t>
      </w:r>
      <w:r w:rsidRPr="00C82724">
        <w:rPr>
          <w:rFonts w:ascii="Arial" w:hAnsi="Arial" w:cs="Arial"/>
          <w:sz w:val="20"/>
          <w:szCs w:val="20"/>
        </w:rPr>
        <w:t xml:space="preserve">In addition, expansion of the LDCT program </w:t>
      </w:r>
      <w:r>
        <w:rPr>
          <w:rFonts w:ascii="Arial" w:hAnsi="Arial" w:cs="Arial"/>
          <w:sz w:val="20"/>
          <w:szCs w:val="20"/>
        </w:rPr>
        <w:t xml:space="preserve">is not possible with one CT unit. </w:t>
      </w:r>
      <w:r w:rsidR="00722B50">
        <w:rPr>
          <w:rFonts w:ascii="Arial" w:hAnsi="Arial" w:cs="Arial"/>
          <w:sz w:val="20"/>
          <w:szCs w:val="20"/>
        </w:rPr>
        <w:t>A second CT unit is needed to provide AJH’s patient population with uninterrupted and increased access to CT imagin</w:t>
      </w:r>
      <w:r w:rsidR="003858F2">
        <w:rPr>
          <w:rFonts w:ascii="Arial" w:hAnsi="Arial" w:cs="Arial"/>
          <w:sz w:val="20"/>
          <w:szCs w:val="20"/>
        </w:rPr>
        <w:t>g.</w:t>
      </w:r>
    </w:p>
    <w:p w14:paraId="083D2865" w14:textId="5A59E154" w:rsidR="00C82724" w:rsidRDefault="003858F2" w:rsidP="000B2331">
      <w:pPr>
        <w:spacing w:line="240" w:lineRule="auto"/>
        <w:jc w:val="both"/>
        <w:rPr>
          <w:rFonts w:ascii="Arial" w:hAnsi="Arial" w:cs="Arial"/>
          <w:sz w:val="20"/>
          <w:szCs w:val="20"/>
        </w:rPr>
      </w:pPr>
      <w:r>
        <w:rPr>
          <w:rFonts w:ascii="Arial" w:hAnsi="Arial" w:cs="Arial"/>
          <w:sz w:val="20"/>
          <w:szCs w:val="20"/>
        </w:rPr>
        <w:t xml:space="preserve">As demonstrated below, </w:t>
      </w:r>
      <w:r w:rsidR="00C82724">
        <w:rPr>
          <w:rFonts w:ascii="Arial" w:hAnsi="Arial" w:cs="Arial"/>
          <w:sz w:val="20"/>
          <w:szCs w:val="20"/>
        </w:rPr>
        <w:t>between FY20 and FY22, there was a 105% increase in downtime hours for the Hospital</w:t>
      </w:r>
      <w:r w:rsidR="005D5F3F">
        <w:rPr>
          <w:rFonts w:ascii="Arial" w:hAnsi="Arial" w:cs="Arial"/>
          <w:sz w:val="20"/>
          <w:szCs w:val="20"/>
        </w:rPr>
        <w:t>’s CT unit</w:t>
      </w:r>
      <w:r w:rsidR="00C82724">
        <w:rPr>
          <w:rFonts w:ascii="Arial" w:hAnsi="Arial" w:cs="Arial"/>
          <w:sz w:val="20"/>
          <w:szCs w:val="20"/>
        </w:rPr>
        <w:t>. When the unit is not available</w:t>
      </w:r>
      <w:r w:rsidR="005D5F3F">
        <w:rPr>
          <w:rFonts w:ascii="Arial" w:hAnsi="Arial" w:cs="Arial"/>
          <w:sz w:val="20"/>
          <w:szCs w:val="20"/>
        </w:rPr>
        <w:t xml:space="preserve">, </w:t>
      </w:r>
      <w:r w:rsidR="00C82724">
        <w:rPr>
          <w:rFonts w:ascii="Arial" w:hAnsi="Arial" w:cs="Arial"/>
          <w:sz w:val="20"/>
          <w:szCs w:val="20"/>
        </w:rPr>
        <w:t xml:space="preserve">patients </w:t>
      </w:r>
      <w:r w:rsidR="005D5F3F">
        <w:rPr>
          <w:rFonts w:ascii="Arial" w:hAnsi="Arial" w:cs="Arial"/>
          <w:sz w:val="20"/>
          <w:szCs w:val="20"/>
        </w:rPr>
        <w:t xml:space="preserve">requiring CT imaging </w:t>
      </w:r>
      <w:r w:rsidR="00C82724">
        <w:rPr>
          <w:rFonts w:ascii="Arial" w:hAnsi="Arial" w:cs="Arial"/>
          <w:sz w:val="20"/>
          <w:szCs w:val="20"/>
        </w:rPr>
        <w:t xml:space="preserve">must wait, be transferred to another facility, or be </w:t>
      </w:r>
      <w:r w:rsidR="00C82724" w:rsidRPr="00C82724">
        <w:rPr>
          <w:rFonts w:ascii="Arial" w:hAnsi="Arial" w:cs="Arial"/>
          <w:sz w:val="20"/>
          <w:szCs w:val="20"/>
        </w:rPr>
        <w:t>rescheduled</w:t>
      </w:r>
      <w:r w:rsidR="00C82724">
        <w:rPr>
          <w:rFonts w:ascii="Arial" w:hAnsi="Arial" w:cs="Arial"/>
          <w:sz w:val="20"/>
          <w:szCs w:val="20"/>
        </w:rPr>
        <w:t xml:space="preserve">. </w:t>
      </w:r>
      <w:r w:rsidR="009B3F1F">
        <w:rPr>
          <w:rFonts w:ascii="Arial" w:hAnsi="Arial" w:cs="Arial"/>
          <w:sz w:val="20"/>
          <w:szCs w:val="20"/>
        </w:rPr>
        <w:t xml:space="preserve">For example, in FY22, 29 </w:t>
      </w:r>
      <w:r w:rsidR="005D5F3F">
        <w:rPr>
          <w:rFonts w:ascii="Arial" w:hAnsi="Arial" w:cs="Arial"/>
          <w:sz w:val="20"/>
          <w:szCs w:val="20"/>
        </w:rPr>
        <w:t xml:space="preserve">emergency </w:t>
      </w:r>
      <w:r w:rsidR="009B3F1F">
        <w:rPr>
          <w:rFonts w:ascii="Arial" w:hAnsi="Arial" w:cs="Arial"/>
          <w:sz w:val="20"/>
          <w:szCs w:val="20"/>
        </w:rPr>
        <w:t>patients were diverted</w:t>
      </w:r>
      <w:r w:rsidR="005D5F3F">
        <w:rPr>
          <w:rFonts w:ascii="Arial" w:hAnsi="Arial" w:cs="Arial"/>
          <w:sz w:val="20"/>
          <w:szCs w:val="20"/>
        </w:rPr>
        <w:t xml:space="preserve"> by the EMS system</w:t>
      </w:r>
      <w:r w:rsidR="009B3F1F">
        <w:rPr>
          <w:rFonts w:ascii="Arial" w:hAnsi="Arial" w:cs="Arial"/>
          <w:sz w:val="20"/>
          <w:szCs w:val="20"/>
        </w:rPr>
        <w:t xml:space="preserve"> from AJH to another facility</w:t>
      </w:r>
      <w:r w:rsidR="005D5F3F">
        <w:rPr>
          <w:rFonts w:ascii="Arial" w:hAnsi="Arial" w:cs="Arial"/>
          <w:sz w:val="20"/>
          <w:szCs w:val="20"/>
        </w:rPr>
        <w:t xml:space="preserve"> because the CT was not available</w:t>
      </w:r>
      <w:r w:rsidR="00C40672">
        <w:rPr>
          <w:rFonts w:ascii="Arial" w:hAnsi="Arial" w:cs="Arial"/>
          <w:sz w:val="20"/>
          <w:szCs w:val="20"/>
        </w:rPr>
        <w:t xml:space="preserve">. </w:t>
      </w:r>
      <w:r w:rsidR="00C82724" w:rsidRPr="00C82724">
        <w:rPr>
          <w:rFonts w:ascii="Arial" w:eastAsia="Calibri" w:hAnsi="Arial" w:cs="Arial"/>
          <w:sz w:val="20"/>
          <w:szCs w:val="20"/>
        </w:rPr>
        <w:t xml:space="preserve">Increased downtime and concerns that the existing </w:t>
      </w:r>
      <w:r w:rsidR="005D5F3F">
        <w:rPr>
          <w:rFonts w:ascii="Arial" w:eastAsia="Calibri" w:hAnsi="Arial" w:cs="Arial"/>
          <w:sz w:val="20"/>
          <w:szCs w:val="20"/>
        </w:rPr>
        <w:t>unit</w:t>
      </w:r>
      <w:r w:rsidR="00C82724" w:rsidRPr="00C82724">
        <w:rPr>
          <w:rFonts w:ascii="Arial" w:eastAsia="Calibri" w:hAnsi="Arial" w:cs="Arial"/>
          <w:sz w:val="20"/>
          <w:szCs w:val="20"/>
        </w:rPr>
        <w:t xml:space="preserve"> will increasingly require routine and unanticipated downtime as it</w:t>
      </w:r>
      <w:r w:rsidR="00C82724">
        <w:rPr>
          <w:rFonts w:ascii="Arial" w:eastAsia="Calibri" w:hAnsi="Arial" w:cs="Arial"/>
          <w:sz w:val="20"/>
          <w:szCs w:val="20"/>
        </w:rPr>
        <w:t xml:space="preserve"> </w:t>
      </w:r>
      <w:r w:rsidR="00C82724" w:rsidRPr="00C82724">
        <w:rPr>
          <w:rFonts w:ascii="Arial" w:eastAsia="Calibri" w:hAnsi="Arial" w:cs="Arial"/>
          <w:sz w:val="20"/>
          <w:szCs w:val="20"/>
        </w:rPr>
        <w:t xml:space="preserve">ages are </w:t>
      </w:r>
      <w:r w:rsidR="005D5F3F">
        <w:rPr>
          <w:rFonts w:ascii="Arial" w:eastAsia="Calibri" w:hAnsi="Arial" w:cs="Arial"/>
          <w:sz w:val="20"/>
          <w:szCs w:val="20"/>
        </w:rPr>
        <w:t>indicators</w:t>
      </w:r>
      <w:r w:rsidR="00C82724" w:rsidRPr="00C82724">
        <w:rPr>
          <w:rFonts w:ascii="Arial" w:eastAsia="Calibri" w:hAnsi="Arial" w:cs="Arial"/>
          <w:sz w:val="20"/>
          <w:szCs w:val="20"/>
        </w:rPr>
        <w:t xml:space="preserve"> of the need for a second CT. </w:t>
      </w:r>
    </w:p>
    <w:tbl>
      <w:tblPr>
        <w:tblStyle w:val="TableGrid"/>
        <w:tblpPr w:leftFromText="180" w:rightFromText="180" w:vertAnchor="text" w:horzAnchor="margin" w:tblpY="253"/>
        <w:tblW w:w="0" w:type="auto"/>
        <w:tblLook w:val="04A0" w:firstRow="1" w:lastRow="0" w:firstColumn="1" w:lastColumn="0" w:noHBand="0" w:noVBand="1"/>
      </w:tblPr>
      <w:tblGrid>
        <w:gridCol w:w="1991"/>
        <w:gridCol w:w="1866"/>
        <w:gridCol w:w="1866"/>
        <w:gridCol w:w="1866"/>
      </w:tblGrid>
      <w:tr w:rsidR="00C82724" w:rsidRPr="000F3164" w14:paraId="4AE0AA55" w14:textId="77777777" w:rsidTr="005C3921">
        <w:trPr>
          <w:cantSplit/>
          <w:tblHeader/>
        </w:trPr>
        <w:tc>
          <w:tcPr>
            <w:tcW w:w="1991" w:type="dxa"/>
            <w:shd w:val="clear" w:color="auto" w:fill="BDD6EE" w:themeFill="accent5" w:themeFillTint="66"/>
          </w:tcPr>
          <w:p w14:paraId="16B5A434" w14:textId="2E651161" w:rsidR="00C82724" w:rsidRPr="00C82724" w:rsidRDefault="00C82724" w:rsidP="000A1BB7">
            <w:pPr>
              <w:widowControl w:val="0"/>
              <w:jc w:val="center"/>
              <w:rPr>
                <w:rFonts w:asciiTheme="majorHAnsi" w:eastAsia="Calibri" w:hAnsiTheme="majorHAnsi" w:cstheme="majorHAnsi"/>
                <w:b/>
                <w:bCs/>
                <w:sz w:val="18"/>
                <w:szCs w:val="18"/>
              </w:rPr>
            </w:pPr>
            <w:r w:rsidRPr="00C82724">
              <w:rPr>
                <w:rFonts w:asciiTheme="majorHAnsi" w:eastAsia="Calibri" w:hAnsiTheme="majorHAnsi" w:cstheme="majorHAnsi"/>
                <w:b/>
                <w:bCs/>
                <w:sz w:val="18"/>
                <w:szCs w:val="18"/>
              </w:rPr>
              <w:t>Downtime Type</w:t>
            </w:r>
            <w:r>
              <w:rPr>
                <w:rStyle w:val="FootnoteReference"/>
                <w:rFonts w:asciiTheme="majorHAnsi" w:eastAsia="Calibri" w:hAnsiTheme="majorHAnsi" w:cstheme="majorHAnsi"/>
                <w:b/>
                <w:bCs/>
                <w:sz w:val="18"/>
                <w:szCs w:val="18"/>
              </w:rPr>
              <w:footnoteReference w:id="16"/>
            </w:r>
          </w:p>
        </w:tc>
        <w:tc>
          <w:tcPr>
            <w:tcW w:w="1866" w:type="dxa"/>
            <w:shd w:val="clear" w:color="auto" w:fill="BDD6EE" w:themeFill="accent5" w:themeFillTint="66"/>
          </w:tcPr>
          <w:p w14:paraId="5169252C" w14:textId="77777777" w:rsidR="00C82724" w:rsidRPr="000F3164" w:rsidRDefault="00C82724" w:rsidP="00C82724">
            <w:pPr>
              <w:widowControl w:val="0"/>
              <w:jc w:val="center"/>
              <w:rPr>
                <w:rFonts w:asciiTheme="majorHAnsi" w:eastAsia="Calibri" w:hAnsiTheme="majorHAnsi" w:cstheme="majorHAnsi"/>
                <w:b/>
                <w:bCs/>
                <w:sz w:val="18"/>
                <w:szCs w:val="18"/>
              </w:rPr>
            </w:pPr>
            <w:r w:rsidRPr="000F3164">
              <w:rPr>
                <w:rFonts w:asciiTheme="majorHAnsi" w:eastAsia="Calibri" w:hAnsiTheme="majorHAnsi" w:cstheme="majorHAnsi"/>
                <w:b/>
                <w:bCs/>
                <w:sz w:val="18"/>
                <w:szCs w:val="18"/>
              </w:rPr>
              <w:t>FY20</w:t>
            </w:r>
          </w:p>
        </w:tc>
        <w:tc>
          <w:tcPr>
            <w:tcW w:w="1866" w:type="dxa"/>
            <w:shd w:val="clear" w:color="auto" w:fill="BDD6EE" w:themeFill="accent5" w:themeFillTint="66"/>
          </w:tcPr>
          <w:p w14:paraId="49C3F15C" w14:textId="77777777" w:rsidR="00C82724" w:rsidRPr="000F3164" w:rsidRDefault="00C82724" w:rsidP="00C82724">
            <w:pPr>
              <w:widowControl w:val="0"/>
              <w:jc w:val="center"/>
              <w:rPr>
                <w:rFonts w:asciiTheme="majorHAnsi" w:eastAsia="Calibri" w:hAnsiTheme="majorHAnsi" w:cstheme="majorHAnsi"/>
                <w:b/>
                <w:bCs/>
                <w:sz w:val="18"/>
                <w:szCs w:val="18"/>
              </w:rPr>
            </w:pPr>
            <w:r w:rsidRPr="000F3164">
              <w:rPr>
                <w:rFonts w:asciiTheme="majorHAnsi" w:eastAsia="Calibri" w:hAnsiTheme="majorHAnsi" w:cstheme="majorHAnsi"/>
                <w:b/>
                <w:bCs/>
                <w:sz w:val="18"/>
                <w:szCs w:val="18"/>
              </w:rPr>
              <w:t>FY21</w:t>
            </w:r>
          </w:p>
        </w:tc>
        <w:tc>
          <w:tcPr>
            <w:tcW w:w="1866" w:type="dxa"/>
            <w:shd w:val="clear" w:color="auto" w:fill="BDD6EE" w:themeFill="accent5" w:themeFillTint="66"/>
          </w:tcPr>
          <w:p w14:paraId="7D0F313B" w14:textId="77777777" w:rsidR="00C82724" w:rsidRPr="000F3164" w:rsidRDefault="00C82724" w:rsidP="00C82724">
            <w:pPr>
              <w:widowControl w:val="0"/>
              <w:jc w:val="center"/>
              <w:rPr>
                <w:rFonts w:asciiTheme="majorHAnsi" w:eastAsia="Calibri" w:hAnsiTheme="majorHAnsi" w:cstheme="majorHAnsi"/>
                <w:b/>
                <w:bCs/>
                <w:sz w:val="18"/>
                <w:szCs w:val="18"/>
              </w:rPr>
            </w:pPr>
            <w:r w:rsidRPr="000F3164">
              <w:rPr>
                <w:rFonts w:asciiTheme="majorHAnsi" w:eastAsia="Calibri" w:hAnsiTheme="majorHAnsi" w:cstheme="majorHAnsi"/>
                <w:b/>
                <w:bCs/>
                <w:sz w:val="18"/>
                <w:szCs w:val="18"/>
              </w:rPr>
              <w:t>FY2</w:t>
            </w:r>
            <w:r>
              <w:rPr>
                <w:rFonts w:asciiTheme="majorHAnsi" w:eastAsia="Calibri" w:hAnsiTheme="majorHAnsi" w:cstheme="majorHAnsi"/>
                <w:b/>
                <w:bCs/>
                <w:sz w:val="18"/>
                <w:szCs w:val="18"/>
              </w:rPr>
              <w:t>2</w:t>
            </w:r>
          </w:p>
        </w:tc>
      </w:tr>
      <w:tr w:rsidR="00C82724" w:rsidRPr="000F3164" w14:paraId="7702C82A" w14:textId="77777777" w:rsidTr="00C82724">
        <w:tc>
          <w:tcPr>
            <w:tcW w:w="1991" w:type="dxa"/>
            <w:shd w:val="clear" w:color="auto" w:fill="auto"/>
          </w:tcPr>
          <w:p w14:paraId="7C2784D1" w14:textId="77777777" w:rsidR="00C82724" w:rsidRDefault="00C82724" w:rsidP="00287C32">
            <w:pPr>
              <w:widowControl w:val="0"/>
              <w:rPr>
                <w:rFonts w:asciiTheme="majorHAnsi" w:eastAsia="Calibri" w:hAnsiTheme="majorHAnsi" w:cstheme="majorHAnsi"/>
                <w:b/>
                <w:bCs/>
                <w:sz w:val="18"/>
                <w:szCs w:val="18"/>
              </w:rPr>
            </w:pPr>
            <w:r>
              <w:rPr>
                <w:rFonts w:asciiTheme="majorHAnsi" w:eastAsia="Calibri" w:hAnsiTheme="majorHAnsi" w:cstheme="majorHAnsi"/>
                <w:b/>
                <w:bCs/>
                <w:sz w:val="18"/>
                <w:szCs w:val="18"/>
              </w:rPr>
              <w:t>CT Downtime for Interventional Radiology Procedures</w:t>
            </w:r>
          </w:p>
          <w:p w14:paraId="27F34922" w14:textId="606E2252" w:rsidR="00287C32" w:rsidRPr="000F3164" w:rsidRDefault="00287C32" w:rsidP="00287C32">
            <w:pPr>
              <w:widowControl w:val="0"/>
              <w:rPr>
                <w:rFonts w:asciiTheme="majorHAnsi" w:eastAsia="Calibri" w:hAnsiTheme="majorHAnsi" w:cstheme="majorHAnsi"/>
                <w:b/>
                <w:bCs/>
                <w:sz w:val="18"/>
                <w:szCs w:val="18"/>
              </w:rPr>
            </w:pPr>
          </w:p>
        </w:tc>
        <w:tc>
          <w:tcPr>
            <w:tcW w:w="1866" w:type="dxa"/>
            <w:shd w:val="clear" w:color="auto" w:fill="auto"/>
          </w:tcPr>
          <w:p w14:paraId="3B49776A" w14:textId="0A18D754" w:rsidR="00C82724" w:rsidRPr="000F3164" w:rsidRDefault="00C82724" w:rsidP="00C82724">
            <w:pPr>
              <w:widowControl w:val="0"/>
              <w:jc w:val="center"/>
              <w:rPr>
                <w:rFonts w:eastAsia="Calibri" w:cstheme="minorHAnsi"/>
                <w:sz w:val="18"/>
                <w:szCs w:val="18"/>
              </w:rPr>
            </w:pPr>
            <w:r>
              <w:rPr>
                <w:rFonts w:eastAsia="Calibri" w:cstheme="minorHAnsi"/>
                <w:sz w:val="18"/>
                <w:szCs w:val="18"/>
              </w:rPr>
              <w:t>125</w:t>
            </w:r>
          </w:p>
        </w:tc>
        <w:tc>
          <w:tcPr>
            <w:tcW w:w="1866" w:type="dxa"/>
            <w:shd w:val="clear" w:color="auto" w:fill="auto"/>
          </w:tcPr>
          <w:p w14:paraId="0C770417" w14:textId="671E8144" w:rsidR="00C82724" w:rsidRPr="000F3164" w:rsidRDefault="00C82724" w:rsidP="00C82724">
            <w:pPr>
              <w:widowControl w:val="0"/>
              <w:jc w:val="center"/>
              <w:rPr>
                <w:rFonts w:eastAsia="Calibri" w:cstheme="minorHAnsi"/>
                <w:sz w:val="18"/>
                <w:szCs w:val="18"/>
              </w:rPr>
            </w:pPr>
            <w:r>
              <w:rPr>
                <w:rFonts w:eastAsia="Calibri" w:cstheme="minorHAnsi"/>
                <w:sz w:val="18"/>
                <w:szCs w:val="18"/>
              </w:rPr>
              <w:t>128</w:t>
            </w:r>
          </w:p>
        </w:tc>
        <w:tc>
          <w:tcPr>
            <w:tcW w:w="1866" w:type="dxa"/>
            <w:shd w:val="clear" w:color="auto" w:fill="auto"/>
          </w:tcPr>
          <w:p w14:paraId="4CE48D05" w14:textId="750541C8" w:rsidR="00C82724" w:rsidRPr="000F3164" w:rsidRDefault="00C82724" w:rsidP="00C82724">
            <w:pPr>
              <w:widowControl w:val="0"/>
              <w:jc w:val="center"/>
              <w:rPr>
                <w:rFonts w:eastAsia="Calibri" w:cstheme="minorHAnsi"/>
                <w:sz w:val="18"/>
                <w:szCs w:val="18"/>
              </w:rPr>
            </w:pPr>
            <w:r>
              <w:rPr>
                <w:rFonts w:eastAsia="Calibri" w:cstheme="minorHAnsi"/>
                <w:sz w:val="18"/>
                <w:szCs w:val="18"/>
              </w:rPr>
              <w:t>141</w:t>
            </w:r>
          </w:p>
        </w:tc>
      </w:tr>
      <w:tr w:rsidR="00C82724" w:rsidRPr="000F3164" w14:paraId="62886F8A" w14:textId="77777777" w:rsidTr="00C82724">
        <w:tc>
          <w:tcPr>
            <w:tcW w:w="1991" w:type="dxa"/>
            <w:shd w:val="clear" w:color="auto" w:fill="auto"/>
          </w:tcPr>
          <w:p w14:paraId="331CC2F0" w14:textId="77777777" w:rsidR="00C82724" w:rsidRDefault="00C82724" w:rsidP="00287C32">
            <w:pPr>
              <w:widowControl w:val="0"/>
              <w:rPr>
                <w:rFonts w:asciiTheme="majorHAnsi" w:eastAsia="Calibri" w:hAnsiTheme="majorHAnsi" w:cstheme="majorHAnsi"/>
                <w:b/>
                <w:bCs/>
                <w:sz w:val="18"/>
                <w:szCs w:val="18"/>
              </w:rPr>
            </w:pPr>
            <w:r>
              <w:rPr>
                <w:rFonts w:asciiTheme="majorHAnsi" w:eastAsia="Calibri" w:hAnsiTheme="majorHAnsi" w:cstheme="majorHAnsi"/>
                <w:b/>
                <w:bCs/>
                <w:sz w:val="18"/>
                <w:szCs w:val="18"/>
              </w:rPr>
              <w:t>CT Downtime (in use</w:t>
            </w:r>
            <w:r w:rsidR="00C40672">
              <w:rPr>
                <w:rFonts w:asciiTheme="majorHAnsi" w:eastAsia="Calibri" w:hAnsiTheme="majorHAnsi" w:cstheme="majorHAnsi"/>
                <w:b/>
                <w:bCs/>
                <w:sz w:val="18"/>
                <w:szCs w:val="18"/>
              </w:rPr>
              <w:t xml:space="preserve"> or</w:t>
            </w:r>
            <w:r>
              <w:rPr>
                <w:rFonts w:asciiTheme="majorHAnsi" w:eastAsia="Calibri" w:hAnsiTheme="majorHAnsi" w:cstheme="majorHAnsi"/>
                <w:b/>
                <w:bCs/>
                <w:sz w:val="18"/>
                <w:szCs w:val="18"/>
              </w:rPr>
              <w:t xml:space="preserve"> maintenance)</w:t>
            </w:r>
          </w:p>
          <w:p w14:paraId="40C5DACF" w14:textId="131F4EBF" w:rsidR="00287C32" w:rsidRDefault="00287C32" w:rsidP="00287C32">
            <w:pPr>
              <w:widowControl w:val="0"/>
              <w:rPr>
                <w:rFonts w:asciiTheme="majorHAnsi" w:eastAsia="Calibri" w:hAnsiTheme="majorHAnsi" w:cstheme="majorHAnsi"/>
                <w:b/>
                <w:bCs/>
                <w:sz w:val="18"/>
                <w:szCs w:val="18"/>
              </w:rPr>
            </w:pPr>
          </w:p>
        </w:tc>
        <w:tc>
          <w:tcPr>
            <w:tcW w:w="1866" w:type="dxa"/>
            <w:shd w:val="clear" w:color="auto" w:fill="auto"/>
          </w:tcPr>
          <w:p w14:paraId="0168123E" w14:textId="17FC959C" w:rsidR="00C82724" w:rsidRPr="000F3164" w:rsidRDefault="00C82724" w:rsidP="00C82724">
            <w:pPr>
              <w:widowControl w:val="0"/>
              <w:jc w:val="center"/>
              <w:rPr>
                <w:rFonts w:eastAsia="Calibri" w:cstheme="minorHAnsi"/>
                <w:sz w:val="18"/>
                <w:szCs w:val="18"/>
              </w:rPr>
            </w:pPr>
            <w:r>
              <w:rPr>
                <w:rFonts w:eastAsia="Calibri" w:cstheme="minorHAnsi"/>
                <w:sz w:val="18"/>
                <w:szCs w:val="18"/>
              </w:rPr>
              <w:t>36</w:t>
            </w:r>
          </w:p>
        </w:tc>
        <w:tc>
          <w:tcPr>
            <w:tcW w:w="1866" w:type="dxa"/>
            <w:shd w:val="clear" w:color="auto" w:fill="auto"/>
          </w:tcPr>
          <w:p w14:paraId="10907C3D" w14:textId="4B836F78" w:rsidR="00C82724" w:rsidRPr="000F3164" w:rsidRDefault="00C82724" w:rsidP="00C82724">
            <w:pPr>
              <w:widowControl w:val="0"/>
              <w:jc w:val="center"/>
              <w:rPr>
                <w:rFonts w:eastAsia="Calibri" w:cstheme="minorHAnsi"/>
                <w:sz w:val="18"/>
                <w:szCs w:val="18"/>
              </w:rPr>
            </w:pPr>
            <w:r>
              <w:rPr>
                <w:rFonts w:eastAsia="Calibri" w:cstheme="minorHAnsi"/>
                <w:sz w:val="18"/>
                <w:szCs w:val="18"/>
              </w:rPr>
              <w:t>81</w:t>
            </w:r>
          </w:p>
        </w:tc>
        <w:tc>
          <w:tcPr>
            <w:tcW w:w="1866" w:type="dxa"/>
            <w:shd w:val="clear" w:color="auto" w:fill="auto"/>
          </w:tcPr>
          <w:p w14:paraId="11FAEDFB" w14:textId="6E454BD3" w:rsidR="00C82724" w:rsidRDefault="00C82724" w:rsidP="00C82724">
            <w:pPr>
              <w:widowControl w:val="0"/>
              <w:jc w:val="center"/>
              <w:rPr>
                <w:rFonts w:eastAsia="Calibri" w:cstheme="minorHAnsi"/>
                <w:sz w:val="18"/>
                <w:szCs w:val="18"/>
              </w:rPr>
            </w:pPr>
            <w:r>
              <w:rPr>
                <w:rFonts w:eastAsia="Calibri" w:cstheme="minorHAnsi"/>
                <w:sz w:val="18"/>
                <w:szCs w:val="18"/>
              </w:rPr>
              <w:t>190.3</w:t>
            </w:r>
          </w:p>
        </w:tc>
      </w:tr>
      <w:tr w:rsidR="00C82724" w:rsidRPr="000F3164" w14:paraId="721D8EB7" w14:textId="77777777" w:rsidTr="00C82724">
        <w:tc>
          <w:tcPr>
            <w:tcW w:w="1991" w:type="dxa"/>
            <w:shd w:val="clear" w:color="auto" w:fill="auto"/>
          </w:tcPr>
          <w:p w14:paraId="272BEFEB" w14:textId="57445A0D" w:rsidR="00C82724" w:rsidRDefault="00C82724" w:rsidP="00C82724">
            <w:pPr>
              <w:widowControl w:val="0"/>
              <w:jc w:val="both"/>
              <w:rPr>
                <w:rFonts w:asciiTheme="majorHAnsi" w:eastAsia="Calibri" w:hAnsiTheme="majorHAnsi" w:cstheme="majorHAnsi"/>
                <w:b/>
                <w:bCs/>
                <w:sz w:val="18"/>
                <w:szCs w:val="18"/>
              </w:rPr>
            </w:pPr>
            <w:r>
              <w:rPr>
                <w:rFonts w:asciiTheme="majorHAnsi" w:eastAsia="Calibri" w:hAnsiTheme="majorHAnsi" w:cstheme="majorHAnsi"/>
                <w:b/>
                <w:bCs/>
                <w:sz w:val="18"/>
                <w:szCs w:val="18"/>
              </w:rPr>
              <w:t>Total Hours</w:t>
            </w:r>
          </w:p>
        </w:tc>
        <w:tc>
          <w:tcPr>
            <w:tcW w:w="1866" w:type="dxa"/>
            <w:shd w:val="clear" w:color="auto" w:fill="auto"/>
          </w:tcPr>
          <w:p w14:paraId="5B9FC005" w14:textId="612C87D2" w:rsidR="00C82724" w:rsidRPr="000F3164" w:rsidRDefault="00C82724" w:rsidP="00C82724">
            <w:pPr>
              <w:widowControl w:val="0"/>
              <w:jc w:val="center"/>
              <w:rPr>
                <w:rFonts w:eastAsia="Calibri" w:cstheme="minorHAnsi"/>
                <w:sz w:val="18"/>
                <w:szCs w:val="18"/>
              </w:rPr>
            </w:pPr>
            <w:r>
              <w:rPr>
                <w:rFonts w:eastAsia="Calibri" w:cstheme="minorHAnsi"/>
                <w:sz w:val="18"/>
                <w:szCs w:val="18"/>
              </w:rPr>
              <w:t>161</w:t>
            </w:r>
          </w:p>
        </w:tc>
        <w:tc>
          <w:tcPr>
            <w:tcW w:w="1866" w:type="dxa"/>
            <w:shd w:val="clear" w:color="auto" w:fill="auto"/>
          </w:tcPr>
          <w:p w14:paraId="1A965BC2" w14:textId="3EFB9DC8" w:rsidR="00C82724" w:rsidRPr="000F3164" w:rsidRDefault="00C82724" w:rsidP="00C82724">
            <w:pPr>
              <w:widowControl w:val="0"/>
              <w:jc w:val="center"/>
              <w:rPr>
                <w:rFonts w:eastAsia="Calibri" w:cstheme="minorHAnsi"/>
                <w:sz w:val="18"/>
                <w:szCs w:val="18"/>
              </w:rPr>
            </w:pPr>
            <w:r>
              <w:rPr>
                <w:rFonts w:eastAsia="Calibri" w:cstheme="minorHAnsi"/>
                <w:sz w:val="18"/>
                <w:szCs w:val="18"/>
              </w:rPr>
              <w:t>209</w:t>
            </w:r>
          </w:p>
        </w:tc>
        <w:tc>
          <w:tcPr>
            <w:tcW w:w="1866" w:type="dxa"/>
            <w:shd w:val="clear" w:color="auto" w:fill="auto"/>
          </w:tcPr>
          <w:p w14:paraId="154AD016" w14:textId="0F0501A8" w:rsidR="00C82724" w:rsidRDefault="00C82724" w:rsidP="00C82724">
            <w:pPr>
              <w:widowControl w:val="0"/>
              <w:jc w:val="center"/>
              <w:rPr>
                <w:rFonts w:eastAsia="Calibri" w:cstheme="minorHAnsi"/>
                <w:sz w:val="18"/>
                <w:szCs w:val="18"/>
              </w:rPr>
            </w:pPr>
            <w:r>
              <w:rPr>
                <w:rFonts w:eastAsia="Calibri" w:cstheme="minorHAnsi"/>
                <w:sz w:val="18"/>
                <w:szCs w:val="18"/>
              </w:rPr>
              <w:t>331.3</w:t>
            </w:r>
          </w:p>
        </w:tc>
      </w:tr>
    </w:tbl>
    <w:p w14:paraId="3537D465" w14:textId="17A44F25" w:rsidR="00C82724" w:rsidRPr="00C82724" w:rsidRDefault="00C82724" w:rsidP="003858F2">
      <w:pPr>
        <w:jc w:val="both"/>
        <w:rPr>
          <w:rFonts w:ascii="Arial" w:hAnsi="Arial" w:cs="Arial"/>
          <w:b/>
          <w:bCs/>
          <w:sz w:val="20"/>
          <w:szCs w:val="20"/>
        </w:rPr>
      </w:pPr>
      <w:r w:rsidRPr="00C82724">
        <w:rPr>
          <w:rFonts w:ascii="Arial" w:hAnsi="Arial" w:cs="Arial"/>
          <w:b/>
          <w:bCs/>
          <w:sz w:val="20"/>
          <w:szCs w:val="20"/>
        </w:rPr>
        <w:t>TABLE 4: CT Downtime Hours</w:t>
      </w:r>
    </w:p>
    <w:p w14:paraId="74ECC2E4" w14:textId="77777777" w:rsidR="003858F2" w:rsidRPr="00382EC7" w:rsidRDefault="003858F2" w:rsidP="003858F2">
      <w:pPr>
        <w:jc w:val="both"/>
        <w:rPr>
          <w:rFonts w:ascii="Arial" w:eastAsia="Times New Roman" w:hAnsi="Arial" w:cs="Arial"/>
          <w:bCs/>
          <w:kern w:val="2"/>
          <w:sz w:val="20"/>
          <w:szCs w:val="20"/>
        </w:rPr>
      </w:pPr>
    </w:p>
    <w:p w14:paraId="44235DC2" w14:textId="77777777" w:rsidR="00C82724" w:rsidRDefault="00C82724" w:rsidP="007E5003">
      <w:pPr>
        <w:spacing w:after="0" w:line="240" w:lineRule="auto"/>
        <w:jc w:val="both"/>
        <w:rPr>
          <w:rFonts w:ascii="Arial" w:hAnsi="Arial" w:cs="Arial"/>
          <w:sz w:val="20"/>
          <w:szCs w:val="20"/>
        </w:rPr>
      </w:pPr>
    </w:p>
    <w:p w14:paraId="31C5AAB8" w14:textId="77777777" w:rsidR="00C82724" w:rsidRDefault="00C82724" w:rsidP="007E5003">
      <w:pPr>
        <w:spacing w:after="0" w:line="240" w:lineRule="auto"/>
        <w:jc w:val="both"/>
        <w:rPr>
          <w:rFonts w:ascii="Arial" w:hAnsi="Arial" w:cs="Arial"/>
          <w:sz w:val="20"/>
          <w:szCs w:val="20"/>
        </w:rPr>
      </w:pPr>
    </w:p>
    <w:p w14:paraId="4EE6A006" w14:textId="77777777" w:rsidR="00C82724" w:rsidRDefault="00C82724" w:rsidP="007E5003">
      <w:pPr>
        <w:spacing w:after="0" w:line="240" w:lineRule="auto"/>
        <w:jc w:val="both"/>
        <w:rPr>
          <w:rFonts w:ascii="Arial" w:hAnsi="Arial" w:cs="Arial"/>
          <w:sz w:val="20"/>
          <w:szCs w:val="20"/>
        </w:rPr>
      </w:pPr>
    </w:p>
    <w:p w14:paraId="13F04CC3" w14:textId="77777777" w:rsidR="00C82724" w:rsidRDefault="00C82724" w:rsidP="007E5003">
      <w:pPr>
        <w:spacing w:after="0" w:line="240" w:lineRule="auto"/>
        <w:jc w:val="both"/>
        <w:rPr>
          <w:rFonts w:ascii="Arial" w:hAnsi="Arial" w:cs="Arial"/>
          <w:sz w:val="20"/>
          <w:szCs w:val="20"/>
        </w:rPr>
      </w:pPr>
    </w:p>
    <w:p w14:paraId="78E688C8" w14:textId="77777777" w:rsidR="00C82724" w:rsidRDefault="00C82724" w:rsidP="007E5003">
      <w:pPr>
        <w:spacing w:after="0" w:line="240" w:lineRule="auto"/>
        <w:jc w:val="both"/>
        <w:rPr>
          <w:rFonts w:ascii="Arial" w:hAnsi="Arial" w:cs="Arial"/>
          <w:sz w:val="20"/>
          <w:szCs w:val="20"/>
        </w:rPr>
      </w:pPr>
    </w:p>
    <w:p w14:paraId="71B0BD64" w14:textId="1ECEFFAC" w:rsidR="00C82724" w:rsidRDefault="00C82724" w:rsidP="007E5003">
      <w:pPr>
        <w:spacing w:after="0" w:line="240" w:lineRule="auto"/>
        <w:jc w:val="both"/>
        <w:rPr>
          <w:rFonts w:ascii="Arial" w:hAnsi="Arial" w:cs="Arial"/>
          <w:sz w:val="20"/>
          <w:szCs w:val="20"/>
        </w:rPr>
      </w:pPr>
    </w:p>
    <w:p w14:paraId="78B534A9" w14:textId="77777777" w:rsidR="008C2772" w:rsidRDefault="008C2772" w:rsidP="007E5003">
      <w:pPr>
        <w:spacing w:after="0" w:line="240" w:lineRule="auto"/>
        <w:jc w:val="both"/>
        <w:rPr>
          <w:rFonts w:ascii="Arial" w:eastAsia="Calibri" w:hAnsi="Arial" w:cs="Arial"/>
          <w:sz w:val="20"/>
          <w:szCs w:val="20"/>
        </w:rPr>
      </w:pPr>
    </w:p>
    <w:p w14:paraId="06332C8D" w14:textId="719044EF" w:rsidR="00C82724" w:rsidRPr="000A1BB7" w:rsidRDefault="001D0D1C" w:rsidP="007E5003">
      <w:pPr>
        <w:spacing w:after="0" w:line="240" w:lineRule="auto"/>
        <w:jc w:val="both"/>
        <w:rPr>
          <w:rFonts w:ascii="Arial" w:hAnsi="Arial" w:cs="Arial"/>
          <w:sz w:val="20"/>
          <w:szCs w:val="20"/>
        </w:rPr>
      </w:pPr>
      <w:r w:rsidRPr="000A1BB7">
        <w:rPr>
          <w:rFonts w:ascii="Arial" w:eastAsia="Calibri" w:hAnsi="Arial" w:cs="Arial"/>
          <w:sz w:val="20"/>
          <w:szCs w:val="20"/>
        </w:rPr>
        <w:t>As the CT unit is taxed</w:t>
      </w:r>
      <w:r w:rsidRPr="00807BD1">
        <w:rPr>
          <w:rFonts w:ascii="Arial" w:eastAsia="Calibri" w:hAnsi="Arial" w:cs="Arial"/>
          <w:sz w:val="20"/>
          <w:szCs w:val="20"/>
        </w:rPr>
        <w:t xml:space="preserve"> by </w:t>
      </w:r>
      <w:r w:rsidR="005D5F3F">
        <w:rPr>
          <w:rFonts w:ascii="Arial" w:eastAsia="Calibri" w:hAnsi="Arial" w:cs="Arial"/>
          <w:sz w:val="20"/>
          <w:szCs w:val="20"/>
        </w:rPr>
        <w:t xml:space="preserve">high </w:t>
      </w:r>
      <w:r w:rsidRPr="00807BD1">
        <w:rPr>
          <w:rFonts w:ascii="Arial" w:eastAsia="Calibri" w:hAnsi="Arial" w:cs="Arial"/>
          <w:sz w:val="20"/>
          <w:szCs w:val="20"/>
        </w:rPr>
        <w:t>utilization, it is expected</w:t>
      </w:r>
      <w:r>
        <w:rPr>
          <w:rFonts w:ascii="Arial" w:eastAsia="Calibri" w:hAnsi="Arial" w:cs="Arial"/>
          <w:sz w:val="20"/>
          <w:szCs w:val="20"/>
        </w:rPr>
        <w:t xml:space="preserve"> that</w:t>
      </w:r>
      <w:r w:rsidRPr="00807BD1">
        <w:rPr>
          <w:rFonts w:ascii="Arial" w:eastAsia="Calibri" w:hAnsi="Arial" w:cs="Arial"/>
          <w:sz w:val="20"/>
          <w:szCs w:val="20"/>
        </w:rPr>
        <w:t xml:space="preserve"> downtime</w:t>
      </w:r>
      <w:r>
        <w:rPr>
          <w:rFonts w:ascii="Arial" w:eastAsia="Calibri" w:hAnsi="Arial" w:cs="Arial"/>
          <w:sz w:val="20"/>
          <w:szCs w:val="20"/>
        </w:rPr>
        <w:t xml:space="preserve"> hours</w:t>
      </w:r>
      <w:r w:rsidRPr="00807BD1">
        <w:rPr>
          <w:rFonts w:ascii="Arial" w:eastAsia="Calibri" w:hAnsi="Arial" w:cs="Arial"/>
          <w:sz w:val="20"/>
          <w:szCs w:val="20"/>
        </w:rPr>
        <w:t xml:space="preserve"> will increase</w:t>
      </w:r>
      <w:r w:rsidR="005D5F3F">
        <w:rPr>
          <w:rFonts w:ascii="Arial" w:eastAsia="Calibri" w:hAnsi="Arial" w:cs="Arial"/>
          <w:sz w:val="20"/>
          <w:szCs w:val="20"/>
        </w:rPr>
        <w:t xml:space="preserve"> and disrupt care</w:t>
      </w:r>
      <w:r w:rsidR="000A1BB7">
        <w:rPr>
          <w:rFonts w:ascii="Arial" w:eastAsia="Calibri" w:hAnsi="Arial" w:cs="Arial"/>
          <w:sz w:val="20"/>
          <w:szCs w:val="20"/>
        </w:rPr>
        <w:t xml:space="preserve">. </w:t>
      </w:r>
      <w:r w:rsidR="00C82724" w:rsidRPr="00807BD1">
        <w:rPr>
          <w:rFonts w:ascii="Arial" w:eastAsia="Calibri" w:hAnsi="Arial" w:cs="Arial"/>
          <w:sz w:val="20"/>
          <w:szCs w:val="20"/>
        </w:rPr>
        <w:t xml:space="preserve">A second CT unit is necessary to mitigate downtime on the existing unit </w:t>
      </w:r>
      <w:r w:rsidR="008C2772">
        <w:rPr>
          <w:rFonts w:ascii="Arial" w:eastAsia="Calibri" w:hAnsi="Arial" w:cs="Arial"/>
          <w:sz w:val="20"/>
          <w:szCs w:val="20"/>
        </w:rPr>
        <w:t>by allowing the Hospital to reduce the overutilization of the existing unit across two machines. With a second unit,</w:t>
      </w:r>
      <w:r w:rsidR="00C82724">
        <w:rPr>
          <w:rFonts w:ascii="Arial" w:eastAsia="Calibri" w:hAnsi="Arial" w:cs="Arial"/>
          <w:sz w:val="20"/>
          <w:szCs w:val="20"/>
        </w:rPr>
        <w:t xml:space="preserve"> the Hospital </w:t>
      </w:r>
      <w:r>
        <w:rPr>
          <w:rFonts w:ascii="Arial" w:eastAsia="Calibri" w:hAnsi="Arial" w:cs="Arial"/>
          <w:sz w:val="20"/>
          <w:szCs w:val="20"/>
        </w:rPr>
        <w:t>can</w:t>
      </w:r>
      <w:r w:rsidR="00C82724">
        <w:rPr>
          <w:rFonts w:ascii="Arial" w:eastAsia="Calibri" w:hAnsi="Arial" w:cs="Arial"/>
          <w:sz w:val="20"/>
          <w:szCs w:val="20"/>
        </w:rPr>
        <w:t xml:space="preserve"> extend </w:t>
      </w:r>
      <w:r w:rsidR="008C2772">
        <w:rPr>
          <w:rFonts w:ascii="Arial" w:eastAsia="Calibri" w:hAnsi="Arial" w:cs="Arial"/>
          <w:sz w:val="20"/>
          <w:szCs w:val="20"/>
        </w:rPr>
        <w:t xml:space="preserve">the </w:t>
      </w:r>
      <w:r w:rsidR="00C82724">
        <w:rPr>
          <w:rFonts w:ascii="Arial" w:eastAsia="Calibri" w:hAnsi="Arial" w:cs="Arial"/>
          <w:sz w:val="20"/>
          <w:szCs w:val="20"/>
        </w:rPr>
        <w:t>life</w:t>
      </w:r>
      <w:r w:rsidR="008C2772">
        <w:rPr>
          <w:rFonts w:ascii="Arial" w:eastAsia="Calibri" w:hAnsi="Arial" w:cs="Arial"/>
          <w:sz w:val="20"/>
          <w:szCs w:val="20"/>
        </w:rPr>
        <w:t xml:space="preserve"> of the current unit</w:t>
      </w:r>
      <w:r w:rsidR="00C82724">
        <w:rPr>
          <w:rFonts w:ascii="Arial" w:eastAsia="Calibri" w:hAnsi="Arial" w:cs="Arial"/>
          <w:sz w:val="20"/>
          <w:szCs w:val="20"/>
        </w:rPr>
        <w:t xml:space="preserve">, delaying the need for replacement. In addition, the second unit will ensure redundancy if either unit requires repair or maintenance. </w:t>
      </w:r>
    </w:p>
    <w:p w14:paraId="1FDBD050" w14:textId="4ED361CE" w:rsidR="001D0D1C" w:rsidRDefault="001D0D1C" w:rsidP="007E5003">
      <w:pPr>
        <w:spacing w:after="0" w:line="240" w:lineRule="auto"/>
        <w:jc w:val="both"/>
        <w:rPr>
          <w:rFonts w:ascii="Arial" w:eastAsia="Calibri" w:hAnsi="Arial" w:cs="Arial"/>
          <w:sz w:val="20"/>
          <w:szCs w:val="20"/>
        </w:rPr>
      </w:pPr>
    </w:p>
    <w:p w14:paraId="5F54DC45" w14:textId="200C7709" w:rsidR="008F72D4" w:rsidRPr="0033593B" w:rsidRDefault="001D0D1C" w:rsidP="008F72D4">
      <w:pPr>
        <w:spacing w:after="0" w:line="240" w:lineRule="auto"/>
        <w:jc w:val="both"/>
        <w:rPr>
          <w:rFonts w:ascii="Arial" w:hAnsi="Arial" w:cs="Arial"/>
          <w:sz w:val="20"/>
          <w:szCs w:val="20"/>
        </w:rPr>
      </w:pPr>
      <w:r>
        <w:rPr>
          <w:rFonts w:ascii="Arial" w:hAnsi="Arial" w:cs="Arial"/>
          <w:sz w:val="20"/>
          <w:szCs w:val="20"/>
        </w:rPr>
        <w:t xml:space="preserve">CT </w:t>
      </w:r>
      <w:r w:rsidR="000A1BB7">
        <w:rPr>
          <w:rFonts w:ascii="Arial" w:hAnsi="Arial" w:cs="Arial"/>
          <w:sz w:val="20"/>
          <w:szCs w:val="20"/>
        </w:rPr>
        <w:t>imaging</w:t>
      </w:r>
      <w:r w:rsidR="0033593B">
        <w:rPr>
          <w:rFonts w:ascii="Arial" w:hAnsi="Arial" w:cs="Arial"/>
          <w:sz w:val="20"/>
          <w:szCs w:val="20"/>
        </w:rPr>
        <w:t xml:space="preserve"> also</w:t>
      </w:r>
      <w:r w:rsidR="000A1BB7">
        <w:rPr>
          <w:rFonts w:ascii="Arial" w:hAnsi="Arial" w:cs="Arial"/>
          <w:sz w:val="20"/>
          <w:szCs w:val="20"/>
        </w:rPr>
        <w:t xml:space="preserve"> </w:t>
      </w:r>
      <w:r>
        <w:rPr>
          <w:rFonts w:ascii="Arial" w:hAnsi="Arial" w:cs="Arial"/>
          <w:sz w:val="20"/>
          <w:szCs w:val="20"/>
        </w:rPr>
        <w:t>i</w:t>
      </w:r>
      <w:r w:rsidR="0033593B">
        <w:rPr>
          <w:rFonts w:ascii="Arial" w:hAnsi="Arial" w:cs="Arial"/>
          <w:sz w:val="20"/>
          <w:szCs w:val="20"/>
        </w:rPr>
        <w:t>s</w:t>
      </w:r>
      <w:r>
        <w:rPr>
          <w:rFonts w:ascii="Arial" w:hAnsi="Arial" w:cs="Arial"/>
          <w:sz w:val="20"/>
          <w:szCs w:val="20"/>
        </w:rPr>
        <w:t xml:space="preserve"> widely used to diagnose stroke. </w:t>
      </w:r>
      <w:r w:rsidRPr="00010F2F">
        <w:rPr>
          <w:rFonts w:ascii="Arial" w:hAnsi="Arial" w:cs="Arial"/>
          <w:sz w:val="20"/>
          <w:szCs w:val="20"/>
        </w:rPr>
        <w:t xml:space="preserve">As a </w:t>
      </w:r>
      <w:r>
        <w:rPr>
          <w:rFonts w:ascii="Arial" w:hAnsi="Arial" w:cs="Arial"/>
          <w:sz w:val="20"/>
          <w:szCs w:val="20"/>
        </w:rPr>
        <w:t xml:space="preserve">designated </w:t>
      </w:r>
      <w:r w:rsidRPr="00010F2F">
        <w:rPr>
          <w:rFonts w:ascii="Arial" w:hAnsi="Arial" w:cs="Arial"/>
          <w:sz w:val="20"/>
          <w:szCs w:val="20"/>
        </w:rPr>
        <w:t>Primary Stroke Services</w:t>
      </w:r>
      <w:r>
        <w:rPr>
          <w:rFonts w:ascii="Arial" w:hAnsi="Arial" w:cs="Arial"/>
          <w:sz w:val="20"/>
          <w:szCs w:val="20"/>
        </w:rPr>
        <w:t xml:space="preserve"> </w:t>
      </w:r>
      <w:r w:rsidRPr="00010F2F">
        <w:rPr>
          <w:rFonts w:ascii="Arial" w:hAnsi="Arial" w:cs="Arial"/>
          <w:sz w:val="20"/>
          <w:szCs w:val="20"/>
        </w:rPr>
        <w:t>Hospital</w:t>
      </w:r>
      <w:r w:rsidRPr="00010F2F">
        <w:rPr>
          <w:rStyle w:val="FootnoteReference"/>
          <w:rFonts w:ascii="Arial" w:hAnsi="Arial" w:cs="Arial"/>
          <w:sz w:val="20"/>
          <w:szCs w:val="20"/>
        </w:rPr>
        <w:footnoteReference w:id="17"/>
      </w:r>
      <w:r w:rsidRPr="00010F2F">
        <w:rPr>
          <w:rFonts w:ascii="Arial" w:hAnsi="Arial" w:cs="Arial"/>
          <w:sz w:val="20"/>
          <w:szCs w:val="20"/>
        </w:rPr>
        <w:t>, the Emergency Medical Services</w:t>
      </w:r>
      <w:r w:rsidR="000A1BB7">
        <w:rPr>
          <w:rFonts w:ascii="Arial" w:hAnsi="Arial" w:cs="Arial"/>
          <w:sz w:val="20"/>
          <w:szCs w:val="20"/>
        </w:rPr>
        <w:t xml:space="preserve"> (“EMS”)</w:t>
      </w:r>
      <w:r w:rsidRPr="00010F2F">
        <w:rPr>
          <w:rFonts w:ascii="Arial" w:hAnsi="Arial" w:cs="Arial"/>
          <w:sz w:val="20"/>
          <w:szCs w:val="20"/>
        </w:rPr>
        <w:t xml:space="preserve"> system sends patients experiencing symptoms of a stroke to the </w:t>
      </w:r>
      <w:r>
        <w:rPr>
          <w:rFonts w:ascii="Arial" w:hAnsi="Arial" w:cs="Arial"/>
          <w:sz w:val="20"/>
          <w:szCs w:val="20"/>
        </w:rPr>
        <w:t>AJH</w:t>
      </w:r>
      <w:r w:rsidRPr="00010F2F">
        <w:rPr>
          <w:rFonts w:ascii="Arial" w:hAnsi="Arial" w:cs="Arial"/>
          <w:sz w:val="20"/>
          <w:szCs w:val="20"/>
        </w:rPr>
        <w:t xml:space="preserve"> ED. Clinical guidelines for stroke recommend that </w:t>
      </w:r>
      <w:r>
        <w:rPr>
          <w:rFonts w:ascii="Arial" w:hAnsi="Arial" w:cs="Arial"/>
          <w:sz w:val="20"/>
          <w:szCs w:val="20"/>
        </w:rPr>
        <w:t xml:space="preserve">stroke </w:t>
      </w:r>
      <w:r w:rsidRPr="00010F2F">
        <w:rPr>
          <w:rFonts w:ascii="Arial" w:hAnsi="Arial" w:cs="Arial"/>
          <w:sz w:val="20"/>
          <w:szCs w:val="20"/>
        </w:rPr>
        <w:t>patients receive CT imaging within 25 minutes of arrival at the ED.</w:t>
      </w:r>
      <w:r w:rsidRPr="00010F2F">
        <w:rPr>
          <w:rStyle w:val="FootnoteReference"/>
          <w:rFonts w:ascii="Arial" w:hAnsi="Arial" w:cs="Arial"/>
          <w:sz w:val="20"/>
          <w:szCs w:val="20"/>
        </w:rPr>
        <w:footnoteReference w:id="18"/>
      </w:r>
      <w:r>
        <w:rPr>
          <w:rFonts w:ascii="Arial" w:hAnsi="Arial" w:cs="Arial"/>
          <w:sz w:val="20"/>
          <w:szCs w:val="20"/>
        </w:rPr>
        <w:t xml:space="preserve"> Acute stroke patients, and other patients requiring an emergent CT scan are prioritized over less urgent exams. </w:t>
      </w:r>
      <w:r w:rsidR="0033593B">
        <w:rPr>
          <w:rFonts w:ascii="Arial" w:hAnsi="Arial" w:cs="Arial"/>
          <w:sz w:val="20"/>
          <w:szCs w:val="20"/>
        </w:rPr>
        <w:t xml:space="preserve">In FY21 and FY22, nine to ten patients each year </w:t>
      </w:r>
      <w:r w:rsidR="009B3F1F">
        <w:rPr>
          <w:rFonts w:ascii="Arial" w:hAnsi="Arial" w:cs="Arial"/>
          <w:sz w:val="20"/>
          <w:szCs w:val="20"/>
        </w:rPr>
        <w:t xml:space="preserve">with stroke symptoms </w:t>
      </w:r>
      <w:r w:rsidR="0033593B">
        <w:rPr>
          <w:rFonts w:ascii="Arial" w:hAnsi="Arial" w:cs="Arial"/>
          <w:sz w:val="20"/>
          <w:szCs w:val="20"/>
        </w:rPr>
        <w:t>were transferred</w:t>
      </w:r>
      <w:r w:rsidR="009B3F1F">
        <w:rPr>
          <w:rFonts w:ascii="Arial" w:hAnsi="Arial" w:cs="Arial"/>
          <w:sz w:val="20"/>
          <w:szCs w:val="20"/>
        </w:rPr>
        <w:t xml:space="preserve"> to another facility because the CT </w:t>
      </w:r>
      <w:r w:rsidR="000A1BB7">
        <w:rPr>
          <w:rFonts w:ascii="Arial" w:hAnsi="Arial" w:cs="Arial"/>
          <w:sz w:val="20"/>
          <w:szCs w:val="20"/>
        </w:rPr>
        <w:t xml:space="preserve">unit </w:t>
      </w:r>
      <w:r w:rsidR="009B3F1F">
        <w:rPr>
          <w:rFonts w:ascii="Arial" w:hAnsi="Arial" w:cs="Arial"/>
          <w:sz w:val="20"/>
          <w:szCs w:val="20"/>
        </w:rPr>
        <w:t>was not available.</w:t>
      </w:r>
      <w:r w:rsidR="0033593B">
        <w:rPr>
          <w:rFonts w:ascii="Arial" w:hAnsi="Arial" w:cs="Arial"/>
          <w:sz w:val="20"/>
          <w:szCs w:val="20"/>
        </w:rPr>
        <w:t xml:space="preserve"> The number of other ED patients transferred because the CT unit was down or occupied increased from 23 patients in FY21 to 29 patients in FY22. </w:t>
      </w:r>
    </w:p>
    <w:p w14:paraId="55932DD7" w14:textId="77777777" w:rsidR="008F72D4" w:rsidRPr="00010F2F" w:rsidRDefault="008F72D4" w:rsidP="008F72D4">
      <w:pPr>
        <w:pStyle w:val="xmsonormal"/>
        <w:rPr>
          <w:rFonts w:ascii="Arial" w:hAnsi="Arial" w:cs="Arial"/>
          <w:sz w:val="20"/>
          <w:szCs w:val="20"/>
        </w:rPr>
      </w:pPr>
    </w:p>
    <w:p w14:paraId="0A5264BB" w14:textId="605B8AAF" w:rsidR="008F72D4" w:rsidRDefault="008F72D4" w:rsidP="008F72D4">
      <w:pPr>
        <w:spacing w:after="0" w:line="240" w:lineRule="auto"/>
        <w:jc w:val="both"/>
        <w:rPr>
          <w:rFonts w:ascii="Arial" w:hAnsi="Arial" w:cs="Arial"/>
          <w:bCs/>
          <w:kern w:val="2"/>
          <w:sz w:val="20"/>
          <w:szCs w:val="20"/>
        </w:rPr>
      </w:pPr>
      <w:r w:rsidRPr="00010F2F">
        <w:rPr>
          <w:rFonts w:ascii="Arial" w:hAnsi="Arial" w:cs="Arial"/>
          <w:bCs/>
          <w:kern w:val="2"/>
          <w:sz w:val="20"/>
          <w:szCs w:val="20"/>
        </w:rPr>
        <w:lastRenderedPageBreak/>
        <w:t xml:space="preserve">CT </w:t>
      </w:r>
      <w:r>
        <w:rPr>
          <w:rFonts w:ascii="Arial" w:hAnsi="Arial" w:cs="Arial"/>
          <w:bCs/>
          <w:kern w:val="2"/>
          <w:sz w:val="20"/>
          <w:szCs w:val="20"/>
        </w:rPr>
        <w:t xml:space="preserve">also </w:t>
      </w:r>
      <w:r w:rsidRPr="00010F2F">
        <w:rPr>
          <w:rFonts w:ascii="Arial" w:hAnsi="Arial" w:cs="Arial"/>
          <w:bCs/>
          <w:kern w:val="2"/>
          <w:sz w:val="20"/>
          <w:szCs w:val="20"/>
        </w:rPr>
        <w:t xml:space="preserve">is used for CT-guided interventional radiology procedures. </w:t>
      </w:r>
      <w:r w:rsidR="00E8155A">
        <w:rPr>
          <w:rFonts w:ascii="Arial" w:hAnsi="Arial" w:cs="Arial"/>
          <w:bCs/>
          <w:kern w:val="2"/>
          <w:sz w:val="20"/>
          <w:szCs w:val="20"/>
        </w:rPr>
        <w:t xml:space="preserve">Once an interventional CT procedure begins, it is not optimal for patient care to disrupt the procedure to accommodate emergent cases. As a result, </w:t>
      </w:r>
      <w:r>
        <w:rPr>
          <w:rFonts w:ascii="Arial" w:hAnsi="Arial" w:cs="Arial"/>
          <w:bCs/>
          <w:kern w:val="2"/>
          <w:sz w:val="20"/>
          <w:szCs w:val="20"/>
        </w:rPr>
        <w:t>AJH has</w:t>
      </w:r>
      <w:r w:rsidRPr="00010F2F">
        <w:rPr>
          <w:rFonts w:ascii="Arial" w:hAnsi="Arial" w:cs="Arial"/>
          <w:bCs/>
          <w:kern w:val="2"/>
          <w:sz w:val="20"/>
          <w:szCs w:val="20"/>
        </w:rPr>
        <w:t xml:space="preserve"> limited </w:t>
      </w:r>
      <w:r w:rsidRPr="00010F2F">
        <w:rPr>
          <w:rFonts w:ascii="Arial" w:hAnsi="Arial" w:cs="Arial"/>
          <w:sz w:val="20"/>
          <w:szCs w:val="20"/>
        </w:rPr>
        <w:t xml:space="preserve">interventional CT block times. </w:t>
      </w:r>
      <w:r w:rsidRPr="00010F2F">
        <w:rPr>
          <w:rFonts w:ascii="Arial" w:hAnsi="Arial" w:cs="Arial"/>
          <w:bCs/>
          <w:kern w:val="2"/>
          <w:sz w:val="20"/>
          <w:szCs w:val="20"/>
        </w:rPr>
        <w:t>The addition of a</w:t>
      </w:r>
      <w:r>
        <w:rPr>
          <w:rFonts w:ascii="Arial" w:hAnsi="Arial" w:cs="Arial"/>
          <w:bCs/>
          <w:kern w:val="2"/>
          <w:sz w:val="20"/>
          <w:szCs w:val="20"/>
        </w:rPr>
        <w:t xml:space="preserve"> second</w:t>
      </w:r>
      <w:r w:rsidRPr="00010F2F">
        <w:rPr>
          <w:rFonts w:ascii="Arial" w:hAnsi="Arial" w:cs="Arial"/>
          <w:bCs/>
          <w:kern w:val="2"/>
          <w:sz w:val="20"/>
          <w:szCs w:val="20"/>
        </w:rPr>
        <w:t xml:space="preserve"> CT unit</w:t>
      </w:r>
      <w:r>
        <w:rPr>
          <w:rFonts w:ascii="Arial" w:hAnsi="Arial" w:cs="Arial"/>
          <w:bCs/>
          <w:kern w:val="2"/>
          <w:sz w:val="20"/>
          <w:szCs w:val="20"/>
        </w:rPr>
        <w:t xml:space="preserve"> </w:t>
      </w:r>
      <w:r w:rsidRPr="00010F2F">
        <w:rPr>
          <w:rFonts w:ascii="Arial" w:hAnsi="Arial" w:cs="Arial"/>
          <w:bCs/>
          <w:kern w:val="2"/>
          <w:sz w:val="20"/>
          <w:szCs w:val="20"/>
        </w:rPr>
        <w:t xml:space="preserve">will </w:t>
      </w:r>
      <w:r>
        <w:rPr>
          <w:rFonts w:ascii="Arial" w:hAnsi="Arial" w:cs="Arial"/>
          <w:bCs/>
          <w:kern w:val="2"/>
          <w:sz w:val="20"/>
          <w:szCs w:val="20"/>
        </w:rPr>
        <w:t xml:space="preserve">allow the Hospital to increase the number of </w:t>
      </w:r>
      <w:r w:rsidRPr="00010F2F">
        <w:rPr>
          <w:rFonts w:ascii="Arial" w:hAnsi="Arial" w:cs="Arial"/>
          <w:bCs/>
          <w:kern w:val="2"/>
          <w:sz w:val="20"/>
          <w:szCs w:val="20"/>
        </w:rPr>
        <w:t>time slots</w:t>
      </w:r>
      <w:r w:rsidR="0033593B">
        <w:rPr>
          <w:rFonts w:ascii="Arial" w:hAnsi="Arial" w:cs="Arial"/>
          <w:bCs/>
          <w:kern w:val="2"/>
          <w:sz w:val="20"/>
          <w:szCs w:val="20"/>
        </w:rPr>
        <w:t xml:space="preserve"> available</w:t>
      </w:r>
      <w:r w:rsidRPr="00010F2F">
        <w:rPr>
          <w:rFonts w:ascii="Arial" w:hAnsi="Arial" w:cs="Arial"/>
          <w:bCs/>
          <w:kern w:val="2"/>
          <w:sz w:val="20"/>
          <w:szCs w:val="20"/>
        </w:rPr>
        <w:t xml:space="preserve"> </w:t>
      </w:r>
      <w:r>
        <w:rPr>
          <w:rFonts w:ascii="Arial" w:hAnsi="Arial" w:cs="Arial"/>
          <w:bCs/>
          <w:kern w:val="2"/>
          <w:sz w:val="20"/>
          <w:szCs w:val="20"/>
        </w:rPr>
        <w:t>for interventional radiology</w:t>
      </w:r>
      <w:r w:rsidRPr="00010F2F">
        <w:rPr>
          <w:rFonts w:ascii="Arial" w:hAnsi="Arial" w:cs="Arial"/>
          <w:bCs/>
          <w:kern w:val="2"/>
          <w:sz w:val="20"/>
          <w:szCs w:val="20"/>
        </w:rPr>
        <w:t xml:space="preserve"> and thereby </w:t>
      </w:r>
      <w:r w:rsidRPr="00010F2F">
        <w:rPr>
          <w:rFonts w:ascii="Arial" w:hAnsi="Arial" w:cs="Arial"/>
          <w:sz w:val="20"/>
          <w:szCs w:val="20"/>
        </w:rPr>
        <w:t xml:space="preserve">increase </w:t>
      </w:r>
      <w:r>
        <w:rPr>
          <w:rFonts w:ascii="Arial" w:hAnsi="Arial" w:cs="Arial"/>
          <w:sz w:val="20"/>
          <w:szCs w:val="20"/>
        </w:rPr>
        <w:t>access for patients</w:t>
      </w:r>
      <w:r w:rsidRPr="00010F2F">
        <w:rPr>
          <w:rFonts w:ascii="Arial" w:hAnsi="Arial" w:cs="Arial"/>
          <w:sz w:val="20"/>
          <w:szCs w:val="20"/>
        </w:rPr>
        <w:t xml:space="preserve">. </w:t>
      </w:r>
    </w:p>
    <w:p w14:paraId="53939200" w14:textId="77777777" w:rsidR="008F72D4" w:rsidRDefault="008F72D4" w:rsidP="007E5003">
      <w:pPr>
        <w:spacing w:after="0" w:line="240" w:lineRule="auto"/>
        <w:jc w:val="both"/>
        <w:rPr>
          <w:rFonts w:ascii="Arial" w:hAnsi="Arial" w:cs="Arial"/>
          <w:sz w:val="20"/>
          <w:szCs w:val="20"/>
        </w:rPr>
      </w:pPr>
    </w:p>
    <w:p w14:paraId="7F51701D" w14:textId="4D54AFB2" w:rsidR="008F72D4" w:rsidRDefault="008F72D4" w:rsidP="007E5003">
      <w:pPr>
        <w:spacing w:after="0" w:line="240" w:lineRule="auto"/>
        <w:jc w:val="both"/>
        <w:rPr>
          <w:rFonts w:ascii="Arial" w:hAnsi="Arial" w:cs="Arial"/>
          <w:sz w:val="20"/>
          <w:szCs w:val="20"/>
        </w:rPr>
      </w:pPr>
      <w:r>
        <w:rPr>
          <w:rFonts w:ascii="Arial" w:hAnsi="Arial" w:cs="Arial"/>
          <w:sz w:val="20"/>
          <w:szCs w:val="20"/>
        </w:rPr>
        <w:t xml:space="preserve">Further, AJH offers LDCT lung cancer screening. AJH does not currently market LDCT due to capacity constraints. </w:t>
      </w:r>
    </w:p>
    <w:p w14:paraId="6CF8E1C3" w14:textId="22F9F3B9" w:rsidR="008F72D4" w:rsidRPr="008F72D4" w:rsidRDefault="008F72D4" w:rsidP="007E5003">
      <w:pPr>
        <w:spacing w:after="0" w:line="240" w:lineRule="auto"/>
        <w:jc w:val="both"/>
        <w:rPr>
          <w:rFonts w:ascii="Arial" w:hAnsi="Arial" w:cs="Arial"/>
          <w:sz w:val="20"/>
          <w:szCs w:val="20"/>
        </w:rPr>
      </w:pPr>
    </w:p>
    <w:p w14:paraId="456B07E6" w14:textId="407135D7" w:rsidR="008F72D4" w:rsidRDefault="008F72D4" w:rsidP="008F72D4">
      <w:pPr>
        <w:pStyle w:val="Heading3"/>
        <w:widowControl/>
        <w:rPr>
          <w:rFonts w:eastAsia="Times New Roman"/>
          <w:kern w:val="2"/>
          <w:sz w:val="20"/>
          <w:szCs w:val="20"/>
        </w:rPr>
      </w:pPr>
      <w:r w:rsidRPr="008F72D4">
        <w:rPr>
          <w:rFonts w:eastAsia="Times New Roman"/>
          <w:kern w:val="2"/>
          <w:sz w:val="20"/>
          <w:szCs w:val="20"/>
        </w:rPr>
        <w:t>TABLE</w:t>
      </w:r>
      <w:r>
        <w:rPr>
          <w:rFonts w:eastAsia="Times New Roman"/>
          <w:kern w:val="2"/>
          <w:sz w:val="20"/>
          <w:szCs w:val="20"/>
        </w:rPr>
        <w:t xml:space="preserve"> </w:t>
      </w:r>
      <w:r w:rsidR="0033593B">
        <w:rPr>
          <w:rFonts w:eastAsia="Times New Roman"/>
          <w:kern w:val="2"/>
          <w:sz w:val="20"/>
          <w:szCs w:val="20"/>
        </w:rPr>
        <w:t>5</w:t>
      </w:r>
      <w:r>
        <w:rPr>
          <w:rFonts w:eastAsia="Times New Roman"/>
          <w:kern w:val="2"/>
          <w:sz w:val="20"/>
          <w:szCs w:val="20"/>
        </w:rPr>
        <w:t>:</w:t>
      </w:r>
      <w:r w:rsidRPr="008F72D4">
        <w:rPr>
          <w:rFonts w:eastAsia="Times New Roman"/>
          <w:kern w:val="2"/>
          <w:sz w:val="20"/>
          <w:szCs w:val="20"/>
        </w:rPr>
        <w:t xml:space="preserve"> Historical </w:t>
      </w:r>
      <w:r>
        <w:rPr>
          <w:rFonts w:eastAsia="Times New Roman"/>
          <w:kern w:val="2"/>
          <w:sz w:val="20"/>
          <w:szCs w:val="20"/>
        </w:rPr>
        <w:t>LDCT</w:t>
      </w:r>
      <w:r w:rsidRPr="008F72D4">
        <w:rPr>
          <w:rFonts w:eastAsia="Times New Roman"/>
          <w:kern w:val="2"/>
          <w:sz w:val="20"/>
          <w:szCs w:val="20"/>
        </w:rPr>
        <w:t xml:space="preserve"> Volume </w:t>
      </w:r>
    </w:p>
    <w:tbl>
      <w:tblPr>
        <w:tblStyle w:val="TableGrid"/>
        <w:tblW w:w="0" w:type="auto"/>
        <w:tblLook w:val="04A0" w:firstRow="1" w:lastRow="0" w:firstColumn="1" w:lastColumn="0" w:noHBand="0" w:noVBand="1"/>
      </w:tblPr>
      <w:tblGrid>
        <w:gridCol w:w="3145"/>
        <w:gridCol w:w="1170"/>
        <w:gridCol w:w="1080"/>
        <w:gridCol w:w="990"/>
      </w:tblGrid>
      <w:tr w:rsidR="005A33F7" w14:paraId="0B94C8E7" w14:textId="77777777" w:rsidTr="002F0B52">
        <w:tc>
          <w:tcPr>
            <w:tcW w:w="3145" w:type="dxa"/>
            <w:vAlign w:val="center"/>
          </w:tcPr>
          <w:p w14:paraId="7F0617D5" w14:textId="71A6BCB4" w:rsidR="005A33F7" w:rsidRPr="005A33F7" w:rsidRDefault="005A33F7" w:rsidP="005A33F7">
            <w:pPr>
              <w:rPr>
                <w:sz w:val="20"/>
                <w:szCs w:val="20"/>
              </w:rPr>
            </w:pPr>
            <w:r w:rsidRPr="005A33F7">
              <w:rPr>
                <w:rFonts w:ascii="Calibri Light" w:hAnsi="Calibri Light" w:cs="Calibri Light"/>
                <w:color w:val="000000"/>
                <w:sz w:val="20"/>
                <w:szCs w:val="20"/>
              </w:rPr>
              <w:t>LDCT Screening</w:t>
            </w:r>
          </w:p>
        </w:tc>
        <w:tc>
          <w:tcPr>
            <w:tcW w:w="1170" w:type="dxa"/>
            <w:vAlign w:val="center"/>
          </w:tcPr>
          <w:p w14:paraId="27CD46CF" w14:textId="24A2327D" w:rsidR="005A33F7" w:rsidRPr="005A33F7" w:rsidRDefault="005A33F7" w:rsidP="005A33F7">
            <w:pPr>
              <w:rPr>
                <w:sz w:val="20"/>
                <w:szCs w:val="20"/>
              </w:rPr>
            </w:pPr>
            <w:r w:rsidRPr="005A33F7">
              <w:rPr>
                <w:rFonts w:ascii="Calibri Light" w:hAnsi="Calibri Light" w:cs="Calibri Light"/>
                <w:b/>
                <w:bCs/>
                <w:color w:val="000000"/>
                <w:sz w:val="20"/>
                <w:szCs w:val="20"/>
              </w:rPr>
              <w:t>FY20</w:t>
            </w:r>
          </w:p>
        </w:tc>
        <w:tc>
          <w:tcPr>
            <w:tcW w:w="1080" w:type="dxa"/>
            <w:vAlign w:val="center"/>
          </w:tcPr>
          <w:p w14:paraId="09223391" w14:textId="7D77AADE" w:rsidR="005A33F7" w:rsidRPr="005A33F7" w:rsidRDefault="005A33F7" w:rsidP="005A33F7">
            <w:pPr>
              <w:rPr>
                <w:sz w:val="20"/>
                <w:szCs w:val="20"/>
              </w:rPr>
            </w:pPr>
            <w:r w:rsidRPr="005A33F7">
              <w:rPr>
                <w:rFonts w:ascii="Calibri Light" w:hAnsi="Calibri Light" w:cs="Calibri Light"/>
                <w:b/>
                <w:bCs/>
                <w:color w:val="000000"/>
                <w:sz w:val="20"/>
                <w:szCs w:val="20"/>
              </w:rPr>
              <w:t>FY21</w:t>
            </w:r>
          </w:p>
        </w:tc>
        <w:tc>
          <w:tcPr>
            <w:tcW w:w="990" w:type="dxa"/>
            <w:vAlign w:val="center"/>
          </w:tcPr>
          <w:p w14:paraId="0020F648" w14:textId="72E2EF19" w:rsidR="005A33F7" w:rsidRPr="005A33F7" w:rsidRDefault="005A33F7" w:rsidP="005A33F7">
            <w:pPr>
              <w:rPr>
                <w:sz w:val="20"/>
                <w:szCs w:val="20"/>
              </w:rPr>
            </w:pPr>
            <w:r w:rsidRPr="005A33F7">
              <w:rPr>
                <w:rFonts w:ascii="Calibri Light" w:hAnsi="Calibri Light" w:cs="Calibri Light"/>
                <w:b/>
                <w:bCs/>
                <w:color w:val="000000"/>
                <w:sz w:val="20"/>
                <w:szCs w:val="20"/>
              </w:rPr>
              <w:t>FY22</w:t>
            </w:r>
          </w:p>
        </w:tc>
      </w:tr>
      <w:tr w:rsidR="005A33F7" w14:paraId="1D2D2092" w14:textId="77777777" w:rsidTr="00512E5D">
        <w:tc>
          <w:tcPr>
            <w:tcW w:w="3145" w:type="dxa"/>
            <w:vAlign w:val="center"/>
          </w:tcPr>
          <w:p w14:paraId="65EC07DB" w14:textId="5B418F61" w:rsidR="005A33F7" w:rsidRPr="005A33F7" w:rsidRDefault="005A33F7" w:rsidP="005A33F7">
            <w:pPr>
              <w:rPr>
                <w:sz w:val="20"/>
                <w:szCs w:val="20"/>
              </w:rPr>
            </w:pPr>
            <w:r w:rsidRPr="005A33F7">
              <w:rPr>
                <w:rFonts w:ascii="Calibri Light" w:hAnsi="Calibri Light" w:cs="Calibri Light"/>
                <w:b/>
                <w:bCs/>
                <w:color w:val="000000"/>
                <w:sz w:val="20"/>
                <w:szCs w:val="20"/>
              </w:rPr>
              <w:t xml:space="preserve">Annual Screening </w:t>
            </w:r>
          </w:p>
        </w:tc>
        <w:tc>
          <w:tcPr>
            <w:tcW w:w="1170" w:type="dxa"/>
            <w:vAlign w:val="center"/>
          </w:tcPr>
          <w:p w14:paraId="2AF63EC8" w14:textId="7D265D6B" w:rsidR="005A33F7" w:rsidRPr="005A33F7" w:rsidRDefault="005A33F7" w:rsidP="005A33F7">
            <w:pPr>
              <w:rPr>
                <w:sz w:val="20"/>
                <w:szCs w:val="20"/>
              </w:rPr>
            </w:pPr>
            <w:r w:rsidRPr="005A33F7">
              <w:rPr>
                <w:rFonts w:ascii="Calibri Light" w:hAnsi="Calibri Light" w:cs="Calibri Light"/>
                <w:sz w:val="20"/>
                <w:szCs w:val="20"/>
              </w:rPr>
              <w:t>287</w:t>
            </w:r>
          </w:p>
        </w:tc>
        <w:tc>
          <w:tcPr>
            <w:tcW w:w="1080" w:type="dxa"/>
            <w:vAlign w:val="center"/>
          </w:tcPr>
          <w:p w14:paraId="43D34E3B" w14:textId="43DAC243" w:rsidR="005A33F7" w:rsidRPr="005A33F7" w:rsidRDefault="005A33F7" w:rsidP="005A33F7">
            <w:pPr>
              <w:rPr>
                <w:sz w:val="20"/>
                <w:szCs w:val="20"/>
              </w:rPr>
            </w:pPr>
            <w:r w:rsidRPr="005A33F7">
              <w:rPr>
                <w:rFonts w:ascii="Calibri Light" w:hAnsi="Calibri Light" w:cs="Calibri Light"/>
                <w:sz w:val="20"/>
                <w:szCs w:val="20"/>
              </w:rPr>
              <w:t>379</w:t>
            </w:r>
          </w:p>
        </w:tc>
        <w:tc>
          <w:tcPr>
            <w:tcW w:w="990" w:type="dxa"/>
            <w:vAlign w:val="center"/>
          </w:tcPr>
          <w:p w14:paraId="1C6D0387" w14:textId="3A5B6FDD" w:rsidR="005A33F7" w:rsidRPr="005A33F7" w:rsidRDefault="005A33F7" w:rsidP="005A33F7">
            <w:pPr>
              <w:rPr>
                <w:sz w:val="20"/>
                <w:szCs w:val="20"/>
              </w:rPr>
            </w:pPr>
            <w:r w:rsidRPr="005A33F7">
              <w:rPr>
                <w:rFonts w:ascii="Calibri Light" w:hAnsi="Calibri Light" w:cs="Calibri Light"/>
                <w:sz w:val="20"/>
                <w:szCs w:val="20"/>
              </w:rPr>
              <w:t>440</w:t>
            </w:r>
          </w:p>
        </w:tc>
      </w:tr>
    </w:tbl>
    <w:p w14:paraId="6A07B9AD" w14:textId="77777777" w:rsidR="008F72D4" w:rsidRDefault="008F72D4" w:rsidP="007E5003">
      <w:pPr>
        <w:spacing w:after="0" w:line="240" w:lineRule="auto"/>
        <w:jc w:val="both"/>
        <w:rPr>
          <w:rFonts w:ascii="Arial" w:hAnsi="Arial" w:cs="Arial"/>
          <w:sz w:val="20"/>
          <w:szCs w:val="20"/>
        </w:rPr>
      </w:pPr>
    </w:p>
    <w:p w14:paraId="26F3D818" w14:textId="53CB737D" w:rsidR="001A1CD2" w:rsidRDefault="008F72D4" w:rsidP="001A1CD2">
      <w:pPr>
        <w:pStyle w:val="ListParagraph"/>
        <w:ind w:left="0"/>
        <w:jc w:val="both"/>
        <w:rPr>
          <w:rFonts w:ascii="Arial" w:hAnsi="Arial" w:cs="Arial"/>
          <w:color w:val="000000"/>
          <w:sz w:val="20"/>
          <w:szCs w:val="20"/>
        </w:rPr>
      </w:pPr>
      <w:r w:rsidRPr="00807BD1">
        <w:rPr>
          <w:rFonts w:ascii="Arial" w:hAnsi="Arial" w:cs="Arial"/>
          <w:color w:val="000000"/>
          <w:sz w:val="20"/>
          <w:szCs w:val="20"/>
        </w:rPr>
        <w:t xml:space="preserve">Through the Proposed Project, </w:t>
      </w:r>
      <w:r>
        <w:rPr>
          <w:rFonts w:ascii="Arial" w:hAnsi="Arial" w:cs="Arial"/>
          <w:color w:val="000000"/>
          <w:sz w:val="20"/>
          <w:szCs w:val="20"/>
        </w:rPr>
        <w:t xml:space="preserve">AJH will have </w:t>
      </w:r>
      <w:r w:rsidR="00E8155A">
        <w:rPr>
          <w:rFonts w:ascii="Arial" w:hAnsi="Arial" w:cs="Arial"/>
          <w:color w:val="000000"/>
          <w:sz w:val="20"/>
          <w:szCs w:val="20"/>
        </w:rPr>
        <w:t xml:space="preserve">additional </w:t>
      </w:r>
      <w:r>
        <w:rPr>
          <w:rFonts w:ascii="Arial" w:hAnsi="Arial" w:cs="Arial"/>
          <w:color w:val="000000"/>
          <w:sz w:val="20"/>
          <w:szCs w:val="20"/>
        </w:rPr>
        <w:t xml:space="preserve">CT capacity to </w:t>
      </w:r>
      <w:r w:rsidRPr="00807BD1">
        <w:rPr>
          <w:rFonts w:ascii="Arial" w:hAnsi="Arial" w:cs="Arial"/>
          <w:color w:val="000000"/>
          <w:sz w:val="20"/>
          <w:szCs w:val="20"/>
        </w:rPr>
        <w:t>expand its</w:t>
      </w:r>
      <w:r>
        <w:rPr>
          <w:rFonts w:ascii="Arial" w:hAnsi="Arial" w:cs="Arial"/>
          <w:color w:val="000000"/>
          <w:sz w:val="20"/>
          <w:szCs w:val="20"/>
        </w:rPr>
        <w:t xml:space="preserve"> LDCT</w:t>
      </w:r>
      <w:r w:rsidRPr="00807BD1">
        <w:rPr>
          <w:rFonts w:ascii="Arial" w:hAnsi="Arial" w:cs="Arial"/>
          <w:color w:val="000000"/>
          <w:sz w:val="20"/>
          <w:szCs w:val="20"/>
        </w:rPr>
        <w:t xml:space="preserve"> screening program</w:t>
      </w:r>
      <w:r>
        <w:rPr>
          <w:rFonts w:ascii="Arial" w:hAnsi="Arial" w:cs="Arial"/>
          <w:color w:val="000000"/>
          <w:sz w:val="20"/>
          <w:szCs w:val="20"/>
        </w:rPr>
        <w:t xml:space="preserve">, which will increase </w:t>
      </w:r>
      <w:r w:rsidRPr="00807BD1">
        <w:rPr>
          <w:rFonts w:ascii="Arial" w:hAnsi="Arial" w:cs="Arial"/>
          <w:color w:val="000000"/>
          <w:sz w:val="20"/>
          <w:szCs w:val="20"/>
        </w:rPr>
        <w:t>screening rates</w:t>
      </w:r>
      <w:r>
        <w:rPr>
          <w:rFonts w:ascii="Arial" w:hAnsi="Arial" w:cs="Arial"/>
          <w:color w:val="000000"/>
          <w:sz w:val="20"/>
          <w:szCs w:val="20"/>
        </w:rPr>
        <w:t xml:space="preserve"> and early identification of lung cancer. Early identification can lead to treatment when disease is more easily treated</w:t>
      </w:r>
      <w:r w:rsidR="00E8155A">
        <w:rPr>
          <w:rFonts w:ascii="Arial" w:hAnsi="Arial" w:cs="Arial"/>
          <w:color w:val="000000"/>
          <w:sz w:val="20"/>
          <w:szCs w:val="20"/>
        </w:rPr>
        <w:t xml:space="preserve"> resulting in improved health outcomes and</w:t>
      </w:r>
      <w:r>
        <w:rPr>
          <w:rFonts w:ascii="Arial" w:hAnsi="Arial" w:cs="Arial"/>
          <w:color w:val="000000"/>
          <w:sz w:val="20"/>
          <w:szCs w:val="20"/>
        </w:rPr>
        <w:t xml:space="preserve"> at lower costs</w:t>
      </w:r>
      <w:r w:rsidRPr="00807BD1">
        <w:rPr>
          <w:rFonts w:ascii="Arial" w:hAnsi="Arial" w:cs="Arial"/>
          <w:color w:val="000000"/>
          <w:sz w:val="20"/>
          <w:szCs w:val="20"/>
        </w:rPr>
        <w:t>.</w:t>
      </w:r>
      <w:r>
        <w:rPr>
          <w:rFonts w:ascii="Arial" w:hAnsi="Arial" w:cs="Arial"/>
          <w:color w:val="000000"/>
          <w:sz w:val="20"/>
          <w:szCs w:val="20"/>
        </w:rPr>
        <w:t xml:space="preserve"> A second CT will </w:t>
      </w:r>
      <w:r w:rsidR="00E8155A">
        <w:rPr>
          <w:rFonts w:ascii="Arial" w:hAnsi="Arial" w:cs="Arial"/>
          <w:color w:val="000000"/>
          <w:sz w:val="20"/>
          <w:szCs w:val="20"/>
        </w:rPr>
        <w:t xml:space="preserve">provide </w:t>
      </w:r>
      <w:r>
        <w:rPr>
          <w:rFonts w:ascii="Arial" w:hAnsi="Arial" w:cs="Arial"/>
          <w:color w:val="000000"/>
          <w:sz w:val="20"/>
          <w:szCs w:val="20"/>
        </w:rPr>
        <w:t xml:space="preserve">improved </w:t>
      </w:r>
      <w:r w:rsidR="00E8155A">
        <w:rPr>
          <w:rFonts w:ascii="Arial" w:hAnsi="Arial" w:cs="Arial"/>
          <w:color w:val="000000"/>
          <w:sz w:val="20"/>
          <w:szCs w:val="20"/>
        </w:rPr>
        <w:t>capacity for</w:t>
      </w:r>
      <w:r>
        <w:rPr>
          <w:rFonts w:ascii="Arial" w:hAnsi="Arial" w:cs="Arial"/>
          <w:color w:val="000000"/>
          <w:sz w:val="20"/>
          <w:szCs w:val="20"/>
        </w:rPr>
        <w:t xml:space="preserve"> LDCT</w:t>
      </w:r>
      <w:r w:rsidR="00E8155A">
        <w:rPr>
          <w:rFonts w:ascii="Arial" w:hAnsi="Arial" w:cs="Arial"/>
          <w:color w:val="000000"/>
          <w:sz w:val="20"/>
          <w:szCs w:val="20"/>
        </w:rPr>
        <w:t xml:space="preserve"> patients and further</w:t>
      </w:r>
      <w:r>
        <w:rPr>
          <w:rFonts w:ascii="Arial" w:hAnsi="Arial" w:cs="Arial"/>
          <w:color w:val="000000"/>
          <w:sz w:val="20"/>
          <w:szCs w:val="20"/>
        </w:rPr>
        <w:t xml:space="preserve"> adherence with the recommended guidelines </w:t>
      </w:r>
      <w:r w:rsidR="00E8155A">
        <w:rPr>
          <w:rFonts w:ascii="Arial" w:hAnsi="Arial" w:cs="Arial"/>
          <w:color w:val="000000"/>
          <w:sz w:val="20"/>
          <w:szCs w:val="20"/>
        </w:rPr>
        <w:t>for</w:t>
      </w:r>
      <w:r>
        <w:rPr>
          <w:rFonts w:ascii="Arial" w:hAnsi="Arial" w:cs="Arial"/>
          <w:color w:val="000000"/>
          <w:sz w:val="20"/>
          <w:szCs w:val="20"/>
        </w:rPr>
        <w:t xml:space="preserve"> annual screenings. </w:t>
      </w:r>
    </w:p>
    <w:p w14:paraId="6D18938D" w14:textId="77777777" w:rsidR="001A1CD2" w:rsidRPr="001A1CD2" w:rsidRDefault="001A1CD2" w:rsidP="001A1CD2">
      <w:pPr>
        <w:pStyle w:val="ListParagraph"/>
        <w:ind w:left="0"/>
        <w:jc w:val="both"/>
        <w:rPr>
          <w:rFonts w:ascii="Arial" w:hAnsi="Arial" w:cs="Arial"/>
          <w:color w:val="000000"/>
          <w:sz w:val="20"/>
          <w:szCs w:val="20"/>
        </w:rPr>
      </w:pPr>
    </w:p>
    <w:p w14:paraId="4650A53E" w14:textId="6C3D904E" w:rsidR="001A1CD2" w:rsidRPr="00541CE8" w:rsidRDefault="007E5003" w:rsidP="001A1CD2">
      <w:pPr>
        <w:pStyle w:val="ListParagraph"/>
        <w:numPr>
          <w:ilvl w:val="0"/>
          <w:numId w:val="46"/>
        </w:numPr>
        <w:spacing w:after="0" w:line="240" w:lineRule="auto"/>
        <w:ind w:left="360"/>
        <w:jc w:val="both"/>
        <w:rPr>
          <w:rFonts w:ascii="Arial" w:eastAsia="Times New Roman" w:hAnsi="Arial" w:cs="Arial"/>
          <w:bCs/>
          <w:kern w:val="2"/>
          <w:sz w:val="20"/>
          <w:szCs w:val="20"/>
          <w:u w:val="single"/>
        </w:rPr>
      </w:pPr>
      <w:r w:rsidRPr="00541CE8">
        <w:rPr>
          <w:rFonts w:ascii="Arial" w:eastAsia="Times New Roman" w:hAnsi="Arial" w:cs="Arial"/>
          <w:bCs/>
          <w:kern w:val="2"/>
          <w:sz w:val="20"/>
          <w:szCs w:val="20"/>
          <w:u w:val="single"/>
        </w:rPr>
        <w:t>Projected Growth and Future Demand</w:t>
      </w:r>
    </w:p>
    <w:p w14:paraId="10D60137" w14:textId="4B2E9798" w:rsidR="00E24B93" w:rsidRDefault="00E24B93" w:rsidP="00E24B93">
      <w:pPr>
        <w:spacing w:after="0" w:line="240" w:lineRule="auto"/>
        <w:jc w:val="both"/>
        <w:rPr>
          <w:rFonts w:ascii="Arial" w:eastAsia="Times New Roman" w:hAnsi="Arial" w:cs="Arial"/>
          <w:bCs/>
          <w:kern w:val="2"/>
          <w:sz w:val="20"/>
          <w:szCs w:val="20"/>
        </w:rPr>
      </w:pPr>
    </w:p>
    <w:p w14:paraId="71B96152" w14:textId="1E45E94C" w:rsidR="0088656A" w:rsidRPr="0088656A" w:rsidRDefault="00E24B93" w:rsidP="00E24B93">
      <w:pPr>
        <w:spacing w:after="0" w:line="240" w:lineRule="auto"/>
        <w:jc w:val="both"/>
        <w:rPr>
          <w:rFonts w:ascii="Arial" w:eastAsia="Times New Roman" w:hAnsi="Arial" w:cs="Arial"/>
          <w:kern w:val="2"/>
          <w:sz w:val="20"/>
          <w:szCs w:val="20"/>
        </w:rPr>
      </w:pPr>
      <w:r w:rsidRPr="00010F2F">
        <w:rPr>
          <w:rFonts w:ascii="Arial" w:eastAsia="Times New Roman" w:hAnsi="Arial" w:cs="Arial"/>
          <w:bCs/>
          <w:kern w:val="2"/>
          <w:sz w:val="20"/>
          <w:szCs w:val="20"/>
        </w:rPr>
        <w:t>Based on historical volume</w:t>
      </w:r>
      <w:r>
        <w:rPr>
          <w:rFonts w:ascii="Arial" w:eastAsia="Times New Roman" w:hAnsi="Arial" w:cs="Arial"/>
          <w:bCs/>
          <w:kern w:val="2"/>
          <w:sz w:val="20"/>
          <w:szCs w:val="20"/>
        </w:rPr>
        <w:t xml:space="preserve"> trends</w:t>
      </w:r>
      <w:r w:rsidRPr="00010F2F">
        <w:rPr>
          <w:rFonts w:ascii="Arial" w:eastAsia="Times New Roman" w:hAnsi="Arial" w:cs="Arial"/>
          <w:bCs/>
          <w:kern w:val="2"/>
          <w:sz w:val="20"/>
          <w:szCs w:val="20"/>
        </w:rPr>
        <w:t xml:space="preserve">, </w:t>
      </w:r>
      <w:r>
        <w:rPr>
          <w:rFonts w:ascii="Arial" w:eastAsia="Times New Roman" w:hAnsi="Arial" w:cs="Arial"/>
          <w:bCs/>
          <w:kern w:val="2"/>
          <w:sz w:val="20"/>
          <w:szCs w:val="20"/>
        </w:rPr>
        <w:t>AJH</w:t>
      </w:r>
      <w:r w:rsidRPr="00010F2F">
        <w:rPr>
          <w:rFonts w:ascii="Arial" w:eastAsia="Times New Roman" w:hAnsi="Arial" w:cs="Arial"/>
          <w:bCs/>
          <w:kern w:val="2"/>
          <w:sz w:val="20"/>
          <w:szCs w:val="20"/>
        </w:rPr>
        <w:t xml:space="preserve"> expects CT volume will continue to </w:t>
      </w:r>
      <w:r w:rsidR="00E8155A">
        <w:rPr>
          <w:rFonts w:ascii="Arial" w:eastAsia="Times New Roman" w:hAnsi="Arial" w:cs="Arial"/>
          <w:bCs/>
          <w:kern w:val="2"/>
          <w:sz w:val="20"/>
          <w:szCs w:val="20"/>
        </w:rPr>
        <w:t>increase a</w:t>
      </w:r>
      <w:r>
        <w:rPr>
          <w:rFonts w:ascii="Arial" w:eastAsia="Times New Roman" w:hAnsi="Arial" w:cs="Arial"/>
          <w:bCs/>
          <w:kern w:val="2"/>
          <w:sz w:val="20"/>
          <w:szCs w:val="20"/>
        </w:rPr>
        <w:t xml:space="preserve">s demonstrated in </w:t>
      </w:r>
      <w:r w:rsidR="00E8155A">
        <w:rPr>
          <w:rFonts w:ascii="Arial" w:eastAsia="Times New Roman" w:hAnsi="Arial" w:cs="Arial"/>
          <w:bCs/>
          <w:kern w:val="2"/>
          <w:sz w:val="20"/>
          <w:szCs w:val="20"/>
        </w:rPr>
        <w:t>the table below. The</w:t>
      </w:r>
      <w:r>
        <w:rPr>
          <w:rFonts w:ascii="Arial" w:eastAsia="Times New Roman" w:hAnsi="Arial" w:cs="Arial"/>
          <w:bCs/>
          <w:kern w:val="2"/>
          <w:sz w:val="20"/>
          <w:szCs w:val="20"/>
        </w:rPr>
        <w:t xml:space="preserve"> population of AJH’s primary service area is projected to increase by approximately </w:t>
      </w:r>
      <w:r w:rsidR="0000130C">
        <w:rPr>
          <w:rFonts w:ascii="Arial" w:eastAsia="Times New Roman" w:hAnsi="Arial" w:cs="Arial"/>
          <w:bCs/>
          <w:kern w:val="2"/>
          <w:sz w:val="20"/>
          <w:szCs w:val="20"/>
        </w:rPr>
        <w:t xml:space="preserve">2.84% </w:t>
      </w:r>
      <w:r>
        <w:rPr>
          <w:rFonts w:ascii="Arial" w:eastAsia="Times New Roman" w:hAnsi="Arial" w:cs="Arial"/>
          <w:bCs/>
          <w:kern w:val="2"/>
          <w:sz w:val="20"/>
          <w:szCs w:val="20"/>
        </w:rPr>
        <w:t xml:space="preserve">from </w:t>
      </w:r>
      <w:r w:rsidR="0000130C">
        <w:rPr>
          <w:rFonts w:ascii="Arial" w:eastAsia="Times New Roman" w:hAnsi="Arial" w:cs="Arial"/>
          <w:bCs/>
          <w:kern w:val="2"/>
          <w:sz w:val="20"/>
          <w:szCs w:val="20"/>
        </w:rPr>
        <w:t>2020</w:t>
      </w:r>
      <w:r>
        <w:rPr>
          <w:rFonts w:ascii="Arial" w:eastAsia="Times New Roman" w:hAnsi="Arial" w:cs="Arial"/>
          <w:bCs/>
          <w:kern w:val="2"/>
          <w:sz w:val="20"/>
          <w:szCs w:val="20"/>
        </w:rPr>
        <w:t xml:space="preserve"> to </w:t>
      </w:r>
      <w:r w:rsidR="0000130C">
        <w:rPr>
          <w:rFonts w:ascii="Arial" w:eastAsia="Times New Roman" w:hAnsi="Arial" w:cs="Arial"/>
          <w:bCs/>
          <w:kern w:val="2"/>
          <w:sz w:val="20"/>
          <w:szCs w:val="20"/>
        </w:rPr>
        <w:t>2035</w:t>
      </w:r>
      <w:r>
        <w:rPr>
          <w:rFonts w:ascii="Arial" w:eastAsia="Times New Roman" w:hAnsi="Arial" w:cs="Arial"/>
          <w:bCs/>
          <w:kern w:val="2"/>
          <w:sz w:val="20"/>
          <w:szCs w:val="20"/>
        </w:rPr>
        <w:t>.</w:t>
      </w:r>
      <w:r w:rsidR="0000130C">
        <w:rPr>
          <w:rStyle w:val="FootnoteReference"/>
          <w:rFonts w:ascii="Arial" w:eastAsia="Times New Roman" w:hAnsi="Arial" w:cs="Arial"/>
          <w:bCs/>
          <w:kern w:val="2"/>
          <w:sz w:val="20"/>
          <w:szCs w:val="20"/>
        </w:rPr>
        <w:footnoteReference w:id="19"/>
      </w:r>
      <w:r>
        <w:rPr>
          <w:rFonts w:ascii="Arial" w:eastAsia="Times New Roman" w:hAnsi="Arial" w:cs="Arial"/>
          <w:bCs/>
          <w:kern w:val="2"/>
          <w:sz w:val="20"/>
          <w:szCs w:val="20"/>
        </w:rPr>
        <w:t xml:space="preserve"> In particular, the age 65 and older cohort is expected to grow by approximately </w:t>
      </w:r>
      <w:r w:rsidR="007A5DEC">
        <w:rPr>
          <w:rFonts w:ascii="Arial" w:eastAsia="Times New Roman" w:hAnsi="Arial" w:cs="Arial"/>
          <w:bCs/>
          <w:kern w:val="2"/>
          <w:sz w:val="20"/>
          <w:szCs w:val="20"/>
        </w:rPr>
        <w:t>43.30</w:t>
      </w:r>
      <w:r w:rsidR="00FF13C0">
        <w:rPr>
          <w:rFonts w:ascii="Arial" w:eastAsia="Times New Roman" w:hAnsi="Arial" w:cs="Arial"/>
          <w:bCs/>
          <w:kern w:val="2"/>
          <w:sz w:val="20"/>
          <w:szCs w:val="20"/>
        </w:rPr>
        <w:t>%</w:t>
      </w:r>
      <w:r>
        <w:rPr>
          <w:rFonts w:ascii="Arial" w:eastAsia="Times New Roman" w:hAnsi="Arial" w:cs="Arial"/>
          <w:bCs/>
          <w:kern w:val="2"/>
          <w:sz w:val="20"/>
          <w:szCs w:val="20"/>
        </w:rPr>
        <w:t xml:space="preserve"> from </w:t>
      </w:r>
      <w:r w:rsidR="0000130C">
        <w:rPr>
          <w:rFonts w:ascii="Arial" w:eastAsia="Times New Roman" w:hAnsi="Arial" w:cs="Arial"/>
          <w:bCs/>
          <w:kern w:val="2"/>
          <w:sz w:val="20"/>
          <w:szCs w:val="20"/>
        </w:rPr>
        <w:t>2020</w:t>
      </w:r>
      <w:r>
        <w:rPr>
          <w:rFonts w:ascii="Arial" w:eastAsia="Times New Roman" w:hAnsi="Arial" w:cs="Arial"/>
          <w:bCs/>
          <w:kern w:val="2"/>
          <w:sz w:val="20"/>
          <w:szCs w:val="20"/>
        </w:rPr>
        <w:t xml:space="preserve"> to</w:t>
      </w:r>
      <w:r w:rsidR="0000130C">
        <w:rPr>
          <w:rFonts w:ascii="Arial" w:eastAsia="Times New Roman" w:hAnsi="Arial" w:cs="Arial"/>
          <w:bCs/>
          <w:kern w:val="2"/>
          <w:sz w:val="20"/>
          <w:szCs w:val="20"/>
        </w:rPr>
        <w:t xml:space="preserve"> 2035</w:t>
      </w:r>
      <w:r>
        <w:rPr>
          <w:rFonts w:ascii="Arial" w:eastAsia="Times New Roman" w:hAnsi="Arial" w:cs="Arial"/>
          <w:bCs/>
          <w:kern w:val="2"/>
          <w:sz w:val="20"/>
          <w:szCs w:val="20"/>
        </w:rPr>
        <w:t>.</w:t>
      </w:r>
      <w:r w:rsidR="0000130C">
        <w:rPr>
          <w:rStyle w:val="FootnoteReference"/>
          <w:rFonts w:ascii="Arial" w:eastAsia="Times New Roman" w:hAnsi="Arial" w:cs="Arial"/>
          <w:bCs/>
          <w:kern w:val="2"/>
          <w:sz w:val="20"/>
          <w:szCs w:val="20"/>
        </w:rPr>
        <w:footnoteReference w:id="20"/>
      </w:r>
      <w:r>
        <w:rPr>
          <w:rFonts w:ascii="Arial" w:eastAsia="Times New Roman" w:hAnsi="Arial" w:cs="Arial"/>
          <w:bCs/>
          <w:kern w:val="2"/>
          <w:sz w:val="20"/>
          <w:szCs w:val="20"/>
        </w:rPr>
        <w:t xml:space="preserve"> </w:t>
      </w:r>
      <w:r>
        <w:rPr>
          <w:rFonts w:ascii="Arial" w:eastAsia="Times New Roman" w:hAnsi="Arial" w:cs="Arial"/>
          <w:kern w:val="2"/>
          <w:sz w:val="20"/>
          <w:szCs w:val="20"/>
        </w:rPr>
        <w:t>As</w:t>
      </w:r>
      <w:r w:rsidRPr="00807BD1">
        <w:rPr>
          <w:rFonts w:ascii="Arial" w:eastAsia="Times New Roman" w:hAnsi="Arial" w:cs="Arial"/>
          <w:kern w:val="2"/>
          <w:sz w:val="20"/>
          <w:szCs w:val="20"/>
        </w:rPr>
        <w:t xml:space="preserve"> the </w:t>
      </w:r>
      <w:r>
        <w:rPr>
          <w:rFonts w:ascii="Arial" w:eastAsia="Times New Roman" w:hAnsi="Arial" w:cs="Arial"/>
          <w:kern w:val="2"/>
          <w:sz w:val="20"/>
          <w:szCs w:val="20"/>
        </w:rPr>
        <w:t>patient population</w:t>
      </w:r>
      <w:r w:rsidRPr="00807BD1">
        <w:rPr>
          <w:rFonts w:ascii="Arial" w:eastAsia="Times New Roman" w:hAnsi="Arial" w:cs="Arial"/>
          <w:kern w:val="2"/>
          <w:sz w:val="20"/>
          <w:szCs w:val="20"/>
        </w:rPr>
        <w:t xml:space="preserve"> ages, patients will present with higher acuity and more frequently require advanced diagnostic imaging, including CT. </w:t>
      </w:r>
      <w:r w:rsidR="0088656A">
        <w:rPr>
          <w:rFonts w:ascii="Arial" w:eastAsia="Times New Roman" w:hAnsi="Arial" w:cs="Arial"/>
          <w:kern w:val="2"/>
          <w:sz w:val="20"/>
          <w:szCs w:val="20"/>
        </w:rPr>
        <w:t xml:space="preserve">Moreover, in contemplation </w:t>
      </w:r>
      <w:r w:rsidR="00F90453">
        <w:rPr>
          <w:rFonts w:ascii="Arial" w:eastAsia="Times New Roman" w:hAnsi="Arial" w:cs="Arial"/>
          <w:kern w:val="2"/>
          <w:sz w:val="20"/>
          <w:szCs w:val="20"/>
        </w:rPr>
        <w:t xml:space="preserve">of the expected increase in CT volume due to the </w:t>
      </w:r>
      <w:r w:rsidR="0088656A">
        <w:rPr>
          <w:rFonts w:ascii="Arial" w:eastAsia="Times New Roman" w:hAnsi="Arial" w:cs="Arial"/>
          <w:kern w:val="2"/>
          <w:sz w:val="20"/>
          <w:szCs w:val="20"/>
        </w:rPr>
        <w:t xml:space="preserve">expansion of interventional radiology and LDCT programs, </w:t>
      </w:r>
      <w:r w:rsidR="0088656A">
        <w:rPr>
          <w:rFonts w:ascii="Arial" w:hAnsi="Arial" w:cs="Arial"/>
          <w:sz w:val="20"/>
          <w:szCs w:val="20"/>
        </w:rPr>
        <w:t>AJH has hired an additional interventional radiologist and interventional cardiologist</w:t>
      </w:r>
      <w:r w:rsidR="00F90453">
        <w:rPr>
          <w:rFonts w:ascii="Arial" w:hAnsi="Arial" w:cs="Arial"/>
          <w:sz w:val="20"/>
          <w:szCs w:val="20"/>
        </w:rPr>
        <w:t>.</w:t>
      </w:r>
    </w:p>
    <w:p w14:paraId="1EB3513D" w14:textId="77777777" w:rsidR="001A1CD2" w:rsidRDefault="001A1CD2" w:rsidP="001A1CD2">
      <w:pPr>
        <w:spacing w:after="0" w:line="240" w:lineRule="auto"/>
        <w:jc w:val="both"/>
        <w:rPr>
          <w:rFonts w:ascii="Arial" w:eastAsia="Times New Roman" w:hAnsi="Arial" w:cs="Arial"/>
          <w:b/>
          <w:kern w:val="2"/>
        </w:rPr>
      </w:pPr>
    </w:p>
    <w:p w14:paraId="60943A57" w14:textId="70D6BF06" w:rsidR="007E5003" w:rsidRPr="000A1BB7" w:rsidRDefault="001A1CD2" w:rsidP="001A1CD2">
      <w:pPr>
        <w:spacing w:after="0" w:line="240" w:lineRule="auto"/>
        <w:jc w:val="both"/>
        <w:rPr>
          <w:rFonts w:ascii="Arial" w:eastAsia="Times New Roman" w:hAnsi="Arial" w:cs="Arial"/>
          <w:bCs/>
          <w:kern w:val="2"/>
          <w:sz w:val="20"/>
          <w:szCs w:val="20"/>
        </w:rPr>
      </w:pPr>
      <w:r w:rsidRPr="000A1BB7">
        <w:rPr>
          <w:rFonts w:ascii="Arial" w:eastAsia="Times New Roman" w:hAnsi="Arial" w:cs="Arial"/>
          <w:b/>
          <w:kern w:val="2"/>
          <w:sz w:val="20"/>
          <w:szCs w:val="20"/>
        </w:rPr>
        <w:t xml:space="preserve">TABLE </w:t>
      </w:r>
      <w:r w:rsidR="0033593B">
        <w:rPr>
          <w:rFonts w:ascii="Arial" w:eastAsia="Times New Roman" w:hAnsi="Arial" w:cs="Arial"/>
          <w:b/>
          <w:kern w:val="2"/>
          <w:sz w:val="20"/>
          <w:szCs w:val="20"/>
        </w:rPr>
        <w:t>6</w:t>
      </w:r>
      <w:r w:rsidRPr="000A1BB7">
        <w:rPr>
          <w:rFonts w:ascii="Arial" w:eastAsia="Times New Roman" w:hAnsi="Arial" w:cs="Arial"/>
          <w:b/>
          <w:kern w:val="2"/>
          <w:sz w:val="20"/>
          <w:szCs w:val="20"/>
        </w:rPr>
        <w:t xml:space="preserve">: Projected CT Volume </w:t>
      </w:r>
    </w:p>
    <w:tbl>
      <w:tblPr>
        <w:tblStyle w:val="TableGrid"/>
        <w:tblW w:w="8370" w:type="dxa"/>
        <w:tblInd w:w="-5" w:type="dxa"/>
        <w:tblLayout w:type="fixed"/>
        <w:tblLook w:val="04A0" w:firstRow="1" w:lastRow="0" w:firstColumn="1" w:lastColumn="0" w:noHBand="0" w:noVBand="1"/>
      </w:tblPr>
      <w:tblGrid>
        <w:gridCol w:w="1080"/>
        <w:gridCol w:w="720"/>
        <w:gridCol w:w="900"/>
        <w:gridCol w:w="720"/>
        <w:gridCol w:w="900"/>
        <w:gridCol w:w="810"/>
        <w:gridCol w:w="900"/>
        <w:gridCol w:w="720"/>
        <w:gridCol w:w="900"/>
        <w:gridCol w:w="720"/>
      </w:tblGrid>
      <w:tr w:rsidR="0088656A" w:rsidRPr="00F46EC8" w14:paraId="54C20FF9" w14:textId="77777777" w:rsidTr="0088656A">
        <w:trPr>
          <w:trHeight w:val="287"/>
        </w:trPr>
        <w:tc>
          <w:tcPr>
            <w:tcW w:w="1080" w:type="dxa"/>
            <w:shd w:val="clear" w:color="auto" w:fill="B4C6E7" w:themeFill="accent1" w:themeFillTint="66"/>
            <w:vAlign w:val="bottom"/>
          </w:tcPr>
          <w:p w14:paraId="5A293C5A" w14:textId="4EE23CDC" w:rsidR="0088656A" w:rsidRPr="001A1CD2" w:rsidRDefault="0088656A" w:rsidP="004D007D">
            <w:pPr>
              <w:pStyle w:val="BodyText2"/>
              <w:rPr>
                <w:rFonts w:asciiTheme="majorHAnsi" w:hAnsiTheme="majorHAnsi" w:cstheme="majorHAnsi"/>
                <w:b/>
                <w:bCs/>
                <w:sz w:val="18"/>
                <w:szCs w:val="18"/>
              </w:rPr>
            </w:pPr>
            <w:r w:rsidRPr="001A1CD2">
              <w:rPr>
                <w:rFonts w:asciiTheme="majorHAnsi" w:hAnsiTheme="majorHAnsi" w:cstheme="majorHAnsi"/>
                <w:b/>
                <w:bCs/>
                <w:sz w:val="18"/>
                <w:szCs w:val="18"/>
              </w:rPr>
              <w:t>Projected CT Volume</w:t>
            </w:r>
          </w:p>
        </w:tc>
        <w:tc>
          <w:tcPr>
            <w:tcW w:w="720" w:type="dxa"/>
            <w:shd w:val="clear" w:color="auto" w:fill="B4C6E7" w:themeFill="accent1" w:themeFillTint="66"/>
            <w:vAlign w:val="bottom"/>
          </w:tcPr>
          <w:p w14:paraId="7AFD278D" w14:textId="7893C556" w:rsidR="0088656A" w:rsidRPr="00F46EC8" w:rsidRDefault="0088656A" w:rsidP="004D007D">
            <w:pPr>
              <w:pStyle w:val="BodyText2"/>
              <w:rPr>
                <w:rFonts w:asciiTheme="majorHAnsi" w:hAnsiTheme="majorHAnsi" w:cstheme="majorHAnsi"/>
                <w:b/>
                <w:bCs/>
                <w:color w:val="000000"/>
                <w:sz w:val="18"/>
                <w:szCs w:val="18"/>
              </w:rPr>
            </w:pPr>
            <w:r>
              <w:rPr>
                <w:rFonts w:asciiTheme="majorHAnsi" w:hAnsiTheme="majorHAnsi" w:cstheme="majorHAnsi"/>
                <w:b/>
                <w:bCs/>
                <w:color w:val="000000"/>
                <w:sz w:val="18"/>
                <w:szCs w:val="18"/>
              </w:rPr>
              <w:t>Year 1</w:t>
            </w:r>
            <w:r>
              <w:rPr>
                <w:rStyle w:val="FootnoteReference"/>
                <w:rFonts w:asciiTheme="majorHAnsi" w:hAnsiTheme="majorHAnsi" w:cstheme="majorHAnsi"/>
                <w:b/>
                <w:bCs/>
                <w:color w:val="000000"/>
                <w:sz w:val="18"/>
                <w:szCs w:val="18"/>
              </w:rPr>
              <w:footnoteReference w:id="21"/>
            </w:r>
          </w:p>
        </w:tc>
        <w:tc>
          <w:tcPr>
            <w:tcW w:w="900" w:type="dxa"/>
            <w:shd w:val="clear" w:color="auto" w:fill="B4C6E7" w:themeFill="accent1" w:themeFillTint="66"/>
            <w:vAlign w:val="bottom"/>
          </w:tcPr>
          <w:p w14:paraId="5CE34AC6" w14:textId="77777777" w:rsidR="0088656A" w:rsidRPr="00F46EC8" w:rsidRDefault="0088656A" w:rsidP="004D007D">
            <w:pPr>
              <w:pStyle w:val="BodyText2"/>
              <w:rPr>
                <w:rFonts w:asciiTheme="majorHAnsi" w:hAnsiTheme="majorHAnsi" w:cstheme="majorHAnsi"/>
                <w:b/>
                <w:bCs/>
                <w:sz w:val="18"/>
                <w:szCs w:val="18"/>
              </w:rPr>
            </w:pPr>
            <w:r w:rsidRPr="00F46EC8">
              <w:rPr>
                <w:rFonts w:asciiTheme="majorHAnsi" w:hAnsiTheme="majorHAnsi" w:cstheme="majorHAnsi"/>
                <w:b/>
                <w:bCs/>
                <w:sz w:val="18"/>
                <w:szCs w:val="18"/>
              </w:rPr>
              <w:t>Percent Increase</w:t>
            </w:r>
          </w:p>
        </w:tc>
        <w:tc>
          <w:tcPr>
            <w:tcW w:w="720" w:type="dxa"/>
            <w:shd w:val="clear" w:color="auto" w:fill="B4C6E7" w:themeFill="accent1" w:themeFillTint="66"/>
            <w:vAlign w:val="bottom"/>
          </w:tcPr>
          <w:p w14:paraId="16B88631" w14:textId="03D2F62A" w:rsidR="0088656A" w:rsidRPr="00F46EC8" w:rsidRDefault="0088656A" w:rsidP="004D007D">
            <w:pPr>
              <w:pStyle w:val="BodyText2"/>
              <w:rPr>
                <w:rFonts w:asciiTheme="majorHAnsi" w:hAnsiTheme="majorHAnsi" w:cstheme="majorHAnsi"/>
                <w:b/>
                <w:bCs/>
                <w:color w:val="000000"/>
                <w:sz w:val="18"/>
                <w:szCs w:val="18"/>
              </w:rPr>
            </w:pPr>
            <w:r>
              <w:rPr>
                <w:rFonts w:asciiTheme="majorHAnsi" w:hAnsiTheme="majorHAnsi" w:cstheme="majorHAnsi"/>
                <w:b/>
                <w:bCs/>
                <w:color w:val="000000"/>
                <w:sz w:val="18"/>
                <w:szCs w:val="18"/>
              </w:rPr>
              <w:t>Year 2</w:t>
            </w:r>
          </w:p>
        </w:tc>
        <w:tc>
          <w:tcPr>
            <w:tcW w:w="900" w:type="dxa"/>
            <w:shd w:val="clear" w:color="auto" w:fill="B4C6E7" w:themeFill="accent1" w:themeFillTint="66"/>
          </w:tcPr>
          <w:p w14:paraId="4000CDBB" w14:textId="77777777" w:rsidR="0088656A" w:rsidRPr="00F46EC8" w:rsidRDefault="0088656A" w:rsidP="004D007D">
            <w:pPr>
              <w:pStyle w:val="BodyText2"/>
              <w:rPr>
                <w:rFonts w:asciiTheme="majorHAnsi" w:hAnsiTheme="majorHAnsi" w:cstheme="majorHAnsi"/>
                <w:b/>
                <w:bCs/>
                <w:sz w:val="18"/>
                <w:szCs w:val="18"/>
              </w:rPr>
            </w:pPr>
          </w:p>
          <w:p w14:paraId="79E16728" w14:textId="77777777" w:rsidR="0088656A" w:rsidRPr="00F46EC8" w:rsidRDefault="0088656A" w:rsidP="004D007D">
            <w:pPr>
              <w:pStyle w:val="BodyText2"/>
              <w:rPr>
                <w:rFonts w:asciiTheme="majorHAnsi" w:hAnsiTheme="majorHAnsi" w:cstheme="majorHAnsi"/>
                <w:b/>
                <w:bCs/>
                <w:sz w:val="18"/>
                <w:szCs w:val="18"/>
              </w:rPr>
            </w:pPr>
          </w:p>
          <w:p w14:paraId="573F5CC5" w14:textId="77777777" w:rsidR="0088656A" w:rsidRPr="00F46EC8" w:rsidRDefault="0088656A" w:rsidP="004D007D">
            <w:pPr>
              <w:pStyle w:val="BodyText2"/>
              <w:rPr>
                <w:rFonts w:asciiTheme="majorHAnsi" w:hAnsiTheme="majorHAnsi" w:cstheme="majorHAnsi"/>
                <w:b/>
                <w:bCs/>
                <w:color w:val="000000"/>
                <w:sz w:val="18"/>
                <w:szCs w:val="18"/>
              </w:rPr>
            </w:pPr>
            <w:r w:rsidRPr="00F46EC8">
              <w:rPr>
                <w:rFonts w:asciiTheme="majorHAnsi" w:hAnsiTheme="majorHAnsi" w:cstheme="majorHAnsi"/>
                <w:b/>
                <w:bCs/>
                <w:sz w:val="18"/>
                <w:szCs w:val="18"/>
              </w:rPr>
              <w:t>Percent Increase</w:t>
            </w:r>
          </w:p>
        </w:tc>
        <w:tc>
          <w:tcPr>
            <w:tcW w:w="810" w:type="dxa"/>
            <w:shd w:val="clear" w:color="auto" w:fill="B4C6E7" w:themeFill="accent1" w:themeFillTint="66"/>
            <w:vAlign w:val="bottom"/>
          </w:tcPr>
          <w:p w14:paraId="34D6D97E" w14:textId="13886165" w:rsidR="0088656A" w:rsidRPr="00F46EC8" w:rsidRDefault="0088656A" w:rsidP="004D007D">
            <w:pPr>
              <w:pStyle w:val="BodyText2"/>
              <w:rPr>
                <w:rFonts w:asciiTheme="majorHAnsi" w:hAnsiTheme="majorHAnsi" w:cstheme="majorHAnsi"/>
                <w:sz w:val="18"/>
                <w:szCs w:val="18"/>
              </w:rPr>
            </w:pPr>
            <w:r>
              <w:rPr>
                <w:rFonts w:asciiTheme="majorHAnsi" w:hAnsiTheme="majorHAnsi" w:cstheme="majorHAnsi"/>
                <w:b/>
                <w:bCs/>
                <w:color w:val="000000"/>
                <w:sz w:val="18"/>
                <w:szCs w:val="18"/>
              </w:rPr>
              <w:t>Year 3</w:t>
            </w:r>
          </w:p>
        </w:tc>
        <w:tc>
          <w:tcPr>
            <w:tcW w:w="900" w:type="dxa"/>
            <w:shd w:val="clear" w:color="auto" w:fill="B4C6E7" w:themeFill="accent1" w:themeFillTint="66"/>
            <w:vAlign w:val="bottom"/>
          </w:tcPr>
          <w:p w14:paraId="31628E24" w14:textId="77777777" w:rsidR="0088656A" w:rsidRPr="00F46EC8" w:rsidRDefault="0088656A" w:rsidP="004D007D">
            <w:pPr>
              <w:pStyle w:val="BodyText2"/>
              <w:rPr>
                <w:rFonts w:asciiTheme="majorHAnsi" w:hAnsiTheme="majorHAnsi" w:cstheme="majorHAnsi"/>
                <w:sz w:val="18"/>
                <w:szCs w:val="18"/>
              </w:rPr>
            </w:pPr>
            <w:r w:rsidRPr="00F46EC8">
              <w:rPr>
                <w:rFonts w:asciiTheme="majorHAnsi" w:hAnsiTheme="majorHAnsi" w:cstheme="majorHAnsi"/>
                <w:b/>
                <w:bCs/>
                <w:sz w:val="18"/>
                <w:szCs w:val="18"/>
              </w:rPr>
              <w:t>Percent Increase</w:t>
            </w:r>
          </w:p>
        </w:tc>
        <w:tc>
          <w:tcPr>
            <w:tcW w:w="720" w:type="dxa"/>
            <w:shd w:val="clear" w:color="auto" w:fill="B4C6E7" w:themeFill="accent1" w:themeFillTint="66"/>
            <w:vAlign w:val="bottom"/>
          </w:tcPr>
          <w:p w14:paraId="2CF3CCFA" w14:textId="5915277B" w:rsidR="0088656A" w:rsidRPr="00F46EC8" w:rsidRDefault="0088656A" w:rsidP="004D007D">
            <w:pPr>
              <w:pStyle w:val="BodyText2"/>
              <w:rPr>
                <w:rFonts w:asciiTheme="majorHAnsi" w:hAnsiTheme="majorHAnsi" w:cstheme="majorHAnsi"/>
                <w:sz w:val="18"/>
                <w:szCs w:val="18"/>
              </w:rPr>
            </w:pPr>
            <w:r>
              <w:rPr>
                <w:rFonts w:asciiTheme="majorHAnsi" w:hAnsiTheme="majorHAnsi" w:cstheme="majorHAnsi"/>
                <w:b/>
                <w:bCs/>
                <w:color w:val="000000"/>
                <w:sz w:val="18"/>
                <w:szCs w:val="18"/>
              </w:rPr>
              <w:t>Year 4</w:t>
            </w:r>
          </w:p>
        </w:tc>
        <w:tc>
          <w:tcPr>
            <w:tcW w:w="900" w:type="dxa"/>
            <w:shd w:val="clear" w:color="auto" w:fill="B4C6E7" w:themeFill="accent1" w:themeFillTint="66"/>
          </w:tcPr>
          <w:p w14:paraId="200B5AC1" w14:textId="77777777" w:rsidR="0088656A" w:rsidRPr="00F46EC8" w:rsidRDefault="0088656A" w:rsidP="004D007D">
            <w:pPr>
              <w:pStyle w:val="BodyText2"/>
              <w:rPr>
                <w:rFonts w:asciiTheme="majorHAnsi" w:hAnsiTheme="majorHAnsi" w:cstheme="majorHAnsi"/>
                <w:b/>
                <w:bCs/>
                <w:sz w:val="18"/>
                <w:szCs w:val="18"/>
              </w:rPr>
            </w:pPr>
          </w:p>
          <w:p w14:paraId="6EA55FF9" w14:textId="77777777" w:rsidR="0088656A" w:rsidRPr="00F46EC8" w:rsidRDefault="0088656A" w:rsidP="004D007D">
            <w:pPr>
              <w:pStyle w:val="BodyText2"/>
              <w:rPr>
                <w:rFonts w:asciiTheme="majorHAnsi" w:hAnsiTheme="majorHAnsi" w:cstheme="majorHAnsi"/>
                <w:b/>
                <w:bCs/>
                <w:sz w:val="18"/>
                <w:szCs w:val="18"/>
              </w:rPr>
            </w:pPr>
          </w:p>
          <w:p w14:paraId="595FC6B2" w14:textId="77777777" w:rsidR="0088656A" w:rsidRPr="00F46EC8" w:rsidRDefault="0088656A" w:rsidP="004D007D">
            <w:pPr>
              <w:pStyle w:val="BodyText2"/>
              <w:rPr>
                <w:rFonts w:asciiTheme="majorHAnsi" w:hAnsiTheme="majorHAnsi" w:cstheme="majorHAnsi"/>
                <w:sz w:val="18"/>
                <w:szCs w:val="18"/>
              </w:rPr>
            </w:pPr>
            <w:r w:rsidRPr="00F46EC8">
              <w:rPr>
                <w:rFonts w:asciiTheme="majorHAnsi" w:hAnsiTheme="majorHAnsi" w:cstheme="majorHAnsi"/>
                <w:b/>
                <w:bCs/>
                <w:sz w:val="18"/>
                <w:szCs w:val="18"/>
              </w:rPr>
              <w:t>Percent Increase</w:t>
            </w:r>
          </w:p>
        </w:tc>
        <w:tc>
          <w:tcPr>
            <w:tcW w:w="720" w:type="dxa"/>
            <w:shd w:val="clear" w:color="auto" w:fill="B4C6E7" w:themeFill="accent1" w:themeFillTint="66"/>
            <w:vAlign w:val="bottom"/>
          </w:tcPr>
          <w:p w14:paraId="4A568297" w14:textId="734C4E3C" w:rsidR="0088656A" w:rsidRPr="00F46EC8" w:rsidRDefault="0088656A" w:rsidP="004D007D">
            <w:pPr>
              <w:pStyle w:val="BodyText2"/>
              <w:rPr>
                <w:rFonts w:asciiTheme="majorHAnsi" w:hAnsiTheme="majorHAnsi" w:cstheme="majorHAnsi"/>
                <w:sz w:val="18"/>
                <w:szCs w:val="18"/>
              </w:rPr>
            </w:pPr>
            <w:r>
              <w:rPr>
                <w:rFonts w:asciiTheme="majorHAnsi" w:hAnsiTheme="majorHAnsi" w:cstheme="majorHAnsi"/>
                <w:b/>
                <w:bCs/>
                <w:color w:val="000000"/>
                <w:sz w:val="18"/>
                <w:szCs w:val="18"/>
              </w:rPr>
              <w:t>Year 5</w:t>
            </w:r>
          </w:p>
        </w:tc>
      </w:tr>
      <w:tr w:rsidR="0088656A" w:rsidRPr="00F46EC8" w14:paraId="185AC331" w14:textId="77777777" w:rsidTr="0088656A">
        <w:trPr>
          <w:trHeight w:val="287"/>
        </w:trPr>
        <w:tc>
          <w:tcPr>
            <w:tcW w:w="1080" w:type="dxa"/>
          </w:tcPr>
          <w:p w14:paraId="33EBB01B" w14:textId="63CBB161" w:rsidR="0088656A" w:rsidRPr="00F46EC8" w:rsidRDefault="0088656A" w:rsidP="004D007D">
            <w:pPr>
              <w:pStyle w:val="BodyText2"/>
              <w:rPr>
                <w:rFonts w:asciiTheme="majorHAnsi" w:hAnsiTheme="majorHAnsi" w:cstheme="majorHAnsi"/>
                <w:sz w:val="18"/>
                <w:szCs w:val="18"/>
              </w:rPr>
            </w:pPr>
            <w:r>
              <w:rPr>
                <w:rFonts w:asciiTheme="majorHAnsi" w:hAnsiTheme="majorHAnsi" w:cstheme="majorHAnsi"/>
                <w:b/>
                <w:bCs/>
                <w:color w:val="000000"/>
                <w:sz w:val="18"/>
                <w:szCs w:val="18"/>
              </w:rPr>
              <w:t>CT Volume</w:t>
            </w:r>
          </w:p>
        </w:tc>
        <w:tc>
          <w:tcPr>
            <w:tcW w:w="720" w:type="dxa"/>
          </w:tcPr>
          <w:p w14:paraId="73CFBDD1" w14:textId="636F7AD1" w:rsidR="0088656A" w:rsidRPr="005A33F7" w:rsidRDefault="00CE7531" w:rsidP="00D55314">
            <w:pPr>
              <w:pStyle w:val="BodyText2"/>
              <w:jc w:val="center"/>
              <w:rPr>
                <w:rFonts w:asciiTheme="majorHAnsi" w:hAnsiTheme="majorHAnsi" w:cstheme="majorHAnsi"/>
                <w:sz w:val="18"/>
                <w:szCs w:val="18"/>
              </w:rPr>
            </w:pPr>
            <w:r w:rsidRPr="005A33F7">
              <w:rPr>
                <w:rFonts w:asciiTheme="majorHAnsi" w:hAnsiTheme="majorHAnsi" w:cstheme="majorHAnsi"/>
                <w:sz w:val="18"/>
                <w:szCs w:val="18"/>
              </w:rPr>
              <w:t>18,017</w:t>
            </w:r>
          </w:p>
        </w:tc>
        <w:tc>
          <w:tcPr>
            <w:tcW w:w="900" w:type="dxa"/>
          </w:tcPr>
          <w:p w14:paraId="03B1FC1B" w14:textId="6C98ED57" w:rsidR="0088656A" w:rsidRPr="005A33F7" w:rsidRDefault="00CE7531" w:rsidP="00D55314">
            <w:pPr>
              <w:pStyle w:val="BodyText2"/>
              <w:jc w:val="center"/>
              <w:rPr>
                <w:rFonts w:asciiTheme="majorHAnsi" w:hAnsiTheme="majorHAnsi" w:cstheme="majorHAnsi"/>
                <w:sz w:val="18"/>
                <w:szCs w:val="18"/>
              </w:rPr>
            </w:pPr>
            <w:r w:rsidRPr="005A33F7">
              <w:rPr>
                <w:rFonts w:asciiTheme="majorHAnsi" w:hAnsiTheme="majorHAnsi" w:cstheme="majorHAnsi"/>
                <w:sz w:val="18"/>
                <w:szCs w:val="18"/>
              </w:rPr>
              <w:t>2.13%</w:t>
            </w:r>
          </w:p>
        </w:tc>
        <w:tc>
          <w:tcPr>
            <w:tcW w:w="720" w:type="dxa"/>
          </w:tcPr>
          <w:p w14:paraId="5E2150FA" w14:textId="25B96AA2" w:rsidR="0088656A" w:rsidRPr="005A33F7" w:rsidRDefault="00CE7531" w:rsidP="00D55314">
            <w:pPr>
              <w:pStyle w:val="BodyText2"/>
              <w:jc w:val="center"/>
              <w:rPr>
                <w:rFonts w:asciiTheme="majorHAnsi" w:hAnsiTheme="majorHAnsi" w:cstheme="majorHAnsi"/>
                <w:sz w:val="18"/>
                <w:szCs w:val="18"/>
              </w:rPr>
            </w:pPr>
            <w:r w:rsidRPr="005A33F7">
              <w:rPr>
                <w:rFonts w:asciiTheme="majorHAnsi" w:hAnsiTheme="majorHAnsi" w:cstheme="majorHAnsi"/>
                <w:sz w:val="18"/>
                <w:szCs w:val="18"/>
              </w:rPr>
              <w:t>18,400</w:t>
            </w:r>
          </w:p>
        </w:tc>
        <w:tc>
          <w:tcPr>
            <w:tcW w:w="900" w:type="dxa"/>
          </w:tcPr>
          <w:p w14:paraId="3F2C775D" w14:textId="3F0071D3" w:rsidR="0088656A" w:rsidRPr="005A33F7" w:rsidRDefault="00CE7531" w:rsidP="00D55314">
            <w:pPr>
              <w:pStyle w:val="BodyText2"/>
              <w:jc w:val="center"/>
              <w:rPr>
                <w:rFonts w:asciiTheme="majorHAnsi" w:hAnsiTheme="majorHAnsi" w:cstheme="majorHAnsi"/>
                <w:sz w:val="18"/>
                <w:szCs w:val="18"/>
              </w:rPr>
            </w:pPr>
            <w:r w:rsidRPr="005A33F7">
              <w:rPr>
                <w:rFonts w:asciiTheme="majorHAnsi" w:hAnsiTheme="majorHAnsi" w:cstheme="majorHAnsi"/>
                <w:sz w:val="18"/>
                <w:szCs w:val="18"/>
              </w:rPr>
              <w:t>1.63%</w:t>
            </w:r>
          </w:p>
        </w:tc>
        <w:tc>
          <w:tcPr>
            <w:tcW w:w="810" w:type="dxa"/>
          </w:tcPr>
          <w:p w14:paraId="27EBFDE2" w14:textId="7DD0BD2A" w:rsidR="0088656A" w:rsidRPr="005A33F7" w:rsidRDefault="00CE7531" w:rsidP="00D55314">
            <w:pPr>
              <w:pStyle w:val="BodyText2"/>
              <w:jc w:val="center"/>
              <w:rPr>
                <w:rFonts w:asciiTheme="majorHAnsi" w:hAnsiTheme="majorHAnsi" w:cstheme="majorHAnsi"/>
                <w:sz w:val="18"/>
                <w:szCs w:val="18"/>
              </w:rPr>
            </w:pPr>
            <w:r w:rsidRPr="005A33F7">
              <w:rPr>
                <w:rFonts w:asciiTheme="majorHAnsi" w:hAnsiTheme="majorHAnsi" w:cstheme="majorHAnsi"/>
                <w:sz w:val="18"/>
                <w:szCs w:val="18"/>
              </w:rPr>
              <w:t>18,700</w:t>
            </w:r>
          </w:p>
        </w:tc>
        <w:tc>
          <w:tcPr>
            <w:tcW w:w="900" w:type="dxa"/>
          </w:tcPr>
          <w:p w14:paraId="23778B70" w14:textId="27B85712" w:rsidR="0088656A" w:rsidRPr="005A33F7" w:rsidRDefault="00CE7531" w:rsidP="00D55314">
            <w:pPr>
              <w:pStyle w:val="BodyText2"/>
              <w:jc w:val="center"/>
              <w:rPr>
                <w:rFonts w:asciiTheme="majorHAnsi" w:hAnsiTheme="majorHAnsi" w:cstheme="majorHAnsi"/>
                <w:sz w:val="18"/>
                <w:szCs w:val="18"/>
              </w:rPr>
            </w:pPr>
            <w:r w:rsidRPr="005A33F7">
              <w:rPr>
                <w:rFonts w:asciiTheme="majorHAnsi" w:hAnsiTheme="majorHAnsi" w:cstheme="majorHAnsi"/>
                <w:sz w:val="18"/>
                <w:szCs w:val="18"/>
              </w:rPr>
              <w:t>0%</w:t>
            </w:r>
          </w:p>
        </w:tc>
        <w:tc>
          <w:tcPr>
            <w:tcW w:w="720" w:type="dxa"/>
          </w:tcPr>
          <w:p w14:paraId="3C2D1457" w14:textId="214269AF" w:rsidR="0088656A" w:rsidRPr="005A33F7" w:rsidRDefault="00CE7531" w:rsidP="00D55314">
            <w:pPr>
              <w:pStyle w:val="BodyText2"/>
              <w:jc w:val="center"/>
              <w:rPr>
                <w:rFonts w:asciiTheme="majorHAnsi" w:hAnsiTheme="majorHAnsi" w:cstheme="majorHAnsi"/>
                <w:sz w:val="18"/>
                <w:szCs w:val="18"/>
              </w:rPr>
            </w:pPr>
            <w:r w:rsidRPr="005A33F7">
              <w:rPr>
                <w:rFonts w:asciiTheme="majorHAnsi" w:hAnsiTheme="majorHAnsi" w:cstheme="majorHAnsi"/>
                <w:sz w:val="18"/>
                <w:szCs w:val="18"/>
              </w:rPr>
              <w:t>18,700</w:t>
            </w:r>
          </w:p>
        </w:tc>
        <w:tc>
          <w:tcPr>
            <w:tcW w:w="900" w:type="dxa"/>
          </w:tcPr>
          <w:p w14:paraId="2872207A" w14:textId="20084BA0" w:rsidR="0088656A" w:rsidRPr="005A33F7" w:rsidRDefault="0088656A" w:rsidP="00D55314">
            <w:pPr>
              <w:pStyle w:val="BodyText2"/>
              <w:jc w:val="center"/>
              <w:rPr>
                <w:rFonts w:asciiTheme="majorHAnsi" w:hAnsiTheme="majorHAnsi" w:cstheme="majorHAnsi"/>
                <w:sz w:val="18"/>
                <w:szCs w:val="18"/>
              </w:rPr>
            </w:pPr>
            <w:r w:rsidRPr="005A33F7">
              <w:rPr>
                <w:rFonts w:asciiTheme="majorHAnsi" w:hAnsiTheme="majorHAnsi" w:cstheme="majorHAnsi"/>
                <w:sz w:val="18"/>
                <w:szCs w:val="18"/>
              </w:rPr>
              <w:t>0%</w:t>
            </w:r>
          </w:p>
        </w:tc>
        <w:tc>
          <w:tcPr>
            <w:tcW w:w="720" w:type="dxa"/>
          </w:tcPr>
          <w:p w14:paraId="3D54BE1D" w14:textId="3AEAAFD1" w:rsidR="0088656A" w:rsidRPr="005A33F7" w:rsidRDefault="00CE7531" w:rsidP="00D55314">
            <w:pPr>
              <w:pStyle w:val="BodyText2"/>
              <w:jc w:val="center"/>
              <w:rPr>
                <w:rFonts w:asciiTheme="majorHAnsi" w:hAnsiTheme="majorHAnsi" w:cstheme="majorHAnsi"/>
                <w:sz w:val="18"/>
                <w:szCs w:val="18"/>
              </w:rPr>
            </w:pPr>
            <w:r w:rsidRPr="005A33F7">
              <w:rPr>
                <w:rFonts w:asciiTheme="majorHAnsi" w:hAnsiTheme="majorHAnsi" w:cstheme="majorHAnsi"/>
                <w:sz w:val="18"/>
                <w:szCs w:val="18"/>
              </w:rPr>
              <w:t>18,700</w:t>
            </w:r>
          </w:p>
        </w:tc>
      </w:tr>
    </w:tbl>
    <w:p w14:paraId="071E1DD9" w14:textId="77777777" w:rsidR="007E5003" w:rsidRPr="00097257" w:rsidRDefault="007E5003" w:rsidP="000E1E8A">
      <w:pPr>
        <w:spacing w:after="0" w:line="240" w:lineRule="auto"/>
        <w:ind w:left="1440"/>
        <w:jc w:val="both"/>
        <w:rPr>
          <w:rFonts w:ascii="Arial" w:eastAsia="Times New Roman" w:hAnsi="Arial" w:cs="Arial"/>
          <w:b/>
          <w:kern w:val="2"/>
        </w:rPr>
      </w:pPr>
    </w:p>
    <w:p w14:paraId="6C17CF5D" w14:textId="3D9D6BB4" w:rsidR="00E24B93" w:rsidRPr="00807BD1" w:rsidRDefault="00E24B93" w:rsidP="00E24B93">
      <w:pPr>
        <w:pStyle w:val="BodyText2"/>
      </w:pPr>
      <w:bookmarkStart w:id="2" w:name="_Hlk94011725"/>
      <w:r>
        <w:t>As discussed throughout this section, the Proposed Project will address current and future needs of AJH’s patient population. Maintaining one CT unit at AJH will adversely impact access and outcomes as the existing unit ages and demand for CT continues to grow. A</w:t>
      </w:r>
      <w:r w:rsidRPr="00807BD1">
        <w:t xml:space="preserve"> </w:t>
      </w:r>
      <w:r>
        <w:t>second</w:t>
      </w:r>
      <w:r w:rsidRPr="00807BD1">
        <w:t xml:space="preserve"> unit will provide capacity to accommodate emergent patients without </w:t>
      </w:r>
      <w:r>
        <w:t xml:space="preserve">disrupting timely access to CT for </w:t>
      </w:r>
      <w:r w:rsidRPr="00807BD1">
        <w:t xml:space="preserve">inpatients and outpatients. </w:t>
      </w:r>
      <w:r>
        <w:t>Therefore, the Proposed Project will improve access to care, health outcomes and patient experience.</w:t>
      </w:r>
    </w:p>
    <w:p w14:paraId="1A15A53C" w14:textId="4B70AC50" w:rsidR="000F6938" w:rsidRDefault="000F6938" w:rsidP="008625A0">
      <w:pPr>
        <w:spacing w:after="0" w:line="240" w:lineRule="auto"/>
        <w:jc w:val="both"/>
        <w:rPr>
          <w:rFonts w:ascii="Arial" w:hAnsi="Arial" w:cs="Arial"/>
          <w:sz w:val="20"/>
          <w:szCs w:val="20"/>
        </w:rPr>
      </w:pPr>
    </w:p>
    <w:p w14:paraId="3C8F57C6" w14:textId="77777777" w:rsidR="000F6938" w:rsidRPr="003D5956" w:rsidRDefault="000F6938" w:rsidP="008625A0">
      <w:pPr>
        <w:spacing w:after="0" w:line="240" w:lineRule="auto"/>
        <w:jc w:val="both"/>
        <w:rPr>
          <w:rFonts w:ascii="Arial" w:hAnsi="Arial" w:cs="Arial"/>
          <w:sz w:val="20"/>
          <w:szCs w:val="20"/>
        </w:rPr>
      </w:pPr>
    </w:p>
    <w:bookmarkEnd w:id="2"/>
    <w:p w14:paraId="6DE2BD30" w14:textId="04C0F61D" w:rsidR="002953C7" w:rsidRPr="00DF0E81" w:rsidRDefault="002953C7" w:rsidP="00CB02FE">
      <w:pPr>
        <w:spacing w:after="0" w:line="240" w:lineRule="auto"/>
        <w:jc w:val="both"/>
        <w:rPr>
          <w:rFonts w:ascii="Arial" w:eastAsia="Arial" w:hAnsi="Arial" w:cs="Arial"/>
          <w:kern w:val="2"/>
        </w:rPr>
      </w:pPr>
      <w:r w:rsidRPr="00DF0E81">
        <w:rPr>
          <w:rFonts w:ascii="Arial" w:hAnsi="Arial" w:cs="Arial"/>
          <w:b/>
          <w:kern w:val="2"/>
        </w:rPr>
        <w:t>F1.a.iii</w:t>
      </w:r>
      <w:r w:rsidRPr="00DF0E81">
        <w:rPr>
          <w:rFonts w:ascii="Arial" w:hAnsi="Arial" w:cs="Arial"/>
          <w:b/>
          <w:kern w:val="2"/>
        </w:rPr>
        <w:tab/>
      </w:r>
      <w:r w:rsidRPr="00DF0E81">
        <w:rPr>
          <w:rFonts w:ascii="Arial" w:hAnsi="Arial" w:cs="Arial"/>
          <w:kern w:val="2"/>
        </w:rPr>
        <w:tab/>
      </w:r>
      <w:r w:rsidRPr="00DF0E81">
        <w:rPr>
          <w:rFonts w:ascii="Arial" w:hAnsi="Arial" w:cs="Arial"/>
          <w:b/>
          <w:kern w:val="2"/>
          <w:u w:val="single"/>
        </w:rPr>
        <w:t>Competition:</w:t>
      </w:r>
    </w:p>
    <w:p w14:paraId="2E80D579" w14:textId="77777777" w:rsidR="002953C7" w:rsidRPr="00DF0E81" w:rsidRDefault="002953C7" w:rsidP="002953C7">
      <w:pPr>
        <w:pStyle w:val="BodyText"/>
        <w:widowControl/>
        <w:spacing w:before="0"/>
        <w:ind w:left="1440"/>
        <w:jc w:val="both"/>
        <w:rPr>
          <w:rFonts w:ascii="Arial" w:hAnsi="Arial" w:cs="Arial"/>
          <w:b/>
          <w:kern w:val="2"/>
          <w:sz w:val="22"/>
          <w:szCs w:val="22"/>
        </w:rPr>
      </w:pPr>
      <w:bookmarkStart w:id="3" w:name="_Hlk484602333"/>
      <w:r w:rsidRPr="00DF0E81">
        <w:rPr>
          <w:rFonts w:ascii="Arial" w:hAnsi="Arial" w:cs="Arial"/>
          <w:b/>
          <w:kern w:val="2"/>
          <w:sz w:val="22"/>
          <w:szCs w:val="22"/>
        </w:rPr>
        <w:t xml:space="preserve">Provide evidence that the Proposed Project will compete on the basis of price, total medical expenses, provider costs, and other recognized measures of health care spending. </w:t>
      </w:r>
      <w:bookmarkEnd w:id="3"/>
      <w:r w:rsidRPr="00DF0E81">
        <w:rPr>
          <w:rFonts w:ascii="Arial" w:hAnsi="Arial" w:cs="Arial"/>
          <w:b/>
          <w:kern w:val="2"/>
          <w:sz w:val="22"/>
          <w:szCs w:val="22"/>
        </w:rPr>
        <w:t>When responding to this question, please consider Factor 4, Financial Feasibility and Reasonableness of Costs.</w:t>
      </w:r>
    </w:p>
    <w:p w14:paraId="3C2DA836" w14:textId="301E4374" w:rsidR="000E1E8A" w:rsidRDefault="000E1E8A" w:rsidP="009C4CCF">
      <w:pPr>
        <w:spacing w:after="0" w:line="240" w:lineRule="auto"/>
        <w:jc w:val="both"/>
        <w:rPr>
          <w:rFonts w:ascii="Arial" w:eastAsia="Calibri" w:hAnsi="Arial" w:cs="Arial"/>
          <w:sz w:val="20"/>
          <w:szCs w:val="20"/>
        </w:rPr>
      </w:pPr>
    </w:p>
    <w:p w14:paraId="140E72FD" w14:textId="699747B2" w:rsidR="00683DB9" w:rsidRPr="003E5E1A" w:rsidRDefault="00683DB9" w:rsidP="003E5E1A">
      <w:pPr>
        <w:spacing w:after="0" w:line="240" w:lineRule="auto"/>
        <w:jc w:val="both"/>
        <w:rPr>
          <w:rFonts w:ascii="Arial" w:eastAsia="Calibri" w:hAnsi="Arial" w:cs="Arial"/>
          <w:sz w:val="20"/>
          <w:szCs w:val="20"/>
        </w:rPr>
      </w:pPr>
      <w:bookmarkStart w:id="4" w:name="_Hlk90565809"/>
      <w:r w:rsidRPr="003E5E1A">
        <w:rPr>
          <w:rFonts w:ascii="Arial" w:hAnsi="Arial" w:cs="Arial"/>
          <w:sz w:val="20"/>
          <w:szCs w:val="20"/>
        </w:rPr>
        <w:lastRenderedPageBreak/>
        <w:t>The Proposed Project will compete on the basis of price, total medical expenses, provider costs, and other recognized measures of health care spending because the Proposed Project seeks to ensure timely access to CT services.</w:t>
      </w:r>
      <w:bookmarkEnd w:id="4"/>
      <w:r w:rsidRPr="003E5E1A">
        <w:rPr>
          <w:rFonts w:ascii="Arial" w:hAnsi="Arial" w:cs="Arial"/>
          <w:sz w:val="20"/>
          <w:szCs w:val="20"/>
        </w:rPr>
        <w:t xml:space="preserve"> To deliver quality care, improve health outcomes, meet patient expectations, and contain overall medical costs, hospitals must have the ability to provide access to CT. As discussed in the previous section, the increased instances of downtime interrupt and delay diagnosis and ultimately treatment</w:t>
      </w:r>
      <w:r w:rsidR="00F90453">
        <w:rPr>
          <w:rFonts w:ascii="Arial" w:hAnsi="Arial" w:cs="Arial"/>
          <w:sz w:val="20"/>
          <w:szCs w:val="20"/>
        </w:rPr>
        <w:t xml:space="preserve"> leading to an </w:t>
      </w:r>
      <w:r w:rsidRPr="003E5E1A">
        <w:rPr>
          <w:rFonts w:ascii="Arial" w:hAnsi="Arial" w:cs="Arial"/>
          <w:sz w:val="20"/>
          <w:szCs w:val="20"/>
        </w:rPr>
        <w:t>increase</w:t>
      </w:r>
      <w:r w:rsidR="00F90453">
        <w:rPr>
          <w:rFonts w:ascii="Arial" w:hAnsi="Arial" w:cs="Arial"/>
          <w:sz w:val="20"/>
          <w:szCs w:val="20"/>
        </w:rPr>
        <w:t xml:space="preserve"> in</w:t>
      </w:r>
      <w:r w:rsidRPr="003E5E1A">
        <w:rPr>
          <w:rFonts w:ascii="Arial" w:hAnsi="Arial" w:cs="Arial"/>
          <w:sz w:val="20"/>
          <w:szCs w:val="20"/>
        </w:rPr>
        <w:t xml:space="preserve"> overall health care expenses. </w:t>
      </w:r>
      <w:r w:rsidR="003E5E1A" w:rsidRPr="003E5E1A">
        <w:rPr>
          <w:rFonts w:ascii="Arial" w:hAnsi="Arial" w:cs="Arial"/>
          <w:sz w:val="20"/>
          <w:szCs w:val="20"/>
        </w:rPr>
        <w:t>AJH</w:t>
      </w:r>
      <w:r w:rsidR="003E5E1A">
        <w:rPr>
          <w:rFonts w:ascii="Arial" w:hAnsi="Arial" w:cs="Arial"/>
          <w:sz w:val="20"/>
          <w:szCs w:val="20"/>
        </w:rPr>
        <w:t xml:space="preserve"> </w:t>
      </w:r>
      <w:r w:rsidR="003E5E1A" w:rsidRPr="003E5E1A">
        <w:rPr>
          <w:rFonts w:ascii="Arial" w:hAnsi="Arial" w:cs="Arial"/>
          <w:sz w:val="20"/>
          <w:szCs w:val="20"/>
        </w:rPr>
        <w:t>anticipates it will need to hire two full time CT technologists, which will have a minimal impact on operating costs</w:t>
      </w:r>
      <w:r w:rsidR="0088656A">
        <w:rPr>
          <w:rFonts w:ascii="Arial" w:hAnsi="Arial" w:cs="Arial"/>
          <w:sz w:val="20"/>
          <w:szCs w:val="20"/>
        </w:rPr>
        <w:t xml:space="preserve">. </w:t>
      </w:r>
      <w:r w:rsidRPr="003E5E1A">
        <w:rPr>
          <w:rFonts w:ascii="Arial" w:hAnsi="Arial" w:cs="Arial"/>
          <w:sz w:val="20"/>
          <w:szCs w:val="20"/>
        </w:rPr>
        <w:t xml:space="preserve">Therefore, the Proposed Project is necessary to ensure access to care, provide timely diagnosis and treatment, and contain health care costs.  </w:t>
      </w:r>
    </w:p>
    <w:p w14:paraId="6AB11DDF" w14:textId="77777777" w:rsidR="000E1E8A" w:rsidRDefault="000E1E8A" w:rsidP="009C4CCF">
      <w:pPr>
        <w:spacing w:after="0" w:line="240" w:lineRule="auto"/>
        <w:jc w:val="both"/>
        <w:rPr>
          <w:rFonts w:ascii="Arial" w:eastAsia="Calibri" w:hAnsi="Arial" w:cs="Arial"/>
          <w:sz w:val="20"/>
          <w:szCs w:val="20"/>
        </w:rPr>
      </w:pPr>
    </w:p>
    <w:p w14:paraId="2A8BB0AA" w14:textId="64305C2F" w:rsidR="009C4CCF" w:rsidRPr="00702EAF" w:rsidRDefault="009C4CCF" w:rsidP="009C4CCF">
      <w:pPr>
        <w:spacing w:after="0" w:line="240" w:lineRule="auto"/>
        <w:jc w:val="both"/>
        <w:rPr>
          <w:rFonts w:ascii="Arial" w:eastAsia="Arial" w:hAnsi="Arial" w:cs="Arial"/>
          <w:kern w:val="2"/>
          <w:u w:val="single"/>
        </w:rPr>
      </w:pPr>
      <w:r>
        <w:rPr>
          <w:rFonts w:ascii="Arial" w:eastAsia="Calibri" w:hAnsi="Arial" w:cs="Arial"/>
          <w:sz w:val="20"/>
          <w:szCs w:val="20"/>
        </w:rPr>
        <w:t xml:space="preserve"> </w:t>
      </w:r>
      <w:r w:rsidRPr="00702EAF">
        <w:rPr>
          <w:rFonts w:ascii="Arial" w:hAnsi="Arial" w:cs="Arial"/>
          <w:b/>
          <w:kern w:val="2"/>
        </w:rPr>
        <w:t>F1.b.i</w:t>
      </w:r>
      <w:r w:rsidRPr="00702EAF">
        <w:rPr>
          <w:rFonts w:ascii="Arial" w:hAnsi="Arial" w:cs="Arial"/>
          <w:b/>
          <w:kern w:val="2"/>
        </w:rPr>
        <w:tab/>
      </w:r>
      <w:r w:rsidRPr="00702EAF">
        <w:rPr>
          <w:rFonts w:ascii="Arial" w:hAnsi="Arial" w:cs="Arial"/>
          <w:kern w:val="2"/>
        </w:rPr>
        <w:tab/>
      </w:r>
      <w:r w:rsidRPr="00702EAF">
        <w:rPr>
          <w:rFonts w:ascii="Arial" w:hAnsi="Arial" w:cs="Arial"/>
          <w:b/>
          <w:kern w:val="2"/>
          <w:u w:val="single"/>
        </w:rPr>
        <w:t>Public Health Value /Evidence-Based:</w:t>
      </w:r>
    </w:p>
    <w:p w14:paraId="4C0544CC" w14:textId="77777777" w:rsidR="009C4CCF" w:rsidRDefault="009C4CCF" w:rsidP="009C4CCF">
      <w:pPr>
        <w:pStyle w:val="BodyText"/>
        <w:widowControl/>
        <w:spacing w:before="0"/>
        <w:ind w:left="1440" w:firstLine="14"/>
        <w:jc w:val="both"/>
        <w:rPr>
          <w:rFonts w:ascii="Arial" w:hAnsi="Arial" w:cs="Arial"/>
          <w:b/>
          <w:kern w:val="2"/>
          <w:sz w:val="22"/>
          <w:szCs w:val="22"/>
        </w:rPr>
      </w:pPr>
      <w:r w:rsidRPr="00702EAF">
        <w:rPr>
          <w:rFonts w:ascii="Arial" w:hAnsi="Arial" w:cs="Arial"/>
          <w:b/>
          <w:kern w:val="2"/>
          <w:sz w:val="22"/>
          <w:szCs w:val="22"/>
        </w:rPr>
        <w:t>Provide information on the evidence-base for the Proposed Project. That is, how does the Proposed Project address the Need that Applicant has identified.</w:t>
      </w:r>
    </w:p>
    <w:p w14:paraId="012D1430" w14:textId="2A9125AE" w:rsidR="009C4CCF" w:rsidRDefault="009C4CCF" w:rsidP="009C4CCF">
      <w:pPr>
        <w:pStyle w:val="BodyText"/>
        <w:widowControl/>
        <w:spacing w:before="0"/>
        <w:ind w:left="1440" w:firstLine="14"/>
        <w:jc w:val="both"/>
        <w:rPr>
          <w:rFonts w:ascii="Arial" w:hAnsi="Arial" w:cs="Arial"/>
          <w:b/>
          <w:kern w:val="2"/>
          <w:sz w:val="22"/>
          <w:szCs w:val="22"/>
        </w:rPr>
      </w:pPr>
    </w:p>
    <w:p w14:paraId="371AA48B" w14:textId="0F3B6436" w:rsidR="00617041" w:rsidRDefault="00617041" w:rsidP="00617041">
      <w:pPr>
        <w:spacing w:after="0" w:line="240" w:lineRule="auto"/>
        <w:jc w:val="both"/>
        <w:rPr>
          <w:rFonts w:ascii="Arial" w:hAnsi="Arial" w:cs="Arial"/>
          <w:sz w:val="20"/>
          <w:szCs w:val="20"/>
        </w:rPr>
      </w:pPr>
      <w:r w:rsidRPr="00010F2F">
        <w:rPr>
          <w:rFonts w:ascii="Arial" w:hAnsi="Arial" w:cs="Arial"/>
          <w:bCs/>
          <w:kern w:val="2"/>
          <w:sz w:val="20"/>
          <w:szCs w:val="20"/>
        </w:rPr>
        <w:t xml:space="preserve">The addition of a </w:t>
      </w:r>
      <w:r w:rsidR="00EC12EF">
        <w:rPr>
          <w:rFonts w:ascii="Arial" w:hAnsi="Arial" w:cs="Arial"/>
          <w:bCs/>
          <w:kern w:val="2"/>
          <w:sz w:val="20"/>
          <w:szCs w:val="20"/>
        </w:rPr>
        <w:t>second</w:t>
      </w:r>
      <w:r w:rsidRPr="00010F2F">
        <w:rPr>
          <w:rFonts w:ascii="Arial" w:hAnsi="Arial" w:cs="Arial"/>
          <w:bCs/>
          <w:kern w:val="2"/>
          <w:sz w:val="20"/>
          <w:szCs w:val="20"/>
        </w:rPr>
        <w:t xml:space="preserve"> CT unit at </w:t>
      </w:r>
      <w:r w:rsidR="003D3B4A">
        <w:rPr>
          <w:rFonts w:ascii="Arial" w:hAnsi="Arial" w:cs="Arial"/>
          <w:bCs/>
          <w:kern w:val="2"/>
          <w:sz w:val="20"/>
          <w:szCs w:val="20"/>
        </w:rPr>
        <w:t xml:space="preserve">AJH </w:t>
      </w:r>
      <w:r w:rsidRPr="00010F2F">
        <w:rPr>
          <w:rFonts w:ascii="Arial" w:hAnsi="Arial" w:cs="Arial"/>
          <w:bCs/>
          <w:kern w:val="2"/>
          <w:sz w:val="20"/>
          <w:szCs w:val="20"/>
        </w:rPr>
        <w:t>will advance and support the needs of</w:t>
      </w:r>
      <w:r>
        <w:rPr>
          <w:rFonts w:ascii="Arial" w:hAnsi="Arial" w:cs="Arial"/>
          <w:bCs/>
          <w:kern w:val="2"/>
          <w:sz w:val="20"/>
          <w:szCs w:val="20"/>
        </w:rPr>
        <w:t xml:space="preserve"> AJH’s</w:t>
      </w:r>
      <w:r w:rsidRPr="00010F2F">
        <w:rPr>
          <w:rFonts w:ascii="Arial" w:hAnsi="Arial" w:cs="Arial"/>
          <w:bCs/>
          <w:kern w:val="2"/>
          <w:sz w:val="20"/>
          <w:szCs w:val="20"/>
        </w:rPr>
        <w:t xml:space="preserve"> Patient Panel by </w:t>
      </w:r>
      <w:r>
        <w:rPr>
          <w:rFonts w:ascii="Arial" w:hAnsi="Arial" w:cs="Arial"/>
          <w:bCs/>
          <w:kern w:val="2"/>
          <w:sz w:val="20"/>
          <w:szCs w:val="20"/>
        </w:rPr>
        <w:t>providing</w:t>
      </w:r>
      <w:r w:rsidRPr="00010F2F">
        <w:rPr>
          <w:rFonts w:ascii="Arial" w:hAnsi="Arial" w:cs="Arial"/>
          <w:bCs/>
          <w:kern w:val="2"/>
          <w:sz w:val="20"/>
          <w:szCs w:val="20"/>
        </w:rPr>
        <w:t xml:space="preserve"> timely access to CT imaging, </w:t>
      </w:r>
      <w:r w:rsidR="00C97F5C">
        <w:rPr>
          <w:rFonts w:ascii="Arial" w:hAnsi="Arial" w:cs="Arial"/>
          <w:bCs/>
          <w:kern w:val="2"/>
          <w:sz w:val="20"/>
          <w:szCs w:val="20"/>
        </w:rPr>
        <w:t xml:space="preserve">avoiding </w:t>
      </w:r>
      <w:r w:rsidRPr="00010F2F">
        <w:rPr>
          <w:rFonts w:ascii="Arial" w:hAnsi="Arial" w:cs="Arial"/>
          <w:bCs/>
          <w:kern w:val="2"/>
          <w:sz w:val="20"/>
          <w:szCs w:val="20"/>
        </w:rPr>
        <w:t>delay in diagnosis and treatment,</w:t>
      </w:r>
      <w:r w:rsidR="00C97F5C">
        <w:rPr>
          <w:rFonts w:ascii="Arial" w:hAnsi="Arial" w:cs="Arial"/>
          <w:bCs/>
          <w:kern w:val="2"/>
          <w:sz w:val="20"/>
          <w:szCs w:val="20"/>
        </w:rPr>
        <w:t xml:space="preserve"> and expanding capacity for</w:t>
      </w:r>
      <w:r w:rsidRPr="00010F2F">
        <w:rPr>
          <w:rFonts w:ascii="Arial" w:hAnsi="Arial" w:cs="Arial"/>
          <w:bCs/>
          <w:kern w:val="2"/>
          <w:sz w:val="20"/>
          <w:szCs w:val="20"/>
        </w:rPr>
        <w:t xml:space="preserve"> interventional CT procedures</w:t>
      </w:r>
      <w:r>
        <w:rPr>
          <w:rFonts w:ascii="Arial" w:hAnsi="Arial" w:cs="Arial"/>
          <w:bCs/>
          <w:kern w:val="2"/>
          <w:sz w:val="20"/>
          <w:szCs w:val="20"/>
        </w:rPr>
        <w:t xml:space="preserve"> and LDCT screening for lung cancer. </w:t>
      </w:r>
      <w:r w:rsidRPr="009F6089">
        <w:rPr>
          <w:rFonts w:ascii="Arial" w:hAnsi="Arial" w:cs="Arial"/>
          <w:sz w:val="20"/>
          <w:szCs w:val="20"/>
        </w:rPr>
        <w:t>The use of diagnostic imaging, such as CT, has significantly increased over the last several decades because of technological advancements and the expansion of clinical applications.</w:t>
      </w:r>
      <w:r w:rsidRPr="009F6089">
        <w:rPr>
          <w:rStyle w:val="FootnoteReference"/>
          <w:rFonts w:ascii="Arial" w:hAnsi="Arial" w:cs="Arial"/>
          <w:sz w:val="20"/>
          <w:szCs w:val="20"/>
        </w:rPr>
        <w:footnoteReference w:id="22"/>
      </w:r>
      <w:r w:rsidRPr="009F6089">
        <w:rPr>
          <w:rFonts w:ascii="Arial" w:hAnsi="Arial" w:cs="Arial"/>
          <w:sz w:val="20"/>
          <w:szCs w:val="20"/>
        </w:rPr>
        <w:t xml:space="preserve">  The Applicant relies on</w:t>
      </w:r>
      <w:r>
        <w:rPr>
          <w:rFonts w:ascii="Arial" w:hAnsi="Arial" w:cs="Arial"/>
          <w:sz w:val="20"/>
          <w:szCs w:val="20"/>
        </w:rPr>
        <w:t xml:space="preserve"> extensive evidence-based literature to demonstrate that routine and emergency CT imaging is an essential component of hospital care and improving public health.</w:t>
      </w:r>
    </w:p>
    <w:p w14:paraId="509E51DB" w14:textId="14273659" w:rsidR="009C4CCF" w:rsidRDefault="00617041" w:rsidP="009C4CCF">
      <w:pPr>
        <w:spacing w:after="0" w:line="240" w:lineRule="auto"/>
        <w:jc w:val="both"/>
        <w:rPr>
          <w:rFonts w:ascii="Arial" w:hAnsi="Arial" w:cs="Arial"/>
          <w:sz w:val="20"/>
          <w:szCs w:val="20"/>
        </w:rPr>
      </w:pPr>
      <w:r>
        <w:rPr>
          <w:rFonts w:ascii="Arial" w:hAnsi="Arial" w:cs="Arial"/>
          <w:sz w:val="20"/>
          <w:szCs w:val="20"/>
        </w:rPr>
        <w:tab/>
      </w:r>
    </w:p>
    <w:p w14:paraId="44A0C64D" w14:textId="518EAC9B" w:rsidR="00617041" w:rsidRDefault="00617041" w:rsidP="00617041">
      <w:pPr>
        <w:pStyle w:val="BodyText"/>
        <w:widowControl/>
        <w:spacing w:before="0"/>
        <w:jc w:val="both"/>
        <w:rPr>
          <w:rFonts w:cstheme="minorHAnsi"/>
          <w:sz w:val="20"/>
          <w:szCs w:val="20"/>
        </w:rPr>
      </w:pPr>
      <w:r>
        <w:rPr>
          <w:rFonts w:ascii="Arial" w:hAnsi="Arial" w:cs="Arial"/>
          <w:sz w:val="20"/>
          <w:szCs w:val="20"/>
        </w:rPr>
        <w:t>Computed Tomography or CT is a computerized x-ray imaging tool</w:t>
      </w:r>
      <w:r w:rsidRPr="00256AF0">
        <w:rPr>
          <w:rFonts w:ascii="Arial" w:hAnsi="Arial" w:cs="Arial"/>
          <w:sz w:val="20"/>
          <w:szCs w:val="20"/>
        </w:rPr>
        <w:t xml:space="preserve"> that utilizes x-ray beams to generate cross-sectional images</w:t>
      </w:r>
      <w:r>
        <w:rPr>
          <w:rFonts w:ascii="Arial" w:hAnsi="Arial" w:cs="Arial"/>
          <w:sz w:val="20"/>
          <w:szCs w:val="20"/>
        </w:rPr>
        <w:t xml:space="preserve"> - </w:t>
      </w:r>
      <w:r w:rsidRPr="00256AF0">
        <w:rPr>
          <w:rFonts w:ascii="Arial" w:hAnsi="Arial" w:cs="Arial"/>
          <w:sz w:val="20"/>
          <w:szCs w:val="20"/>
        </w:rPr>
        <w:t>or “slices”</w:t>
      </w:r>
      <w:r>
        <w:rPr>
          <w:rFonts w:ascii="Arial" w:hAnsi="Arial" w:cs="Arial"/>
          <w:sz w:val="20"/>
          <w:szCs w:val="20"/>
        </w:rPr>
        <w:t xml:space="preserve"> - </w:t>
      </w:r>
      <w:r w:rsidRPr="00256AF0">
        <w:rPr>
          <w:rFonts w:ascii="Arial" w:hAnsi="Arial" w:cs="Arial"/>
          <w:sz w:val="20"/>
          <w:szCs w:val="20"/>
        </w:rPr>
        <w:t xml:space="preserve">of the </w:t>
      </w:r>
      <w:r>
        <w:rPr>
          <w:rFonts w:ascii="Arial" w:hAnsi="Arial" w:cs="Arial"/>
          <w:sz w:val="20"/>
          <w:szCs w:val="20"/>
        </w:rPr>
        <w:t>bones, organs, blood vessels and soft tissue</w:t>
      </w:r>
      <w:r w:rsidRPr="00256AF0">
        <w:rPr>
          <w:rFonts w:ascii="Arial" w:hAnsi="Arial" w:cs="Arial"/>
          <w:sz w:val="20"/>
          <w:szCs w:val="20"/>
        </w:rPr>
        <w:t>.</w:t>
      </w:r>
      <w:r w:rsidRPr="00256AF0">
        <w:rPr>
          <w:rStyle w:val="FootnoteReference"/>
          <w:rFonts w:ascii="Arial" w:hAnsi="Arial" w:cs="Arial"/>
          <w:sz w:val="20"/>
          <w:szCs w:val="20"/>
        </w:rPr>
        <w:footnoteReference w:id="23"/>
      </w:r>
      <w:r w:rsidRPr="00256AF0">
        <w:rPr>
          <w:rStyle w:val="FootnoteReference"/>
          <w:rFonts w:ascii="Arial" w:hAnsi="Arial" w:cs="Arial"/>
          <w:sz w:val="20"/>
          <w:szCs w:val="20"/>
        </w:rPr>
        <w:t xml:space="preserve"> </w:t>
      </w:r>
      <w:r>
        <w:rPr>
          <w:rFonts w:ascii="Arial" w:hAnsi="Arial" w:cs="Arial"/>
          <w:sz w:val="20"/>
          <w:szCs w:val="20"/>
        </w:rPr>
        <w:t xml:space="preserve">As a result, </w:t>
      </w:r>
      <w:r w:rsidRPr="00256AF0">
        <w:rPr>
          <w:rFonts w:ascii="Arial" w:hAnsi="Arial" w:cs="Arial"/>
          <w:sz w:val="20"/>
          <w:szCs w:val="20"/>
        </w:rPr>
        <w:t>CT</w:t>
      </w:r>
      <w:r>
        <w:rPr>
          <w:rFonts w:ascii="Arial" w:hAnsi="Arial" w:cs="Arial"/>
          <w:sz w:val="20"/>
          <w:szCs w:val="20"/>
        </w:rPr>
        <w:t xml:space="preserve"> scans </w:t>
      </w:r>
      <w:r w:rsidRPr="00256AF0">
        <w:rPr>
          <w:rFonts w:ascii="Arial" w:hAnsi="Arial" w:cs="Arial"/>
          <w:sz w:val="20"/>
          <w:szCs w:val="20"/>
        </w:rPr>
        <w:t xml:space="preserve">produce more </w:t>
      </w:r>
      <w:r>
        <w:rPr>
          <w:rFonts w:ascii="Arial" w:hAnsi="Arial" w:cs="Arial"/>
          <w:sz w:val="20"/>
          <w:szCs w:val="20"/>
        </w:rPr>
        <w:t xml:space="preserve">clear, </w:t>
      </w:r>
      <w:r w:rsidRPr="00256AF0">
        <w:rPr>
          <w:rFonts w:ascii="Arial" w:hAnsi="Arial" w:cs="Arial"/>
          <w:sz w:val="20"/>
          <w:szCs w:val="20"/>
        </w:rPr>
        <w:t>detailed images than conventional x-rays</w:t>
      </w:r>
      <w:r>
        <w:rPr>
          <w:rFonts w:ascii="Arial" w:hAnsi="Arial" w:cs="Arial"/>
          <w:sz w:val="20"/>
          <w:szCs w:val="20"/>
        </w:rPr>
        <w:t xml:space="preserve">, making </w:t>
      </w:r>
      <w:r w:rsidRPr="00256AF0">
        <w:rPr>
          <w:rFonts w:ascii="Arial" w:hAnsi="Arial" w:cs="Arial"/>
          <w:sz w:val="20"/>
          <w:szCs w:val="20"/>
        </w:rPr>
        <w:t>CT</w:t>
      </w:r>
      <w:r>
        <w:rPr>
          <w:rFonts w:ascii="Arial" w:hAnsi="Arial" w:cs="Arial"/>
          <w:sz w:val="20"/>
          <w:szCs w:val="20"/>
        </w:rPr>
        <w:t>s</w:t>
      </w:r>
      <w:r w:rsidRPr="00256AF0">
        <w:rPr>
          <w:rFonts w:ascii="Arial" w:hAnsi="Arial" w:cs="Arial"/>
          <w:sz w:val="20"/>
          <w:szCs w:val="20"/>
        </w:rPr>
        <w:t xml:space="preserve"> </w:t>
      </w:r>
      <w:r>
        <w:rPr>
          <w:rFonts w:ascii="Arial" w:hAnsi="Arial" w:cs="Arial"/>
          <w:sz w:val="20"/>
          <w:szCs w:val="20"/>
        </w:rPr>
        <w:t xml:space="preserve">extremely </w:t>
      </w:r>
      <w:r w:rsidRPr="00256AF0">
        <w:rPr>
          <w:rFonts w:ascii="Arial" w:hAnsi="Arial" w:cs="Arial"/>
          <w:sz w:val="20"/>
          <w:szCs w:val="20"/>
        </w:rPr>
        <w:t>useful in detecting</w:t>
      </w:r>
      <w:r>
        <w:rPr>
          <w:rFonts w:ascii="Arial" w:hAnsi="Arial" w:cs="Arial"/>
          <w:sz w:val="20"/>
          <w:szCs w:val="20"/>
        </w:rPr>
        <w:t>,</w:t>
      </w:r>
      <w:r w:rsidRPr="00256AF0">
        <w:rPr>
          <w:rFonts w:ascii="Arial" w:hAnsi="Arial" w:cs="Arial"/>
          <w:sz w:val="20"/>
          <w:szCs w:val="20"/>
        </w:rPr>
        <w:t xml:space="preserve"> </w:t>
      </w:r>
      <w:r>
        <w:rPr>
          <w:rFonts w:ascii="Arial" w:hAnsi="Arial" w:cs="Arial"/>
          <w:sz w:val="20"/>
          <w:szCs w:val="20"/>
        </w:rPr>
        <w:t xml:space="preserve">for example, </w:t>
      </w:r>
      <w:r w:rsidRPr="00256AF0">
        <w:rPr>
          <w:rFonts w:ascii="Arial" w:hAnsi="Arial" w:cs="Arial"/>
          <w:sz w:val="20"/>
          <w:szCs w:val="20"/>
        </w:rPr>
        <w:t xml:space="preserve">tumors or lesions within the abdomen and lungs; </w:t>
      </w:r>
      <w:r>
        <w:rPr>
          <w:rFonts w:ascii="Arial" w:hAnsi="Arial" w:cs="Arial"/>
          <w:sz w:val="20"/>
          <w:szCs w:val="20"/>
        </w:rPr>
        <w:t xml:space="preserve">detecting </w:t>
      </w:r>
      <w:r w:rsidRPr="00256AF0">
        <w:rPr>
          <w:rFonts w:ascii="Arial" w:hAnsi="Arial" w:cs="Arial"/>
          <w:sz w:val="20"/>
          <w:szCs w:val="20"/>
        </w:rPr>
        <w:t>heart disease or abnormalities of the heart; head injuries;</w:t>
      </w:r>
      <w:r>
        <w:rPr>
          <w:rFonts w:ascii="Arial" w:hAnsi="Arial" w:cs="Arial"/>
          <w:sz w:val="20"/>
          <w:szCs w:val="20"/>
        </w:rPr>
        <w:t xml:space="preserve"> </w:t>
      </w:r>
      <w:r w:rsidRPr="00256AF0">
        <w:rPr>
          <w:rFonts w:ascii="Arial" w:hAnsi="Arial" w:cs="Arial"/>
          <w:sz w:val="20"/>
          <w:szCs w:val="20"/>
        </w:rPr>
        <w:t>and blood clots and embolisms.</w:t>
      </w:r>
      <w:r w:rsidRPr="00256AF0">
        <w:rPr>
          <w:rStyle w:val="FootnoteReference"/>
          <w:rFonts w:ascii="Arial" w:hAnsi="Arial" w:cs="Arial"/>
          <w:sz w:val="20"/>
          <w:szCs w:val="20"/>
        </w:rPr>
        <w:footnoteReference w:id="24"/>
      </w:r>
      <w:r w:rsidRPr="00256AF0">
        <w:rPr>
          <w:rFonts w:ascii="Arial" w:hAnsi="Arial" w:cs="Arial"/>
          <w:sz w:val="20"/>
          <w:szCs w:val="20"/>
        </w:rPr>
        <w:t xml:space="preserve"> </w:t>
      </w:r>
      <w:r w:rsidRPr="00010F2F">
        <w:rPr>
          <w:rFonts w:ascii="Arial" w:hAnsi="Arial" w:cs="Arial"/>
          <w:sz w:val="20"/>
          <w:szCs w:val="20"/>
        </w:rPr>
        <w:t>CT is also useful in diagnosing disease, trauma, and abnormality; planning and guiding procedures; and monitoring the effectiveness of therapy.</w:t>
      </w:r>
      <w:r w:rsidRPr="00010F2F">
        <w:rPr>
          <w:rStyle w:val="FootnoteReference"/>
          <w:rFonts w:ascii="Arial" w:hAnsi="Arial" w:cs="Arial"/>
          <w:sz w:val="20"/>
          <w:szCs w:val="20"/>
        </w:rPr>
        <w:footnoteReference w:id="25"/>
      </w:r>
      <w:r w:rsidRPr="00010F2F">
        <w:rPr>
          <w:rFonts w:ascii="Arial" w:hAnsi="Arial" w:cs="Arial"/>
          <w:sz w:val="20"/>
          <w:szCs w:val="20"/>
        </w:rPr>
        <w:t xml:space="preserve"> </w:t>
      </w:r>
      <w:r w:rsidRPr="00010F2F">
        <w:rPr>
          <w:rFonts w:ascii="Arial" w:hAnsi="Arial" w:cs="Arial"/>
          <w:bCs/>
          <w:kern w:val="2"/>
          <w:sz w:val="20"/>
          <w:szCs w:val="20"/>
        </w:rPr>
        <w:t>CT-guided interventional radiology is used to perform diagnostic and therapeutic medical procedures to treat neurological conditions, cancer, heart disease, spinal problems, and vascular disease, among others.</w:t>
      </w:r>
      <w:r w:rsidRPr="00010F2F">
        <w:rPr>
          <w:rStyle w:val="FootnoteReference"/>
          <w:rFonts w:ascii="Arial" w:hAnsi="Arial" w:cs="Arial"/>
          <w:bCs/>
          <w:kern w:val="2"/>
          <w:sz w:val="20"/>
          <w:szCs w:val="20"/>
        </w:rPr>
        <w:footnoteReference w:id="26"/>
      </w:r>
      <w:r w:rsidRPr="00010F2F">
        <w:rPr>
          <w:rFonts w:ascii="Arial" w:hAnsi="Arial" w:cs="Arial"/>
          <w:bCs/>
          <w:kern w:val="2"/>
          <w:sz w:val="20"/>
          <w:szCs w:val="20"/>
        </w:rPr>
        <w:t xml:space="preserve"> CT imaging can also be used for </w:t>
      </w:r>
      <w:r w:rsidRPr="00010F2F">
        <w:rPr>
          <w:rFonts w:ascii="Arial" w:hAnsi="Arial" w:cs="Arial"/>
          <w:sz w:val="20"/>
          <w:szCs w:val="20"/>
        </w:rPr>
        <w:t>cardiac coronary computed tomography angiography to visualize coronary arteries and help aide in the diagnosis and need for intervention.</w:t>
      </w:r>
      <w:r w:rsidRPr="00010F2F">
        <w:rPr>
          <w:rStyle w:val="FootnoteReference"/>
          <w:rFonts w:ascii="Arial" w:hAnsi="Arial" w:cs="Arial"/>
          <w:sz w:val="20"/>
          <w:szCs w:val="20"/>
        </w:rPr>
        <w:footnoteReference w:id="27"/>
      </w:r>
      <w:r w:rsidRPr="00010F2F">
        <w:rPr>
          <w:rFonts w:ascii="Arial" w:hAnsi="Arial" w:cs="Arial"/>
          <w:sz w:val="20"/>
          <w:szCs w:val="20"/>
        </w:rPr>
        <w:t xml:space="preserve"> CT scans can generally be performed in minutes, which means providers can quickly detect and diagnose emergent conditions</w:t>
      </w:r>
      <w:r>
        <w:rPr>
          <w:rFonts w:ascii="Arial" w:hAnsi="Arial" w:cs="Arial"/>
          <w:sz w:val="20"/>
          <w:szCs w:val="20"/>
        </w:rPr>
        <w:t xml:space="preserve"> </w:t>
      </w:r>
      <w:r w:rsidRPr="00256AF0">
        <w:rPr>
          <w:rFonts w:ascii="Arial" w:hAnsi="Arial" w:cs="Arial"/>
          <w:sz w:val="20"/>
          <w:szCs w:val="20"/>
        </w:rPr>
        <w:t>such as stroke</w:t>
      </w:r>
      <w:r>
        <w:rPr>
          <w:rFonts w:ascii="Arial" w:hAnsi="Arial" w:cs="Arial"/>
          <w:sz w:val="20"/>
          <w:szCs w:val="20"/>
        </w:rPr>
        <w:t>s and consequently, reduce the chances of brain damage and disability</w:t>
      </w:r>
      <w:r w:rsidRPr="00256AF0">
        <w:rPr>
          <w:rFonts w:ascii="Arial" w:hAnsi="Arial" w:cs="Arial"/>
          <w:sz w:val="20"/>
          <w:szCs w:val="20"/>
        </w:rPr>
        <w:t>.</w:t>
      </w:r>
      <w:r w:rsidRPr="00256AF0">
        <w:rPr>
          <w:rStyle w:val="FootnoteReference"/>
          <w:rFonts w:ascii="Arial" w:hAnsi="Arial" w:cs="Arial"/>
          <w:sz w:val="20"/>
          <w:szCs w:val="20"/>
        </w:rPr>
        <w:footnoteReference w:id="28"/>
      </w:r>
      <w:r w:rsidRPr="00256AF0">
        <w:rPr>
          <w:rFonts w:ascii="Arial" w:hAnsi="Arial" w:cs="Arial"/>
          <w:sz w:val="20"/>
          <w:szCs w:val="20"/>
        </w:rPr>
        <w:t xml:space="preserve"> </w:t>
      </w:r>
      <w:r w:rsidRPr="00256AF0">
        <w:rPr>
          <w:rFonts w:cstheme="minorHAnsi"/>
          <w:sz w:val="20"/>
          <w:szCs w:val="20"/>
        </w:rPr>
        <w:t xml:space="preserve"> </w:t>
      </w:r>
    </w:p>
    <w:p w14:paraId="698089A0" w14:textId="77777777" w:rsidR="00617041" w:rsidRDefault="00617041" w:rsidP="00617041">
      <w:pPr>
        <w:pStyle w:val="BodyText"/>
        <w:widowControl/>
        <w:spacing w:before="0"/>
        <w:jc w:val="both"/>
        <w:rPr>
          <w:rFonts w:ascii="Arial" w:hAnsi="Arial" w:cs="Arial"/>
          <w:sz w:val="20"/>
          <w:szCs w:val="20"/>
        </w:rPr>
      </w:pPr>
    </w:p>
    <w:p w14:paraId="072DB8C4" w14:textId="04A1AAF5" w:rsidR="00617041" w:rsidRDefault="00617041" w:rsidP="00617041">
      <w:pPr>
        <w:pStyle w:val="BodyText"/>
        <w:widowControl/>
        <w:spacing w:before="0"/>
        <w:jc w:val="both"/>
        <w:rPr>
          <w:rFonts w:ascii="Arial" w:hAnsi="Arial" w:cs="Arial"/>
          <w:sz w:val="20"/>
          <w:szCs w:val="20"/>
        </w:rPr>
      </w:pPr>
      <w:r w:rsidRPr="00010F2F">
        <w:rPr>
          <w:rFonts w:ascii="Arial" w:hAnsi="Arial" w:cs="Arial"/>
          <w:sz w:val="20"/>
          <w:szCs w:val="20"/>
        </w:rPr>
        <w:t xml:space="preserve">In addition to its general diagnostic utility, CT is the preferred diagnostic tool for patients presenting with symptoms of stroke. </w:t>
      </w:r>
      <w:r w:rsidRPr="00010F2F">
        <w:rPr>
          <w:rFonts w:ascii="Arial" w:hAnsi="Arial" w:cs="Arial"/>
          <w:color w:val="111111"/>
          <w:sz w:val="20"/>
          <w:szCs w:val="20"/>
        </w:rPr>
        <w:t xml:space="preserve">CT imaging is used to diagnose strokes and to determine the type of stroke a patient </w:t>
      </w:r>
      <w:r w:rsidRPr="00010F2F">
        <w:rPr>
          <w:rFonts w:ascii="Arial" w:hAnsi="Arial" w:cs="Arial"/>
          <w:color w:val="111111"/>
          <w:sz w:val="20"/>
          <w:szCs w:val="20"/>
        </w:rPr>
        <w:lastRenderedPageBreak/>
        <w:t>is experiencing.</w:t>
      </w:r>
      <w:r w:rsidRPr="00010F2F">
        <w:rPr>
          <w:rStyle w:val="FootnoteReference"/>
          <w:rFonts w:ascii="Arial" w:hAnsi="Arial" w:cs="Arial"/>
          <w:color w:val="111111"/>
          <w:sz w:val="20"/>
          <w:szCs w:val="20"/>
        </w:rPr>
        <w:footnoteReference w:id="29"/>
      </w:r>
      <w:r w:rsidRPr="00010F2F">
        <w:rPr>
          <w:rFonts w:ascii="Arial" w:hAnsi="Arial" w:cs="Arial"/>
          <w:color w:val="111111"/>
          <w:sz w:val="20"/>
          <w:szCs w:val="20"/>
        </w:rPr>
        <w:t xml:space="preserve"> </w:t>
      </w:r>
      <w:r w:rsidRPr="00010F2F">
        <w:rPr>
          <w:rFonts w:ascii="Arial" w:hAnsi="Arial" w:cs="Arial"/>
          <w:sz w:val="20"/>
          <w:szCs w:val="20"/>
        </w:rPr>
        <w:t xml:space="preserve">Timely CT scanning </w:t>
      </w:r>
      <w:r>
        <w:rPr>
          <w:rFonts w:ascii="Arial" w:hAnsi="Arial" w:cs="Arial"/>
          <w:sz w:val="20"/>
          <w:szCs w:val="20"/>
        </w:rPr>
        <w:t>and subsequent</w:t>
      </w:r>
      <w:r w:rsidRPr="00010F2F">
        <w:rPr>
          <w:rFonts w:ascii="Arial" w:hAnsi="Arial" w:cs="Arial"/>
          <w:sz w:val="20"/>
          <w:szCs w:val="20"/>
        </w:rPr>
        <w:t xml:space="preserve"> treatment</w:t>
      </w:r>
      <w:r>
        <w:rPr>
          <w:rFonts w:ascii="Arial" w:hAnsi="Arial" w:cs="Arial"/>
          <w:sz w:val="20"/>
          <w:szCs w:val="20"/>
        </w:rPr>
        <w:t xml:space="preserve"> will improve </w:t>
      </w:r>
      <w:r w:rsidRPr="00010F2F">
        <w:rPr>
          <w:rFonts w:ascii="Arial" w:hAnsi="Arial" w:cs="Arial"/>
          <w:sz w:val="20"/>
          <w:szCs w:val="20"/>
        </w:rPr>
        <w:t>patient outcomes.</w:t>
      </w:r>
      <w:r w:rsidRPr="00010F2F">
        <w:rPr>
          <w:rStyle w:val="FootnoteReference"/>
          <w:rFonts w:ascii="Arial" w:hAnsi="Arial" w:cs="Arial"/>
          <w:sz w:val="20"/>
          <w:szCs w:val="20"/>
        </w:rPr>
        <w:footnoteReference w:id="30"/>
      </w:r>
      <w:r w:rsidRPr="00010F2F">
        <w:rPr>
          <w:rFonts w:ascii="Arial" w:hAnsi="Arial" w:cs="Arial"/>
          <w:sz w:val="20"/>
          <w:szCs w:val="20"/>
        </w:rPr>
        <w:t xml:space="preserve"> According to the Massachusetts Department of Health’s Time Target Recommendations and the American Heart Association/American Stroke Association’s “Get With the Guidelines – Stroke”, CT imaging should be completed within 25 minutes of arrival to the hospital, and IV thrombolytic treatment should begin within one hour of patient arrival.</w:t>
      </w:r>
      <w:r w:rsidRPr="00010F2F">
        <w:rPr>
          <w:rStyle w:val="FootnoteReference"/>
          <w:rFonts w:ascii="Arial" w:hAnsi="Arial" w:cs="Arial"/>
          <w:sz w:val="20"/>
          <w:szCs w:val="20"/>
        </w:rPr>
        <w:footnoteReference w:id="31"/>
      </w:r>
      <w:r w:rsidRPr="00010F2F">
        <w:rPr>
          <w:rFonts w:ascii="Arial" w:hAnsi="Arial" w:cs="Arial"/>
          <w:sz w:val="20"/>
          <w:szCs w:val="20"/>
        </w:rPr>
        <w:t xml:space="preserve"> </w:t>
      </w:r>
    </w:p>
    <w:p w14:paraId="49282489" w14:textId="240E8A11" w:rsidR="005F7BC2" w:rsidRDefault="005F7BC2" w:rsidP="00617041">
      <w:pPr>
        <w:pStyle w:val="BodyText"/>
        <w:widowControl/>
        <w:spacing w:before="0"/>
        <w:jc w:val="both"/>
        <w:rPr>
          <w:rFonts w:ascii="Arial" w:hAnsi="Arial" w:cs="Arial"/>
          <w:sz w:val="20"/>
          <w:szCs w:val="20"/>
        </w:rPr>
      </w:pPr>
    </w:p>
    <w:p w14:paraId="38F8093C" w14:textId="5BE0CC97" w:rsidR="00617041" w:rsidRDefault="005F7BC2" w:rsidP="005F7BC2">
      <w:pPr>
        <w:pStyle w:val="BodyText"/>
        <w:widowControl/>
        <w:spacing w:before="0"/>
        <w:jc w:val="both"/>
        <w:rPr>
          <w:rFonts w:ascii="Arial" w:hAnsi="Arial" w:cs="Arial"/>
          <w:sz w:val="20"/>
          <w:szCs w:val="20"/>
        </w:rPr>
      </w:pPr>
      <w:r>
        <w:rPr>
          <w:rFonts w:ascii="Arial" w:hAnsi="Arial" w:cs="Arial"/>
          <w:sz w:val="20"/>
          <w:szCs w:val="20"/>
        </w:rPr>
        <w:t xml:space="preserve">CT imaging </w:t>
      </w:r>
      <w:r w:rsidR="00277C36">
        <w:rPr>
          <w:rFonts w:ascii="Arial" w:hAnsi="Arial" w:cs="Arial"/>
          <w:sz w:val="20"/>
          <w:szCs w:val="20"/>
        </w:rPr>
        <w:t xml:space="preserve">also </w:t>
      </w:r>
      <w:r>
        <w:rPr>
          <w:rFonts w:ascii="Arial" w:hAnsi="Arial" w:cs="Arial"/>
          <w:sz w:val="20"/>
          <w:szCs w:val="20"/>
        </w:rPr>
        <w:t xml:space="preserve">is used as a screening tool for lung cancer. </w:t>
      </w:r>
      <w:r w:rsidRPr="00C7661C">
        <w:rPr>
          <w:rFonts w:ascii="Arial" w:hAnsi="Arial" w:cs="Arial"/>
          <w:color w:val="1E1E23"/>
          <w:sz w:val="20"/>
          <w:szCs w:val="20"/>
          <w:shd w:val="clear" w:color="auto" w:fill="FFFFFF"/>
        </w:rPr>
        <w:t>In the United States,</w:t>
      </w:r>
      <w:r>
        <w:rPr>
          <w:rFonts w:ascii="Arial" w:hAnsi="Arial" w:cs="Arial"/>
          <w:color w:val="1E1E23"/>
          <w:sz w:val="20"/>
          <w:szCs w:val="20"/>
          <w:shd w:val="clear" w:color="auto" w:fill="FFFFFF"/>
        </w:rPr>
        <w:t xml:space="preserve"> an estimated 127,070 people are expected to die from lung and bronchus cancer</w:t>
      </w:r>
      <w:r w:rsidRPr="00C7661C">
        <w:rPr>
          <w:rFonts w:ascii="Arial" w:hAnsi="Arial" w:cs="Arial"/>
          <w:color w:val="1E1E23"/>
          <w:sz w:val="20"/>
          <w:szCs w:val="20"/>
          <w:shd w:val="clear" w:color="auto" w:fill="FFFFFF"/>
        </w:rPr>
        <w:t>, making it the leading cause of cancer-related deaths.</w:t>
      </w:r>
      <w:r w:rsidRPr="00C7661C">
        <w:rPr>
          <w:rStyle w:val="FootnoteReference"/>
          <w:rFonts w:ascii="Arial" w:hAnsi="Arial" w:cs="Arial"/>
          <w:color w:val="1E1E23"/>
          <w:sz w:val="20"/>
          <w:szCs w:val="20"/>
          <w:shd w:val="clear" w:color="auto" w:fill="FFFFFF"/>
        </w:rPr>
        <w:footnoteReference w:id="32"/>
      </w:r>
      <w:r>
        <w:rPr>
          <w:rFonts w:ascii="Arial" w:hAnsi="Arial" w:cs="Arial"/>
          <w:color w:val="1E1E23"/>
          <w:sz w:val="20"/>
          <w:szCs w:val="20"/>
          <w:shd w:val="clear" w:color="auto" w:fill="FFFFFF"/>
        </w:rPr>
        <w:t xml:space="preserve"> Approximately 8 million Americans qualify as high risk for lung cancer and are recommended to receive annual screening with l</w:t>
      </w:r>
      <w:r w:rsidRPr="00C7661C">
        <w:rPr>
          <w:rFonts w:ascii="Arial" w:hAnsi="Arial" w:cs="Arial"/>
          <w:color w:val="1E1E23"/>
          <w:sz w:val="20"/>
          <w:szCs w:val="20"/>
          <w:shd w:val="clear" w:color="auto" w:fill="FFFFFF"/>
        </w:rPr>
        <w:t xml:space="preserve">ow-dose CT </w:t>
      </w:r>
      <w:r>
        <w:rPr>
          <w:rFonts w:ascii="Arial" w:hAnsi="Arial" w:cs="Arial"/>
          <w:color w:val="1E1E23"/>
          <w:sz w:val="20"/>
          <w:szCs w:val="20"/>
          <w:shd w:val="clear" w:color="auto" w:fill="FFFFFF"/>
        </w:rPr>
        <w:t>scans.</w:t>
      </w:r>
      <w:r>
        <w:rPr>
          <w:rStyle w:val="FootnoteReference"/>
          <w:rFonts w:ascii="Arial" w:hAnsi="Arial" w:cs="Arial"/>
          <w:color w:val="1E1E23"/>
          <w:sz w:val="20"/>
          <w:szCs w:val="20"/>
          <w:shd w:val="clear" w:color="auto" w:fill="FFFFFF"/>
        </w:rPr>
        <w:footnoteReference w:id="33"/>
      </w:r>
      <w:r>
        <w:rPr>
          <w:rFonts w:ascii="Arial" w:hAnsi="Arial" w:cs="Arial"/>
          <w:color w:val="1E1E23"/>
          <w:sz w:val="20"/>
          <w:szCs w:val="20"/>
          <w:shd w:val="clear" w:color="auto" w:fill="FFFFFF"/>
        </w:rPr>
        <w:t xml:space="preserve"> Screening with LDCT for those at high risk can</w:t>
      </w:r>
      <w:r w:rsidRPr="00C7661C">
        <w:rPr>
          <w:rFonts w:ascii="Arial" w:hAnsi="Arial" w:cs="Arial"/>
          <w:color w:val="1E1E23"/>
          <w:sz w:val="20"/>
          <w:szCs w:val="20"/>
          <w:shd w:val="clear" w:color="auto" w:fill="FFFFFF"/>
        </w:rPr>
        <w:t xml:space="preserve"> decrease</w:t>
      </w:r>
      <w:r>
        <w:rPr>
          <w:rFonts w:ascii="Arial" w:hAnsi="Arial" w:cs="Arial"/>
          <w:color w:val="1E1E23"/>
          <w:sz w:val="20"/>
          <w:szCs w:val="20"/>
          <w:shd w:val="clear" w:color="auto" w:fill="FFFFFF"/>
        </w:rPr>
        <w:t xml:space="preserve"> lung cancer</w:t>
      </w:r>
      <w:r w:rsidRPr="00C7661C">
        <w:rPr>
          <w:rFonts w:ascii="Arial" w:hAnsi="Arial" w:cs="Arial"/>
          <w:color w:val="1E1E23"/>
          <w:sz w:val="20"/>
          <w:szCs w:val="20"/>
          <w:shd w:val="clear" w:color="auto" w:fill="FFFFFF"/>
        </w:rPr>
        <w:t xml:space="preserve"> mortality by </w:t>
      </w:r>
      <w:r>
        <w:rPr>
          <w:rFonts w:ascii="Arial" w:hAnsi="Arial" w:cs="Arial"/>
          <w:color w:val="1E1E23"/>
          <w:sz w:val="20"/>
          <w:szCs w:val="20"/>
          <w:shd w:val="clear" w:color="auto" w:fill="FFFFFF"/>
        </w:rPr>
        <w:t xml:space="preserve">14% to </w:t>
      </w:r>
      <w:r w:rsidRPr="00C7661C">
        <w:rPr>
          <w:rFonts w:ascii="Arial" w:hAnsi="Arial" w:cs="Arial"/>
          <w:color w:val="1E1E23"/>
          <w:sz w:val="20"/>
          <w:szCs w:val="20"/>
          <w:shd w:val="clear" w:color="auto" w:fill="FFFFFF"/>
        </w:rPr>
        <w:t>20%.</w:t>
      </w:r>
      <w:r w:rsidRPr="00C7661C">
        <w:rPr>
          <w:rStyle w:val="FootnoteReference"/>
          <w:rFonts w:ascii="Arial" w:hAnsi="Arial" w:cs="Arial"/>
          <w:color w:val="1E1E23"/>
          <w:sz w:val="20"/>
          <w:szCs w:val="20"/>
          <w:shd w:val="clear" w:color="auto" w:fill="FFFFFF"/>
        </w:rPr>
        <w:footnoteReference w:id="34"/>
      </w:r>
      <w:r w:rsidRPr="00C7661C">
        <w:rPr>
          <w:rFonts w:ascii="Arial" w:hAnsi="Arial" w:cs="Arial"/>
          <w:color w:val="1E1E23"/>
          <w:sz w:val="20"/>
          <w:szCs w:val="20"/>
          <w:shd w:val="clear" w:color="auto" w:fill="FFFFFF"/>
        </w:rPr>
        <w:t xml:space="preserve"> </w:t>
      </w:r>
      <w:r>
        <w:rPr>
          <w:rFonts w:ascii="Arial" w:hAnsi="Arial" w:cs="Arial"/>
          <w:color w:val="000000"/>
          <w:sz w:val="20"/>
          <w:szCs w:val="20"/>
        </w:rPr>
        <w:t>If half of the high risk individuals were screened, over 12,000 deaths from lung cancer could be prevented.</w:t>
      </w:r>
      <w:r>
        <w:rPr>
          <w:rStyle w:val="FootnoteReference"/>
          <w:rFonts w:ascii="Arial" w:hAnsi="Arial" w:cs="Arial"/>
          <w:color w:val="000000"/>
          <w:sz w:val="20"/>
          <w:szCs w:val="20"/>
        </w:rPr>
        <w:footnoteReference w:id="35"/>
      </w:r>
    </w:p>
    <w:p w14:paraId="1E97F3ED" w14:textId="467585C4" w:rsidR="005F7BC2" w:rsidRDefault="005F7BC2" w:rsidP="005F7BC2">
      <w:pPr>
        <w:pStyle w:val="BodyText"/>
        <w:widowControl/>
        <w:spacing w:before="0"/>
        <w:jc w:val="both"/>
        <w:rPr>
          <w:rFonts w:ascii="Arial" w:hAnsi="Arial" w:cs="Arial"/>
          <w:sz w:val="20"/>
          <w:szCs w:val="20"/>
        </w:rPr>
      </w:pPr>
    </w:p>
    <w:p w14:paraId="259992A9" w14:textId="5ADAEBA1" w:rsidR="005F7BC2" w:rsidRDefault="005F7BC2" w:rsidP="005F7BC2">
      <w:pPr>
        <w:spacing w:after="200" w:line="240" w:lineRule="auto"/>
        <w:jc w:val="both"/>
        <w:rPr>
          <w:rFonts w:ascii="Arial" w:hAnsi="Arial" w:cs="Arial"/>
          <w:sz w:val="20"/>
          <w:szCs w:val="20"/>
        </w:rPr>
      </w:pPr>
      <w:r w:rsidRPr="00010F2F">
        <w:rPr>
          <w:rFonts w:ascii="Arial" w:hAnsi="Arial" w:cs="Arial"/>
          <w:sz w:val="20"/>
          <w:szCs w:val="20"/>
        </w:rPr>
        <w:t>Finally, literature on patterns of CT use indicate that imaging rates tend to be higher among older adults.</w:t>
      </w:r>
      <w:r w:rsidRPr="00010F2F">
        <w:rPr>
          <w:rStyle w:val="FootnoteReference"/>
          <w:rFonts w:ascii="Arial" w:hAnsi="Arial" w:cs="Arial"/>
          <w:sz w:val="20"/>
          <w:szCs w:val="20"/>
        </w:rPr>
        <w:footnoteReference w:id="36"/>
      </w:r>
      <w:r w:rsidRPr="00010F2F">
        <w:rPr>
          <w:rFonts w:ascii="Arial" w:hAnsi="Arial" w:cs="Arial"/>
          <w:sz w:val="20"/>
          <w:szCs w:val="20"/>
        </w:rPr>
        <w:t xml:space="preserve"> According to a study published in 2013, average CT utilization rates were approximately 24, 72, 159, and 240 per 1,000 persons for ages &lt;18, 18-44, 45-54 and 65+ years, respectively.</w:t>
      </w:r>
      <w:r w:rsidRPr="00010F2F">
        <w:rPr>
          <w:rStyle w:val="FootnoteReference"/>
          <w:rFonts w:ascii="Arial" w:hAnsi="Arial" w:cs="Arial"/>
          <w:sz w:val="20"/>
          <w:szCs w:val="20"/>
        </w:rPr>
        <w:footnoteReference w:id="37"/>
      </w:r>
      <w:r w:rsidRPr="00010F2F">
        <w:rPr>
          <w:rFonts w:ascii="Arial" w:hAnsi="Arial" w:cs="Arial"/>
          <w:sz w:val="20"/>
          <w:szCs w:val="20"/>
        </w:rPr>
        <w:t xml:space="preserve"> The high CT imaging rates among older adults are likely related to the modalities' abilities to diagnose and treat age-related conditions. </w:t>
      </w:r>
    </w:p>
    <w:p w14:paraId="3E7CA0BE" w14:textId="77777777" w:rsidR="00617041" w:rsidRDefault="00617041" w:rsidP="009C4CCF">
      <w:pPr>
        <w:spacing w:after="0" w:line="240" w:lineRule="auto"/>
        <w:jc w:val="both"/>
        <w:rPr>
          <w:rFonts w:ascii="Arial" w:hAnsi="Arial" w:cs="Arial"/>
          <w:sz w:val="20"/>
          <w:szCs w:val="20"/>
        </w:rPr>
      </w:pPr>
    </w:p>
    <w:p w14:paraId="64B7212A" w14:textId="77777777" w:rsidR="009C4CCF" w:rsidRPr="00AE6186" w:rsidRDefault="009C4CCF" w:rsidP="009C4CCF">
      <w:pPr>
        <w:spacing w:after="0" w:line="240" w:lineRule="auto"/>
        <w:jc w:val="both"/>
        <w:rPr>
          <w:rFonts w:ascii="Arial" w:eastAsia="Arial" w:hAnsi="Arial" w:cs="Arial"/>
          <w:kern w:val="2"/>
          <w:u w:val="single"/>
        </w:rPr>
      </w:pPr>
      <w:r w:rsidRPr="00AE6186">
        <w:rPr>
          <w:rFonts w:ascii="Arial" w:hAnsi="Arial" w:cs="Arial"/>
          <w:b/>
          <w:kern w:val="2"/>
        </w:rPr>
        <w:t>F.1.b.ii</w:t>
      </w:r>
      <w:r w:rsidRPr="00AE6186">
        <w:rPr>
          <w:rFonts w:ascii="Arial" w:hAnsi="Arial" w:cs="Arial"/>
          <w:b/>
          <w:kern w:val="2"/>
        </w:rPr>
        <w:tab/>
      </w:r>
      <w:r w:rsidRPr="00AE6186">
        <w:rPr>
          <w:rFonts w:ascii="Arial" w:hAnsi="Arial" w:cs="Arial"/>
          <w:kern w:val="2"/>
        </w:rPr>
        <w:tab/>
      </w:r>
      <w:r w:rsidRPr="00AE6186">
        <w:rPr>
          <w:rFonts w:ascii="Arial" w:hAnsi="Arial" w:cs="Arial"/>
          <w:b/>
          <w:kern w:val="2"/>
          <w:u w:val="single"/>
        </w:rPr>
        <w:t>Public Health Value /Outcome-Oriented:</w:t>
      </w:r>
    </w:p>
    <w:p w14:paraId="60802398" w14:textId="77777777" w:rsidR="009C4CCF" w:rsidRPr="00AE6186" w:rsidRDefault="009C4CCF" w:rsidP="009C4CCF">
      <w:pPr>
        <w:pStyle w:val="BodyText"/>
        <w:widowControl/>
        <w:spacing w:before="0"/>
        <w:ind w:left="1440"/>
        <w:jc w:val="both"/>
        <w:rPr>
          <w:rFonts w:ascii="Arial" w:hAnsi="Arial" w:cs="Arial"/>
          <w:b/>
          <w:kern w:val="2"/>
          <w:sz w:val="22"/>
          <w:szCs w:val="22"/>
        </w:rPr>
      </w:pPr>
      <w:r w:rsidRPr="00AE6186">
        <w:rPr>
          <w:rFonts w:ascii="Arial" w:hAnsi="Arial" w:cs="Arial"/>
          <w:b/>
          <w:kern w:val="2"/>
          <w:sz w:val="22"/>
          <w:szCs w:val="2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2EE2682B" w14:textId="77777777" w:rsidR="009C4CCF" w:rsidRPr="004E58A4" w:rsidRDefault="009C4CCF" w:rsidP="009C4CCF">
      <w:pPr>
        <w:pStyle w:val="BodyText"/>
        <w:widowControl/>
        <w:spacing w:before="0"/>
        <w:jc w:val="both"/>
        <w:rPr>
          <w:rFonts w:ascii="Arial" w:hAnsi="Arial" w:cs="Arial"/>
          <w:bCs/>
          <w:kern w:val="2"/>
          <w:sz w:val="22"/>
          <w:szCs w:val="22"/>
          <w:u w:val="single"/>
        </w:rPr>
      </w:pPr>
    </w:p>
    <w:p w14:paraId="3EC30D51" w14:textId="77777777" w:rsidR="009C4CCF" w:rsidRPr="0050011A" w:rsidRDefault="009C4CCF" w:rsidP="009C4CCF">
      <w:pPr>
        <w:pStyle w:val="BodyText"/>
        <w:widowControl/>
        <w:spacing w:before="0"/>
        <w:ind w:left="380"/>
        <w:jc w:val="both"/>
        <w:rPr>
          <w:rFonts w:ascii="Arial" w:hAnsi="Arial" w:cs="Arial"/>
          <w:b/>
          <w:kern w:val="2"/>
          <w:sz w:val="20"/>
          <w:szCs w:val="20"/>
        </w:rPr>
      </w:pPr>
    </w:p>
    <w:p w14:paraId="2B78572D" w14:textId="543AD7CA" w:rsidR="00A40E3E" w:rsidRDefault="009C4CCF" w:rsidP="009C4CCF">
      <w:pPr>
        <w:pStyle w:val="BodyText"/>
        <w:widowControl/>
        <w:spacing w:before="0"/>
        <w:jc w:val="both"/>
        <w:rPr>
          <w:rFonts w:ascii="Arial" w:eastAsiaTheme="minorHAnsi" w:hAnsi="Arial" w:cs="Arial"/>
          <w:sz w:val="20"/>
          <w:szCs w:val="20"/>
        </w:rPr>
      </w:pPr>
      <w:r w:rsidRPr="00AE6186">
        <w:rPr>
          <w:rFonts w:ascii="Arial" w:eastAsiaTheme="minorHAnsi" w:hAnsi="Arial" w:cs="Arial"/>
          <w:sz w:val="20"/>
          <w:szCs w:val="20"/>
        </w:rPr>
        <w:t xml:space="preserve">To assess the impact of the Proposed Project, the Applicant developed the following quality </w:t>
      </w:r>
      <w:r w:rsidR="00A40E3E">
        <w:rPr>
          <w:rFonts w:ascii="Arial" w:eastAsiaTheme="minorHAnsi" w:hAnsi="Arial" w:cs="Arial"/>
          <w:sz w:val="20"/>
          <w:szCs w:val="20"/>
        </w:rPr>
        <w:t>measures</w:t>
      </w:r>
      <w:r w:rsidR="00C47B4A">
        <w:rPr>
          <w:rFonts w:ascii="Arial" w:eastAsiaTheme="minorHAnsi" w:hAnsi="Arial" w:cs="Arial"/>
          <w:sz w:val="20"/>
          <w:szCs w:val="20"/>
        </w:rPr>
        <w:t xml:space="preserve">. </w:t>
      </w:r>
      <w:r w:rsidR="00A40E3E">
        <w:rPr>
          <w:rFonts w:ascii="Arial" w:eastAsiaTheme="minorHAnsi" w:hAnsi="Arial" w:cs="Arial"/>
          <w:sz w:val="20"/>
          <w:szCs w:val="20"/>
        </w:rPr>
        <w:t xml:space="preserve">The measures are discussed below and will be reported to DPH on an annual basis </w:t>
      </w:r>
      <w:r w:rsidR="00A40E3E" w:rsidRPr="00E85B75">
        <w:rPr>
          <w:rFonts w:ascii="Arial" w:eastAsiaTheme="minorHAnsi" w:hAnsi="Arial" w:cs="Arial"/>
          <w:sz w:val="20"/>
          <w:szCs w:val="20"/>
        </w:rPr>
        <w:t>following implementation of the Proposed Project</w:t>
      </w:r>
      <w:r w:rsidR="00726B51">
        <w:rPr>
          <w:rFonts w:ascii="Arial" w:eastAsiaTheme="minorHAnsi" w:hAnsi="Arial" w:cs="Arial"/>
          <w:sz w:val="20"/>
          <w:szCs w:val="20"/>
        </w:rPr>
        <w:t>.</w:t>
      </w:r>
    </w:p>
    <w:p w14:paraId="18185167" w14:textId="77777777" w:rsidR="00726B51" w:rsidRDefault="00726B51" w:rsidP="009C4CCF">
      <w:pPr>
        <w:pStyle w:val="BodyText"/>
        <w:widowControl/>
        <w:spacing w:before="0"/>
        <w:jc w:val="both"/>
        <w:rPr>
          <w:rFonts w:ascii="Arial" w:eastAsiaTheme="minorHAnsi" w:hAnsi="Arial" w:cs="Arial"/>
          <w:sz w:val="20"/>
          <w:szCs w:val="20"/>
        </w:rPr>
      </w:pPr>
    </w:p>
    <w:p w14:paraId="53B1C593" w14:textId="35A3D06F" w:rsidR="00726B51" w:rsidRPr="001D561D" w:rsidRDefault="00726B51" w:rsidP="006F5995">
      <w:pPr>
        <w:pStyle w:val="BodyText"/>
        <w:widowControl/>
        <w:numPr>
          <w:ilvl w:val="0"/>
          <w:numId w:val="43"/>
        </w:numPr>
        <w:spacing w:before="0"/>
        <w:jc w:val="both"/>
        <w:rPr>
          <w:rFonts w:ascii="Arial" w:eastAsiaTheme="minorHAnsi" w:hAnsi="Arial" w:cs="Arial"/>
          <w:sz w:val="20"/>
          <w:szCs w:val="20"/>
        </w:rPr>
      </w:pPr>
      <w:r w:rsidRPr="001D561D">
        <w:rPr>
          <w:rFonts w:ascii="Arial" w:eastAsiaTheme="minorHAnsi" w:hAnsi="Arial" w:cs="Arial"/>
          <w:b/>
          <w:bCs/>
          <w:sz w:val="20"/>
          <w:szCs w:val="20"/>
        </w:rPr>
        <w:t xml:space="preserve">Access- </w:t>
      </w:r>
      <w:r w:rsidR="000A1BB7" w:rsidRPr="001D561D">
        <w:rPr>
          <w:rFonts w:ascii="Arial" w:eastAsiaTheme="minorHAnsi" w:hAnsi="Arial" w:cs="Arial"/>
          <w:b/>
          <w:bCs/>
          <w:sz w:val="20"/>
          <w:szCs w:val="20"/>
        </w:rPr>
        <w:t>Reduce Downtime</w:t>
      </w:r>
      <w:r w:rsidR="006F5995" w:rsidRPr="001D561D">
        <w:rPr>
          <w:rFonts w:ascii="Arial" w:eastAsiaTheme="minorHAnsi" w:hAnsi="Arial" w:cs="Arial"/>
          <w:sz w:val="20"/>
          <w:szCs w:val="20"/>
        </w:rPr>
        <w:t xml:space="preserve">: </w:t>
      </w:r>
      <w:r w:rsidRPr="001D561D">
        <w:rPr>
          <w:rFonts w:ascii="Arial" w:eastAsiaTheme="minorHAnsi" w:hAnsi="Arial" w:cs="Arial"/>
          <w:sz w:val="20"/>
          <w:szCs w:val="20"/>
        </w:rPr>
        <w:t xml:space="preserve">The Proposed Project seeks to </w:t>
      </w:r>
      <w:r w:rsidR="000A1BB7" w:rsidRPr="001D561D">
        <w:rPr>
          <w:rFonts w:ascii="Arial" w:eastAsiaTheme="minorHAnsi" w:hAnsi="Arial" w:cs="Arial"/>
          <w:sz w:val="20"/>
          <w:szCs w:val="20"/>
        </w:rPr>
        <w:t xml:space="preserve">reduce the downtime hours to increase </w:t>
      </w:r>
      <w:r w:rsidRPr="001D561D">
        <w:rPr>
          <w:rFonts w:ascii="Arial" w:eastAsiaTheme="minorHAnsi" w:hAnsi="Arial" w:cs="Arial"/>
          <w:sz w:val="20"/>
          <w:szCs w:val="20"/>
        </w:rPr>
        <w:t xml:space="preserve">access to CT services for </w:t>
      </w:r>
      <w:r w:rsidR="006F5995" w:rsidRPr="001D561D">
        <w:rPr>
          <w:rFonts w:ascii="Arial" w:eastAsiaTheme="minorHAnsi" w:hAnsi="Arial" w:cs="Arial"/>
          <w:sz w:val="20"/>
          <w:szCs w:val="20"/>
        </w:rPr>
        <w:t xml:space="preserve">ED, inpatients, and </w:t>
      </w:r>
      <w:r w:rsidRPr="001D561D">
        <w:rPr>
          <w:rFonts w:ascii="Arial" w:eastAsiaTheme="minorHAnsi" w:hAnsi="Arial" w:cs="Arial"/>
          <w:sz w:val="20"/>
          <w:szCs w:val="20"/>
        </w:rPr>
        <w:t xml:space="preserve">outpatients. </w:t>
      </w:r>
    </w:p>
    <w:p w14:paraId="4E684B34" w14:textId="77777777" w:rsidR="00726B51" w:rsidRPr="001D561D" w:rsidRDefault="00726B51" w:rsidP="00726B51">
      <w:pPr>
        <w:pStyle w:val="BodyText"/>
        <w:widowControl/>
        <w:spacing w:before="0"/>
        <w:ind w:left="0"/>
        <w:jc w:val="both"/>
        <w:rPr>
          <w:rFonts w:ascii="Arial" w:eastAsiaTheme="minorHAnsi" w:hAnsi="Arial" w:cs="Arial"/>
          <w:sz w:val="20"/>
          <w:szCs w:val="20"/>
        </w:rPr>
      </w:pPr>
    </w:p>
    <w:p w14:paraId="5250198A" w14:textId="32C9AD4E" w:rsidR="00726B51" w:rsidRPr="001D561D" w:rsidRDefault="00726B51" w:rsidP="005879E7">
      <w:pPr>
        <w:pStyle w:val="BodyText"/>
        <w:widowControl/>
        <w:spacing w:before="0"/>
        <w:ind w:left="2160"/>
        <w:jc w:val="both"/>
        <w:rPr>
          <w:rFonts w:ascii="Arial" w:eastAsiaTheme="minorHAnsi" w:hAnsi="Arial" w:cs="Arial"/>
          <w:sz w:val="20"/>
          <w:szCs w:val="20"/>
        </w:rPr>
      </w:pPr>
      <w:r w:rsidRPr="001D561D">
        <w:rPr>
          <w:rFonts w:ascii="Arial" w:hAnsi="Arial" w:cs="Arial"/>
          <w:b/>
          <w:bCs/>
          <w:sz w:val="20"/>
          <w:szCs w:val="20"/>
        </w:rPr>
        <w:lastRenderedPageBreak/>
        <w:t xml:space="preserve">Measure: </w:t>
      </w:r>
      <w:r w:rsidR="000A1BB7" w:rsidRPr="001D561D">
        <w:rPr>
          <w:rFonts w:ascii="Arial" w:hAnsi="Arial" w:cs="Arial"/>
          <w:sz w:val="20"/>
          <w:szCs w:val="20"/>
        </w:rPr>
        <w:t>Downtime hours</w:t>
      </w:r>
      <w:r w:rsidR="001D561D" w:rsidRPr="001D561D">
        <w:rPr>
          <w:rFonts w:ascii="Arial" w:hAnsi="Arial" w:cs="Arial"/>
          <w:sz w:val="20"/>
          <w:szCs w:val="20"/>
        </w:rPr>
        <w:t xml:space="preserve"> per year</w:t>
      </w:r>
      <w:r w:rsidR="000A1BB7" w:rsidRPr="001D561D">
        <w:rPr>
          <w:rFonts w:ascii="Arial" w:hAnsi="Arial" w:cs="Arial"/>
          <w:sz w:val="20"/>
          <w:szCs w:val="20"/>
        </w:rPr>
        <w:t xml:space="preserve"> due to </w:t>
      </w:r>
      <w:r w:rsidR="005879E7">
        <w:rPr>
          <w:rFonts w:ascii="Arial" w:hAnsi="Arial" w:cs="Arial"/>
          <w:sz w:val="20"/>
          <w:szCs w:val="20"/>
        </w:rPr>
        <w:t xml:space="preserve">maintenance and </w:t>
      </w:r>
      <w:r w:rsidR="000A1BB7" w:rsidRPr="001D561D">
        <w:rPr>
          <w:rFonts w:ascii="Arial" w:hAnsi="Arial" w:cs="Arial"/>
          <w:sz w:val="20"/>
          <w:szCs w:val="20"/>
        </w:rPr>
        <w:t xml:space="preserve">interventional radiology procedures. </w:t>
      </w:r>
    </w:p>
    <w:p w14:paraId="13D2E283" w14:textId="77777777" w:rsidR="00726B51" w:rsidRPr="001D561D" w:rsidRDefault="00726B51" w:rsidP="00726B51">
      <w:pPr>
        <w:pStyle w:val="BodyText"/>
        <w:widowControl/>
        <w:spacing w:before="0"/>
        <w:ind w:left="1800"/>
        <w:jc w:val="both"/>
        <w:rPr>
          <w:rFonts w:ascii="Arial" w:eastAsiaTheme="minorHAnsi" w:hAnsi="Arial" w:cs="Arial"/>
          <w:sz w:val="20"/>
          <w:szCs w:val="20"/>
        </w:rPr>
      </w:pPr>
    </w:p>
    <w:p w14:paraId="50F5AECD" w14:textId="7E0A49D9" w:rsidR="00726B51" w:rsidRPr="001D561D" w:rsidRDefault="00726B51" w:rsidP="000A1BB7">
      <w:pPr>
        <w:ind w:left="1440" w:firstLine="720"/>
        <w:rPr>
          <w:rFonts w:ascii="Arial" w:hAnsi="Arial" w:cs="Arial"/>
          <w:sz w:val="20"/>
          <w:szCs w:val="20"/>
        </w:rPr>
      </w:pPr>
      <w:r w:rsidRPr="001D561D">
        <w:rPr>
          <w:rFonts w:ascii="Arial" w:hAnsi="Arial" w:cs="Arial"/>
          <w:b/>
          <w:bCs/>
          <w:sz w:val="20"/>
          <w:szCs w:val="20"/>
        </w:rPr>
        <w:t xml:space="preserve">Baseline: </w:t>
      </w:r>
      <w:r w:rsidR="001C7F79">
        <w:rPr>
          <w:rFonts w:ascii="Arial" w:hAnsi="Arial" w:cs="Arial"/>
          <w:sz w:val="20"/>
          <w:szCs w:val="20"/>
        </w:rPr>
        <w:t>Total Downtime hours</w:t>
      </w:r>
      <w:r w:rsidR="005879E7">
        <w:rPr>
          <w:rFonts w:ascii="Arial" w:hAnsi="Arial" w:cs="Arial"/>
          <w:sz w:val="20"/>
          <w:szCs w:val="20"/>
        </w:rPr>
        <w:t>:</w:t>
      </w:r>
      <w:r w:rsidR="001C7F79">
        <w:rPr>
          <w:rFonts w:ascii="Arial" w:hAnsi="Arial" w:cs="Arial"/>
          <w:sz w:val="20"/>
          <w:szCs w:val="20"/>
        </w:rPr>
        <w:t xml:space="preserve"> </w:t>
      </w:r>
      <w:r w:rsidR="005879E7">
        <w:rPr>
          <w:rFonts w:ascii="Arial" w:hAnsi="Arial" w:cs="Arial"/>
          <w:sz w:val="20"/>
          <w:szCs w:val="20"/>
        </w:rPr>
        <w:t>331.3</w:t>
      </w:r>
      <w:r w:rsidR="000A1BB7" w:rsidRPr="001D561D">
        <w:rPr>
          <w:rFonts w:ascii="Arial" w:hAnsi="Arial" w:cs="Arial"/>
          <w:sz w:val="20"/>
          <w:szCs w:val="20"/>
        </w:rPr>
        <w:t xml:space="preserve"> hours</w:t>
      </w:r>
      <w:r w:rsidR="006F5995" w:rsidRPr="001D561D">
        <w:rPr>
          <w:rFonts w:ascii="Arial" w:hAnsi="Arial" w:cs="Arial"/>
          <w:sz w:val="20"/>
          <w:szCs w:val="20"/>
        </w:rPr>
        <w:t xml:space="preserve">  </w:t>
      </w:r>
      <w:r w:rsidRPr="001D561D">
        <w:rPr>
          <w:rFonts w:ascii="Arial" w:hAnsi="Arial" w:cs="Arial"/>
          <w:sz w:val="20"/>
          <w:szCs w:val="20"/>
        </w:rPr>
        <w:t xml:space="preserve"> </w:t>
      </w:r>
    </w:p>
    <w:p w14:paraId="600E08ED" w14:textId="32F725E4" w:rsidR="000A1BB7" w:rsidRPr="001C7F79" w:rsidRDefault="00726B51" w:rsidP="001C7F79">
      <w:pPr>
        <w:ind w:left="1440" w:firstLine="720"/>
        <w:rPr>
          <w:rFonts w:ascii="Arial" w:hAnsi="Arial" w:cs="Arial"/>
          <w:sz w:val="20"/>
          <w:szCs w:val="20"/>
        </w:rPr>
      </w:pPr>
      <w:r w:rsidRPr="001D561D">
        <w:rPr>
          <w:rFonts w:ascii="Arial" w:hAnsi="Arial" w:cs="Arial"/>
          <w:b/>
          <w:bCs/>
          <w:sz w:val="20"/>
          <w:szCs w:val="20"/>
        </w:rPr>
        <w:t xml:space="preserve">Projections: </w:t>
      </w:r>
      <w:r w:rsidRPr="001D561D">
        <w:rPr>
          <w:rFonts w:ascii="Arial" w:hAnsi="Arial" w:cs="Arial"/>
          <w:sz w:val="20"/>
          <w:szCs w:val="20"/>
        </w:rPr>
        <w:t xml:space="preserve">Year 1: </w:t>
      </w:r>
      <w:r w:rsidR="00F7192A">
        <w:rPr>
          <w:rFonts w:ascii="Arial" w:hAnsi="Arial" w:cs="Arial"/>
          <w:sz w:val="20"/>
          <w:szCs w:val="20"/>
        </w:rPr>
        <w:t>75</w:t>
      </w:r>
      <w:r w:rsidR="000A1BB7" w:rsidRPr="001D561D">
        <w:rPr>
          <w:rFonts w:ascii="Arial" w:hAnsi="Arial" w:cs="Arial"/>
          <w:sz w:val="20"/>
          <w:szCs w:val="20"/>
        </w:rPr>
        <w:t xml:space="preserve"> hours</w:t>
      </w:r>
      <w:r w:rsidRPr="001D561D">
        <w:rPr>
          <w:rFonts w:ascii="Arial" w:hAnsi="Arial" w:cs="Arial"/>
          <w:sz w:val="20"/>
          <w:szCs w:val="20"/>
        </w:rPr>
        <w:t>; Year 2:</w:t>
      </w:r>
      <w:r w:rsidR="000A1BB7" w:rsidRPr="001D561D">
        <w:rPr>
          <w:rFonts w:ascii="Arial" w:hAnsi="Arial" w:cs="Arial"/>
          <w:sz w:val="20"/>
          <w:szCs w:val="20"/>
        </w:rPr>
        <w:t xml:space="preserve"> </w:t>
      </w:r>
      <w:r w:rsidR="00F7192A">
        <w:rPr>
          <w:rFonts w:ascii="Arial" w:hAnsi="Arial" w:cs="Arial"/>
          <w:sz w:val="20"/>
          <w:szCs w:val="20"/>
        </w:rPr>
        <w:t>50</w:t>
      </w:r>
      <w:r w:rsidR="000A1BB7" w:rsidRPr="001D561D">
        <w:rPr>
          <w:rFonts w:ascii="Arial" w:hAnsi="Arial" w:cs="Arial"/>
          <w:sz w:val="20"/>
          <w:szCs w:val="20"/>
        </w:rPr>
        <w:t xml:space="preserve"> hours</w:t>
      </w:r>
      <w:r w:rsidRPr="001D561D">
        <w:rPr>
          <w:rFonts w:ascii="Arial" w:hAnsi="Arial" w:cs="Arial"/>
          <w:sz w:val="20"/>
          <w:szCs w:val="20"/>
        </w:rPr>
        <w:t>; and Year 3:</w:t>
      </w:r>
      <w:r w:rsidR="000A1BB7" w:rsidRPr="001D561D">
        <w:rPr>
          <w:rFonts w:ascii="Arial" w:hAnsi="Arial" w:cs="Arial"/>
          <w:sz w:val="20"/>
          <w:szCs w:val="20"/>
        </w:rPr>
        <w:t xml:space="preserve"> </w:t>
      </w:r>
      <w:r w:rsidR="00F7192A">
        <w:rPr>
          <w:rFonts w:ascii="Arial" w:hAnsi="Arial" w:cs="Arial"/>
          <w:sz w:val="20"/>
          <w:szCs w:val="20"/>
        </w:rPr>
        <w:t>25</w:t>
      </w:r>
      <w:r w:rsidR="000A1BB7" w:rsidRPr="001D561D">
        <w:rPr>
          <w:rFonts w:ascii="Arial" w:hAnsi="Arial" w:cs="Arial"/>
          <w:sz w:val="20"/>
          <w:szCs w:val="20"/>
        </w:rPr>
        <w:t xml:space="preserve"> hours</w:t>
      </w:r>
      <w:r w:rsidRPr="00010F2F">
        <w:rPr>
          <w:rFonts w:ascii="Arial" w:hAnsi="Arial" w:cs="Arial"/>
          <w:sz w:val="20"/>
          <w:szCs w:val="20"/>
        </w:rPr>
        <w:t xml:space="preserve"> </w:t>
      </w:r>
    </w:p>
    <w:p w14:paraId="1F140D19" w14:textId="137A247B" w:rsidR="005A0764" w:rsidRDefault="005A0764" w:rsidP="005A0764">
      <w:pPr>
        <w:pStyle w:val="ListParagraph"/>
        <w:numPr>
          <w:ilvl w:val="0"/>
          <w:numId w:val="43"/>
        </w:numPr>
        <w:jc w:val="both"/>
        <w:rPr>
          <w:rFonts w:ascii="Arial" w:hAnsi="Arial" w:cs="Arial"/>
          <w:sz w:val="20"/>
          <w:szCs w:val="20"/>
        </w:rPr>
      </w:pPr>
      <w:r w:rsidRPr="002F3712">
        <w:rPr>
          <w:rFonts w:ascii="Arial" w:hAnsi="Arial" w:cs="Arial"/>
          <w:b/>
          <w:bCs/>
          <w:sz w:val="20"/>
          <w:szCs w:val="20"/>
        </w:rPr>
        <w:t xml:space="preserve">Access – </w:t>
      </w:r>
      <w:r w:rsidR="000A1BB7">
        <w:rPr>
          <w:rFonts w:ascii="Arial" w:hAnsi="Arial" w:cs="Arial"/>
          <w:b/>
          <w:bCs/>
          <w:sz w:val="20"/>
          <w:szCs w:val="20"/>
        </w:rPr>
        <w:t>Door to CT for Stroke Patients</w:t>
      </w:r>
      <w:r>
        <w:rPr>
          <w:rFonts w:ascii="Arial" w:hAnsi="Arial" w:cs="Arial"/>
          <w:sz w:val="20"/>
          <w:szCs w:val="20"/>
        </w:rPr>
        <w:t xml:space="preserve">: </w:t>
      </w:r>
      <w:r w:rsidR="000A1BB7" w:rsidRPr="00010F2F">
        <w:rPr>
          <w:rFonts w:ascii="Arial" w:hAnsi="Arial" w:cs="Arial"/>
          <w:sz w:val="20"/>
          <w:szCs w:val="20"/>
        </w:rPr>
        <w:t xml:space="preserve">Adding a </w:t>
      </w:r>
      <w:r w:rsidR="000A1BB7">
        <w:rPr>
          <w:rFonts w:ascii="Arial" w:hAnsi="Arial" w:cs="Arial"/>
          <w:sz w:val="20"/>
          <w:szCs w:val="20"/>
        </w:rPr>
        <w:t xml:space="preserve">second </w:t>
      </w:r>
      <w:r w:rsidR="000A1BB7" w:rsidRPr="00010F2F">
        <w:rPr>
          <w:rFonts w:ascii="Arial" w:hAnsi="Arial" w:cs="Arial"/>
          <w:sz w:val="20"/>
          <w:szCs w:val="20"/>
        </w:rPr>
        <w:t>CT unit will likely decrease time from door to CT for stroke patients. As a result, stroke patients will receive a timely diagnosis that will direct subsequent medical treatment.</w:t>
      </w:r>
      <w:r w:rsidR="00CF5813">
        <w:rPr>
          <w:rFonts w:ascii="Arial" w:hAnsi="Arial" w:cs="Arial"/>
          <w:sz w:val="20"/>
          <w:szCs w:val="20"/>
        </w:rPr>
        <w:t xml:space="preserve"> Through the Proposed Project AJH seeks to maintain and improve average door to CT time.</w:t>
      </w:r>
    </w:p>
    <w:p w14:paraId="5F4742C9" w14:textId="77777777" w:rsidR="005A0764" w:rsidRDefault="005A0764" w:rsidP="005A0764">
      <w:pPr>
        <w:pStyle w:val="ListParagraph"/>
        <w:ind w:left="1800"/>
        <w:rPr>
          <w:rFonts w:ascii="Arial" w:hAnsi="Arial" w:cs="Arial"/>
          <w:sz w:val="20"/>
          <w:szCs w:val="20"/>
        </w:rPr>
      </w:pPr>
    </w:p>
    <w:p w14:paraId="6BB77AA0" w14:textId="77777777" w:rsidR="000A1BB7" w:rsidRDefault="005A0764" w:rsidP="000A1BB7">
      <w:pPr>
        <w:pStyle w:val="ListParagraph"/>
        <w:ind w:left="1800" w:firstLine="360"/>
        <w:rPr>
          <w:rFonts w:ascii="Arial" w:hAnsi="Arial" w:cs="Arial"/>
          <w:sz w:val="20"/>
          <w:szCs w:val="20"/>
        </w:rPr>
      </w:pPr>
      <w:r>
        <w:rPr>
          <w:rFonts w:ascii="Arial" w:hAnsi="Arial" w:cs="Arial"/>
          <w:b/>
          <w:bCs/>
          <w:sz w:val="20"/>
          <w:szCs w:val="20"/>
        </w:rPr>
        <w:t>Measure</w:t>
      </w:r>
      <w:r>
        <w:rPr>
          <w:rFonts w:ascii="Arial" w:hAnsi="Arial" w:cs="Arial"/>
          <w:sz w:val="20"/>
          <w:szCs w:val="20"/>
        </w:rPr>
        <w:t xml:space="preserve">: </w:t>
      </w:r>
      <w:r w:rsidR="000A1BB7" w:rsidRPr="00884A8B">
        <w:rPr>
          <w:rFonts w:ascii="Arial" w:hAnsi="Arial" w:cs="Arial"/>
          <w:sz w:val="20"/>
          <w:szCs w:val="20"/>
        </w:rPr>
        <w:t>Length of time</w:t>
      </w:r>
      <w:r w:rsidR="000A1BB7">
        <w:rPr>
          <w:rFonts w:ascii="Arial" w:hAnsi="Arial" w:cs="Arial"/>
          <w:b/>
          <w:bCs/>
          <w:sz w:val="20"/>
          <w:szCs w:val="20"/>
        </w:rPr>
        <w:t xml:space="preserve"> </w:t>
      </w:r>
      <w:r w:rsidR="000A1BB7">
        <w:rPr>
          <w:rFonts w:ascii="Arial" w:hAnsi="Arial" w:cs="Arial"/>
          <w:sz w:val="20"/>
          <w:szCs w:val="20"/>
        </w:rPr>
        <w:t xml:space="preserve">between when patient reaches the Hospital to when a </w:t>
      </w:r>
    </w:p>
    <w:p w14:paraId="03D38D43" w14:textId="6F1F6E14" w:rsidR="005A0764" w:rsidRDefault="000A1BB7" w:rsidP="000A1BB7">
      <w:pPr>
        <w:pStyle w:val="ListParagraph"/>
        <w:ind w:left="2520" w:firstLine="360"/>
        <w:rPr>
          <w:rFonts w:ascii="Arial" w:hAnsi="Arial" w:cs="Arial"/>
          <w:sz w:val="20"/>
          <w:szCs w:val="20"/>
        </w:rPr>
      </w:pPr>
      <w:r>
        <w:rPr>
          <w:rFonts w:ascii="Arial" w:hAnsi="Arial" w:cs="Arial"/>
          <w:b/>
          <w:bCs/>
          <w:sz w:val="20"/>
          <w:szCs w:val="20"/>
        </w:rPr>
        <w:t xml:space="preserve">   </w:t>
      </w:r>
      <w:r>
        <w:rPr>
          <w:rFonts w:ascii="Arial" w:hAnsi="Arial" w:cs="Arial"/>
          <w:sz w:val="20"/>
          <w:szCs w:val="20"/>
        </w:rPr>
        <w:t>CT scan begins.</w:t>
      </w:r>
    </w:p>
    <w:p w14:paraId="23CED9BF" w14:textId="77777777" w:rsidR="000A1BB7" w:rsidRPr="000A1BB7" w:rsidRDefault="000A1BB7" w:rsidP="000A1BB7">
      <w:pPr>
        <w:pStyle w:val="ListParagraph"/>
        <w:ind w:left="2520" w:firstLine="360"/>
        <w:rPr>
          <w:rFonts w:ascii="Arial" w:hAnsi="Arial" w:cs="Arial"/>
          <w:sz w:val="20"/>
          <w:szCs w:val="20"/>
        </w:rPr>
      </w:pPr>
    </w:p>
    <w:p w14:paraId="341A33D5" w14:textId="6A2AF15D" w:rsidR="005A0764" w:rsidRDefault="005A0764" w:rsidP="00CF5813">
      <w:pPr>
        <w:pStyle w:val="ListParagraph"/>
        <w:ind w:left="1800" w:firstLine="360"/>
        <w:rPr>
          <w:rFonts w:ascii="Arial" w:hAnsi="Arial" w:cs="Arial"/>
          <w:sz w:val="20"/>
          <w:szCs w:val="20"/>
        </w:rPr>
      </w:pPr>
      <w:r w:rsidRPr="006F5995">
        <w:rPr>
          <w:rFonts w:ascii="Arial" w:hAnsi="Arial" w:cs="Arial"/>
          <w:b/>
          <w:bCs/>
          <w:sz w:val="20"/>
          <w:szCs w:val="20"/>
        </w:rPr>
        <w:t>Baseline:</w:t>
      </w:r>
      <w:r w:rsidR="000A1BB7" w:rsidRPr="000A1BB7">
        <w:rPr>
          <w:rFonts w:ascii="Arial" w:hAnsi="Arial" w:cs="Arial"/>
          <w:sz w:val="20"/>
          <w:szCs w:val="20"/>
        </w:rPr>
        <w:t xml:space="preserve"> </w:t>
      </w:r>
      <w:r w:rsidR="000A1BB7">
        <w:rPr>
          <w:rFonts w:ascii="Arial" w:hAnsi="Arial" w:cs="Arial"/>
          <w:sz w:val="20"/>
          <w:szCs w:val="20"/>
        </w:rPr>
        <w:t>Average door to CT scan time: 23 minutes</w:t>
      </w:r>
    </w:p>
    <w:p w14:paraId="0C7A6AF0" w14:textId="77777777" w:rsidR="00CF5813" w:rsidRPr="00CF5813" w:rsidRDefault="00CF5813" w:rsidP="00CF5813">
      <w:pPr>
        <w:pStyle w:val="ListParagraph"/>
        <w:ind w:left="1800" w:firstLine="360"/>
        <w:rPr>
          <w:rFonts w:ascii="Arial" w:hAnsi="Arial" w:cs="Arial"/>
          <w:sz w:val="20"/>
          <w:szCs w:val="20"/>
        </w:rPr>
      </w:pPr>
    </w:p>
    <w:p w14:paraId="6B34CA80" w14:textId="27C98A3E" w:rsidR="000A1BB7" w:rsidRDefault="005A0764" w:rsidP="000A1BB7">
      <w:pPr>
        <w:pStyle w:val="ListParagraph"/>
        <w:ind w:left="1800" w:firstLine="360"/>
        <w:rPr>
          <w:rFonts w:ascii="Arial" w:hAnsi="Arial" w:cs="Arial"/>
          <w:sz w:val="20"/>
          <w:szCs w:val="20"/>
        </w:rPr>
      </w:pPr>
      <w:r w:rsidRPr="006F5995">
        <w:rPr>
          <w:rFonts w:ascii="Arial" w:hAnsi="Arial" w:cs="Arial"/>
          <w:b/>
          <w:bCs/>
          <w:sz w:val="20"/>
          <w:szCs w:val="20"/>
        </w:rPr>
        <w:t>Projections:</w:t>
      </w:r>
      <w:r w:rsidR="000A1BB7">
        <w:rPr>
          <w:rFonts w:ascii="Arial" w:hAnsi="Arial" w:cs="Arial"/>
          <w:b/>
          <w:bCs/>
          <w:sz w:val="20"/>
          <w:szCs w:val="20"/>
        </w:rPr>
        <w:t xml:space="preserve"> </w:t>
      </w:r>
      <w:r w:rsidR="000A1BB7" w:rsidRPr="00DF4EF8">
        <w:rPr>
          <w:rFonts w:ascii="Arial" w:hAnsi="Arial" w:cs="Arial"/>
          <w:sz w:val="20"/>
          <w:szCs w:val="20"/>
        </w:rPr>
        <w:t>Year 1:</w:t>
      </w:r>
      <w:r w:rsidR="000A1BB7" w:rsidRPr="00010F2F">
        <w:rPr>
          <w:rFonts w:ascii="Arial" w:hAnsi="Arial" w:cs="Arial"/>
          <w:sz w:val="20"/>
          <w:szCs w:val="20"/>
        </w:rPr>
        <w:t xml:space="preserve"> </w:t>
      </w:r>
      <w:r w:rsidR="000A1BB7">
        <w:rPr>
          <w:rFonts w:ascii="Arial" w:hAnsi="Arial" w:cs="Arial"/>
          <w:sz w:val="20"/>
          <w:szCs w:val="20"/>
        </w:rPr>
        <w:t>22</w:t>
      </w:r>
      <w:r w:rsidR="000A1BB7" w:rsidRPr="00010F2F">
        <w:rPr>
          <w:rFonts w:ascii="Arial" w:hAnsi="Arial" w:cs="Arial"/>
          <w:sz w:val="20"/>
          <w:szCs w:val="20"/>
        </w:rPr>
        <w:t xml:space="preserve"> minutes; Year 2: </w:t>
      </w:r>
      <w:r w:rsidR="000A1BB7">
        <w:rPr>
          <w:rFonts w:ascii="Arial" w:hAnsi="Arial" w:cs="Arial"/>
          <w:sz w:val="20"/>
          <w:szCs w:val="20"/>
        </w:rPr>
        <w:t>21 minutes</w:t>
      </w:r>
      <w:r w:rsidR="000A1BB7" w:rsidRPr="00010F2F">
        <w:rPr>
          <w:rFonts w:ascii="Arial" w:hAnsi="Arial" w:cs="Arial"/>
          <w:sz w:val="20"/>
          <w:szCs w:val="20"/>
        </w:rPr>
        <w:t xml:space="preserve">; and Year 3: </w:t>
      </w:r>
      <w:r w:rsidR="000A1BB7">
        <w:rPr>
          <w:rFonts w:ascii="Arial" w:hAnsi="Arial" w:cs="Arial"/>
          <w:sz w:val="20"/>
          <w:szCs w:val="20"/>
        </w:rPr>
        <w:t xml:space="preserve">20   </w:t>
      </w:r>
    </w:p>
    <w:p w14:paraId="30FCB04F" w14:textId="1AD80F59" w:rsidR="009C4CCF" w:rsidRPr="000A1BB7" w:rsidRDefault="000A1BB7" w:rsidP="000A1BB7">
      <w:pPr>
        <w:pStyle w:val="ListParagraph"/>
        <w:ind w:left="1800" w:firstLine="360"/>
        <w:rPr>
          <w:rFonts w:ascii="Arial" w:hAnsi="Arial" w:cs="Arial"/>
          <w:sz w:val="20"/>
          <w:szCs w:val="20"/>
        </w:rPr>
      </w:pPr>
      <w:r>
        <w:rPr>
          <w:rFonts w:ascii="Arial" w:hAnsi="Arial" w:cs="Arial"/>
          <w:b/>
          <w:bCs/>
          <w:sz w:val="20"/>
          <w:szCs w:val="20"/>
        </w:rPr>
        <w:t xml:space="preserve">                      </w:t>
      </w:r>
      <w:r w:rsidRPr="000A1BB7">
        <w:rPr>
          <w:rFonts w:ascii="Arial" w:hAnsi="Arial" w:cs="Arial"/>
          <w:sz w:val="20"/>
          <w:szCs w:val="20"/>
        </w:rPr>
        <w:t>minutes</w:t>
      </w:r>
    </w:p>
    <w:p w14:paraId="585BE721" w14:textId="77777777" w:rsidR="009C4CCF" w:rsidRPr="002F3712" w:rsidRDefault="009C4CCF" w:rsidP="009C4CCF">
      <w:pPr>
        <w:spacing w:after="0" w:line="240" w:lineRule="auto"/>
        <w:jc w:val="both"/>
        <w:rPr>
          <w:rFonts w:ascii="Arial" w:hAnsi="Arial" w:cs="Arial"/>
          <w:b/>
          <w:kern w:val="2"/>
        </w:rPr>
      </w:pPr>
    </w:p>
    <w:p w14:paraId="44E90D14" w14:textId="17133EC6" w:rsidR="009C4CCF" w:rsidRPr="002F3712" w:rsidRDefault="009C4CCF" w:rsidP="009C4CCF">
      <w:pPr>
        <w:spacing w:after="0" w:line="240" w:lineRule="auto"/>
        <w:jc w:val="both"/>
        <w:rPr>
          <w:rFonts w:ascii="Arial" w:eastAsia="Arial" w:hAnsi="Arial" w:cs="Arial"/>
          <w:b/>
          <w:kern w:val="2"/>
        </w:rPr>
      </w:pPr>
      <w:r w:rsidRPr="002F3712">
        <w:rPr>
          <w:rFonts w:ascii="Arial" w:hAnsi="Arial" w:cs="Arial"/>
          <w:b/>
          <w:kern w:val="2"/>
        </w:rPr>
        <w:t>F1.b.iii</w:t>
      </w:r>
      <w:r w:rsidRPr="002F3712">
        <w:rPr>
          <w:rFonts w:ascii="Arial" w:hAnsi="Arial" w:cs="Arial"/>
          <w:b/>
          <w:kern w:val="2"/>
        </w:rPr>
        <w:tab/>
      </w:r>
      <w:r w:rsidRPr="002F3712">
        <w:rPr>
          <w:rFonts w:ascii="Arial" w:hAnsi="Arial" w:cs="Arial"/>
          <w:kern w:val="2"/>
        </w:rPr>
        <w:tab/>
      </w:r>
      <w:r w:rsidRPr="002F3712">
        <w:rPr>
          <w:rFonts w:ascii="Arial" w:hAnsi="Arial" w:cs="Arial"/>
          <w:b/>
          <w:kern w:val="2"/>
          <w:u w:val="single"/>
        </w:rPr>
        <w:t>Public Health Value /Health Equity-Focused:</w:t>
      </w:r>
    </w:p>
    <w:p w14:paraId="3BA77EEC" w14:textId="77777777" w:rsidR="009C4CCF" w:rsidRPr="002F3712" w:rsidRDefault="009C4CCF" w:rsidP="009C4CCF">
      <w:pPr>
        <w:pStyle w:val="BodyText"/>
        <w:widowControl/>
        <w:spacing w:before="0"/>
        <w:ind w:left="1440"/>
        <w:jc w:val="both"/>
        <w:rPr>
          <w:rFonts w:ascii="Arial" w:hAnsi="Arial" w:cs="Arial"/>
          <w:b/>
          <w:kern w:val="2"/>
          <w:sz w:val="22"/>
          <w:szCs w:val="22"/>
        </w:rPr>
      </w:pPr>
      <w:r w:rsidRPr="002F3712">
        <w:rPr>
          <w:rFonts w:ascii="Arial" w:hAnsi="Arial" w:cs="Arial"/>
          <w:b/>
          <w:kern w:val="2"/>
          <w:sz w:val="22"/>
          <w:szCs w:val="22"/>
        </w:rPr>
        <w:t xml:space="preserve">For Proposed Projects addressing health inequities identified within the Applicant's description of the Proposed Project's </w:t>
      </w:r>
      <w:proofErr w:type="spellStart"/>
      <w:r w:rsidRPr="002F3712">
        <w:rPr>
          <w:rFonts w:ascii="Arial" w:hAnsi="Arial" w:cs="Arial"/>
          <w:b/>
          <w:kern w:val="2"/>
          <w:sz w:val="22"/>
          <w:szCs w:val="22"/>
        </w:rPr>
        <w:t>need</w:t>
      </w:r>
      <w:r w:rsidRPr="002F3712">
        <w:rPr>
          <w:rFonts w:ascii="Arial" w:hAnsi="Arial" w:cs="Arial"/>
          <w:b/>
          <w:kern w:val="2"/>
          <w:sz w:val="22"/>
          <w:szCs w:val="22"/>
        </w:rPr>
        <w:softHyphen/>
        <w:t>base</w:t>
      </w:r>
      <w:proofErr w:type="spellEnd"/>
      <w:r w:rsidRPr="002F3712">
        <w:rPr>
          <w:rFonts w:ascii="Arial" w:hAnsi="Arial" w:cs="Arial"/>
          <w:b/>
          <w:kern w:val="2"/>
          <w:sz w:val="22"/>
          <w:szCs w:val="22"/>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23BD0897" w14:textId="77777777" w:rsidR="009C4CCF" w:rsidRDefault="009C4CCF" w:rsidP="009C4CCF">
      <w:pPr>
        <w:pStyle w:val="BodyText"/>
        <w:widowControl/>
        <w:spacing w:before="0"/>
        <w:ind w:left="1440"/>
        <w:jc w:val="both"/>
        <w:rPr>
          <w:rFonts w:ascii="Arial" w:hAnsi="Arial" w:cs="Arial"/>
          <w:b/>
          <w:kern w:val="2"/>
          <w:sz w:val="20"/>
          <w:szCs w:val="20"/>
        </w:rPr>
      </w:pPr>
    </w:p>
    <w:p w14:paraId="68984E84" w14:textId="3E2A1DBF" w:rsidR="00E53050" w:rsidRPr="00221624" w:rsidRDefault="00E53050" w:rsidP="00E53050">
      <w:pPr>
        <w:pStyle w:val="BodyText"/>
        <w:widowControl/>
        <w:spacing w:before="0"/>
        <w:ind w:left="0"/>
        <w:jc w:val="both"/>
        <w:rPr>
          <w:rFonts w:ascii="Arial" w:eastAsiaTheme="minorHAnsi" w:hAnsi="Arial" w:cs="Arial"/>
          <w:sz w:val="20"/>
          <w:szCs w:val="20"/>
        </w:rPr>
      </w:pPr>
      <w:r>
        <w:rPr>
          <w:rFonts w:ascii="Arial" w:eastAsiaTheme="minorHAnsi" w:hAnsi="Arial" w:cs="Arial"/>
          <w:sz w:val="20"/>
          <w:szCs w:val="20"/>
        </w:rPr>
        <w:t xml:space="preserve">AJH </w:t>
      </w:r>
      <w:r w:rsidRPr="00221624">
        <w:rPr>
          <w:rFonts w:ascii="Arial" w:eastAsiaTheme="minorHAnsi" w:hAnsi="Arial" w:cs="Arial"/>
          <w:sz w:val="20"/>
          <w:szCs w:val="20"/>
        </w:rPr>
        <w:t>continually strives to ensure health equity to all populations, including vulnerable and underserved populations.</w:t>
      </w:r>
      <w:r w:rsidR="00D024A4">
        <w:rPr>
          <w:rFonts w:ascii="Arial" w:eastAsiaTheme="minorHAnsi" w:hAnsi="Arial" w:cs="Arial"/>
          <w:sz w:val="20"/>
          <w:szCs w:val="20"/>
        </w:rPr>
        <w:t xml:space="preserve"> </w:t>
      </w:r>
      <w:r w:rsidRPr="00221624">
        <w:rPr>
          <w:rFonts w:ascii="Arial" w:eastAsiaTheme="minorHAnsi" w:hAnsi="Arial" w:cs="Arial"/>
          <w:sz w:val="20"/>
          <w:szCs w:val="20"/>
        </w:rPr>
        <w:t xml:space="preserve">The Proposed Project will increase access to hospital-based CT services and will ensure accessibility of </w:t>
      </w:r>
      <w:r>
        <w:rPr>
          <w:rFonts w:ascii="Arial" w:eastAsiaTheme="minorHAnsi" w:hAnsi="Arial" w:cs="Arial"/>
          <w:sz w:val="20"/>
          <w:szCs w:val="20"/>
        </w:rPr>
        <w:t>AJH</w:t>
      </w:r>
      <w:r w:rsidRPr="00221624">
        <w:rPr>
          <w:rFonts w:ascii="Arial" w:eastAsiaTheme="minorHAnsi" w:hAnsi="Arial" w:cs="Arial"/>
          <w:sz w:val="20"/>
          <w:szCs w:val="20"/>
        </w:rPr>
        <w:t xml:space="preserve"> services for </w:t>
      </w:r>
      <w:r w:rsidR="00D024A4">
        <w:rPr>
          <w:rFonts w:ascii="Arial" w:eastAsiaTheme="minorHAnsi" w:hAnsi="Arial" w:cs="Arial"/>
          <w:sz w:val="20"/>
          <w:szCs w:val="20"/>
        </w:rPr>
        <w:t>low income</w:t>
      </w:r>
      <w:r w:rsidRPr="00221624">
        <w:rPr>
          <w:rFonts w:ascii="Arial" w:eastAsiaTheme="minorHAnsi" w:hAnsi="Arial" w:cs="Arial"/>
          <w:sz w:val="20"/>
          <w:szCs w:val="20"/>
        </w:rPr>
        <w:t xml:space="preserve">, medically indigent and/or Medicaid </w:t>
      </w:r>
      <w:r w:rsidR="00CF5813">
        <w:rPr>
          <w:rFonts w:ascii="Arial" w:eastAsiaTheme="minorHAnsi" w:hAnsi="Arial" w:cs="Arial"/>
          <w:sz w:val="20"/>
          <w:szCs w:val="20"/>
        </w:rPr>
        <w:t>beneficiaries.</w:t>
      </w:r>
      <w:r w:rsidRPr="00221624">
        <w:rPr>
          <w:rFonts w:ascii="Arial" w:eastAsiaTheme="minorHAnsi" w:hAnsi="Arial" w:cs="Arial"/>
          <w:sz w:val="20"/>
          <w:szCs w:val="20"/>
        </w:rPr>
        <w:t xml:space="preserve">  </w:t>
      </w:r>
      <w:r>
        <w:rPr>
          <w:rFonts w:ascii="Arial" w:eastAsiaTheme="minorHAnsi" w:hAnsi="Arial" w:cs="Arial"/>
          <w:sz w:val="20"/>
          <w:szCs w:val="20"/>
        </w:rPr>
        <w:t>AJH</w:t>
      </w:r>
      <w:r w:rsidRPr="00221624">
        <w:rPr>
          <w:rFonts w:ascii="Arial" w:eastAsiaTheme="minorHAnsi" w:hAnsi="Arial" w:cs="Arial"/>
          <w:sz w:val="20"/>
          <w:szCs w:val="20"/>
        </w:rPr>
        <w:t xml:space="preserve"> is committed to serving the community regardless of an individual’s ability to pay and does not discriminate based on payor source.  </w:t>
      </w:r>
    </w:p>
    <w:p w14:paraId="360900B6" w14:textId="77777777" w:rsidR="00E53050" w:rsidRPr="00221624" w:rsidRDefault="00E53050" w:rsidP="00E53050">
      <w:pPr>
        <w:pStyle w:val="BodyText"/>
        <w:widowControl/>
        <w:spacing w:before="0"/>
        <w:ind w:left="0"/>
        <w:jc w:val="both"/>
        <w:rPr>
          <w:rFonts w:ascii="Arial" w:eastAsiaTheme="minorHAnsi" w:hAnsi="Arial" w:cs="Arial"/>
          <w:sz w:val="20"/>
          <w:szCs w:val="20"/>
        </w:rPr>
      </w:pPr>
    </w:p>
    <w:p w14:paraId="126D0908" w14:textId="58E15B76" w:rsidR="00E53050" w:rsidRPr="00221624" w:rsidRDefault="00FB3114" w:rsidP="00E53050">
      <w:pPr>
        <w:spacing w:after="0" w:line="240" w:lineRule="auto"/>
        <w:jc w:val="both"/>
        <w:rPr>
          <w:rFonts w:ascii="Arial" w:hAnsi="Arial" w:cs="Arial"/>
          <w:sz w:val="20"/>
          <w:szCs w:val="20"/>
        </w:rPr>
      </w:pPr>
      <w:r>
        <w:rPr>
          <w:rFonts w:ascii="Arial" w:hAnsi="Arial" w:cs="Arial"/>
          <w:sz w:val="20"/>
          <w:szCs w:val="20"/>
        </w:rPr>
        <w:t>The</w:t>
      </w:r>
      <w:r w:rsidR="00E53050" w:rsidRPr="00221624">
        <w:rPr>
          <w:rFonts w:ascii="Arial" w:hAnsi="Arial" w:cs="Arial"/>
          <w:sz w:val="20"/>
          <w:szCs w:val="20"/>
        </w:rPr>
        <w:t xml:space="preserve"> Proposed Project will increase access to high quality and cost-effective care for all clinically appropriate patients in the proposed service area. A vital component of such access is through the provision of culturally and linguistically competent care to all patients.</w:t>
      </w:r>
      <w:r w:rsidR="00E53050">
        <w:rPr>
          <w:rFonts w:ascii="Arial" w:hAnsi="Arial" w:cs="Arial"/>
          <w:sz w:val="20"/>
          <w:szCs w:val="20"/>
        </w:rPr>
        <w:t xml:space="preserve"> Additionally, BILH is working to reduce health inequities through the collection of demographic data. </w:t>
      </w:r>
      <w:r w:rsidR="00E53050" w:rsidRPr="00221624">
        <w:rPr>
          <w:rFonts w:ascii="Arial" w:hAnsi="Arial" w:cs="Arial"/>
          <w:sz w:val="20"/>
          <w:szCs w:val="20"/>
        </w:rPr>
        <w:t>By</w:t>
      </w:r>
      <w:r w:rsidR="00E53050" w:rsidRPr="00221624">
        <w:rPr>
          <w:rFonts w:ascii="Arial" w:hAnsi="Arial" w:cs="Arial"/>
          <w:color w:val="262626"/>
          <w:sz w:val="20"/>
          <w:szCs w:val="20"/>
        </w:rPr>
        <w:t xml:space="preserve"> recognizing and responding to differences in cultures, </w:t>
      </w:r>
      <w:r>
        <w:rPr>
          <w:rFonts w:ascii="Arial" w:hAnsi="Arial" w:cs="Arial"/>
          <w:color w:val="262626"/>
          <w:sz w:val="20"/>
          <w:szCs w:val="20"/>
        </w:rPr>
        <w:t xml:space="preserve">BILH and </w:t>
      </w:r>
      <w:r w:rsidR="00E53050">
        <w:rPr>
          <w:rFonts w:ascii="Arial" w:hAnsi="Arial" w:cs="Arial"/>
          <w:color w:val="262626"/>
          <w:sz w:val="20"/>
          <w:szCs w:val="20"/>
        </w:rPr>
        <w:t>AJH</w:t>
      </w:r>
      <w:r w:rsidR="00E53050" w:rsidRPr="00221624">
        <w:rPr>
          <w:rFonts w:ascii="Arial" w:hAnsi="Arial" w:cs="Arial"/>
          <w:color w:val="262626"/>
          <w:sz w:val="20"/>
          <w:szCs w:val="20"/>
        </w:rPr>
        <w:t xml:space="preserve"> work to ensure patient </w:t>
      </w:r>
      <w:r w:rsidR="00E53050" w:rsidRPr="00221624">
        <w:rPr>
          <w:rFonts w:ascii="Arial" w:hAnsi="Arial" w:cs="Arial"/>
          <w:sz w:val="20"/>
          <w:szCs w:val="20"/>
        </w:rPr>
        <w:t xml:space="preserve">understanding and promote a positive patient experience.  </w:t>
      </w:r>
    </w:p>
    <w:p w14:paraId="7C00333F" w14:textId="77777777" w:rsidR="00E53050" w:rsidRPr="00221624" w:rsidRDefault="00E53050" w:rsidP="00E53050">
      <w:pPr>
        <w:pStyle w:val="BodyText"/>
        <w:widowControl/>
        <w:spacing w:before="0"/>
        <w:ind w:left="0"/>
        <w:jc w:val="both"/>
        <w:rPr>
          <w:rFonts w:ascii="Arial" w:eastAsiaTheme="minorHAnsi" w:hAnsi="Arial" w:cs="Arial"/>
          <w:sz w:val="20"/>
          <w:szCs w:val="20"/>
        </w:rPr>
      </w:pPr>
    </w:p>
    <w:p w14:paraId="2EBAF2B2" w14:textId="77777777" w:rsidR="00E53050" w:rsidRPr="00221624" w:rsidRDefault="00E53050" w:rsidP="00E53050">
      <w:pPr>
        <w:pStyle w:val="BodyText"/>
        <w:widowControl/>
        <w:numPr>
          <w:ilvl w:val="0"/>
          <w:numId w:val="25"/>
        </w:numPr>
        <w:spacing w:before="0"/>
        <w:jc w:val="both"/>
        <w:rPr>
          <w:rFonts w:ascii="Arial" w:eastAsiaTheme="minorHAnsi" w:hAnsi="Arial" w:cs="Arial"/>
          <w:sz w:val="20"/>
          <w:szCs w:val="20"/>
          <w:u w:val="single"/>
        </w:rPr>
      </w:pPr>
      <w:r w:rsidRPr="00221624">
        <w:rPr>
          <w:rFonts w:ascii="Arial" w:eastAsiaTheme="minorHAnsi" w:hAnsi="Arial" w:cs="Arial"/>
          <w:sz w:val="20"/>
          <w:szCs w:val="20"/>
          <w:u w:val="single"/>
        </w:rPr>
        <w:t xml:space="preserve">Ensuring Language Accessibility </w:t>
      </w:r>
    </w:p>
    <w:p w14:paraId="54FD656A" w14:textId="77777777" w:rsidR="00E53050" w:rsidRPr="00221624" w:rsidRDefault="00E53050" w:rsidP="00E53050">
      <w:pPr>
        <w:pStyle w:val="BodyText"/>
        <w:widowControl/>
        <w:spacing w:before="0"/>
        <w:jc w:val="both"/>
        <w:rPr>
          <w:rFonts w:ascii="Arial" w:eastAsiaTheme="minorHAnsi" w:hAnsi="Arial" w:cs="Arial"/>
          <w:sz w:val="20"/>
          <w:szCs w:val="20"/>
          <w:u w:val="single"/>
        </w:rPr>
      </w:pPr>
    </w:p>
    <w:p w14:paraId="182869AE" w14:textId="3C51EEFF" w:rsidR="00E53050" w:rsidRPr="00327834" w:rsidRDefault="00E53050" w:rsidP="00E53050">
      <w:pPr>
        <w:pStyle w:val="NormalWeb"/>
        <w:shd w:val="clear" w:color="auto" w:fill="FFFFFF"/>
        <w:jc w:val="both"/>
        <w:rPr>
          <w:rFonts w:ascii="Arial" w:hAnsi="Arial" w:cs="Arial"/>
          <w:color w:val="262626"/>
          <w:sz w:val="20"/>
          <w:szCs w:val="20"/>
        </w:rPr>
      </w:pPr>
      <w:r w:rsidRPr="00327834">
        <w:rPr>
          <w:rFonts w:ascii="Arial" w:hAnsi="Arial" w:cs="Arial"/>
          <w:color w:val="262626"/>
          <w:sz w:val="20"/>
          <w:szCs w:val="20"/>
        </w:rPr>
        <w:t>AJH is committed to ensuring doctors, nurses, and healthcare providers have the resources to establish a direct relationship with their non-English or limited English-speaking patients through accurate and complete interpretation services which are available</w:t>
      </w:r>
      <w:r>
        <w:rPr>
          <w:rFonts w:ascii="Arial" w:hAnsi="Arial" w:cs="Arial"/>
          <w:color w:val="262626"/>
          <w:sz w:val="20"/>
          <w:szCs w:val="20"/>
        </w:rPr>
        <w:t xml:space="preserve"> 24/7</w:t>
      </w:r>
      <w:r w:rsidRPr="00327834">
        <w:rPr>
          <w:rFonts w:ascii="Arial" w:hAnsi="Arial" w:cs="Arial"/>
          <w:color w:val="262626"/>
          <w:sz w:val="20"/>
          <w:szCs w:val="20"/>
        </w:rPr>
        <w:t xml:space="preserve"> at no charge.</w:t>
      </w:r>
      <w:r w:rsidRPr="00327834">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AJH has two language vendors with access to over 300 languages. Each vendor provides 24/7 phone interpretation and document translation as well as video interpretation for specific languages. AJH has a designated Spanish interpreter available on site as well as in-person interpretation through the vendor</w:t>
      </w:r>
      <w:r w:rsidRPr="00327834">
        <w:rPr>
          <w:rFonts w:ascii="Arial" w:hAnsi="Arial" w:cs="Arial"/>
          <w:color w:val="000000"/>
          <w:sz w:val="20"/>
          <w:szCs w:val="20"/>
          <w:shd w:val="clear" w:color="auto" w:fill="FFFFFF"/>
        </w:rPr>
        <w:t>. AJH offer</w:t>
      </w:r>
      <w:r w:rsidR="00FB3114">
        <w:rPr>
          <w:rFonts w:ascii="Arial" w:hAnsi="Arial" w:cs="Arial"/>
          <w:color w:val="000000"/>
          <w:sz w:val="20"/>
          <w:szCs w:val="20"/>
          <w:shd w:val="clear" w:color="auto" w:fill="FFFFFF"/>
        </w:rPr>
        <w:t>s</w:t>
      </w:r>
      <w:r w:rsidRPr="00327834">
        <w:rPr>
          <w:rFonts w:ascii="Arial" w:hAnsi="Arial" w:cs="Arial"/>
          <w:color w:val="000000"/>
          <w:sz w:val="20"/>
          <w:szCs w:val="20"/>
          <w:shd w:val="clear" w:color="auto" w:fill="FFFFFF"/>
        </w:rPr>
        <w:t xml:space="preserve"> the use of </w:t>
      </w:r>
      <w:r w:rsidR="00FB3114" w:rsidRPr="00327834">
        <w:rPr>
          <w:rFonts w:ascii="Arial" w:hAnsi="Arial" w:cs="Arial"/>
          <w:color w:val="000000"/>
          <w:sz w:val="20"/>
          <w:szCs w:val="20"/>
          <w:shd w:val="clear" w:color="auto" w:fill="FFFFFF"/>
        </w:rPr>
        <w:t>iPad</w:t>
      </w:r>
      <w:r w:rsidR="00FB3114">
        <w:rPr>
          <w:rFonts w:ascii="Arial" w:hAnsi="Arial" w:cs="Arial"/>
          <w:color w:val="000000"/>
          <w:sz w:val="20"/>
          <w:szCs w:val="20"/>
          <w:shd w:val="clear" w:color="auto" w:fill="FFFFFF"/>
        </w:rPr>
        <w:t>s</w:t>
      </w:r>
      <w:r w:rsidRPr="00327834">
        <w:rPr>
          <w:rFonts w:ascii="Arial" w:hAnsi="Arial" w:cs="Arial"/>
          <w:color w:val="000000"/>
          <w:sz w:val="20"/>
          <w:szCs w:val="20"/>
          <w:shd w:val="clear" w:color="auto" w:fill="FFFFFF"/>
        </w:rPr>
        <w:t xml:space="preserve"> and web access to a third-party vendor to download the app and use it on any device.</w:t>
      </w:r>
      <w:r w:rsidRPr="00327834">
        <w:rPr>
          <w:rFonts w:ascii="Arial" w:hAnsi="Arial" w:cs="Arial"/>
          <w:color w:val="262626"/>
          <w:sz w:val="20"/>
          <w:szCs w:val="20"/>
        </w:rPr>
        <w:t xml:space="preserve"> Trained language service interpreters assist during hospitalization and inform patients and their families about procedures, </w:t>
      </w:r>
      <w:r w:rsidR="00FB3114" w:rsidRPr="00327834">
        <w:rPr>
          <w:rFonts w:ascii="Arial" w:hAnsi="Arial" w:cs="Arial"/>
          <w:color w:val="262626"/>
          <w:sz w:val="20"/>
          <w:szCs w:val="20"/>
        </w:rPr>
        <w:t>medications,</w:t>
      </w:r>
      <w:r w:rsidRPr="00327834">
        <w:rPr>
          <w:rFonts w:ascii="Arial" w:hAnsi="Arial" w:cs="Arial"/>
          <w:color w:val="262626"/>
          <w:sz w:val="20"/>
          <w:szCs w:val="20"/>
        </w:rPr>
        <w:t xml:space="preserve"> and other </w:t>
      </w:r>
      <w:r w:rsidR="00480024">
        <w:rPr>
          <w:rFonts w:ascii="Arial" w:hAnsi="Arial" w:cs="Arial"/>
          <w:color w:val="262626"/>
          <w:sz w:val="20"/>
          <w:szCs w:val="20"/>
        </w:rPr>
        <w:t>relevant</w:t>
      </w:r>
      <w:r w:rsidRPr="00327834">
        <w:rPr>
          <w:rFonts w:ascii="Arial" w:hAnsi="Arial" w:cs="Arial"/>
          <w:color w:val="262626"/>
          <w:sz w:val="20"/>
          <w:szCs w:val="20"/>
        </w:rPr>
        <w:t xml:space="preserve"> information. </w:t>
      </w:r>
    </w:p>
    <w:p w14:paraId="616AE757" w14:textId="77777777" w:rsidR="00E53050" w:rsidRPr="00327834" w:rsidRDefault="00E53050" w:rsidP="00E53050">
      <w:pPr>
        <w:pStyle w:val="NormalWeb"/>
        <w:shd w:val="clear" w:color="auto" w:fill="FFFFFF"/>
        <w:jc w:val="both"/>
        <w:rPr>
          <w:rFonts w:ascii="Arial" w:hAnsi="Arial" w:cs="Arial"/>
          <w:color w:val="201F1E"/>
          <w:sz w:val="20"/>
          <w:szCs w:val="20"/>
        </w:rPr>
      </w:pPr>
    </w:p>
    <w:p w14:paraId="5D39D81C" w14:textId="77777777" w:rsidR="00E53050" w:rsidRPr="00327834" w:rsidRDefault="00E53050" w:rsidP="00E53050">
      <w:pPr>
        <w:pStyle w:val="NormalWeb"/>
        <w:shd w:val="clear" w:color="auto" w:fill="FFFFFF"/>
        <w:jc w:val="both"/>
        <w:rPr>
          <w:rFonts w:ascii="Arial" w:hAnsi="Arial" w:cs="Arial"/>
          <w:sz w:val="20"/>
          <w:szCs w:val="20"/>
        </w:rPr>
      </w:pPr>
      <w:r w:rsidRPr="00104CA9">
        <w:rPr>
          <w:rFonts w:ascii="Arial" w:hAnsi="Arial" w:cs="Arial"/>
          <w:sz w:val="20"/>
          <w:szCs w:val="20"/>
        </w:rPr>
        <w:lastRenderedPageBreak/>
        <w:t xml:space="preserve">As its Patient Panel grows in both size and diversity, the Hospital's Interpreter Services Department has expanded to meet its patients’ needs. The number of requested and completed encounters increased </w:t>
      </w:r>
      <w:r>
        <w:rPr>
          <w:rFonts w:ascii="Arial" w:hAnsi="Arial" w:cs="Arial"/>
          <w:sz w:val="20"/>
          <w:szCs w:val="20"/>
        </w:rPr>
        <w:t>more than 30</w:t>
      </w:r>
      <w:r w:rsidRPr="00104CA9">
        <w:rPr>
          <w:rFonts w:ascii="Arial" w:hAnsi="Arial" w:cs="Arial"/>
          <w:sz w:val="20"/>
          <w:szCs w:val="20"/>
        </w:rPr>
        <w:t>% for FY2</w:t>
      </w:r>
      <w:r>
        <w:rPr>
          <w:rFonts w:ascii="Arial" w:hAnsi="Arial" w:cs="Arial"/>
          <w:sz w:val="20"/>
          <w:szCs w:val="20"/>
        </w:rPr>
        <w:t>2</w:t>
      </w:r>
      <w:r w:rsidRPr="00104CA9">
        <w:rPr>
          <w:rFonts w:ascii="Arial" w:hAnsi="Arial" w:cs="Arial"/>
          <w:sz w:val="20"/>
          <w:szCs w:val="20"/>
        </w:rPr>
        <w:t xml:space="preserve">. </w:t>
      </w:r>
      <w:r>
        <w:rPr>
          <w:rFonts w:ascii="Arial" w:hAnsi="Arial" w:cs="Arial"/>
          <w:sz w:val="20"/>
          <w:szCs w:val="20"/>
        </w:rPr>
        <w:t>AJH</w:t>
      </w:r>
      <w:r w:rsidRPr="00104CA9">
        <w:rPr>
          <w:rFonts w:ascii="Arial" w:hAnsi="Arial" w:cs="Arial"/>
          <w:sz w:val="20"/>
          <w:szCs w:val="20"/>
        </w:rPr>
        <w:t xml:space="preserve"> currently employs one per diem staff within the department. In addition, </w:t>
      </w:r>
      <w:r>
        <w:rPr>
          <w:rFonts w:ascii="Arial" w:hAnsi="Arial" w:cs="Arial"/>
          <w:sz w:val="20"/>
          <w:szCs w:val="20"/>
        </w:rPr>
        <w:t>AJH</w:t>
      </w:r>
      <w:r w:rsidRPr="00104CA9">
        <w:rPr>
          <w:rFonts w:ascii="Arial" w:hAnsi="Arial" w:cs="Arial"/>
          <w:sz w:val="20"/>
          <w:szCs w:val="20"/>
        </w:rPr>
        <w:t xml:space="preserve"> has </w:t>
      </w:r>
      <w:r>
        <w:rPr>
          <w:rFonts w:ascii="Arial" w:hAnsi="Arial" w:cs="Arial"/>
          <w:sz w:val="20"/>
          <w:szCs w:val="20"/>
        </w:rPr>
        <w:t>6</w:t>
      </w:r>
      <w:r w:rsidRPr="00104CA9">
        <w:rPr>
          <w:rFonts w:ascii="Arial" w:hAnsi="Arial" w:cs="Arial"/>
          <w:sz w:val="20"/>
          <w:szCs w:val="20"/>
        </w:rPr>
        <w:t xml:space="preserve"> video remote interpreting (“VRI”) devices</w:t>
      </w:r>
      <w:r>
        <w:rPr>
          <w:rFonts w:ascii="Arial" w:hAnsi="Arial" w:cs="Arial"/>
          <w:sz w:val="20"/>
          <w:szCs w:val="20"/>
        </w:rPr>
        <w:t>, and dual handled phones on the units</w:t>
      </w:r>
      <w:r w:rsidRPr="00104CA9">
        <w:rPr>
          <w:rFonts w:ascii="Arial" w:hAnsi="Arial" w:cs="Arial"/>
          <w:sz w:val="20"/>
          <w:szCs w:val="20"/>
        </w:rPr>
        <w:t xml:space="preserve"> which helps reduce waiting time and increase effectiveness and efficiency of interpreter services. </w:t>
      </w:r>
    </w:p>
    <w:p w14:paraId="0F248C68" w14:textId="77777777" w:rsidR="00E53050" w:rsidRPr="00327834" w:rsidRDefault="00E53050" w:rsidP="00E53050">
      <w:pPr>
        <w:pStyle w:val="NormalWeb"/>
        <w:shd w:val="clear" w:color="auto" w:fill="FFFFFF"/>
        <w:jc w:val="both"/>
        <w:rPr>
          <w:rFonts w:ascii="Arial" w:hAnsi="Arial" w:cs="Arial"/>
          <w:color w:val="201F1E"/>
          <w:sz w:val="20"/>
          <w:szCs w:val="20"/>
        </w:rPr>
      </w:pPr>
      <w:r w:rsidRPr="00327834">
        <w:rPr>
          <w:rFonts w:ascii="Arial" w:hAnsi="Arial" w:cs="Arial"/>
          <w:color w:val="1F497D"/>
          <w:sz w:val="20"/>
          <w:szCs w:val="20"/>
        </w:rPr>
        <w:t> </w:t>
      </w:r>
    </w:p>
    <w:p w14:paraId="082B2A48" w14:textId="66F69472" w:rsidR="00E53050" w:rsidRPr="00327834" w:rsidRDefault="00E53050" w:rsidP="00E53050">
      <w:pPr>
        <w:pStyle w:val="NormalWeb"/>
        <w:shd w:val="clear" w:color="auto" w:fill="FFFFFF"/>
        <w:jc w:val="both"/>
        <w:rPr>
          <w:rFonts w:ascii="Arial" w:hAnsi="Arial" w:cs="Arial"/>
          <w:sz w:val="20"/>
          <w:szCs w:val="20"/>
        </w:rPr>
      </w:pPr>
      <w:r w:rsidRPr="00104CA9">
        <w:rPr>
          <w:rFonts w:ascii="Arial" w:hAnsi="Arial" w:cs="Arial"/>
          <w:sz w:val="20"/>
          <w:szCs w:val="20"/>
        </w:rPr>
        <w:t xml:space="preserve">The Department </w:t>
      </w:r>
      <w:r w:rsidR="00CF5813">
        <w:rPr>
          <w:rFonts w:ascii="Arial" w:hAnsi="Arial" w:cs="Arial"/>
          <w:sz w:val="20"/>
          <w:szCs w:val="20"/>
        </w:rPr>
        <w:t xml:space="preserve">also </w:t>
      </w:r>
      <w:r w:rsidRPr="00104CA9">
        <w:rPr>
          <w:rFonts w:ascii="Arial" w:hAnsi="Arial" w:cs="Arial"/>
          <w:sz w:val="20"/>
          <w:szCs w:val="20"/>
        </w:rPr>
        <w:t>is staffed and equipped to facilitate communication for deaf and hard of hearing patients. A Certified Deaf Interpreter (“CDI”) is available</w:t>
      </w:r>
      <w:r>
        <w:rPr>
          <w:rFonts w:ascii="Arial" w:hAnsi="Arial" w:cs="Arial"/>
          <w:sz w:val="20"/>
          <w:szCs w:val="20"/>
        </w:rPr>
        <w:t xml:space="preserve"> on-call</w:t>
      </w:r>
      <w:r w:rsidRPr="00104CA9">
        <w:rPr>
          <w:rFonts w:ascii="Arial" w:hAnsi="Arial" w:cs="Arial"/>
          <w:sz w:val="20"/>
          <w:szCs w:val="20"/>
        </w:rPr>
        <w:t xml:space="preserve"> </w:t>
      </w:r>
      <w:r>
        <w:rPr>
          <w:rFonts w:ascii="Arial" w:hAnsi="Arial" w:cs="Arial"/>
          <w:sz w:val="20"/>
          <w:szCs w:val="20"/>
        </w:rPr>
        <w:t xml:space="preserve">when needed in-person. </w:t>
      </w:r>
      <w:r w:rsidRPr="00104CA9">
        <w:rPr>
          <w:rFonts w:ascii="Arial" w:hAnsi="Arial" w:cs="Arial"/>
          <w:sz w:val="20"/>
          <w:szCs w:val="20"/>
        </w:rPr>
        <w:t>American Sign Language interpreters are available 24/7 on the VRIs. In addition, assistive devices such as Pocket Talkers, are also available to assist patients. Patients may also use the Hospital’s Telecommunications Device for the Deaf (“TDD”) to communicate with family or friends and is available for patient use 24 hours a day.</w:t>
      </w:r>
    </w:p>
    <w:p w14:paraId="7B01BDFB" w14:textId="77777777" w:rsidR="00E53050" w:rsidRDefault="00E53050" w:rsidP="00E53050">
      <w:pPr>
        <w:pStyle w:val="NormalWeb"/>
        <w:shd w:val="clear" w:color="auto" w:fill="FFFFFF"/>
        <w:rPr>
          <w:rFonts w:ascii="Arial" w:hAnsi="Arial" w:cs="Arial"/>
          <w:sz w:val="20"/>
          <w:szCs w:val="20"/>
        </w:rPr>
      </w:pPr>
    </w:p>
    <w:p w14:paraId="0CE23E5F" w14:textId="77777777" w:rsidR="00E53050" w:rsidRDefault="00E53050" w:rsidP="00E53050">
      <w:pPr>
        <w:pStyle w:val="NormalWeb"/>
        <w:numPr>
          <w:ilvl w:val="0"/>
          <w:numId w:val="25"/>
        </w:numPr>
        <w:shd w:val="clear" w:color="auto" w:fill="FFFFFF"/>
        <w:rPr>
          <w:rFonts w:ascii="Arial" w:hAnsi="Arial" w:cs="Arial"/>
          <w:sz w:val="20"/>
          <w:szCs w:val="20"/>
          <w:u w:val="single"/>
        </w:rPr>
      </w:pPr>
      <w:r w:rsidRPr="00221624">
        <w:rPr>
          <w:rFonts w:ascii="Arial" w:hAnsi="Arial" w:cs="Arial"/>
          <w:sz w:val="20"/>
          <w:szCs w:val="20"/>
          <w:u w:val="single"/>
        </w:rPr>
        <w:t xml:space="preserve">REAL Data Collection </w:t>
      </w:r>
    </w:p>
    <w:p w14:paraId="5E7F8379" w14:textId="77777777" w:rsidR="00E53050" w:rsidRDefault="00E53050" w:rsidP="00E53050">
      <w:pPr>
        <w:pStyle w:val="NormalWeb"/>
        <w:shd w:val="clear" w:color="auto" w:fill="FFFFFF"/>
        <w:rPr>
          <w:rFonts w:ascii="Arial" w:hAnsi="Arial" w:cs="Arial"/>
          <w:sz w:val="20"/>
          <w:szCs w:val="20"/>
          <w:u w:val="single"/>
        </w:rPr>
      </w:pPr>
    </w:p>
    <w:p w14:paraId="3007960A" w14:textId="22AE6331" w:rsidR="00E53050" w:rsidRPr="00A96CE7" w:rsidRDefault="00E53050" w:rsidP="00E53050">
      <w:pPr>
        <w:pStyle w:val="NormalWeb"/>
        <w:shd w:val="clear" w:color="auto" w:fill="FFFFFF"/>
        <w:jc w:val="both"/>
        <w:rPr>
          <w:rFonts w:ascii="Arial" w:hAnsi="Arial" w:cs="Arial"/>
          <w:sz w:val="20"/>
          <w:szCs w:val="20"/>
        </w:rPr>
      </w:pPr>
      <w:r w:rsidRPr="00A96CE7">
        <w:rPr>
          <w:rFonts w:ascii="Arial" w:hAnsi="Arial" w:cs="Arial"/>
          <w:sz w:val="20"/>
          <w:szCs w:val="20"/>
        </w:rPr>
        <w:t>BILH recently launched a new initiative to consistently request more detailed and complete demographic information from patients in furtherance of an organizational culture that embraces diversity, equity, and inclusion.  Capturing patient diversity demographics, including gender and race, ethnicity, and language</w:t>
      </w:r>
      <w:r>
        <w:rPr>
          <w:rFonts w:ascii="Arial" w:hAnsi="Arial" w:cs="Arial"/>
          <w:sz w:val="20"/>
          <w:szCs w:val="20"/>
        </w:rPr>
        <w:t xml:space="preserve"> (“</w:t>
      </w:r>
      <w:r w:rsidRPr="00A96CE7">
        <w:rPr>
          <w:rFonts w:ascii="Arial" w:hAnsi="Arial" w:cs="Arial"/>
          <w:sz w:val="20"/>
          <w:szCs w:val="20"/>
        </w:rPr>
        <w:t xml:space="preserve">REAL </w:t>
      </w:r>
      <w:r>
        <w:rPr>
          <w:rFonts w:ascii="Arial" w:hAnsi="Arial" w:cs="Arial"/>
          <w:sz w:val="20"/>
          <w:szCs w:val="20"/>
        </w:rPr>
        <w:t>D</w:t>
      </w:r>
      <w:r w:rsidRPr="00A96CE7">
        <w:rPr>
          <w:rFonts w:ascii="Arial" w:hAnsi="Arial" w:cs="Arial"/>
          <w:sz w:val="20"/>
          <w:szCs w:val="20"/>
        </w:rPr>
        <w:t>ata</w:t>
      </w:r>
      <w:r>
        <w:rPr>
          <w:rFonts w:ascii="Arial" w:hAnsi="Arial" w:cs="Arial"/>
          <w:sz w:val="20"/>
          <w:szCs w:val="20"/>
        </w:rPr>
        <w:t xml:space="preserve">”) </w:t>
      </w:r>
      <w:r w:rsidRPr="00A96CE7">
        <w:rPr>
          <w:rFonts w:ascii="Arial" w:hAnsi="Arial" w:cs="Arial"/>
          <w:sz w:val="20"/>
          <w:szCs w:val="20"/>
        </w:rPr>
        <w:t>is foundational to understanding and addressing health disparities in the community.</w:t>
      </w:r>
      <w:r w:rsidR="00CF5813">
        <w:rPr>
          <w:rFonts w:ascii="Arial" w:hAnsi="Arial" w:cs="Arial"/>
          <w:sz w:val="20"/>
          <w:szCs w:val="20"/>
        </w:rPr>
        <w:t xml:space="preserve"> </w:t>
      </w:r>
      <w:r w:rsidRPr="00A96CE7">
        <w:rPr>
          <w:rFonts w:ascii="Arial" w:hAnsi="Arial" w:cs="Arial"/>
          <w:sz w:val="20"/>
          <w:szCs w:val="20"/>
        </w:rPr>
        <w:t xml:space="preserve">To that end, BILH created a multidisciplinary team of representatives from across the </w:t>
      </w:r>
      <w:r w:rsidR="00CF5813">
        <w:rPr>
          <w:rFonts w:ascii="Arial" w:hAnsi="Arial" w:cs="Arial"/>
          <w:sz w:val="20"/>
          <w:szCs w:val="20"/>
        </w:rPr>
        <w:t>s</w:t>
      </w:r>
      <w:r w:rsidRPr="00A96CE7">
        <w:rPr>
          <w:rFonts w:ascii="Arial" w:hAnsi="Arial" w:cs="Arial"/>
          <w:sz w:val="20"/>
          <w:szCs w:val="20"/>
        </w:rPr>
        <w:t xml:space="preserve">ystem including staff from patient access services, information services, nursing, social work, community benefits and community relations teams. Working with patient representatives, the multidisciplinary team established a standard set of data along with best practices and processes to </w:t>
      </w:r>
      <w:r w:rsidR="00480024" w:rsidRPr="00A96CE7">
        <w:rPr>
          <w:rFonts w:ascii="Arial" w:hAnsi="Arial" w:cs="Arial"/>
          <w:sz w:val="20"/>
          <w:szCs w:val="20"/>
        </w:rPr>
        <w:t>capture the data more consistently</w:t>
      </w:r>
      <w:r w:rsidRPr="00A96CE7">
        <w:rPr>
          <w:rFonts w:ascii="Arial" w:hAnsi="Arial" w:cs="Arial"/>
          <w:sz w:val="20"/>
          <w:szCs w:val="20"/>
        </w:rPr>
        <w:t xml:space="preserve"> in the</w:t>
      </w:r>
      <w:r w:rsidRPr="00A96CE7">
        <w:rPr>
          <w:rFonts w:ascii="Arial" w:hAnsi="Arial" w:cs="Arial"/>
          <w:bCs/>
          <w:kern w:val="2"/>
          <w:sz w:val="20"/>
          <w:szCs w:val="20"/>
        </w:rPr>
        <w:t xml:space="preserve"> electronic medical record (“EMR”). </w:t>
      </w:r>
    </w:p>
    <w:p w14:paraId="5BA8BAF3" w14:textId="7318E0C1" w:rsidR="00E53050" w:rsidRDefault="00E53050" w:rsidP="00480024">
      <w:pPr>
        <w:pStyle w:val="BodyText"/>
        <w:widowControl/>
        <w:spacing w:before="0"/>
        <w:ind w:left="0"/>
        <w:jc w:val="both"/>
        <w:rPr>
          <w:rFonts w:ascii="Arial" w:hAnsi="Arial" w:cs="Arial"/>
          <w:b/>
          <w:kern w:val="2"/>
          <w:sz w:val="20"/>
          <w:szCs w:val="20"/>
        </w:rPr>
      </w:pPr>
    </w:p>
    <w:p w14:paraId="1C733C35" w14:textId="77777777" w:rsidR="00E53050" w:rsidRPr="00354333" w:rsidRDefault="00E53050" w:rsidP="009C4CCF">
      <w:pPr>
        <w:pStyle w:val="BodyText"/>
        <w:widowControl/>
        <w:spacing w:before="0"/>
        <w:ind w:left="1440"/>
        <w:jc w:val="both"/>
        <w:rPr>
          <w:rFonts w:ascii="Arial" w:hAnsi="Arial" w:cs="Arial"/>
          <w:b/>
          <w:kern w:val="2"/>
          <w:sz w:val="22"/>
          <w:szCs w:val="22"/>
        </w:rPr>
      </w:pPr>
    </w:p>
    <w:p w14:paraId="7D2D157D" w14:textId="77777777" w:rsidR="009C4CCF" w:rsidRPr="00354333" w:rsidRDefault="009C4CCF" w:rsidP="009C4CCF">
      <w:pPr>
        <w:pStyle w:val="BodyText"/>
        <w:widowControl/>
        <w:spacing w:before="0"/>
        <w:ind w:left="1440" w:hanging="1440"/>
        <w:jc w:val="both"/>
        <w:rPr>
          <w:rFonts w:ascii="Arial" w:hAnsi="Arial" w:cs="Arial"/>
          <w:b/>
          <w:kern w:val="2"/>
          <w:sz w:val="22"/>
          <w:szCs w:val="22"/>
        </w:rPr>
      </w:pPr>
      <w:r w:rsidRPr="00354333">
        <w:rPr>
          <w:rFonts w:ascii="Arial" w:hAnsi="Arial" w:cs="Arial"/>
          <w:b/>
          <w:kern w:val="2"/>
          <w:sz w:val="22"/>
          <w:szCs w:val="22"/>
        </w:rPr>
        <w:t>F1.b.iv</w:t>
      </w:r>
      <w:r w:rsidRPr="00354333">
        <w:rPr>
          <w:rFonts w:ascii="Arial" w:hAnsi="Arial" w:cs="Arial"/>
          <w:b/>
          <w:kern w:val="2"/>
          <w:sz w:val="22"/>
          <w:szCs w:val="22"/>
        </w:rPr>
        <w:tab/>
        <w:t>Provide additional information to demonstrate that the Proposed Project will result in improved health outcomes and quality of life of the Applicant's existing Patient Panel, while providing reasonable assurances of health equity.</w:t>
      </w:r>
    </w:p>
    <w:p w14:paraId="4F46D82F" w14:textId="77777777" w:rsidR="006031A4" w:rsidRDefault="006031A4" w:rsidP="00D024A4">
      <w:pPr>
        <w:pStyle w:val="BodyText"/>
        <w:widowControl/>
        <w:spacing w:before="0"/>
        <w:ind w:left="0"/>
        <w:jc w:val="both"/>
        <w:rPr>
          <w:rFonts w:ascii="Arial" w:hAnsi="Arial" w:cs="Arial"/>
          <w:bCs/>
          <w:kern w:val="2"/>
          <w:sz w:val="20"/>
          <w:szCs w:val="20"/>
        </w:rPr>
      </w:pPr>
    </w:p>
    <w:p w14:paraId="6D1BD498" w14:textId="7780CAA3" w:rsidR="00D024A4" w:rsidRPr="00221624" w:rsidRDefault="006031A4" w:rsidP="00D024A4">
      <w:pPr>
        <w:pStyle w:val="BodyText"/>
        <w:widowControl/>
        <w:spacing w:before="0"/>
        <w:ind w:left="0"/>
        <w:jc w:val="both"/>
        <w:rPr>
          <w:rFonts w:ascii="Arial" w:hAnsi="Arial" w:cs="Arial"/>
          <w:kern w:val="2"/>
          <w:sz w:val="20"/>
          <w:szCs w:val="20"/>
        </w:rPr>
      </w:pPr>
      <w:r w:rsidRPr="00221624">
        <w:rPr>
          <w:rFonts w:ascii="Arial" w:hAnsi="Arial" w:cs="Arial"/>
          <w:kern w:val="2"/>
          <w:sz w:val="20"/>
          <w:szCs w:val="20"/>
        </w:rPr>
        <w:t>As described throughout this Application, including the section</w:t>
      </w:r>
      <w:r>
        <w:rPr>
          <w:rFonts w:ascii="Arial" w:hAnsi="Arial" w:cs="Arial"/>
          <w:bCs/>
          <w:kern w:val="2"/>
          <w:sz w:val="20"/>
          <w:szCs w:val="20"/>
        </w:rPr>
        <w:t xml:space="preserve"> above, the</w:t>
      </w:r>
      <w:r w:rsidR="00D024A4" w:rsidRPr="00221624">
        <w:rPr>
          <w:rFonts w:ascii="Arial" w:hAnsi="Arial" w:cs="Arial"/>
          <w:kern w:val="2"/>
          <w:sz w:val="20"/>
          <w:szCs w:val="20"/>
        </w:rPr>
        <w:t xml:space="preserve"> Proposed Project will improve health outcomes and quality of life for </w:t>
      </w:r>
      <w:r w:rsidR="00D024A4">
        <w:rPr>
          <w:rFonts w:ascii="Arial" w:hAnsi="Arial" w:cs="Arial"/>
          <w:kern w:val="2"/>
          <w:sz w:val="20"/>
          <w:szCs w:val="20"/>
        </w:rPr>
        <w:t>AJH</w:t>
      </w:r>
      <w:r w:rsidR="00D024A4" w:rsidRPr="00221624">
        <w:rPr>
          <w:rFonts w:ascii="Arial" w:hAnsi="Arial" w:cs="Arial"/>
          <w:kern w:val="2"/>
          <w:sz w:val="20"/>
          <w:szCs w:val="20"/>
        </w:rPr>
        <w:t xml:space="preserve">’s patient panel by expanding access to essential hospital-based imaging services and continuing to ensure those services are accessible to all members of the community it serves. </w:t>
      </w:r>
      <w:r w:rsidR="00D024A4">
        <w:rPr>
          <w:rFonts w:ascii="Arial" w:hAnsi="Arial" w:cs="Arial"/>
          <w:kern w:val="2"/>
          <w:sz w:val="20"/>
          <w:szCs w:val="20"/>
        </w:rPr>
        <w:t>AJH</w:t>
      </w:r>
      <w:r w:rsidR="00D024A4" w:rsidRPr="00221624">
        <w:rPr>
          <w:rFonts w:ascii="Arial" w:hAnsi="Arial" w:cs="Arial"/>
          <w:kern w:val="2"/>
          <w:sz w:val="20"/>
          <w:szCs w:val="20"/>
        </w:rPr>
        <w:t xml:space="preserve"> is committed to promoting health equity and to that end, will ensure patients can access the Hospital’s services, can effectively communicate with their providers, and will be connected to services outside of the Hospital as required. </w:t>
      </w:r>
      <w:r w:rsidR="00D024A4">
        <w:rPr>
          <w:rFonts w:ascii="Arial" w:hAnsi="Arial" w:cs="Arial"/>
          <w:kern w:val="2"/>
          <w:sz w:val="20"/>
          <w:szCs w:val="20"/>
        </w:rPr>
        <w:t>As a result</w:t>
      </w:r>
      <w:r w:rsidR="00D024A4" w:rsidRPr="00221624">
        <w:rPr>
          <w:rFonts w:ascii="Arial" w:hAnsi="Arial" w:cs="Arial"/>
          <w:kern w:val="2"/>
          <w:sz w:val="20"/>
          <w:szCs w:val="20"/>
        </w:rPr>
        <w:t xml:space="preserve">, the Applicant anticipates that the Proposed Project will result in improved patient care experiences and quality outcomes while promoting health equity.  </w:t>
      </w:r>
    </w:p>
    <w:p w14:paraId="56EB9A4D" w14:textId="77777777" w:rsidR="009C4CCF" w:rsidRPr="00E856BB" w:rsidRDefault="009C4CCF" w:rsidP="009C4CCF">
      <w:pPr>
        <w:pStyle w:val="BodyText"/>
        <w:widowControl/>
        <w:spacing w:before="0"/>
        <w:ind w:left="1440" w:hanging="1440"/>
        <w:jc w:val="both"/>
        <w:rPr>
          <w:rFonts w:ascii="Arial" w:hAnsi="Arial" w:cs="Arial"/>
          <w:b/>
          <w:kern w:val="2"/>
          <w:sz w:val="20"/>
          <w:szCs w:val="20"/>
        </w:rPr>
      </w:pPr>
    </w:p>
    <w:p w14:paraId="278B59DC" w14:textId="77777777" w:rsidR="009C4CCF" w:rsidRPr="00354333" w:rsidRDefault="009C4CCF" w:rsidP="009C4CCF">
      <w:pPr>
        <w:pStyle w:val="BodyText"/>
        <w:widowControl/>
        <w:spacing w:before="0"/>
        <w:jc w:val="both"/>
        <w:rPr>
          <w:rFonts w:ascii="Arial" w:hAnsi="Arial" w:cs="Arial"/>
          <w:b/>
          <w:kern w:val="2"/>
          <w:sz w:val="22"/>
          <w:szCs w:val="22"/>
        </w:rPr>
      </w:pPr>
    </w:p>
    <w:p w14:paraId="28031741" w14:textId="77777777" w:rsidR="009C4CCF" w:rsidRPr="00354333" w:rsidRDefault="009C4CCF" w:rsidP="009C4CCF">
      <w:pPr>
        <w:pStyle w:val="BodyText"/>
        <w:widowControl/>
        <w:spacing w:before="0"/>
        <w:ind w:left="1440" w:right="136" w:hanging="1440"/>
        <w:jc w:val="both"/>
        <w:rPr>
          <w:rFonts w:ascii="Arial" w:hAnsi="Arial" w:cs="Arial"/>
          <w:b/>
          <w:kern w:val="2"/>
          <w:sz w:val="22"/>
          <w:szCs w:val="22"/>
        </w:rPr>
      </w:pPr>
      <w:r w:rsidRPr="00354333">
        <w:rPr>
          <w:rFonts w:ascii="Arial" w:hAnsi="Arial" w:cs="Arial"/>
          <w:b/>
          <w:kern w:val="2"/>
          <w:sz w:val="22"/>
          <w:szCs w:val="22"/>
        </w:rPr>
        <w:t>F1.c</w:t>
      </w:r>
      <w:r w:rsidRPr="00354333">
        <w:rPr>
          <w:rFonts w:ascii="Arial" w:hAnsi="Arial" w:cs="Arial"/>
          <w:b/>
          <w:kern w:val="2"/>
          <w:sz w:val="22"/>
          <w:szCs w:val="22"/>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056D3AAA" w14:textId="77777777" w:rsidR="00480024" w:rsidRPr="00221624" w:rsidRDefault="00480024" w:rsidP="00480024">
      <w:pPr>
        <w:pStyle w:val="BodyText"/>
        <w:ind w:left="0" w:right="136"/>
        <w:jc w:val="both"/>
        <w:rPr>
          <w:rFonts w:ascii="Arial" w:hAnsi="Arial" w:cs="Arial"/>
          <w:bCs/>
          <w:kern w:val="2"/>
          <w:sz w:val="20"/>
          <w:szCs w:val="20"/>
        </w:rPr>
      </w:pPr>
    </w:p>
    <w:p w14:paraId="4A704D2B" w14:textId="6C5410B0" w:rsidR="00480024" w:rsidRPr="00221624" w:rsidRDefault="00480024" w:rsidP="00480024">
      <w:pPr>
        <w:pStyle w:val="BodyText"/>
        <w:ind w:left="0" w:right="136"/>
        <w:jc w:val="both"/>
        <w:rPr>
          <w:rFonts w:ascii="Arial" w:hAnsi="Arial" w:cs="Arial"/>
          <w:bCs/>
          <w:kern w:val="2"/>
          <w:sz w:val="20"/>
          <w:szCs w:val="20"/>
        </w:rPr>
      </w:pPr>
      <w:r w:rsidRPr="00221624">
        <w:rPr>
          <w:rFonts w:ascii="Arial" w:hAnsi="Arial" w:cs="Arial"/>
          <w:bCs/>
          <w:kern w:val="2"/>
          <w:sz w:val="20"/>
          <w:szCs w:val="20"/>
        </w:rPr>
        <w:t xml:space="preserve">As a community hospital affiliated with primary care offices, specialists, and urgent care centers, integrated medical records are central to promoting quality of care and public health outcomes through effective coordination of care.  With respect to the Proposed Project, </w:t>
      </w:r>
      <w:r>
        <w:rPr>
          <w:rFonts w:ascii="Arial" w:hAnsi="Arial" w:cs="Arial"/>
          <w:bCs/>
          <w:kern w:val="2"/>
          <w:sz w:val="20"/>
          <w:szCs w:val="20"/>
        </w:rPr>
        <w:t>AJH</w:t>
      </w:r>
      <w:r w:rsidRPr="00221624">
        <w:rPr>
          <w:rFonts w:ascii="Arial" w:hAnsi="Arial" w:cs="Arial"/>
          <w:bCs/>
          <w:kern w:val="2"/>
          <w:sz w:val="20"/>
          <w:szCs w:val="20"/>
        </w:rPr>
        <w:t xml:space="preserve">’s </w:t>
      </w:r>
      <w:r>
        <w:rPr>
          <w:rFonts w:ascii="Arial" w:hAnsi="Arial" w:cs="Arial"/>
          <w:bCs/>
          <w:kern w:val="2"/>
          <w:sz w:val="20"/>
          <w:szCs w:val="20"/>
        </w:rPr>
        <w:t xml:space="preserve">EMR </w:t>
      </w:r>
      <w:r w:rsidRPr="00221624">
        <w:rPr>
          <w:rFonts w:ascii="Arial" w:hAnsi="Arial" w:cs="Arial"/>
          <w:bCs/>
          <w:kern w:val="2"/>
          <w:sz w:val="20"/>
          <w:szCs w:val="20"/>
        </w:rPr>
        <w:t xml:space="preserve">serves as the primary link between Radiology, </w:t>
      </w:r>
      <w:r>
        <w:rPr>
          <w:rFonts w:ascii="Arial" w:hAnsi="Arial" w:cs="Arial"/>
          <w:bCs/>
          <w:kern w:val="2"/>
          <w:sz w:val="20"/>
          <w:szCs w:val="20"/>
        </w:rPr>
        <w:t>AJH’</w:t>
      </w:r>
      <w:r w:rsidRPr="00221624">
        <w:rPr>
          <w:rFonts w:ascii="Arial" w:hAnsi="Arial" w:cs="Arial"/>
          <w:bCs/>
          <w:kern w:val="2"/>
          <w:sz w:val="20"/>
          <w:szCs w:val="20"/>
        </w:rPr>
        <w:t xml:space="preserve">s specialists, and community primary care providers.  In the first instance, the EMR allows </w:t>
      </w:r>
      <w:r>
        <w:rPr>
          <w:rFonts w:ascii="Arial" w:hAnsi="Arial" w:cs="Arial"/>
          <w:bCs/>
          <w:kern w:val="2"/>
          <w:sz w:val="20"/>
          <w:szCs w:val="20"/>
        </w:rPr>
        <w:t>AJH</w:t>
      </w:r>
      <w:r w:rsidRPr="00221624">
        <w:rPr>
          <w:rFonts w:ascii="Arial" w:hAnsi="Arial" w:cs="Arial"/>
          <w:bCs/>
          <w:kern w:val="2"/>
          <w:sz w:val="20"/>
          <w:szCs w:val="20"/>
        </w:rPr>
        <w:t>’s radiologists real-time access to a patient’s comprehensive medical information, including medical history, lab results, and clinical notes while they are protocoling or reading a study.  Once the radiologist’s report is complete, the EMR enables imaging results and information to be available to primary care and specialty physicians across the system and integrated into the patient’s EMR.  The EMR also allows authorized providers outside of the Applicant</w:t>
      </w:r>
      <w:r w:rsidR="006031A4">
        <w:rPr>
          <w:rFonts w:ascii="Arial" w:hAnsi="Arial" w:cs="Arial"/>
          <w:bCs/>
          <w:kern w:val="2"/>
          <w:sz w:val="20"/>
          <w:szCs w:val="20"/>
        </w:rPr>
        <w:t xml:space="preserve">’s system </w:t>
      </w:r>
      <w:r w:rsidRPr="00221624">
        <w:rPr>
          <w:rFonts w:ascii="Arial" w:hAnsi="Arial" w:cs="Arial"/>
          <w:bCs/>
          <w:kern w:val="2"/>
          <w:sz w:val="20"/>
          <w:szCs w:val="20"/>
        </w:rPr>
        <w:t xml:space="preserve">to view their patients’ records and send progress notes back for improved continuity of care. This integration ensures that </w:t>
      </w:r>
      <w:r>
        <w:rPr>
          <w:rFonts w:ascii="Arial" w:hAnsi="Arial" w:cs="Arial"/>
          <w:bCs/>
          <w:kern w:val="2"/>
          <w:sz w:val="20"/>
          <w:szCs w:val="20"/>
        </w:rPr>
        <w:t>AJH’s</w:t>
      </w:r>
      <w:r w:rsidRPr="00221624">
        <w:rPr>
          <w:rFonts w:ascii="Arial" w:hAnsi="Arial" w:cs="Arial"/>
          <w:bCs/>
          <w:kern w:val="2"/>
          <w:sz w:val="20"/>
          <w:szCs w:val="20"/>
        </w:rPr>
        <w:t xml:space="preserve"> patient panel benefits from care coordination through better outcomes and improved quality of lif</w:t>
      </w:r>
      <w:r w:rsidR="006031A4">
        <w:rPr>
          <w:rFonts w:ascii="Arial" w:hAnsi="Arial" w:cs="Arial"/>
          <w:bCs/>
          <w:kern w:val="2"/>
          <w:sz w:val="20"/>
          <w:szCs w:val="20"/>
        </w:rPr>
        <w:t>e</w:t>
      </w:r>
      <w:r w:rsidRPr="00221624">
        <w:rPr>
          <w:rFonts w:ascii="Arial" w:hAnsi="Arial" w:cs="Arial"/>
          <w:bCs/>
          <w:kern w:val="2"/>
          <w:sz w:val="20"/>
          <w:szCs w:val="20"/>
        </w:rPr>
        <w:t xml:space="preserve">.    </w:t>
      </w:r>
    </w:p>
    <w:p w14:paraId="514D5A6A" w14:textId="77777777" w:rsidR="00480024" w:rsidRPr="00221624" w:rsidRDefault="00480024" w:rsidP="00480024">
      <w:pPr>
        <w:pStyle w:val="BodyText"/>
        <w:widowControl/>
        <w:spacing w:before="0"/>
        <w:ind w:left="0" w:right="136"/>
        <w:jc w:val="both"/>
        <w:rPr>
          <w:rFonts w:ascii="Arial" w:hAnsi="Arial" w:cs="Arial"/>
          <w:bCs/>
          <w:kern w:val="2"/>
          <w:sz w:val="20"/>
          <w:szCs w:val="20"/>
        </w:rPr>
      </w:pPr>
    </w:p>
    <w:p w14:paraId="1F926EA6" w14:textId="77777777" w:rsidR="00480024" w:rsidRDefault="00480024" w:rsidP="00480024">
      <w:pPr>
        <w:pStyle w:val="BodyText"/>
        <w:widowControl/>
        <w:spacing w:before="0"/>
        <w:ind w:left="0" w:right="136"/>
        <w:jc w:val="both"/>
        <w:rPr>
          <w:rFonts w:ascii="Arial" w:hAnsi="Arial" w:cs="Arial"/>
          <w:bCs/>
          <w:kern w:val="2"/>
          <w:sz w:val="20"/>
          <w:szCs w:val="20"/>
        </w:rPr>
      </w:pPr>
      <w:r w:rsidRPr="00221624">
        <w:rPr>
          <w:rFonts w:ascii="Arial" w:hAnsi="Arial" w:cs="Arial"/>
          <w:bCs/>
          <w:kern w:val="2"/>
          <w:sz w:val="20"/>
          <w:szCs w:val="20"/>
        </w:rPr>
        <w:lastRenderedPageBreak/>
        <w:t xml:space="preserve">Furthermore, </w:t>
      </w:r>
      <w:r>
        <w:rPr>
          <w:rFonts w:ascii="Arial" w:hAnsi="Arial" w:cs="Arial"/>
          <w:bCs/>
          <w:kern w:val="2"/>
          <w:sz w:val="20"/>
          <w:szCs w:val="20"/>
        </w:rPr>
        <w:t>AJH</w:t>
      </w:r>
      <w:r w:rsidRPr="00221624">
        <w:rPr>
          <w:rFonts w:ascii="Arial" w:hAnsi="Arial" w:cs="Arial"/>
          <w:bCs/>
          <w:kern w:val="2"/>
          <w:sz w:val="20"/>
          <w:szCs w:val="20"/>
        </w:rPr>
        <w:t xml:space="preserve"> participates in the MassHealth ACO Program through BIDCO, part of BILHPN and its clinically integrated network. In furtherance of the goals of the Program, BIDCO strives to increase access to high quality care for members who are more likely to have unmet Social Determinant of Health (“</w:t>
      </w:r>
      <w:proofErr w:type="spellStart"/>
      <w:r w:rsidRPr="00221624">
        <w:rPr>
          <w:rFonts w:ascii="Arial" w:hAnsi="Arial" w:cs="Arial"/>
          <w:bCs/>
          <w:kern w:val="2"/>
          <w:sz w:val="20"/>
          <w:szCs w:val="20"/>
        </w:rPr>
        <w:t>SDoH</w:t>
      </w:r>
      <w:proofErr w:type="spellEnd"/>
      <w:r w:rsidRPr="00221624">
        <w:rPr>
          <w:rFonts w:ascii="Arial" w:hAnsi="Arial" w:cs="Arial"/>
          <w:bCs/>
          <w:kern w:val="2"/>
          <w:sz w:val="20"/>
          <w:szCs w:val="20"/>
        </w:rPr>
        <w:t xml:space="preserve">”) needs than the commercially insured population.  </w:t>
      </w:r>
      <w:r w:rsidRPr="002953C7">
        <w:rPr>
          <w:rFonts w:ascii="Arial" w:hAnsi="Arial" w:cs="Arial"/>
          <w:bCs/>
          <w:kern w:val="2"/>
          <w:sz w:val="20"/>
          <w:szCs w:val="20"/>
        </w:rPr>
        <w:t xml:space="preserve">A significant portion of BIDCO’s efforts to improve health care are accomplished through care coordination. Specifically, BIDCO’s data analysis and risk management tools are provided to </w:t>
      </w:r>
      <w:r>
        <w:rPr>
          <w:rFonts w:ascii="Arial" w:hAnsi="Arial" w:cs="Arial"/>
          <w:bCs/>
          <w:kern w:val="2"/>
          <w:sz w:val="20"/>
          <w:szCs w:val="20"/>
        </w:rPr>
        <w:t>AJH</w:t>
      </w:r>
      <w:r w:rsidRPr="002953C7">
        <w:rPr>
          <w:rFonts w:ascii="Arial" w:hAnsi="Arial" w:cs="Arial"/>
          <w:bCs/>
          <w:kern w:val="2"/>
          <w:sz w:val="20"/>
          <w:szCs w:val="20"/>
        </w:rPr>
        <w:t xml:space="preserve"> providers, including a Population Health Management Tool that helps primary care physicians monitor patients’ health and manage chronic conditions.  </w:t>
      </w:r>
      <w:r>
        <w:rPr>
          <w:rFonts w:ascii="Arial" w:hAnsi="Arial" w:cs="Arial"/>
          <w:bCs/>
          <w:kern w:val="2"/>
          <w:sz w:val="20"/>
          <w:szCs w:val="20"/>
        </w:rPr>
        <w:t>AJH</w:t>
      </w:r>
      <w:r w:rsidRPr="002953C7">
        <w:rPr>
          <w:rFonts w:ascii="Arial" w:hAnsi="Arial" w:cs="Arial"/>
          <w:bCs/>
          <w:kern w:val="2"/>
          <w:sz w:val="20"/>
          <w:szCs w:val="20"/>
        </w:rPr>
        <w:t xml:space="preserve">’s links to primary care providers are vital to providing high-quality care and promoting coordination of care.  </w:t>
      </w:r>
      <w:r w:rsidRPr="00221624">
        <w:rPr>
          <w:rFonts w:ascii="Arial" w:hAnsi="Arial" w:cs="Arial"/>
          <w:bCs/>
          <w:kern w:val="2"/>
          <w:sz w:val="20"/>
          <w:szCs w:val="20"/>
        </w:rPr>
        <w:t xml:space="preserve">These primary care linkages will continue to enhance care for </w:t>
      </w:r>
      <w:r>
        <w:rPr>
          <w:rFonts w:ascii="Arial" w:hAnsi="Arial" w:cs="Arial"/>
          <w:bCs/>
          <w:kern w:val="2"/>
          <w:sz w:val="20"/>
          <w:szCs w:val="20"/>
        </w:rPr>
        <w:t>AJH’s</w:t>
      </w:r>
      <w:r w:rsidRPr="00221624">
        <w:rPr>
          <w:rFonts w:ascii="Arial" w:hAnsi="Arial" w:cs="Arial"/>
          <w:bCs/>
          <w:kern w:val="2"/>
          <w:sz w:val="20"/>
          <w:szCs w:val="20"/>
        </w:rPr>
        <w:t xml:space="preserve"> patients, including timely access to radiology services that will be achieved through the Proposed Project.   </w:t>
      </w:r>
    </w:p>
    <w:p w14:paraId="4FAB9D7C" w14:textId="77777777" w:rsidR="00480024" w:rsidRPr="00221624" w:rsidRDefault="00480024" w:rsidP="00480024">
      <w:pPr>
        <w:pStyle w:val="BodyText"/>
        <w:widowControl/>
        <w:spacing w:before="0"/>
        <w:ind w:left="0" w:right="136"/>
        <w:jc w:val="both"/>
        <w:rPr>
          <w:rFonts w:ascii="Arial" w:hAnsi="Arial" w:cs="Arial"/>
          <w:bCs/>
          <w:kern w:val="2"/>
          <w:sz w:val="20"/>
          <w:szCs w:val="20"/>
        </w:rPr>
      </w:pPr>
      <w:r w:rsidRPr="00221624">
        <w:rPr>
          <w:rFonts w:ascii="Arial" w:hAnsi="Arial" w:cs="Arial"/>
          <w:bCs/>
          <w:kern w:val="2"/>
          <w:sz w:val="20"/>
          <w:szCs w:val="20"/>
        </w:rPr>
        <w:t xml:space="preserve"> </w:t>
      </w:r>
    </w:p>
    <w:p w14:paraId="0997F1E7" w14:textId="77777777" w:rsidR="009C4CCF" w:rsidRDefault="009C4CCF" w:rsidP="009C4CCF">
      <w:pPr>
        <w:pStyle w:val="BodyText"/>
        <w:widowControl/>
        <w:spacing w:before="0"/>
        <w:ind w:left="1440" w:right="136" w:hanging="1440"/>
        <w:jc w:val="both"/>
        <w:rPr>
          <w:rFonts w:ascii="Arial" w:hAnsi="Arial" w:cs="Arial"/>
          <w:bCs/>
          <w:kern w:val="2"/>
          <w:sz w:val="20"/>
          <w:szCs w:val="20"/>
          <w:highlight w:val="yellow"/>
        </w:rPr>
      </w:pPr>
    </w:p>
    <w:p w14:paraId="2527ECD2" w14:textId="77777777" w:rsidR="009C4CCF" w:rsidRPr="00480024" w:rsidRDefault="009C4CCF" w:rsidP="009C4CCF">
      <w:pPr>
        <w:spacing w:after="0" w:line="240" w:lineRule="auto"/>
        <w:ind w:left="1440" w:hanging="1440"/>
        <w:jc w:val="both"/>
        <w:rPr>
          <w:rFonts w:ascii="Arial" w:hAnsi="Arial" w:cs="Arial"/>
          <w:b/>
          <w:kern w:val="2"/>
          <w:sz w:val="20"/>
          <w:szCs w:val="20"/>
        </w:rPr>
      </w:pPr>
      <w:r w:rsidRPr="00480024">
        <w:rPr>
          <w:rFonts w:ascii="Arial" w:hAnsi="Arial" w:cs="Arial"/>
          <w:b/>
          <w:kern w:val="2"/>
          <w:sz w:val="20"/>
          <w:szCs w:val="20"/>
        </w:rPr>
        <w:t>F1.d</w:t>
      </w:r>
      <w:r w:rsidRPr="00480024">
        <w:rPr>
          <w:rFonts w:ascii="Arial" w:hAnsi="Arial" w:cs="Arial"/>
          <w:b/>
          <w:kern w:val="2"/>
          <w:sz w:val="20"/>
          <w:szCs w:val="20"/>
        </w:rPr>
        <w:tab/>
      </w:r>
      <w:r w:rsidRPr="00354333">
        <w:rPr>
          <w:rFonts w:ascii="Arial" w:hAnsi="Arial" w:cs="Arial"/>
          <w:b/>
          <w:kern w:val="2"/>
        </w:rPr>
        <w:t>Provide evidence of consultation, both prior to and after the Filing Date, with all Government Agencies with relevant licensure, certification, or other regulatory oversight of the Applicant or the Proposed Project.</w:t>
      </w:r>
    </w:p>
    <w:p w14:paraId="07B4F179" w14:textId="77777777" w:rsidR="009C4CCF" w:rsidRDefault="009C4CCF" w:rsidP="009C4CCF">
      <w:pPr>
        <w:spacing w:after="0" w:line="240" w:lineRule="auto"/>
        <w:jc w:val="both"/>
        <w:rPr>
          <w:rFonts w:ascii="Arial" w:hAnsi="Arial" w:cs="Arial"/>
          <w:spacing w:val="-1"/>
        </w:rPr>
      </w:pPr>
    </w:p>
    <w:p w14:paraId="43A05B21" w14:textId="77777777" w:rsidR="009C4CCF" w:rsidRPr="00F96F0F" w:rsidRDefault="009C4CCF" w:rsidP="009C4CCF">
      <w:pPr>
        <w:spacing w:after="0" w:line="240" w:lineRule="auto"/>
        <w:jc w:val="both"/>
        <w:rPr>
          <w:rFonts w:ascii="Arial" w:hAnsi="Arial" w:cs="Arial"/>
          <w:spacing w:val="-1"/>
          <w:sz w:val="20"/>
          <w:szCs w:val="20"/>
        </w:rPr>
      </w:pPr>
      <w:r w:rsidRPr="00F96F0F">
        <w:rPr>
          <w:rFonts w:ascii="Arial" w:hAnsi="Arial" w:cs="Arial"/>
          <w:spacing w:val="-1"/>
          <w:sz w:val="20"/>
          <w:szCs w:val="20"/>
        </w:rPr>
        <w:t>The Applicant consulted with</w:t>
      </w:r>
      <w:r>
        <w:rPr>
          <w:rFonts w:ascii="Arial" w:hAnsi="Arial" w:cs="Arial"/>
          <w:spacing w:val="-1"/>
          <w:sz w:val="20"/>
          <w:szCs w:val="20"/>
        </w:rPr>
        <w:t xml:space="preserve"> numerous</w:t>
      </w:r>
      <w:r w:rsidRPr="00F96F0F">
        <w:rPr>
          <w:rFonts w:ascii="Arial" w:hAnsi="Arial" w:cs="Arial"/>
          <w:spacing w:val="-1"/>
          <w:sz w:val="20"/>
          <w:szCs w:val="20"/>
        </w:rPr>
        <w:t xml:space="preserve"> individuals at </w:t>
      </w:r>
      <w:r>
        <w:rPr>
          <w:rFonts w:ascii="Arial" w:hAnsi="Arial" w:cs="Arial"/>
          <w:spacing w:val="-1"/>
          <w:sz w:val="20"/>
          <w:szCs w:val="20"/>
        </w:rPr>
        <w:t>multiple</w:t>
      </w:r>
      <w:r w:rsidRPr="00F96F0F">
        <w:rPr>
          <w:rFonts w:ascii="Arial" w:hAnsi="Arial" w:cs="Arial"/>
          <w:spacing w:val="-1"/>
          <w:sz w:val="20"/>
          <w:szCs w:val="20"/>
        </w:rPr>
        <w:t xml:space="preserve"> regulatory agencies regarding the Proposed Project. The following individuals </w:t>
      </w:r>
      <w:r>
        <w:rPr>
          <w:rFonts w:ascii="Arial" w:hAnsi="Arial" w:cs="Arial"/>
          <w:spacing w:val="-1"/>
          <w:sz w:val="20"/>
          <w:szCs w:val="20"/>
        </w:rPr>
        <w:t>were</w:t>
      </w:r>
      <w:r w:rsidRPr="00F96F0F">
        <w:rPr>
          <w:rFonts w:ascii="Arial" w:hAnsi="Arial" w:cs="Arial"/>
          <w:spacing w:val="-1"/>
          <w:sz w:val="20"/>
          <w:szCs w:val="20"/>
        </w:rPr>
        <w:t xml:space="preserve"> consulted with </w:t>
      </w:r>
      <w:r>
        <w:rPr>
          <w:rFonts w:ascii="Arial" w:hAnsi="Arial" w:cs="Arial"/>
          <w:spacing w:val="-1"/>
          <w:sz w:val="20"/>
          <w:szCs w:val="20"/>
        </w:rPr>
        <w:t>regards to the</w:t>
      </w:r>
      <w:r w:rsidRPr="00F96F0F">
        <w:rPr>
          <w:rFonts w:ascii="Arial" w:hAnsi="Arial" w:cs="Arial"/>
          <w:spacing w:val="-1"/>
          <w:sz w:val="20"/>
          <w:szCs w:val="20"/>
        </w:rPr>
        <w:t xml:space="preserve"> Proposed Project:</w:t>
      </w:r>
    </w:p>
    <w:p w14:paraId="79D4CA9A" w14:textId="77777777" w:rsidR="009C4CCF" w:rsidRPr="00F96F0F" w:rsidRDefault="009C4CCF" w:rsidP="009C4CCF">
      <w:pPr>
        <w:spacing w:after="0" w:line="240" w:lineRule="auto"/>
        <w:jc w:val="both"/>
        <w:rPr>
          <w:rFonts w:ascii="Arial" w:hAnsi="Arial" w:cs="Arial"/>
          <w:bCs/>
          <w:spacing w:val="-1"/>
          <w:sz w:val="20"/>
          <w:szCs w:val="20"/>
        </w:rPr>
      </w:pPr>
    </w:p>
    <w:p w14:paraId="736D74B9" w14:textId="77777777" w:rsidR="009C4CCF" w:rsidRPr="00090D2C" w:rsidRDefault="009C4CCF" w:rsidP="009C4CCF">
      <w:pPr>
        <w:pStyle w:val="ListParagraph"/>
        <w:numPr>
          <w:ilvl w:val="0"/>
          <w:numId w:val="34"/>
        </w:numPr>
        <w:spacing w:after="0" w:line="240" w:lineRule="auto"/>
        <w:contextualSpacing w:val="0"/>
        <w:jc w:val="both"/>
        <w:rPr>
          <w:rFonts w:ascii="Arial" w:hAnsi="Arial" w:cs="Arial"/>
          <w:bCs/>
          <w:kern w:val="2"/>
          <w:sz w:val="20"/>
          <w:szCs w:val="20"/>
        </w:rPr>
      </w:pPr>
      <w:r w:rsidRPr="00090D2C">
        <w:rPr>
          <w:rFonts w:ascii="Arial" w:hAnsi="Arial" w:cs="Arial"/>
          <w:bCs/>
          <w:kern w:val="2"/>
          <w:sz w:val="20"/>
          <w:szCs w:val="20"/>
        </w:rPr>
        <w:t xml:space="preserve">Dennis Renaud, Director of Determination of Need Program, Massachusetts Department of Public </w:t>
      </w:r>
      <w:proofErr w:type="gramStart"/>
      <w:r w:rsidRPr="00090D2C">
        <w:rPr>
          <w:rFonts w:ascii="Arial" w:hAnsi="Arial" w:cs="Arial"/>
          <w:bCs/>
          <w:kern w:val="2"/>
          <w:sz w:val="20"/>
          <w:szCs w:val="20"/>
        </w:rPr>
        <w:t>Health;</w:t>
      </w:r>
      <w:proofErr w:type="gramEnd"/>
    </w:p>
    <w:p w14:paraId="7C2082DC" w14:textId="77777777" w:rsidR="009C4CCF" w:rsidRPr="00090D2C" w:rsidRDefault="009C4CCF" w:rsidP="009C4CCF">
      <w:pPr>
        <w:pStyle w:val="ListParagraph"/>
        <w:numPr>
          <w:ilvl w:val="0"/>
          <w:numId w:val="34"/>
        </w:numPr>
        <w:spacing w:after="0" w:line="240" w:lineRule="auto"/>
        <w:contextualSpacing w:val="0"/>
        <w:jc w:val="both"/>
        <w:rPr>
          <w:rFonts w:ascii="Arial" w:hAnsi="Arial" w:cs="Arial"/>
          <w:bCs/>
          <w:kern w:val="2"/>
          <w:sz w:val="20"/>
          <w:szCs w:val="20"/>
        </w:rPr>
      </w:pPr>
      <w:r w:rsidRPr="00090D2C">
        <w:rPr>
          <w:rFonts w:ascii="Arial" w:hAnsi="Arial" w:cs="Arial"/>
          <w:bCs/>
          <w:kern w:val="2"/>
          <w:sz w:val="20"/>
          <w:szCs w:val="20"/>
        </w:rPr>
        <w:t xml:space="preserve">Jennica Allen, </w:t>
      </w:r>
      <w:r w:rsidRPr="00090D2C">
        <w:rPr>
          <w:rFonts w:ascii="Arial" w:eastAsia="Times New Roman" w:hAnsi="Arial" w:cs="Arial"/>
          <w:bCs/>
          <w:sz w:val="20"/>
          <w:szCs w:val="20"/>
        </w:rPr>
        <w:t xml:space="preserve">Manager of Community Engagement Practices, </w:t>
      </w:r>
      <w:r w:rsidRPr="00090D2C">
        <w:rPr>
          <w:rFonts w:ascii="Arial" w:hAnsi="Arial" w:cs="Arial"/>
          <w:bCs/>
          <w:kern w:val="2"/>
          <w:sz w:val="20"/>
          <w:szCs w:val="20"/>
        </w:rPr>
        <w:t xml:space="preserve">Massachusetts Department of Public </w:t>
      </w:r>
      <w:proofErr w:type="gramStart"/>
      <w:r w:rsidRPr="00090D2C">
        <w:rPr>
          <w:rFonts w:ascii="Arial" w:hAnsi="Arial" w:cs="Arial"/>
          <w:bCs/>
          <w:kern w:val="2"/>
          <w:sz w:val="20"/>
          <w:szCs w:val="20"/>
        </w:rPr>
        <w:t>Health;</w:t>
      </w:r>
      <w:proofErr w:type="gramEnd"/>
    </w:p>
    <w:p w14:paraId="340556E8" w14:textId="77777777" w:rsidR="009C4CCF" w:rsidRPr="00090D2C" w:rsidRDefault="009C4CCF" w:rsidP="009C4CCF">
      <w:pPr>
        <w:pStyle w:val="ListParagraph"/>
        <w:numPr>
          <w:ilvl w:val="0"/>
          <w:numId w:val="34"/>
        </w:numPr>
        <w:spacing w:after="0" w:line="240" w:lineRule="auto"/>
        <w:contextualSpacing w:val="0"/>
        <w:jc w:val="both"/>
        <w:rPr>
          <w:rFonts w:ascii="Arial" w:hAnsi="Arial" w:cs="Arial"/>
          <w:b/>
          <w:kern w:val="2"/>
          <w:sz w:val="20"/>
          <w:szCs w:val="20"/>
        </w:rPr>
      </w:pPr>
      <w:r w:rsidRPr="00090D2C">
        <w:rPr>
          <w:rFonts w:ascii="Arial" w:hAnsi="Arial" w:cs="Arial"/>
          <w:kern w:val="2"/>
          <w:sz w:val="20"/>
          <w:szCs w:val="20"/>
        </w:rPr>
        <w:t>The Centers for Medicare &amp; Medicaid Services; and</w:t>
      </w:r>
    </w:p>
    <w:p w14:paraId="4BE3DA2C" w14:textId="77777777" w:rsidR="009C4CCF" w:rsidRPr="00090D2C" w:rsidRDefault="009C4CCF" w:rsidP="009C4CCF">
      <w:pPr>
        <w:pStyle w:val="ListParagraph"/>
        <w:numPr>
          <w:ilvl w:val="0"/>
          <w:numId w:val="34"/>
        </w:numPr>
        <w:spacing w:after="0" w:line="240" w:lineRule="auto"/>
        <w:contextualSpacing w:val="0"/>
        <w:jc w:val="both"/>
        <w:rPr>
          <w:rFonts w:ascii="Arial" w:hAnsi="Arial" w:cs="Arial"/>
          <w:bCs/>
          <w:kern w:val="2"/>
          <w:sz w:val="20"/>
          <w:szCs w:val="20"/>
        </w:rPr>
      </w:pPr>
      <w:r w:rsidRPr="00090D2C">
        <w:rPr>
          <w:rFonts w:ascii="Arial" w:hAnsi="Arial" w:cs="Arial"/>
          <w:bCs/>
          <w:kern w:val="2"/>
          <w:sz w:val="20"/>
          <w:szCs w:val="20"/>
        </w:rPr>
        <w:t>MassHealth</w:t>
      </w:r>
    </w:p>
    <w:p w14:paraId="7F35A64B" w14:textId="77777777" w:rsidR="009C4CCF" w:rsidRPr="00702EAF" w:rsidRDefault="009C4CCF" w:rsidP="009C4CCF">
      <w:pPr>
        <w:pStyle w:val="ListParagraph"/>
        <w:spacing w:after="0" w:line="240" w:lineRule="auto"/>
        <w:ind w:left="1440"/>
        <w:contextualSpacing w:val="0"/>
        <w:jc w:val="both"/>
        <w:rPr>
          <w:rFonts w:ascii="Arial" w:hAnsi="Arial" w:cs="Arial"/>
          <w:b/>
          <w:kern w:val="2"/>
          <w:sz w:val="20"/>
          <w:szCs w:val="20"/>
          <w:highlight w:val="yellow"/>
        </w:rPr>
      </w:pPr>
    </w:p>
    <w:p w14:paraId="4839830E" w14:textId="77777777" w:rsidR="009C4CCF" w:rsidRPr="00857A0A" w:rsidRDefault="009C4CCF" w:rsidP="009C4CCF">
      <w:pPr>
        <w:spacing w:after="0" w:line="240" w:lineRule="auto"/>
        <w:ind w:left="1440" w:hanging="1440"/>
        <w:jc w:val="both"/>
        <w:rPr>
          <w:rFonts w:ascii="Arial" w:hAnsi="Arial" w:cs="Arial"/>
          <w:b/>
          <w:kern w:val="2"/>
        </w:rPr>
      </w:pPr>
      <w:r w:rsidRPr="00857A0A">
        <w:rPr>
          <w:rFonts w:ascii="Arial" w:hAnsi="Arial" w:cs="Arial"/>
          <w:b/>
          <w:kern w:val="2"/>
        </w:rPr>
        <w:t>F1.e.i</w:t>
      </w:r>
      <w:r w:rsidRPr="00857A0A">
        <w:rPr>
          <w:rFonts w:ascii="Arial" w:hAnsi="Arial" w:cs="Arial"/>
          <w:kern w:val="2"/>
        </w:rPr>
        <w:tab/>
      </w:r>
      <w:r w:rsidRPr="00857A0A">
        <w:rPr>
          <w:rFonts w:ascii="Arial" w:hAnsi="Arial" w:cs="Arial"/>
          <w:b/>
          <w:kern w:val="2"/>
          <w:u w:val="single"/>
        </w:rPr>
        <w:t>Process for Determining Need/Evidence of Community Engagement:</w:t>
      </w:r>
      <w:r w:rsidRPr="00857A0A">
        <w:rPr>
          <w:rFonts w:ascii="Arial" w:hAnsi="Arial" w:cs="Arial"/>
          <w:b/>
          <w:kern w:val="2"/>
        </w:rPr>
        <w:t xml:space="preserve"> </w:t>
      </w:r>
    </w:p>
    <w:p w14:paraId="61659B02" w14:textId="77777777" w:rsidR="009C4CCF" w:rsidRPr="00857A0A" w:rsidRDefault="009C4CCF" w:rsidP="009C4CCF">
      <w:pPr>
        <w:spacing w:after="0" w:line="240" w:lineRule="auto"/>
        <w:ind w:left="1440"/>
        <w:jc w:val="both"/>
        <w:rPr>
          <w:rFonts w:ascii="Arial" w:hAnsi="Arial" w:cs="Arial"/>
          <w:b/>
          <w:kern w:val="2"/>
        </w:rPr>
      </w:pPr>
      <w:r w:rsidRPr="00857A0A">
        <w:rPr>
          <w:rFonts w:ascii="Arial" w:hAnsi="Arial" w:cs="Arial"/>
          <w:b/>
          <w:kern w:val="2"/>
        </w:rPr>
        <w:t xml:space="preserve">For assistance in responding to this portion of the Application, Applicant is encouraged to review </w:t>
      </w:r>
      <w:r w:rsidRPr="00857A0A">
        <w:rPr>
          <w:rFonts w:ascii="Arial" w:hAnsi="Arial" w:cs="Arial"/>
          <w:b/>
          <w:i/>
          <w:kern w:val="2"/>
        </w:rPr>
        <w:t xml:space="preserve">Community Engagement Standards for Community Health Planning Guideline. </w:t>
      </w:r>
      <w:r w:rsidRPr="00857A0A">
        <w:rPr>
          <w:rFonts w:ascii="Arial" w:hAnsi="Arial" w:cs="Arial"/>
          <w:b/>
          <w:kern w:val="2"/>
        </w:rPr>
        <w:t>With respect to the existing Patient Panel, please describe the process through which Applicant determined the need for the Proposed Project.</w:t>
      </w:r>
    </w:p>
    <w:p w14:paraId="11F87D49" w14:textId="77777777" w:rsidR="009C4CCF" w:rsidRDefault="009C4CCF" w:rsidP="009C4CCF">
      <w:pPr>
        <w:spacing w:after="0" w:line="240" w:lineRule="auto"/>
        <w:ind w:left="1440" w:hanging="1440"/>
        <w:jc w:val="both"/>
        <w:rPr>
          <w:rFonts w:ascii="Arial" w:eastAsia="Arial" w:hAnsi="Arial" w:cs="Arial"/>
          <w:kern w:val="2"/>
        </w:rPr>
      </w:pPr>
    </w:p>
    <w:p w14:paraId="42141B90" w14:textId="18723476" w:rsidR="00CB02FE" w:rsidRDefault="00CB02FE" w:rsidP="009C4CCF">
      <w:pPr>
        <w:spacing w:after="0" w:line="240" w:lineRule="auto"/>
        <w:jc w:val="both"/>
        <w:rPr>
          <w:rFonts w:ascii="Arial" w:eastAsia="Arial" w:hAnsi="Arial" w:cs="Arial"/>
          <w:kern w:val="2"/>
          <w:highlight w:val="yellow"/>
        </w:rPr>
      </w:pPr>
    </w:p>
    <w:p w14:paraId="72373583" w14:textId="625C27AA" w:rsidR="00354333" w:rsidRPr="00354333" w:rsidRDefault="00354333" w:rsidP="00354333">
      <w:pPr>
        <w:spacing w:after="0" w:line="240" w:lineRule="auto"/>
        <w:jc w:val="both"/>
        <w:rPr>
          <w:rFonts w:ascii="Arial" w:eastAsia="Arial" w:hAnsi="Arial" w:cs="Arial"/>
          <w:sz w:val="20"/>
          <w:szCs w:val="20"/>
        </w:rPr>
      </w:pPr>
      <w:r w:rsidRPr="00AE33AB">
        <w:rPr>
          <w:rFonts w:ascii="Arial" w:eastAsia="Arial" w:hAnsi="Arial" w:cs="Arial"/>
          <w:kern w:val="2"/>
          <w:sz w:val="20"/>
          <w:szCs w:val="20"/>
        </w:rPr>
        <w:t xml:space="preserve">In addition to </w:t>
      </w:r>
      <w:r>
        <w:rPr>
          <w:rFonts w:ascii="Arial" w:eastAsia="Arial" w:hAnsi="Arial" w:cs="Arial"/>
          <w:kern w:val="2"/>
          <w:sz w:val="20"/>
          <w:szCs w:val="20"/>
        </w:rPr>
        <w:t>relying on the</w:t>
      </w:r>
      <w:r w:rsidRPr="00AE33AB">
        <w:rPr>
          <w:rFonts w:ascii="Arial" w:eastAsia="Arial" w:hAnsi="Arial" w:cs="Arial"/>
          <w:kern w:val="2"/>
          <w:sz w:val="20"/>
          <w:szCs w:val="20"/>
        </w:rPr>
        <w:t xml:space="preserve"> data</w:t>
      </w:r>
      <w:r>
        <w:rPr>
          <w:rFonts w:ascii="Arial" w:eastAsia="Arial" w:hAnsi="Arial" w:cs="Arial"/>
          <w:kern w:val="2"/>
          <w:sz w:val="20"/>
          <w:szCs w:val="20"/>
        </w:rPr>
        <w:t xml:space="preserve"> described throughout this application</w:t>
      </w:r>
      <w:r w:rsidRPr="00AE33AB">
        <w:rPr>
          <w:rFonts w:ascii="Arial" w:eastAsia="Arial" w:hAnsi="Arial" w:cs="Arial"/>
          <w:kern w:val="2"/>
          <w:sz w:val="20"/>
          <w:szCs w:val="20"/>
        </w:rPr>
        <w:t xml:space="preserve"> </w:t>
      </w:r>
      <w:r>
        <w:rPr>
          <w:rFonts w:ascii="Arial" w:eastAsia="Arial" w:hAnsi="Arial" w:cs="Arial"/>
          <w:kern w:val="2"/>
          <w:sz w:val="20"/>
          <w:szCs w:val="20"/>
        </w:rPr>
        <w:t>that demonstrates</w:t>
      </w:r>
      <w:r w:rsidRPr="00AE33AB">
        <w:rPr>
          <w:rFonts w:ascii="Arial" w:eastAsia="Arial" w:hAnsi="Arial" w:cs="Arial"/>
          <w:kern w:val="2"/>
          <w:sz w:val="20"/>
          <w:szCs w:val="20"/>
        </w:rPr>
        <w:t xml:space="preserve"> the need for the Proposed Project, the Applicant also sought to</w:t>
      </w:r>
      <w:r>
        <w:rPr>
          <w:rFonts w:ascii="Arial" w:eastAsia="Arial" w:hAnsi="Arial" w:cs="Arial"/>
          <w:kern w:val="2"/>
          <w:sz w:val="20"/>
          <w:szCs w:val="20"/>
        </w:rPr>
        <w:t xml:space="preserve"> engage the community to</w:t>
      </w:r>
      <w:r w:rsidRPr="00AE33AB">
        <w:rPr>
          <w:rFonts w:ascii="Arial" w:eastAsia="Arial" w:hAnsi="Arial" w:cs="Arial"/>
          <w:kern w:val="2"/>
          <w:sz w:val="20"/>
          <w:szCs w:val="20"/>
        </w:rPr>
        <w:t xml:space="preserve"> </w:t>
      </w:r>
      <w:r>
        <w:rPr>
          <w:rFonts w:ascii="Arial" w:eastAsia="Arial" w:hAnsi="Arial" w:cs="Arial"/>
          <w:kern w:val="2"/>
          <w:sz w:val="20"/>
          <w:szCs w:val="20"/>
        </w:rPr>
        <w:t>elicit feedback from</w:t>
      </w:r>
      <w:r w:rsidRPr="00AE33AB">
        <w:rPr>
          <w:rFonts w:ascii="Arial" w:eastAsia="Arial" w:hAnsi="Arial" w:cs="Arial"/>
          <w:kern w:val="2"/>
          <w:sz w:val="20"/>
          <w:szCs w:val="20"/>
        </w:rPr>
        <w:t xml:space="preserve"> patients and families regarding the Proposed Project</w:t>
      </w:r>
      <w:r>
        <w:rPr>
          <w:rFonts w:ascii="Arial" w:eastAsia="Arial" w:hAnsi="Arial" w:cs="Arial"/>
          <w:kern w:val="2"/>
          <w:sz w:val="20"/>
          <w:szCs w:val="20"/>
        </w:rPr>
        <w:t xml:space="preserve">. The presentations reviewed the </w:t>
      </w:r>
      <w:r w:rsidRPr="00AE33AB">
        <w:rPr>
          <w:rFonts w:ascii="Arial" w:eastAsia="Arial" w:hAnsi="Arial" w:cs="Arial"/>
          <w:kern w:val="2"/>
          <w:sz w:val="20"/>
          <w:szCs w:val="20"/>
        </w:rPr>
        <w:t>purpose of the Proposed Project</w:t>
      </w:r>
      <w:r>
        <w:rPr>
          <w:rFonts w:ascii="Arial" w:eastAsia="Arial" w:hAnsi="Arial" w:cs="Arial"/>
          <w:kern w:val="2"/>
          <w:sz w:val="20"/>
          <w:szCs w:val="20"/>
        </w:rPr>
        <w:t xml:space="preserve">, </w:t>
      </w:r>
      <w:r w:rsidRPr="00AE33AB">
        <w:rPr>
          <w:rFonts w:ascii="Arial" w:eastAsia="Arial" w:hAnsi="Arial" w:cs="Arial"/>
          <w:kern w:val="2"/>
          <w:sz w:val="20"/>
          <w:szCs w:val="20"/>
        </w:rPr>
        <w:t>what it would mean for patients and the community</w:t>
      </w:r>
      <w:r>
        <w:rPr>
          <w:rFonts w:ascii="Arial" w:eastAsia="Arial" w:hAnsi="Arial" w:cs="Arial"/>
          <w:kern w:val="2"/>
          <w:sz w:val="20"/>
          <w:szCs w:val="20"/>
        </w:rPr>
        <w:t>, and provided a general overview of the Proposed Project’s process</w:t>
      </w:r>
      <w:r w:rsidRPr="00AE33AB">
        <w:rPr>
          <w:rFonts w:ascii="Arial" w:eastAsia="Arial" w:hAnsi="Arial" w:cs="Arial"/>
          <w:kern w:val="2"/>
          <w:sz w:val="20"/>
          <w:szCs w:val="20"/>
        </w:rPr>
        <w:t xml:space="preserve">. </w:t>
      </w:r>
      <w:r>
        <w:rPr>
          <w:rFonts w:ascii="Arial" w:eastAsia="Arial" w:hAnsi="Arial" w:cs="Arial"/>
          <w:kern w:val="2"/>
          <w:sz w:val="20"/>
          <w:szCs w:val="20"/>
        </w:rPr>
        <w:t xml:space="preserve"> The</w:t>
      </w:r>
      <w:r w:rsidRPr="00AE33AB">
        <w:rPr>
          <w:rFonts w:ascii="Arial" w:eastAsia="Arial" w:hAnsi="Arial" w:cs="Arial"/>
          <w:kern w:val="2"/>
          <w:sz w:val="20"/>
          <w:szCs w:val="20"/>
        </w:rPr>
        <w:t xml:space="preserve"> </w:t>
      </w:r>
      <w:r w:rsidRPr="00AE33AB">
        <w:rPr>
          <w:rFonts w:ascii="Arial" w:eastAsia="Arial" w:hAnsi="Arial" w:cs="Arial"/>
          <w:sz w:val="20"/>
          <w:szCs w:val="20"/>
        </w:rPr>
        <w:t xml:space="preserve">Proposed Project was presented </w:t>
      </w:r>
      <w:r w:rsidRPr="00AE33AB">
        <w:rPr>
          <w:rFonts w:ascii="Arial" w:eastAsia="Arial" w:hAnsi="Arial" w:cs="Arial"/>
          <w:kern w:val="2"/>
          <w:sz w:val="20"/>
          <w:szCs w:val="20"/>
        </w:rPr>
        <w:t>to</w:t>
      </w:r>
      <w:r>
        <w:rPr>
          <w:rFonts w:ascii="Arial" w:eastAsia="Arial" w:hAnsi="Arial" w:cs="Arial"/>
          <w:kern w:val="2"/>
          <w:sz w:val="20"/>
          <w:szCs w:val="20"/>
        </w:rPr>
        <w:t xml:space="preserve"> the following groups:</w:t>
      </w:r>
    </w:p>
    <w:p w14:paraId="34A0F204" w14:textId="1D714F0F" w:rsidR="00354333" w:rsidRDefault="00354333" w:rsidP="00354333">
      <w:pPr>
        <w:spacing w:after="0" w:line="240" w:lineRule="auto"/>
        <w:jc w:val="both"/>
        <w:rPr>
          <w:rFonts w:ascii="Arial" w:eastAsia="Arial" w:hAnsi="Arial" w:cs="Arial"/>
          <w:kern w:val="2"/>
          <w:sz w:val="20"/>
          <w:szCs w:val="20"/>
        </w:rPr>
      </w:pPr>
    </w:p>
    <w:p w14:paraId="2389D597" w14:textId="77777777" w:rsidR="00354333" w:rsidRDefault="00354333" w:rsidP="00354333">
      <w:pPr>
        <w:pStyle w:val="ListParagraph"/>
        <w:numPr>
          <w:ilvl w:val="0"/>
          <w:numId w:val="28"/>
        </w:numPr>
        <w:spacing w:after="0" w:line="240" w:lineRule="auto"/>
        <w:jc w:val="both"/>
        <w:rPr>
          <w:rFonts w:ascii="Arial" w:eastAsia="Arial" w:hAnsi="Arial" w:cs="Arial"/>
          <w:kern w:val="2"/>
          <w:sz w:val="20"/>
          <w:szCs w:val="20"/>
        </w:rPr>
      </w:pPr>
      <w:r>
        <w:rPr>
          <w:rFonts w:ascii="Arial" w:eastAsia="Arial" w:hAnsi="Arial" w:cs="Arial"/>
          <w:kern w:val="2"/>
          <w:sz w:val="20"/>
          <w:szCs w:val="20"/>
        </w:rPr>
        <w:t>T</w:t>
      </w:r>
      <w:r w:rsidRPr="00AE33AB">
        <w:rPr>
          <w:rFonts w:ascii="Arial" w:eastAsia="Arial" w:hAnsi="Arial" w:cs="Arial"/>
          <w:kern w:val="2"/>
          <w:sz w:val="20"/>
          <w:szCs w:val="20"/>
        </w:rPr>
        <w:t>he Hospital’s Community Benefits Advisory Council (“CBAC”</w:t>
      </w:r>
      <w:proofErr w:type="gramStart"/>
      <w:r w:rsidRPr="00AE33AB">
        <w:rPr>
          <w:rFonts w:ascii="Arial" w:eastAsia="Arial" w:hAnsi="Arial" w:cs="Arial"/>
          <w:kern w:val="2"/>
          <w:sz w:val="20"/>
          <w:szCs w:val="20"/>
        </w:rPr>
        <w:t>)</w:t>
      </w:r>
      <w:r>
        <w:rPr>
          <w:rFonts w:ascii="Arial" w:eastAsia="Arial" w:hAnsi="Arial" w:cs="Arial"/>
          <w:kern w:val="2"/>
          <w:sz w:val="20"/>
          <w:szCs w:val="20"/>
        </w:rPr>
        <w:t>;</w:t>
      </w:r>
      <w:proofErr w:type="gramEnd"/>
    </w:p>
    <w:p w14:paraId="79D3BB06" w14:textId="77777777" w:rsidR="00354333" w:rsidRPr="009E7F98" w:rsidRDefault="00354333" w:rsidP="00354333">
      <w:pPr>
        <w:pStyle w:val="ListParagraph"/>
        <w:numPr>
          <w:ilvl w:val="0"/>
          <w:numId w:val="28"/>
        </w:numPr>
        <w:spacing w:after="0" w:line="240" w:lineRule="auto"/>
        <w:jc w:val="both"/>
        <w:rPr>
          <w:rFonts w:ascii="Arial" w:eastAsia="Arial" w:hAnsi="Arial" w:cs="Arial"/>
          <w:kern w:val="2"/>
          <w:sz w:val="20"/>
          <w:szCs w:val="20"/>
        </w:rPr>
      </w:pPr>
      <w:r>
        <w:rPr>
          <w:rFonts w:ascii="Arial" w:eastAsia="Arial" w:hAnsi="Arial" w:cs="Arial"/>
          <w:sz w:val="20"/>
          <w:szCs w:val="20"/>
        </w:rPr>
        <w:t xml:space="preserve">The Hospital’s </w:t>
      </w:r>
      <w:r w:rsidRPr="00AE33AB">
        <w:rPr>
          <w:rFonts w:ascii="Arial" w:eastAsia="Arial" w:hAnsi="Arial" w:cs="Arial"/>
          <w:sz w:val="20"/>
          <w:szCs w:val="20"/>
        </w:rPr>
        <w:t>Patient Family Advisory Council (“PFAC”</w:t>
      </w:r>
      <w:proofErr w:type="gramStart"/>
      <w:r w:rsidRPr="00AE33AB">
        <w:rPr>
          <w:rFonts w:ascii="Arial" w:eastAsia="Arial" w:hAnsi="Arial" w:cs="Arial"/>
          <w:sz w:val="20"/>
          <w:szCs w:val="20"/>
        </w:rPr>
        <w:t>)</w:t>
      </w:r>
      <w:r>
        <w:rPr>
          <w:rFonts w:ascii="Arial" w:eastAsia="Arial" w:hAnsi="Arial" w:cs="Arial"/>
          <w:sz w:val="20"/>
          <w:szCs w:val="20"/>
        </w:rPr>
        <w:t>;</w:t>
      </w:r>
      <w:proofErr w:type="gramEnd"/>
    </w:p>
    <w:p w14:paraId="7A401D73" w14:textId="69C0D52A" w:rsidR="00354333" w:rsidRPr="009E7F98" w:rsidRDefault="00354333" w:rsidP="00354333">
      <w:pPr>
        <w:pStyle w:val="ListParagraph"/>
        <w:numPr>
          <w:ilvl w:val="0"/>
          <w:numId w:val="28"/>
        </w:numPr>
        <w:spacing w:after="0" w:line="240" w:lineRule="auto"/>
        <w:jc w:val="both"/>
        <w:rPr>
          <w:rFonts w:ascii="Arial" w:eastAsia="Arial" w:hAnsi="Arial" w:cs="Arial"/>
          <w:kern w:val="2"/>
          <w:sz w:val="20"/>
          <w:szCs w:val="20"/>
        </w:rPr>
      </w:pPr>
      <w:r w:rsidRPr="00AE33AB">
        <w:rPr>
          <w:rFonts w:ascii="Arial" w:eastAsia="Arial" w:hAnsi="Arial" w:cs="Arial"/>
          <w:sz w:val="20"/>
          <w:szCs w:val="20"/>
        </w:rPr>
        <w:t>Community Meeting</w:t>
      </w:r>
      <w:r>
        <w:rPr>
          <w:rFonts w:ascii="Arial" w:eastAsia="Arial" w:hAnsi="Arial" w:cs="Arial"/>
          <w:sz w:val="20"/>
          <w:szCs w:val="20"/>
        </w:rPr>
        <w:t>.</w:t>
      </w:r>
    </w:p>
    <w:p w14:paraId="705361D7" w14:textId="49DD602D" w:rsidR="00CB02FE" w:rsidRDefault="00CB02FE" w:rsidP="009C4CCF">
      <w:pPr>
        <w:spacing w:after="0" w:line="240" w:lineRule="auto"/>
        <w:jc w:val="both"/>
        <w:rPr>
          <w:rFonts w:ascii="Arial" w:eastAsia="Arial" w:hAnsi="Arial" w:cs="Arial"/>
          <w:kern w:val="2"/>
          <w:highlight w:val="yellow"/>
        </w:rPr>
      </w:pPr>
    </w:p>
    <w:p w14:paraId="4CBF8DEA" w14:textId="77777777" w:rsidR="00CB02FE" w:rsidRPr="00702EAF" w:rsidRDefault="00CB02FE" w:rsidP="009C4CCF">
      <w:pPr>
        <w:spacing w:after="0" w:line="240" w:lineRule="auto"/>
        <w:jc w:val="both"/>
        <w:rPr>
          <w:rFonts w:ascii="Arial" w:eastAsia="Arial" w:hAnsi="Arial" w:cs="Arial"/>
          <w:kern w:val="2"/>
          <w:highlight w:val="yellow"/>
        </w:rPr>
      </w:pPr>
    </w:p>
    <w:p w14:paraId="00D04816" w14:textId="77777777" w:rsidR="009C4CCF" w:rsidRPr="00B731CB" w:rsidRDefault="009C4CCF" w:rsidP="009C4CCF">
      <w:pPr>
        <w:spacing w:after="0" w:line="240" w:lineRule="auto"/>
        <w:ind w:left="1440" w:hanging="1440"/>
        <w:jc w:val="both"/>
        <w:rPr>
          <w:rFonts w:ascii="Arial" w:hAnsi="Arial" w:cs="Arial"/>
          <w:b/>
          <w:kern w:val="2"/>
        </w:rPr>
      </w:pPr>
      <w:r w:rsidRPr="00B731CB">
        <w:rPr>
          <w:rFonts w:ascii="Arial" w:hAnsi="Arial" w:cs="Arial"/>
          <w:b/>
          <w:kern w:val="2"/>
        </w:rPr>
        <w:t>F1.e.ii</w:t>
      </w:r>
      <w:r w:rsidRPr="00B731CB">
        <w:rPr>
          <w:rFonts w:ascii="Arial" w:hAnsi="Arial" w:cs="Arial"/>
          <w:b/>
          <w:kern w:val="2"/>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516A339B" w14:textId="77777777" w:rsidR="009C4CCF" w:rsidRDefault="009C4CCF" w:rsidP="009C4CCF">
      <w:pPr>
        <w:rPr>
          <w:rFonts w:eastAsia="Times New Roman"/>
          <w:highlight w:val="yellow"/>
        </w:rPr>
      </w:pPr>
    </w:p>
    <w:p w14:paraId="724AA350" w14:textId="4C3734C9" w:rsidR="009C4CCF" w:rsidRDefault="009C4CCF" w:rsidP="009C4CCF">
      <w:pPr>
        <w:spacing w:after="0" w:line="240" w:lineRule="auto"/>
        <w:jc w:val="both"/>
        <w:rPr>
          <w:rFonts w:ascii="Arial" w:hAnsi="Arial" w:cs="Arial"/>
          <w:sz w:val="20"/>
          <w:szCs w:val="20"/>
        </w:rPr>
      </w:pPr>
      <w:r w:rsidRPr="00367C46">
        <w:rPr>
          <w:rFonts w:ascii="Arial" w:hAnsi="Arial" w:cs="Arial"/>
          <w:sz w:val="20"/>
          <w:szCs w:val="20"/>
        </w:rPr>
        <w:lastRenderedPageBreak/>
        <w:t>To ensure sound community engagement throughout the development of the Proposed Project, the Applicant took the following actions:</w:t>
      </w:r>
    </w:p>
    <w:p w14:paraId="7CF0E9F8" w14:textId="3846C48D" w:rsidR="00354333" w:rsidRDefault="00354333" w:rsidP="009C4CCF">
      <w:pPr>
        <w:spacing w:after="0" w:line="240" w:lineRule="auto"/>
        <w:jc w:val="both"/>
        <w:rPr>
          <w:rFonts w:ascii="Arial" w:hAnsi="Arial" w:cs="Arial"/>
          <w:sz w:val="20"/>
          <w:szCs w:val="20"/>
        </w:rPr>
      </w:pPr>
      <w:r>
        <w:rPr>
          <w:rFonts w:ascii="Arial" w:hAnsi="Arial" w:cs="Arial"/>
          <w:sz w:val="20"/>
          <w:szCs w:val="20"/>
        </w:rPr>
        <w:tab/>
      </w:r>
    </w:p>
    <w:p w14:paraId="7650A72C" w14:textId="660480DF" w:rsidR="00316F7A" w:rsidRPr="00316F7A" w:rsidRDefault="00316F7A" w:rsidP="00316F7A">
      <w:pPr>
        <w:pStyle w:val="ListParagraph"/>
        <w:widowControl w:val="0"/>
        <w:numPr>
          <w:ilvl w:val="0"/>
          <w:numId w:val="12"/>
        </w:numPr>
        <w:spacing w:after="0" w:line="240" w:lineRule="auto"/>
        <w:jc w:val="both"/>
        <w:rPr>
          <w:rFonts w:ascii="Arial" w:hAnsi="Arial" w:cs="Arial"/>
          <w:sz w:val="20"/>
          <w:szCs w:val="20"/>
        </w:rPr>
      </w:pPr>
      <w:r w:rsidRPr="00B731CB">
        <w:rPr>
          <w:rFonts w:ascii="Arial" w:hAnsi="Arial" w:cs="Arial"/>
          <w:sz w:val="20"/>
          <w:szCs w:val="20"/>
        </w:rPr>
        <w:t>Presentation</w:t>
      </w:r>
      <w:r>
        <w:rPr>
          <w:rFonts w:ascii="Arial" w:hAnsi="Arial" w:cs="Arial"/>
          <w:sz w:val="20"/>
          <w:szCs w:val="20"/>
        </w:rPr>
        <w:t xml:space="preserve"> on the details of the proposed project to</w:t>
      </w:r>
      <w:r w:rsidRPr="00B731CB">
        <w:rPr>
          <w:rFonts w:ascii="Arial" w:hAnsi="Arial" w:cs="Arial"/>
          <w:sz w:val="20"/>
          <w:szCs w:val="20"/>
        </w:rPr>
        <w:t xml:space="preserve"> </w:t>
      </w:r>
      <w:r>
        <w:rPr>
          <w:rFonts w:ascii="Arial" w:hAnsi="Arial" w:cs="Arial"/>
          <w:sz w:val="20"/>
          <w:szCs w:val="20"/>
        </w:rPr>
        <w:t>AJH’s</w:t>
      </w:r>
      <w:r w:rsidRPr="00B731CB">
        <w:rPr>
          <w:rFonts w:ascii="Arial" w:hAnsi="Arial" w:cs="Arial"/>
          <w:sz w:val="20"/>
          <w:szCs w:val="20"/>
        </w:rPr>
        <w:t xml:space="preserve"> PFAC on </w:t>
      </w:r>
      <w:r>
        <w:rPr>
          <w:rFonts w:ascii="Arial" w:hAnsi="Arial" w:cs="Arial"/>
          <w:sz w:val="20"/>
          <w:szCs w:val="20"/>
        </w:rPr>
        <w:t xml:space="preserve">February </w:t>
      </w:r>
      <w:r w:rsidR="00FB7C9E">
        <w:rPr>
          <w:rFonts w:ascii="Arial" w:hAnsi="Arial" w:cs="Arial"/>
          <w:sz w:val="20"/>
          <w:szCs w:val="20"/>
        </w:rPr>
        <w:t>7</w:t>
      </w:r>
      <w:r>
        <w:rPr>
          <w:rFonts w:ascii="Arial" w:hAnsi="Arial" w:cs="Arial"/>
          <w:sz w:val="20"/>
          <w:szCs w:val="20"/>
        </w:rPr>
        <w:t>, 2023. Sixteen (16) individuals were in attendance.</w:t>
      </w:r>
    </w:p>
    <w:p w14:paraId="25D30ECD" w14:textId="367CE352" w:rsidR="00354333" w:rsidRDefault="00316F7A" w:rsidP="00354333">
      <w:pPr>
        <w:pStyle w:val="ListParagraph"/>
        <w:widowControl w:val="0"/>
        <w:numPr>
          <w:ilvl w:val="0"/>
          <w:numId w:val="12"/>
        </w:numPr>
        <w:spacing w:after="0" w:line="240" w:lineRule="auto"/>
        <w:jc w:val="both"/>
        <w:rPr>
          <w:rFonts w:ascii="Arial" w:hAnsi="Arial" w:cs="Arial"/>
          <w:sz w:val="20"/>
          <w:szCs w:val="20"/>
        </w:rPr>
      </w:pPr>
      <w:r w:rsidRPr="00B731CB">
        <w:rPr>
          <w:rFonts w:ascii="Arial" w:hAnsi="Arial" w:cs="Arial"/>
          <w:sz w:val="20"/>
          <w:szCs w:val="20"/>
        </w:rPr>
        <w:t>Presentation</w:t>
      </w:r>
      <w:r>
        <w:rPr>
          <w:rFonts w:ascii="Arial" w:hAnsi="Arial" w:cs="Arial"/>
          <w:sz w:val="20"/>
          <w:szCs w:val="20"/>
        </w:rPr>
        <w:t xml:space="preserve"> on the details of the proposed project to</w:t>
      </w:r>
      <w:r w:rsidR="00354333" w:rsidRPr="00B731CB">
        <w:rPr>
          <w:rFonts w:ascii="Arial" w:hAnsi="Arial" w:cs="Arial"/>
          <w:sz w:val="20"/>
          <w:szCs w:val="20"/>
        </w:rPr>
        <w:t xml:space="preserve"> </w:t>
      </w:r>
      <w:r w:rsidR="00354333">
        <w:rPr>
          <w:rFonts w:ascii="Arial" w:hAnsi="Arial" w:cs="Arial"/>
          <w:sz w:val="20"/>
          <w:szCs w:val="20"/>
        </w:rPr>
        <w:t xml:space="preserve">AJH’s </w:t>
      </w:r>
      <w:r w:rsidR="00354333" w:rsidRPr="00B731CB">
        <w:rPr>
          <w:rFonts w:ascii="Arial" w:hAnsi="Arial" w:cs="Arial"/>
          <w:sz w:val="20"/>
          <w:szCs w:val="20"/>
        </w:rPr>
        <w:t>CBAC on</w:t>
      </w:r>
      <w:r w:rsidR="00D944A2">
        <w:rPr>
          <w:rFonts w:ascii="Arial" w:hAnsi="Arial" w:cs="Arial"/>
          <w:sz w:val="20"/>
          <w:szCs w:val="20"/>
        </w:rPr>
        <w:t xml:space="preserve"> March 2</w:t>
      </w:r>
      <w:r w:rsidR="00FB7C9E">
        <w:rPr>
          <w:rFonts w:ascii="Arial" w:hAnsi="Arial" w:cs="Arial"/>
          <w:sz w:val="20"/>
          <w:szCs w:val="20"/>
        </w:rPr>
        <w:t>1</w:t>
      </w:r>
      <w:r w:rsidR="00D944A2">
        <w:rPr>
          <w:rFonts w:ascii="Arial" w:hAnsi="Arial" w:cs="Arial"/>
          <w:sz w:val="20"/>
          <w:szCs w:val="20"/>
        </w:rPr>
        <w:t>, 2023. Eleven (11) individuals were in attendance.</w:t>
      </w:r>
    </w:p>
    <w:p w14:paraId="6369277D" w14:textId="246C81E5" w:rsidR="00354333" w:rsidRDefault="00354333" w:rsidP="00354333">
      <w:pPr>
        <w:pStyle w:val="ListParagraph"/>
        <w:widowControl w:val="0"/>
        <w:numPr>
          <w:ilvl w:val="0"/>
          <w:numId w:val="12"/>
        </w:numPr>
        <w:spacing w:after="0" w:line="240" w:lineRule="auto"/>
        <w:jc w:val="both"/>
        <w:rPr>
          <w:rFonts w:ascii="Arial" w:hAnsi="Arial" w:cs="Arial"/>
          <w:sz w:val="20"/>
          <w:szCs w:val="20"/>
        </w:rPr>
      </w:pPr>
      <w:r>
        <w:rPr>
          <w:rFonts w:ascii="Arial" w:hAnsi="Arial" w:cs="Arial"/>
          <w:sz w:val="20"/>
          <w:szCs w:val="20"/>
        </w:rPr>
        <w:t xml:space="preserve">Presentation at a Community Meeting on </w:t>
      </w:r>
      <w:r w:rsidR="00D944A2">
        <w:rPr>
          <w:rFonts w:ascii="Arial" w:hAnsi="Arial" w:cs="Arial"/>
          <w:sz w:val="20"/>
          <w:szCs w:val="20"/>
        </w:rPr>
        <w:t>March 31, 2023</w:t>
      </w:r>
      <w:r>
        <w:rPr>
          <w:rFonts w:ascii="Arial" w:hAnsi="Arial" w:cs="Arial"/>
          <w:sz w:val="20"/>
          <w:szCs w:val="20"/>
        </w:rPr>
        <w:t>.</w:t>
      </w:r>
      <w:r w:rsidR="00D944A2">
        <w:rPr>
          <w:rFonts w:ascii="Arial" w:hAnsi="Arial" w:cs="Arial"/>
          <w:sz w:val="20"/>
          <w:szCs w:val="20"/>
        </w:rPr>
        <w:t xml:space="preserve"> Eleven (11) individuals were in attendance. </w:t>
      </w:r>
    </w:p>
    <w:p w14:paraId="71BFF658" w14:textId="73AF2B83" w:rsidR="00D04AE0" w:rsidRDefault="00D04AE0" w:rsidP="00D04AE0">
      <w:pPr>
        <w:widowControl w:val="0"/>
        <w:spacing w:after="0" w:line="240" w:lineRule="auto"/>
        <w:jc w:val="both"/>
        <w:rPr>
          <w:rFonts w:ascii="Arial" w:hAnsi="Arial" w:cs="Arial"/>
          <w:sz w:val="20"/>
          <w:szCs w:val="20"/>
        </w:rPr>
      </w:pPr>
    </w:p>
    <w:p w14:paraId="1D816B56" w14:textId="77777777" w:rsidR="00A32348" w:rsidRDefault="00A32348" w:rsidP="00A32348">
      <w:pPr>
        <w:pStyle w:val="xmsonormal"/>
        <w:jc w:val="both"/>
      </w:pPr>
      <w:r w:rsidRPr="00A32348">
        <w:rPr>
          <w:rFonts w:ascii="Arial" w:hAnsi="Arial" w:cs="Arial"/>
          <w:sz w:val="20"/>
          <w:szCs w:val="20"/>
        </w:rPr>
        <w:t>At each of the presentations the feedback was resolute in the need for a second CT unit and unanimously recognized that lack of redundancy is leading to increased patient access concerns. There was also a significant concern about the overall perception of care that could be provided by AJH given the limitations</w:t>
      </w:r>
      <w:r w:rsidRPr="00A32348">
        <w:rPr>
          <w:rFonts w:ascii="Arial" w:hAnsi="Arial" w:cs="Arial"/>
          <w:sz w:val="20"/>
          <w:szCs w:val="20"/>
          <w:shd w:val="clear" w:color="auto" w:fill="FFFF00"/>
        </w:rPr>
        <w:t xml:space="preserve"> </w:t>
      </w:r>
      <w:r w:rsidRPr="00A32348">
        <w:rPr>
          <w:rFonts w:ascii="Arial" w:hAnsi="Arial" w:cs="Arial"/>
          <w:sz w:val="20"/>
          <w:szCs w:val="20"/>
        </w:rPr>
        <w:t>of having one CT unit at AJH.</w:t>
      </w:r>
    </w:p>
    <w:p w14:paraId="4680E4F7" w14:textId="05453CB9" w:rsidR="009C4CCF" w:rsidRPr="00367C46" w:rsidRDefault="009C4CCF" w:rsidP="009C4CCF">
      <w:pPr>
        <w:spacing w:after="0" w:line="240" w:lineRule="auto"/>
        <w:jc w:val="both"/>
        <w:rPr>
          <w:rFonts w:ascii="Arial" w:eastAsia="Arial" w:hAnsi="Arial" w:cs="Arial"/>
          <w:kern w:val="2"/>
          <w:sz w:val="20"/>
          <w:szCs w:val="20"/>
          <w:highlight w:val="yellow"/>
        </w:rPr>
      </w:pPr>
    </w:p>
    <w:p w14:paraId="02DCDC7B" w14:textId="77777777" w:rsidR="009C4CCF" w:rsidRPr="0033434E" w:rsidRDefault="009C4CCF" w:rsidP="009C4CCF">
      <w:pPr>
        <w:spacing w:after="0" w:line="240" w:lineRule="auto"/>
        <w:jc w:val="both"/>
        <w:rPr>
          <w:rFonts w:ascii="Arial" w:hAnsi="Arial" w:cs="Arial"/>
          <w:b/>
          <w:kern w:val="2"/>
        </w:rPr>
      </w:pPr>
      <w:r w:rsidRPr="0033434E">
        <w:rPr>
          <w:rFonts w:ascii="Arial" w:hAnsi="Arial" w:cs="Arial"/>
          <w:b/>
          <w:kern w:val="2"/>
        </w:rPr>
        <w:t xml:space="preserve">Factor 2: Health Priorities </w:t>
      </w:r>
      <w:r w:rsidRPr="0033434E">
        <w:rPr>
          <w:rFonts w:ascii="Arial" w:hAnsi="Arial" w:cs="Arial"/>
          <w:b/>
          <w:kern w:val="2"/>
        </w:rPr>
        <w:tab/>
      </w:r>
      <w:r w:rsidRPr="0033434E">
        <w:rPr>
          <w:rFonts w:ascii="Arial" w:hAnsi="Arial" w:cs="Arial"/>
          <w:b/>
          <w:kern w:val="2"/>
        </w:rPr>
        <w:tab/>
      </w:r>
      <w:r w:rsidRPr="0033434E">
        <w:rPr>
          <w:rFonts w:ascii="Arial" w:hAnsi="Arial" w:cs="Arial"/>
          <w:b/>
          <w:kern w:val="2"/>
        </w:rPr>
        <w:tab/>
      </w:r>
    </w:p>
    <w:p w14:paraId="6E0319C5" w14:textId="77777777" w:rsidR="009C4CCF" w:rsidRPr="0033434E" w:rsidRDefault="009C4CCF" w:rsidP="009C4CCF">
      <w:pPr>
        <w:spacing w:after="0" w:line="240" w:lineRule="auto"/>
        <w:ind w:left="1440" w:hanging="1440"/>
        <w:jc w:val="both"/>
        <w:rPr>
          <w:rFonts w:ascii="Arial" w:hAnsi="Arial" w:cs="Arial"/>
          <w:b/>
          <w:kern w:val="2"/>
        </w:rPr>
      </w:pPr>
    </w:p>
    <w:p w14:paraId="08009887" w14:textId="77777777" w:rsidR="009C4CCF" w:rsidRPr="00DF539F" w:rsidRDefault="009C4CCF" w:rsidP="009C4CCF">
      <w:pPr>
        <w:autoSpaceDE w:val="0"/>
        <w:autoSpaceDN w:val="0"/>
        <w:adjustRightInd w:val="0"/>
        <w:spacing w:after="0" w:line="240" w:lineRule="auto"/>
        <w:jc w:val="both"/>
        <w:rPr>
          <w:rFonts w:ascii="Arial" w:hAnsi="Arial" w:cs="Arial"/>
          <w:b/>
          <w:sz w:val="20"/>
          <w:szCs w:val="20"/>
        </w:rPr>
      </w:pPr>
      <w:r w:rsidRPr="0033434E">
        <w:rPr>
          <w:rFonts w:ascii="Arial" w:hAnsi="Arial" w:cs="Arial"/>
          <w:b/>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E82420" w14:textId="77777777" w:rsidR="009C4CCF" w:rsidRPr="00DF539F" w:rsidRDefault="009C4CCF" w:rsidP="009C4CCF">
      <w:pPr>
        <w:autoSpaceDE w:val="0"/>
        <w:autoSpaceDN w:val="0"/>
        <w:adjustRightInd w:val="0"/>
        <w:spacing w:after="0" w:line="240" w:lineRule="auto"/>
        <w:jc w:val="both"/>
        <w:rPr>
          <w:rFonts w:ascii="Arial" w:hAnsi="Arial" w:cs="Arial"/>
          <w:b/>
          <w:sz w:val="20"/>
          <w:szCs w:val="20"/>
        </w:rPr>
      </w:pPr>
    </w:p>
    <w:p w14:paraId="79BE9220" w14:textId="77777777" w:rsidR="009C4CCF" w:rsidRPr="0033434E" w:rsidRDefault="009C4CCF" w:rsidP="009C4CCF">
      <w:pPr>
        <w:tabs>
          <w:tab w:val="left" w:pos="1440"/>
        </w:tabs>
        <w:autoSpaceDE w:val="0"/>
        <w:autoSpaceDN w:val="0"/>
        <w:adjustRightInd w:val="0"/>
        <w:spacing w:after="0" w:line="240" w:lineRule="auto"/>
        <w:ind w:left="1440" w:hanging="1440"/>
        <w:jc w:val="both"/>
        <w:rPr>
          <w:rFonts w:ascii="Arial" w:hAnsi="Arial" w:cs="Arial"/>
          <w:b/>
        </w:rPr>
      </w:pPr>
      <w:r w:rsidRPr="0033434E">
        <w:rPr>
          <w:rFonts w:ascii="Arial" w:hAnsi="Arial" w:cs="Arial"/>
          <w:b/>
        </w:rPr>
        <w:t>F2.a.</w:t>
      </w:r>
      <w:r w:rsidRPr="0033434E">
        <w:rPr>
          <w:rFonts w:ascii="Arial" w:hAnsi="Arial" w:cs="Arial"/>
          <w:b/>
        </w:rPr>
        <w:tab/>
      </w:r>
      <w:r w:rsidRPr="0033434E">
        <w:rPr>
          <w:rFonts w:ascii="Arial" w:hAnsi="Arial" w:cs="Arial"/>
          <w:b/>
          <w:u w:val="single"/>
        </w:rPr>
        <w:t>Cost Containment:</w:t>
      </w:r>
      <w:r w:rsidRPr="0033434E">
        <w:rPr>
          <w:rFonts w:ascii="Arial" w:hAnsi="Arial" w:cs="Arial"/>
          <w:b/>
        </w:rPr>
        <w:t xml:space="preserve"> </w:t>
      </w:r>
    </w:p>
    <w:p w14:paraId="4C340BC4" w14:textId="2263D55E" w:rsidR="00CB02FE" w:rsidRPr="00832F3E" w:rsidRDefault="009C4CCF" w:rsidP="00832F3E">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rPr>
        <w:tab/>
      </w:r>
      <w:r w:rsidRPr="0033434E">
        <w:rPr>
          <w:rFonts w:ascii="Arial" w:hAnsi="Arial" w:cs="Arial"/>
          <w:b/>
          <w:kern w:val="2"/>
        </w:rPr>
        <w:t>Using objective data, please describe, for each new or expanded service, how the Proposed Project will meaningfully contribute to the Commonwealth's goals for cost containment.</w:t>
      </w:r>
    </w:p>
    <w:p w14:paraId="3264005A" w14:textId="416E509E" w:rsidR="00CB02FE" w:rsidRDefault="00CB02FE" w:rsidP="009C4CCF">
      <w:pPr>
        <w:spacing w:after="0" w:line="240" w:lineRule="auto"/>
        <w:jc w:val="both"/>
        <w:rPr>
          <w:rFonts w:ascii="Arial" w:hAnsi="Arial" w:cs="Arial"/>
          <w:sz w:val="20"/>
          <w:szCs w:val="20"/>
        </w:rPr>
      </w:pPr>
    </w:p>
    <w:p w14:paraId="110440E4" w14:textId="3D2BF31E" w:rsidR="0050432C" w:rsidRDefault="0050432C" w:rsidP="0050432C">
      <w:pPr>
        <w:pStyle w:val="BodyText2"/>
        <w:tabs>
          <w:tab w:val="left" w:pos="1440"/>
          <w:tab w:val="left" w:pos="5736"/>
        </w:tabs>
        <w:autoSpaceDE w:val="0"/>
        <w:autoSpaceDN w:val="0"/>
        <w:adjustRightInd w:val="0"/>
        <w:rPr>
          <w:kern w:val="0"/>
        </w:rPr>
      </w:pPr>
      <w:r w:rsidRPr="00DF539F">
        <w:rPr>
          <w:kern w:val="0"/>
        </w:rPr>
        <w:t xml:space="preserve">The Proposed Project will meaningfully contribute to and further the Commonwealth’s goals for cost containment by ensuring </w:t>
      </w:r>
      <w:r>
        <w:rPr>
          <w:kern w:val="0"/>
        </w:rPr>
        <w:t xml:space="preserve">high-quality </w:t>
      </w:r>
      <w:r w:rsidRPr="00DF539F">
        <w:rPr>
          <w:kern w:val="0"/>
        </w:rPr>
        <w:t xml:space="preserve">CT imaging services are accessible and equitably available to every person.  As discussed throughout the Application, the Proposed Project seeks to improve access to an essential component of hospital care. </w:t>
      </w:r>
      <w:r>
        <w:rPr>
          <w:kern w:val="0"/>
        </w:rPr>
        <w:t xml:space="preserve">Timely </w:t>
      </w:r>
      <w:r w:rsidRPr="00DF539F">
        <w:rPr>
          <w:kern w:val="0"/>
        </w:rPr>
        <w:t xml:space="preserve">access to CT imaging increases a patient’s chance </w:t>
      </w:r>
      <w:r>
        <w:rPr>
          <w:kern w:val="0"/>
        </w:rPr>
        <w:t>to</w:t>
      </w:r>
      <w:r w:rsidRPr="00DF539F">
        <w:rPr>
          <w:kern w:val="0"/>
        </w:rPr>
        <w:t xml:space="preserve"> r</w:t>
      </w:r>
      <w:r>
        <w:rPr>
          <w:kern w:val="0"/>
        </w:rPr>
        <w:t>eceive</w:t>
      </w:r>
      <w:r w:rsidRPr="00DF539F">
        <w:rPr>
          <w:kern w:val="0"/>
        </w:rPr>
        <w:t xml:space="preserve"> </w:t>
      </w:r>
      <w:r>
        <w:rPr>
          <w:kern w:val="0"/>
        </w:rPr>
        <w:t xml:space="preserve">timely </w:t>
      </w:r>
      <w:r w:rsidRPr="00DF539F">
        <w:rPr>
          <w:kern w:val="0"/>
        </w:rPr>
        <w:t>treatment</w:t>
      </w:r>
      <w:r>
        <w:rPr>
          <w:kern w:val="0"/>
        </w:rPr>
        <w:t xml:space="preserve"> that can improve health outcomes and quality of life</w:t>
      </w:r>
      <w:r w:rsidR="008E6E44">
        <w:rPr>
          <w:kern w:val="0"/>
        </w:rPr>
        <w:t xml:space="preserve"> while avoiding more costly care resulting from later diagnosis and treatment</w:t>
      </w:r>
      <w:r>
        <w:rPr>
          <w:kern w:val="0"/>
        </w:rPr>
        <w:t xml:space="preserve">. </w:t>
      </w:r>
      <w:r w:rsidRPr="00DF539F">
        <w:rPr>
          <w:kern w:val="0"/>
        </w:rPr>
        <w:t xml:space="preserve">Moreover, there will be no </w:t>
      </w:r>
      <w:r>
        <w:rPr>
          <w:kern w:val="0"/>
        </w:rPr>
        <w:t>change in AJH’s</w:t>
      </w:r>
      <w:r w:rsidRPr="00DF539F">
        <w:rPr>
          <w:kern w:val="0"/>
        </w:rPr>
        <w:t xml:space="preserve"> contracted rates for CT services. </w:t>
      </w:r>
      <w:r>
        <w:rPr>
          <w:kern w:val="0"/>
        </w:rPr>
        <w:t>In conclusion</w:t>
      </w:r>
      <w:r w:rsidRPr="00DF539F">
        <w:rPr>
          <w:kern w:val="0"/>
        </w:rPr>
        <w:t xml:space="preserve">, the Proposed Project will contribute to the Commonwealth’s goals of cost containment by </w:t>
      </w:r>
      <w:r>
        <w:rPr>
          <w:kern w:val="0"/>
        </w:rPr>
        <w:t>having no impact on costs while ensuring timely access to care.</w:t>
      </w:r>
      <w:r w:rsidRPr="00DF539F">
        <w:rPr>
          <w:kern w:val="0"/>
        </w:rPr>
        <w:t xml:space="preserve"> </w:t>
      </w:r>
    </w:p>
    <w:p w14:paraId="3379C72A" w14:textId="61DA642E" w:rsidR="0050432C" w:rsidRDefault="0050432C" w:rsidP="009C4CCF">
      <w:pPr>
        <w:spacing w:after="0" w:line="240" w:lineRule="auto"/>
        <w:jc w:val="both"/>
        <w:rPr>
          <w:rFonts w:ascii="Arial" w:hAnsi="Arial" w:cs="Arial"/>
          <w:sz w:val="20"/>
          <w:szCs w:val="20"/>
        </w:rPr>
      </w:pPr>
    </w:p>
    <w:p w14:paraId="12423552" w14:textId="77777777" w:rsidR="0050432C" w:rsidRPr="00DF539F" w:rsidRDefault="0050432C" w:rsidP="009C4CCF">
      <w:pPr>
        <w:spacing w:after="0" w:line="240" w:lineRule="auto"/>
        <w:jc w:val="both"/>
        <w:rPr>
          <w:rFonts w:ascii="Arial" w:hAnsi="Arial" w:cs="Arial"/>
          <w:sz w:val="20"/>
          <w:szCs w:val="20"/>
        </w:rPr>
      </w:pPr>
    </w:p>
    <w:p w14:paraId="5591BF85" w14:textId="77777777" w:rsidR="009C4CCF" w:rsidRPr="0033434E"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kern w:val="2"/>
        </w:rPr>
        <w:t>F2.b.</w:t>
      </w:r>
      <w:r w:rsidRPr="0033434E">
        <w:rPr>
          <w:rFonts w:ascii="Arial" w:hAnsi="Arial" w:cs="Arial"/>
          <w:b/>
          <w:kern w:val="2"/>
        </w:rPr>
        <w:tab/>
      </w:r>
      <w:r w:rsidRPr="0033434E">
        <w:rPr>
          <w:rFonts w:ascii="Arial" w:hAnsi="Arial" w:cs="Arial"/>
          <w:b/>
          <w:kern w:val="2"/>
          <w:u w:val="single"/>
        </w:rPr>
        <w:t>Public Health Outcomes:</w:t>
      </w:r>
      <w:r w:rsidRPr="0033434E">
        <w:rPr>
          <w:rFonts w:ascii="Arial" w:hAnsi="Arial" w:cs="Arial"/>
          <w:b/>
          <w:kern w:val="2"/>
        </w:rPr>
        <w:t xml:space="preserve"> </w:t>
      </w:r>
    </w:p>
    <w:p w14:paraId="536D2C6E" w14:textId="66EDF91F" w:rsidR="009C4CCF"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kern w:val="2"/>
        </w:rPr>
        <w:tab/>
        <w:t>Describe, as relevant, for each new or expanded service, how the Proposed Project will improve public health outcomes.</w:t>
      </w:r>
    </w:p>
    <w:p w14:paraId="2E5B7777" w14:textId="0602D039" w:rsidR="0050432C" w:rsidRDefault="0050432C" w:rsidP="0050432C">
      <w:pPr>
        <w:tabs>
          <w:tab w:val="left" w:pos="1440"/>
        </w:tabs>
        <w:autoSpaceDE w:val="0"/>
        <w:autoSpaceDN w:val="0"/>
        <w:adjustRightInd w:val="0"/>
        <w:spacing w:after="0" w:line="240" w:lineRule="auto"/>
        <w:jc w:val="both"/>
        <w:rPr>
          <w:rFonts w:ascii="Arial" w:hAnsi="Arial" w:cs="Arial"/>
          <w:b/>
          <w:kern w:val="2"/>
        </w:rPr>
      </w:pPr>
    </w:p>
    <w:p w14:paraId="181C5B02" w14:textId="6445241C" w:rsidR="00FF13C0" w:rsidRPr="00FF13C0" w:rsidRDefault="00FF13C0" w:rsidP="00FF13C0">
      <w:pPr>
        <w:pStyle w:val="BodyText2"/>
        <w:tabs>
          <w:tab w:val="left" w:pos="1440"/>
          <w:tab w:val="left" w:pos="5736"/>
        </w:tabs>
        <w:autoSpaceDE w:val="0"/>
        <w:autoSpaceDN w:val="0"/>
        <w:adjustRightInd w:val="0"/>
        <w:rPr>
          <w:kern w:val="0"/>
        </w:rPr>
      </w:pPr>
      <w:bookmarkStart w:id="5" w:name="_Hlk101967270"/>
      <w:r>
        <w:rPr>
          <w:kern w:val="0"/>
        </w:rPr>
        <w:t xml:space="preserve">As discussed throughout this Application, the Applicant anticipates demand for CT imaging will continue to increase as the AJH patient population grows and ages. </w:t>
      </w:r>
      <w:r w:rsidRPr="00247B7A">
        <w:rPr>
          <w:kern w:val="0"/>
        </w:rPr>
        <w:t xml:space="preserve">To serve the </w:t>
      </w:r>
      <w:r w:rsidR="008E6E44">
        <w:rPr>
          <w:kern w:val="0"/>
        </w:rPr>
        <w:t>P</w:t>
      </w:r>
      <w:r w:rsidRPr="00247B7A">
        <w:rPr>
          <w:kern w:val="0"/>
        </w:rPr>
        <w:t xml:space="preserve">atient </w:t>
      </w:r>
      <w:r w:rsidR="008E6E44">
        <w:rPr>
          <w:kern w:val="0"/>
        </w:rPr>
        <w:t>P</w:t>
      </w:r>
      <w:r w:rsidRPr="00247B7A">
        <w:rPr>
          <w:kern w:val="0"/>
        </w:rPr>
        <w:t>anel</w:t>
      </w:r>
      <w:r>
        <w:rPr>
          <w:kern w:val="0"/>
        </w:rPr>
        <w:t xml:space="preserve">, </w:t>
      </w:r>
      <w:r w:rsidRPr="00247B7A">
        <w:rPr>
          <w:kern w:val="0"/>
        </w:rPr>
        <w:t xml:space="preserve">it is necessary that </w:t>
      </w:r>
      <w:r>
        <w:rPr>
          <w:kern w:val="0"/>
        </w:rPr>
        <w:t xml:space="preserve">AJH </w:t>
      </w:r>
      <w:r w:rsidRPr="00247B7A">
        <w:rPr>
          <w:kern w:val="0"/>
        </w:rPr>
        <w:t xml:space="preserve">acquire an additional CT unit. An additional CT scan will not only improve access to care and health outcomes, but also decrease costs, contributing to overall public health. </w:t>
      </w:r>
      <w:bookmarkEnd w:id="5"/>
    </w:p>
    <w:p w14:paraId="34FAD2D4" w14:textId="1FF2478C" w:rsidR="0050432C" w:rsidRPr="0033434E" w:rsidRDefault="0050432C" w:rsidP="0050432C">
      <w:pPr>
        <w:tabs>
          <w:tab w:val="left" w:pos="1440"/>
        </w:tabs>
        <w:autoSpaceDE w:val="0"/>
        <w:autoSpaceDN w:val="0"/>
        <w:adjustRightInd w:val="0"/>
        <w:spacing w:after="0" w:line="240" w:lineRule="auto"/>
        <w:jc w:val="both"/>
        <w:rPr>
          <w:rFonts w:ascii="Arial" w:hAnsi="Arial" w:cs="Arial"/>
          <w:b/>
          <w:kern w:val="2"/>
        </w:rPr>
      </w:pPr>
    </w:p>
    <w:p w14:paraId="27B1653F" w14:textId="77777777" w:rsidR="009C4CCF" w:rsidRPr="00702EAF" w:rsidRDefault="009C4CCF" w:rsidP="009C4CCF">
      <w:pPr>
        <w:tabs>
          <w:tab w:val="left" w:pos="1440"/>
          <w:tab w:val="left" w:pos="5736"/>
        </w:tabs>
        <w:autoSpaceDE w:val="0"/>
        <w:autoSpaceDN w:val="0"/>
        <w:adjustRightInd w:val="0"/>
        <w:spacing w:after="0" w:line="240" w:lineRule="auto"/>
        <w:jc w:val="both"/>
        <w:rPr>
          <w:rFonts w:ascii="Arial" w:eastAsia="Times New Roman" w:hAnsi="Arial" w:cs="Arial"/>
          <w:sz w:val="20"/>
          <w:szCs w:val="20"/>
          <w:highlight w:val="yellow"/>
        </w:rPr>
      </w:pPr>
    </w:p>
    <w:p w14:paraId="6B0FA6D3" w14:textId="77777777" w:rsidR="009C4CCF" w:rsidRPr="0033434E"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kern w:val="2"/>
        </w:rPr>
        <w:t>F2.c.</w:t>
      </w:r>
      <w:r w:rsidRPr="0033434E">
        <w:rPr>
          <w:rFonts w:ascii="Arial" w:hAnsi="Arial" w:cs="Arial"/>
          <w:b/>
          <w:kern w:val="2"/>
        </w:rPr>
        <w:tab/>
      </w:r>
      <w:r w:rsidRPr="0033434E">
        <w:rPr>
          <w:rFonts w:ascii="Arial" w:hAnsi="Arial" w:cs="Arial"/>
          <w:b/>
          <w:kern w:val="2"/>
          <w:u w:val="single"/>
        </w:rPr>
        <w:t>Delivery System Transformation:</w:t>
      </w:r>
      <w:r w:rsidRPr="0033434E">
        <w:rPr>
          <w:rFonts w:ascii="Arial" w:hAnsi="Arial" w:cs="Arial"/>
          <w:b/>
          <w:kern w:val="2"/>
        </w:rPr>
        <w:t xml:space="preserve"> </w:t>
      </w:r>
    </w:p>
    <w:p w14:paraId="6A910D34" w14:textId="40B1F2C2" w:rsidR="00354333" w:rsidRPr="00354333" w:rsidRDefault="009C4CCF" w:rsidP="00354333">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kern w:val="2"/>
        </w:rPr>
        <w:tab/>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59B479C0" w14:textId="77777777" w:rsidR="00354333" w:rsidRPr="00DF5842" w:rsidRDefault="00354333" w:rsidP="00354333">
      <w:pPr>
        <w:spacing w:after="0" w:line="240" w:lineRule="auto"/>
        <w:jc w:val="both"/>
        <w:rPr>
          <w:rFonts w:ascii="Arial" w:hAnsi="Arial" w:cs="Arial"/>
          <w:w w:val="105"/>
          <w:sz w:val="20"/>
          <w:szCs w:val="20"/>
        </w:rPr>
      </w:pPr>
    </w:p>
    <w:p w14:paraId="7BAFB03C" w14:textId="77777777" w:rsidR="00354333" w:rsidRPr="00DF5842" w:rsidRDefault="00354333" w:rsidP="00354333">
      <w:pPr>
        <w:jc w:val="both"/>
        <w:rPr>
          <w:rFonts w:ascii="Arial" w:eastAsia="Times New Roman" w:hAnsi="Arial" w:cs="Arial"/>
          <w:sz w:val="20"/>
          <w:szCs w:val="20"/>
        </w:rPr>
      </w:pPr>
      <w:r w:rsidRPr="00DF5842">
        <w:rPr>
          <w:rFonts w:ascii="Arial" w:eastAsia="Times New Roman" w:hAnsi="Arial" w:cs="Arial"/>
          <w:sz w:val="20"/>
          <w:szCs w:val="20"/>
        </w:rPr>
        <w:lastRenderedPageBreak/>
        <w:t xml:space="preserve">The Applicant will continue to work with patients and primary </w:t>
      </w:r>
      <w:r>
        <w:rPr>
          <w:rFonts w:ascii="Arial" w:eastAsia="Times New Roman" w:hAnsi="Arial" w:cs="Arial"/>
          <w:sz w:val="20"/>
          <w:szCs w:val="20"/>
        </w:rPr>
        <w:t>c</w:t>
      </w:r>
      <w:r w:rsidRPr="00DF5842">
        <w:rPr>
          <w:rFonts w:ascii="Arial" w:eastAsia="Times New Roman" w:hAnsi="Arial" w:cs="Arial"/>
          <w:sz w:val="20"/>
          <w:szCs w:val="20"/>
        </w:rPr>
        <w:t xml:space="preserve">are providers to ensure patients are connected to services as needed. First, the Applicant’s </w:t>
      </w:r>
      <w:r>
        <w:rPr>
          <w:rFonts w:ascii="Arial" w:eastAsia="Times New Roman" w:hAnsi="Arial" w:cs="Arial"/>
          <w:sz w:val="20"/>
          <w:szCs w:val="20"/>
        </w:rPr>
        <w:t xml:space="preserve">Beth Israel Lahey Healthcare </w:t>
      </w:r>
      <w:r w:rsidRPr="00DF5842">
        <w:rPr>
          <w:rFonts w:ascii="Arial" w:eastAsia="Times New Roman" w:hAnsi="Arial" w:cs="Arial"/>
          <w:sz w:val="20"/>
          <w:szCs w:val="20"/>
        </w:rPr>
        <w:t>primary care practice</w:t>
      </w:r>
      <w:r>
        <w:rPr>
          <w:rFonts w:ascii="Arial" w:eastAsia="Times New Roman" w:hAnsi="Arial" w:cs="Arial"/>
          <w:sz w:val="20"/>
          <w:szCs w:val="20"/>
        </w:rPr>
        <w:t xml:space="preserve"> locations</w:t>
      </w:r>
      <w:r w:rsidRPr="00DF5842">
        <w:rPr>
          <w:rFonts w:ascii="Arial" w:eastAsia="Times New Roman" w:hAnsi="Arial" w:cs="Arial"/>
          <w:sz w:val="20"/>
          <w:szCs w:val="20"/>
        </w:rPr>
        <w:t xml:space="preserve"> in</w:t>
      </w:r>
      <w:r>
        <w:rPr>
          <w:rFonts w:ascii="Arial" w:eastAsia="Times New Roman" w:hAnsi="Arial" w:cs="Arial"/>
          <w:sz w:val="20"/>
          <w:szCs w:val="20"/>
        </w:rPr>
        <w:t xml:space="preserve"> Amesbury, Haverhill, Newburyport and Seabrook, </w:t>
      </w:r>
      <w:r w:rsidRPr="00DF5842">
        <w:rPr>
          <w:rFonts w:ascii="Arial" w:eastAsia="Times New Roman" w:hAnsi="Arial" w:cs="Arial"/>
          <w:sz w:val="20"/>
          <w:szCs w:val="20"/>
        </w:rPr>
        <w:t>screen all patients for Social Determinants of Health as part of their annual wellness exam. The screener form is modified from the Protocols for Responding to and Assessing Patients’ Assets, Risks, and Experiences (“PRAPARE”). The screener is filled out before the patient’s visit on a tablet or paper</w:t>
      </w:r>
      <w:r>
        <w:rPr>
          <w:rFonts w:ascii="Arial" w:eastAsia="Times New Roman" w:hAnsi="Arial" w:cs="Arial"/>
          <w:sz w:val="20"/>
          <w:szCs w:val="20"/>
        </w:rPr>
        <w:t>. If</w:t>
      </w:r>
      <w:r w:rsidRPr="00DF5842">
        <w:rPr>
          <w:rFonts w:ascii="Arial" w:eastAsia="Times New Roman" w:hAnsi="Arial" w:cs="Arial"/>
          <w:sz w:val="20"/>
          <w:szCs w:val="20"/>
        </w:rPr>
        <w:t xml:space="preserve"> a safety concern is flagged through the screener, the provider is notified immediately to address </w:t>
      </w:r>
      <w:r>
        <w:rPr>
          <w:rFonts w:ascii="Arial" w:eastAsia="Times New Roman" w:hAnsi="Arial" w:cs="Arial"/>
          <w:sz w:val="20"/>
          <w:szCs w:val="20"/>
        </w:rPr>
        <w:t xml:space="preserve">the issue </w:t>
      </w:r>
      <w:r w:rsidRPr="00DF5842">
        <w:rPr>
          <w:rFonts w:ascii="Arial" w:eastAsia="Times New Roman" w:hAnsi="Arial" w:cs="Arial"/>
          <w:sz w:val="20"/>
          <w:szCs w:val="20"/>
        </w:rPr>
        <w:t>during the visit. </w:t>
      </w:r>
    </w:p>
    <w:p w14:paraId="1E08E6CF" w14:textId="77777777" w:rsidR="00354333" w:rsidRDefault="00354333" w:rsidP="000B5265">
      <w:pPr>
        <w:jc w:val="both"/>
      </w:pPr>
      <w:r>
        <w:rPr>
          <w:rFonts w:ascii="Arial" w:eastAsia="Times New Roman" w:hAnsi="Arial" w:cs="Arial"/>
          <w:sz w:val="20"/>
          <w:szCs w:val="20"/>
        </w:rPr>
        <w:t>AJH</w:t>
      </w:r>
      <w:r w:rsidRPr="31F2122E">
        <w:rPr>
          <w:rFonts w:ascii="Arial" w:eastAsia="Times New Roman" w:hAnsi="Arial" w:cs="Arial"/>
          <w:sz w:val="20"/>
          <w:szCs w:val="20"/>
        </w:rPr>
        <w:t xml:space="preserve"> screens patients for the following needs during each encounter: </w:t>
      </w:r>
      <w:r w:rsidRPr="31F2122E">
        <w:rPr>
          <w:rFonts w:ascii="Arial" w:hAnsi="Arial" w:cs="Arial"/>
          <w:sz w:val="20"/>
          <w:szCs w:val="20"/>
        </w:rPr>
        <w:t xml:space="preserve">Housing, Interpersonal Safety, Social Support (e.g., do you live alone), Health Behaviors (e.g., alcohol consumption, smoking, drug use, etc.), and Financial Stability. </w:t>
      </w:r>
      <w:r w:rsidRPr="31F2122E">
        <w:rPr>
          <w:rFonts w:ascii="Arial" w:eastAsia="Times New Roman" w:hAnsi="Arial" w:cs="Arial"/>
          <w:sz w:val="20"/>
          <w:szCs w:val="20"/>
        </w:rPr>
        <w:t>Employment and Transportation are also screened</w:t>
      </w:r>
      <w:r>
        <w:rPr>
          <w:rFonts w:ascii="Arial" w:eastAsia="Times New Roman" w:hAnsi="Arial" w:cs="Arial"/>
          <w:sz w:val="20"/>
          <w:szCs w:val="20"/>
        </w:rPr>
        <w:t xml:space="preserve"> on a case-by-case basis as determined by the patient’s care team</w:t>
      </w:r>
      <w:r w:rsidRPr="31F2122E">
        <w:rPr>
          <w:rFonts w:ascii="Arial" w:eastAsia="Times New Roman" w:hAnsi="Arial" w:cs="Arial"/>
          <w:sz w:val="20"/>
          <w:szCs w:val="20"/>
        </w:rPr>
        <w:t>. Additionally, certain patient characteristics, such as specific diseases (e.g., diabetes) and high intensity resource utilization may also prompt a needs screening. If a need is identified, a referral is made to a community-based organization or to a resource within the Hospital</w:t>
      </w:r>
      <w:r>
        <w:rPr>
          <w:rFonts w:ascii="Arial" w:eastAsia="Times New Roman" w:hAnsi="Arial" w:cs="Arial"/>
          <w:sz w:val="20"/>
          <w:szCs w:val="20"/>
        </w:rPr>
        <w:t xml:space="preserve"> and/or BILH</w:t>
      </w:r>
      <w:r w:rsidRPr="31F2122E">
        <w:rPr>
          <w:rFonts w:ascii="Arial" w:eastAsia="Times New Roman" w:hAnsi="Arial" w:cs="Arial"/>
          <w:sz w:val="20"/>
          <w:szCs w:val="20"/>
        </w:rPr>
        <w:t xml:space="preserve">. Within the emergency department, direct referrals are made for behavioral health and substance use to embedded community partners, such as Recovery Coaches and </w:t>
      </w:r>
      <w:proofErr w:type="spellStart"/>
      <w:r>
        <w:rPr>
          <w:rFonts w:ascii="Arial" w:eastAsia="Times New Roman" w:hAnsi="Arial" w:cs="Arial"/>
          <w:sz w:val="20"/>
          <w:szCs w:val="20"/>
        </w:rPr>
        <w:t>LinkHouse</w:t>
      </w:r>
      <w:proofErr w:type="spellEnd"/>
      <w:r w:rsidRPr="31F2122E">
        <w:rPr>
          <w:rFonts w:ascii="Arial" w:eastAsia="Times New Roman" w:hAnsi="Arial" w:cs="Arial"/>
          <w:sz w:val="20"/>
          <w:szCs w:val="20"/>
        </w:rPr>
        <w:t>. Through the</w:t>
      </w:r>
      <w:r>
        <w:rPr>
          <w:rFonts w:ascii="Arial" w:eastAsia="Times New Roman" w:hAnsi="Arial" w:cs="Arial"/>
          <w:sz w:val="20"/>
          <w:szCs w:val="20"/>
        </w:rPr>
        <w:t>se</w:t>
      </w:r>
      <w:r w:rsidRPr="31F2122E">
        <w:rPr>
          <w:rFonts w:ascii="Arial" w:eastAsia="Times New Roman" w:hAnsi="Arial" w:cs="Arial"/>
          <w:sz w:val="20"/>
          <w:szCs w:val="20"/>
        </w:rPr>
        <w:t xml:space="preserve"> approaches, the Applicant has implemented a robust screening and linkages process to identify and address the </w:t>
      </w:r>
      <w:proofErr w:type="spellStart"/>
      <w:r w:rsidRPr="31F2122E">
        <w:rPr>
          <w:rFonts w:ascii="Arial" w:eastAsia="Times New Roman" w:hAnsi="Arial" w:cs="Arial"/>
          <w:sz w:val="20"/>
          <w:szCs w:val="20"/>
        </w:rPr>
        <w:t>SDoH</w:t>
      </w:r>
      <w:proofErr w:type="spellEnd"/>
      <w:r w:rsidRPr="31F2122E">
        <w:rPr>
          <w:rFonts w:ascii="Arial" w:eastAsia="Times New Roman" w:hAnsi="Arial" w:cs="Arial"/>
          <w:sz w:val="20"/>
          <w:szCs w:val="20"/>
        </w:rPr>
        <w:t xml:space="preserve"> impacting its patients.</w:t>
      </w:r>
    </w:p>
    <w:p w14:paraId="792FEB37" w14:textId="77777777" w:rsidR="009C4CCF" w:rsidRPr="00702EAF" w:rsidRDefault="009C4CCF" w:rsidP="009C4CCF">
      <w:pPr>
        <w:spacing w:after="0" w:line="240" w:lineRule="auto"/>
        <w:jc w:val="both"/>
        <w:rPr>
          <w:rFonts w:ascii="Arial" w:hAnsi="Arial" w:cs="Arial"/>
          <w:w w:val="105"/>
          <w:sz w:val="20"/>
          <w:szCs w:val="20"/>
          <w:highlight w:val="yellow"/>
        </w:rPr>
      </w:pPr>
    </w:p>
    <w:p w14:paraId="3E5F9B29" w14:textId="77777777" w:rsidR="009C4CCF" w:rsidRPr="00CA3587" w:rsidRDefault="009C4CCF" w:rsidP="009C4CCF">
      <w:pPr>
        <w:tabs>
          <w:tab w:val="left" w:pos="1440"/>
        </w:tabs>
        <w:autoSpaceDE w:val="0"/>
        <w:autoSpaceDN w:val="0"/>
        <w:adjustRightInd w:val="0"/>
        <w:spacing w:after="0" w:line="240" w:lineRule="auto"/>
        <w:jc w:val="both"/>
        <w:rPr>
          <w:rFonts w:ascii="Arial" w:hAnsi="Arial" w:cs="Arial"/>
          <w:b/>
          <w:kern w:val="2"/>
        </w:rPr>
      </w:pPr>
      <w:r w:rsidRPr="00CA3587">
        <w:rPr>
          <w:rFonts w:ascii="Arial" w:hAnsi="Arial" w:cs="Arial"/>
          <w:b/>
          <w:kern w:val="2"/>
        </w:rPr>
        <w:t>Factor 5: Relative Merit</w:t>
      </w:r>
    </w:p>
    <w:p w14:paraId="74D0493C" w14:textId="77777777" w:rsidR="009C4CCF" w:rsidRPr="00CA3587"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p>
    <w:p w14:paraId="75967EBA" w14:textId="77777777" w:rsidR="009C4CCF" w:rsidRPr="00CA3587"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CA3587">
        <w:rPr>
          <w:rFonts w:ascii="Arial" w:hAnsi="Arial" w:cs="Arial"/>
          <w:b/>
          <w:kern w:val="2"/>
        </w:rPr>
        <w:t>F5.a.i</w:t>
      </w:r>
      <w:r w:rsidRPr="00CA3587">
        <w:rPr>
          <w:rFonts w:ascii="Arial" w:hAnsi="Arial" w:cs="Arial"/>
          <w:b/>
          <w:kern w:val="2"/>
        </w:rPr>
        <w:tab/>
        <w:t>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29889032" w14:textId="77777777" w:rsidR="009C4CCF" w:rsidRPr="00CA3587" w:rsidRDefault="009C4CCF" w:rsidP="009C4CCF">
      <w:pPr>
        <w:pStyle w:val="ListParagraph"/>
        <w:tabs>
          <w:tab w:val="left" w:pos="1440"/>
        </w:tabs>
        <w:autoSpaceDE w:val="0"/>
        <w:autoSpaceDN w:val="0"/>
        <w:adjustRightInd w:val="0"/>
        <w:spacing w:after="0" w:line="240" w:lineRule="auto"/>
        <w:jc w:val="both"/>
        <w:rPr>
          <w:rFonts w:ascii="Arial" w:hAnsi="Arial" w:cs="Arial"/>
          <w:kern w:val="2"/>
          <w:u w:val="single"/>
        </w:rPr>
      </w:pPr>
    </w:p>
    <w:p w14:paraId="771093EB" w14:textId="19A093E5" w:rsidR="009C4CCF" w:rsidRDefault="009C4CCF" w:rsidP="009C4CCF">
      <w:pPr>
        <w:tabs>
          <w:tab w:val="left" w:pos="720"/>
        </w:tabs>
        <w:autoSpaceDE w:val="0"/>
        <w:autoSpaceDN w:val="0"/>
        <w:adjustRightInd w:val="0"/>
        <w:spacing w:after="0" w:line="240" w:lineRule="auto"/>
        <w:jc w:val="both"/>
        <w:rPr>
          <w:rFonts w:ascii="Arial" w:hAnsi="Arial" w:cs="Arial"/>
          <w:kern w:val="2"/>
          <w:sz w:val="20"/>
          <w:szCs w:val="20"/>
        </w:rPr>
      </w:pPr>
      <w:r w:rsidRPr="00CA3587">
        <w:rPr>
          <w:rFonts w:ascii="Arial" w:hAnsi="Arial" w:cs="Arial"/>
          <w:b/>
          <w:kern w:val="2"/>
          <w:sz w:val="20"/>
          <w:szCs w:val="20"/>
        </w:rPr>
        <w:t xml:space="preserve">This Proposal: </w:t>
      </w:r>
      <w:r w:rsidR="00144CBF" w:rsidRPr="00CA3587">
        <w:rPr>
          <w:rFonts w:ascii="Arial" w:hAnsi="Arial" w:cs="Arial"/>
          <w:kern w:val="2"/>
          <w:sz w:val="20"/>
          <w:szCs w:val="20"/>
        </w:rPr>
        <w:t xml:space="preserve">The Proposed Project is for the acquisition of a </w:t>
      </w:r>
      <w:r w:rsidR="00144CBF">
        <w:rPr>
          <w:rFonts w:ascii="Arial" w:hAnsi="Arial" w:cs="Arial"/>
          <w:kern w:val="2"/>
          <w:sz w:val="20"/>
          <w:szCs w:val="20"/>
        </w:rPr>
        <w:t>second</w:t>
      </w:r>
      <w:r w:rsidR="00144CBF" w:rsidRPr="00CA3587">
        <w:rPr>
          <w:rFonts w:ascii="Arial" w:hAnsi="Arial" w:cs="Arial"/>
          <w:kern w:val="2"/>
          <w:sz w:val="20"/>
          <w:szCs w:val="20"/>
        </w:rPr>
        <w:t xml:space="preserve"> CT unit.  </w:t>
      </w:r>
    </w:p>
    <w:p w14:paraId="6EC56B50" w14:textId="77777777" w:rsidR="006239DF" w:rsidRPr="00CA3587" w:rsidRDefault="006239DF" w:rsidP="009C4CCF">
      <w:pPr>
        <w:tabs>
          <w:tab w:val="left" w:pos="720"/>
        </w:tabs>
        <w:autoSpaceDE w:val="0"/>
        <w:autoSpaceDN w:val="0"/>
        <w:adjustRightInd w:val="0"/>
        <w:spacing w:after="0" w:line="240" w:lineRule="auto"/>
        <w:jc w:val="both"/>
        <w:rPr>
          <w:rFonts w:ascii="Arial" w:hAnsi="Arial" w:cs="Arial"/>
          <w:kern w:val="2"/>
          <w:sz w:val="20"/>
          <w:szCs w:val="20"/>
        </w:rPr>
      </w:pPr>
    </w:p>
    <w:p w14:paraId="5207A2B2" w14:textId="110B232C" w:rsidR="009C4CCF" w:rsidRPr="00CA3587" w:rsidRDefault="009C4CCF" w:rsidP="00144CBF">
      <w:pPr>
        <w:tabs>
          <w:tab w:val="left" w:pos="720"/>
        </w:tabs>
        <w:autoSpaceDE w:val="0"/>
        <w:autoSpaceDN w:val="0"/>
        <w:adjustRightInd w:val="0"/>
        <w:spacing w:after="0" w:line="240" w:lineRule="auto"/>
        <w:ind w:left="720"/>
        <w:jc w:val="both"/>
        <w:rPr>
          <w:rFonts w:ascii="Arial" w:hAnsi="Arial" w:cs="Arial"/>
          <w:bCs/>
          <w:kern w:val="2"/>
          <w:sz w:val="20"/>
          <w:szCs w:val="20"/>
        </w:rPr>
      </w:pPr>
      <w:r w:rsidRPr="00CA3587">
        <w:rPr>
          <w:rFonts w:ascii="Arial" w:hAnsi="Arial" w:cs="Arial"/>
          <w:b/>
          <w:kern w:val="2"/>
          <w:sz w:val="20"/>
          <w:szCs w:val="20"/>
        </w:rPr>
        <w:t xml:space="preserve">Quality: </w:t>
      </w:r>
      <w:r w:rsidR="00144CBF" w:rsidRPr="00CA3587">
        <w:rPr>
          <w:rFonts w:ascii="Arial" w:hAnsi="Arial" w:cs="Arial"/>
          <w:bCs/>
          <w:kern w:val="2"/>
          <w:sz w:val="20"/>
          <w:szCs w:val="20"/>
        </w:rPr>
        <w:t xml:space="preserve">The Proposed Project is </w:t>
      </w:r>
      <w:r w:rsidR="00144CBF">
        <w:rPr>
          <w:rFonts w:ascii="Arial" w:hAnsi="Arial" w:cs="Arial"/>
          <w:bCs/>
          <w:kern w:val="2"/>
          <w:sz w:val="20"/>
          <w:szCs w:val="20"/>
        </w:rPr>
        <w:t xml:space="preserve">the </w:t>
      </w:r>
      <w:r w:rsidR="00144CBF" w:rsidRPr="00CA3587">
        <w:rPr>
          <w:rFonts w:ascii="Arial" w:hAnsi="Arial" w:cs="Arial"/>
          <w:bCs/>
          <w:kern w:val="2"/>
          <w:sz w:val="20"/>
          <w:szCs w:val="20"/>
        </w:rPr>
        <w:t>superior option because of the impact it will have on patient outcomes</w:t>
      </w:r>
      <w:r w:rsidR="00144CBF">
        <w:rPr>
          <w:rFonts w:ascii="Arial" w:hAnsi="Arial" w:cs="Arial"/>
          <w:bCs/>
          <w:kern w:val="2"/>
          <w:sz w:val="20"/>
          <w:szCs w:val="20"/>
        </w:rPr>
        <w:t xml:space="preserve"> and</w:t>
      </w:r>
      <w:r w:rsidR="00144CBF" w:rsidRPr="00CA3587">
        <w:rPr>
          <w:rFonts w:ascii="Arial" w:hAnsi="Arial" w:cs="Arial"/>
          <w:bCs/>
          <w:kern w:val="2"/>
          <w:sz w:val="20"/>
          <w:szCs w:val="20"/>
        </w:rPr>
        <w:t xml:space="preserve"> quality of life. With </w:t>
      </w:r>
      <w:r w:rsidR="00FE78D4">
        <w:rPr>
          <w:rFonts w:ascii="Arial" w:hAnsi="Arial" w:cs="Arial"/>
          <w:bCs/>
          <w:kern w:val="2"/>
          <w:sz w:val="20"/>
          <w:szCs w:val="20"/>
        </w:rPr>
        <w:t>a second</w:t>
      </w:r>
      <w:r w:rsidR="00144CBF" w:rsidRPr="00CA3587">
        <w:rPr>
          <w:rFonts w:ascii="Arial" w:hAnsi="Arial" w:cs="Arial"/>
          <w:bCs/>
          <w:kern w:val="2"/>
          <w:sz w:val="20"/>
          <w:szCs w:val="20"/>
        </w:rPr>
        <w:t xml:space="preserve"> CT</w:t>
      </w:r>
      <w:r w:rsidR="00FE78D4">
        <w:rPr>
          <w:rFonts w:ascii="Arial" w:hAnsi="Arial" w:cs="Arial"/>
          <w:bCs/>
          <w:kern w:val="2"/>
          <w:sz w:val="20"/>
          <w:szCs w:val="20"/>
        </w:rPr>
        <w:t xml:space="preserve"> unit</w:t>
      </w:r>
      <w:r w:rsidR="00144CBF" w:rsidRPr="00CA3587">
        <w:rPr>
          <w:rFonts w:ascii="Arial" w:hAnsi="Arial" w:cs="Arial"/>
          <w:bCs/>
          <w:kern w:val="2"/>
          <w:sz w:val="20"/>
          <w:szCs w:val="20"/>
        </w:rPr>
        <w:t xml:space="preserve">, </w:t>
      </w:r>
      <w:r w:rsidR="00144CBF">
        <w:rPr>
          <w:rFonts w:ascii="Arial" w:hAnsi="Arial" w:cs="Arial"/>
          <w:bCs/>
          <w:kern w:val="2"/>
          <w:sz w:val="20"/>
          <w:szCs w:val="20"/>
        </w:rPr>
        <w:t>AJH</w:t>
      </w:r>
      <w:r w:rsidR="00144CBF" w:rsidRPr="00CA3587">
        <w:rPr>
          <w:rFonts w:ascii="Arial" w:hAnsi="Arial" w:cs="Arial"/>
          <w:bCs/>
          <w:kern w:val="2"/>
          <w:sz w:val="20"/>
          <w:szCs w:val="20"/>
        </w:rPr>
        <w:t xml:space="preserve"> will</w:t>
      </w:r>
      <w:r w:rsidR="00144CBF">
        <w:rPr>
          <w:rFonts w:ascii="Arial" w:hAnsi="Arial" w:cs="Arial"/>
          <w:bCs/>
          <w:kern w:val="2"/>
          <w:sz w:val="20"/>
          <w:szCs w:val="20"/>
        </w:rPr>
        <w:t xml:space="preserve"> </w:t>
      </w:r>
      <w:r w:rsidR="00FE78D4">
        <w:rPr>
          <w:rFonts w:ascii="Arial" w:hAnsi="Arial" w:cs="Arial"/>
          <w:bCs/>
          <w:kern w:val="2"/>
          <w:sz w:val="20"/>
          <w:szCs w:val="20"/>
        </w:rPr>
        <w:t xml:space="preserve">have increased capacity, providing patients with timely access to fundamental diagnostic imaging. </w:t>
      </w:r>
    </w:p>
    <w:p w14:paraId="09F9581D" w14:textId="77777777" w:rsidR="009C4CCF" w:rsidRPr="00CA3587"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3DB61505" w14:textId="3289D2C6" w:rsidR="009C4CCF" w:rsidRPr="00CA3587" w:rsidRDefault="009C4CCF" w:rsidP="009C4CCF">
      <w:pPr>
        <w:tabs>
          <w:tab w:val="left" w:pos="720"/>
        </w:tabs>
        <w:autoSpaceDE w:val="0"/>
        <w:autoSpaceDN w:val="0"/>
        <w:adjustRightInd w:val="0"/>
        <w:spacing w:after="0" w:line="240" w:lineRule="auto"/>
        <w:ind w:left="720"/>
        <w:jc w:val="both"/>
        <w:rPr>
          <w:rFonts w:ascii="Arial" w:hAnsi="Arial" w:cs="Arial"/>
          <w:bCs/>
          <w:kern w:val="2"/>
          <w:sz w:val="20"/>
          <w:szCs w:val="20"/>
        </w:rPr>
      </w:pPr>
      <w:r w:rsidRPr="00CA3587">
        <w:rPr>
          <w:rFonts w:ascii="Arial" w:hAnsi="Arial" w:cs="Arial"/>
          <w:b/>
          <w:kern w:val="2"/>
          <w:sz w:val="20"/>
          <w:szCs w:val="20"/>
        </w:rPr>
        <w:t xml:space="preserve">Efficiency: </w:t>
      </w:r>
      <w:r w:rsidR="00144CBF">
        <w:rPr>
          <w:rFonts w:ascii="Arial" w:hAnsi="Arial" w:cs="Arial"/>
          <w:bCs/>
          <w:kern w:val="2"/>
          <w:sz w:val="20"/>
          <w:szCs w:val="20"/>
        </w:rPr>
        <w:t>T</w:t>
      </w:r>
      <w:r w:rsidR="00144CBF" w:rsidRPr="00CA3587">
        <w:rPr>
          <w:rFonts w:ascii="Arial" w:hAnsi="Arial" w:cs="Arial"/>
          <w:bCs/>
          <w:kern w:val="2"/>
          <w:sz w:val="20"/>
          <w:szCs w:val="20"/>
        </w:rPr>
        <w:t xml:space="preserve">he acquisition of a second </w:t>
      </w:r>
      <w:r w:rsidR="00144CBF">
        <w:rPr>
          <w:rFonts w:ascii="Arial" w:hAnsi="Arial" w:cs="Arial"/>
          <w:bCs/>
          <w:kern w:val="2"/>
          <w:sz w:val="20"/>
          <w:szCs w:val="20"/>
        </w:rPr>
        <w:t>CT unit</w:t>
      </w:r>
      <w:r w:rsidR="00144CBF" w:rsidRPr="00CA3587">
        <w:rPr>
          <w:rFonts w:ascii="Arial" w:hAnsi="Arial" w:cs="Arial"/>
          <w:bCs/>
          <w:kern w:val="2"/>
          <w:sz w:val="20"/>
          <w:szCs w:val="20"/>
        </w:rPr>
        <w:t xml:space="preserve"> promotes redundancy which will minimize delays</w:t>
      </w:r>
      <w:r w:rsidR="00144CBF">
        <w:rPr>
          <w:rFonts w:ascii="Arial" w:hAnsi="Arial" w:cs="Arial"/>
          <w:bCs/>
          <w:kern w:val="2"/>
          <w:sz w:val="20"/>
          <w:szCs w:val="20"/>
        </w:rPr>
        <w:t xml:space="preserve"> in access and care</w:t>
      </w:r>
      <w:r w:rsidR="00144CBF" w:rsidRPr="00CA3587">
        <w:rPr>
          <w:rFonts w:ascii="Arial" w:hAnsi="Arial" w:cs="Arial"/>
          <w:bCs/>
          <w:kern w:val="2"/>
          <w:sz w:val="20"/>
          <w:szCs w:val="20"/>
        </w:rPr>
        <w:t xml:space="preserve"> currently caused by unit downtime</w:t>
      </w:r>
      <w:r w:rsidR="00144CBF">
        <w:rPr>
          <w:rFonts w:ascii="Arial" w:hAnsi="Arial" w:cs="Arial"/>
          <w:bCs/>
          <w:kern w:val="2"/>
          <w:sz w:val="20"/>
          <w:szCs w:val="20"/>
        </w:rPr>
        <w:t xml:space="preserve">. </w:t>
      </w:r>
    </w:p>
    <w:p w14:paraId="0D513B68" w14:textId="77777777" w:rsidR="009C4CCF" w:rsidRPr="00CA3587" w:rsidRDefault="009C4CCF" w:rsidP="009C4CCF">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0060CF6A" w14:textId="567D4E87" w:rsidR="009C4CCF" w:rsidRPr="007143F8" w:rsidRDefault="009C4CCF" w:rsidP="009C4CCF">
      <w:pPr>
        <w:autoSpaceDE w:val="0"/>
        <w:autoSpaceDN w:val="0"/>
        <w:adjustRightInd w:val="0"/>
        <w:spacing w:after="0" w:line="240" w:lineRule="auto"/>
        <w:ind w:left="720"/>
        <w:jc w:val="both"/>
        <w:rPr>
          <w:rFonts w:ascii="Arial" w:hAnsi="Arial" w:cs="Arial"/>
          <w:kern w:val="2"/>
          <w:sz w:val="20"/>
          <w:szCs w:val="20"/>
        </w:rPr>
      </w:pPr>
      <w:r w:rsidRPr="00CA3587">
        <w:rPr>
          <w:rFonts w:ascii="Arial" w:hAnsi="Arial" w:cs="Arial"/>
          <w:b/>
          <w:kern w:val="2"/>
          <w:sz w:val="20"/>
          <w:szCs w:val="20"/>
        </w:rPr>
        <w:t xml:space="preserve">Capital Expense: </w:t>
      </w:r>
      <w:r w:rsidR="007143F8">
        <w:rPr>
          <w:rFonts w:ascii="Arial" w:hAnsi="Arial" w:cs="Arial"/>
          <w:bCs/>
          <w:kern w:val="2"/>
          <w:sz w:val="20"/>
          <w:szCs w:val="20"/>
        </w:rPr>
        <w:t>The total capital expenditure for the CT unit is</w:t>
      </w:r>
      <w:r w:rsidRPr="00CA3587">
        <w:rPr>
          <w:rFonts w:ascii="Arial" w:hAnsi="Arial" w:cs="Arial"/>
          <w:kern w:val="2"/>
          <w:sz w:val="20"/>
          <w:szCs w:val="20"/>
        </w:rPr>
        <w:t xml:space="preserve"> </w:t>
      </w:r>
      <w:r w:rsidR="00795305" w:rsidRPr="007143F8">
        <w:rPr>
          <w:rFonts w:ascii="Arial" w:hAnsi="Arial" w:cs="Arial"/>
          <w:kern w:val="2"/>
          <w:sz w:val="20"/>
          <w:szCs w:val="20"/>
        </w:rPr>
        <w:t>$</w:t>
      </w:r>
      <w:r w:rsidR="007143F8" w:rsidRPr="007143F8">
        <w:rPr>
          <w:rFonts w:ascii="Arial" w:hAnsi="Arial" w:cs="Arial"/>
          <w:sz w:val="20"/>
          <w:szCs w:val="20"/>
        </w:rPr>
        <w:t>2,100,496.00</w:t>
      </w:r>
      <w:r w:rsidR="007143F8">
        <w:rPr>
          <w:rFonts w:ascii="Arial" w:hAnsi="Arial" w:cs="Arial"/>
          <w:sz w:val="20"/>
          <w:szCs w:val="20"/>
        </w:rPr>
        <w:t xml:space="preserve"> million dollars.</w:t>
      </w:r>
    </w:p>
    <w:p w14:paraId="6E203B4F" w14:textId="65903C29" w:rsidR="00795305" w:rsidRDefault="00795305" w:rsidP="009C4CCF">
      <w:pPr>
        <w:autoSpaceDE w:val="0"/>
        <w:autoSpaceDN w:val="0"/>
        <w:adjustRightInd w:val="0"/>
        <w:spacing w:after="0" w:line="240" w:lineRule="auto"/>
        <w:ind w:left="720"/>
        <w:jc w:val="both"/>
        <w:rPr>
          <w:rFonts w:ascii="Arial" w:hAnsi="Arial" w:cs="Arial"/>
          <w:kern w:val="2"/>
          <w:sz w:val="20"/>
          <w:szCs w:val="20"/>
        </w:rPr>
      </w:pPr>
    </w:p>
    <w:p w14:paraId="6C04374E" w14:textId="35186F3E" w:rsidR="00C82724" w:rsidRPr="00795305" w:rsidRDefault="00795305" w:rsidP="00C82724">
      <w:pPr>
        <w:autoSpaceDE w:val="0"/>
        <w:autoSpaceDN w:val="0"/>
        <w:adjustRightInd w:val="0"/>
        <w:spacing w:after="0" w:line="240" w:lineRule="auto"/>
        <w:ind w:left="720"/>
        <w:jc w:val="both"/>
        <w:rPr>
          <w:rFonts w:ascii="Arial" w:hAnsi="Arial" w:cs="Arial"/>
          <w:b/>
          <w:bCs/>
          <w:kern w:val="2"/>
          <w:sz w:val="20"/>
          <w:szCs w:val="20"/>
        </w:rPr>
      </w:pPr>
      <w:r w:rsidRPr="00795305">
        <w:rPr>
          <w:rFonts w:ascii="Arial" w:hAnsi="Arial" w:cs="Arial"/>
          <w:b/>
          <w:bCs/>
          <w:kern w:val="2"/>
          <w:sz w:val="20"/>
          <w:szCs w:val="20"/>
        </w:rPr>
        <w:t>Operating Costs:</w:t>
      </w:r>
      <w:r w:rsidR="00C82724">
        <w:rPr>
          <w:rFonts w:ascii="Arial" w:hAnsi="Arial" w:cs="Arial"/>
          <w:b/>
          <w:bCs/>
          <w:kern w:val="2"/>
          <w:sz w:val="20"/>
          <w:szCs w:val="20"/>
        </w:rPr>
        <w:t xml:space="preserve"> </w:t>
      </w:r>
      <w:r w:rsidR="00C82724" w:rsidRPr="00010F2F">
        <w:rPr>
          <w:rFonts w:ascii="Arial" w:hAnsi="Arial" w:cs="Arial"/>
          <w:kern w:val="2"/>
          <w:sz w:val="20"/>
          <w:szCs w:val="20"/>
        </w:rPr>
        <w:t>The first-year incremental operating expense of the Proposed Project is $</w:t>
      </w:r>
      <w:r w:rsidR="005A6992">
        <w:rPr>
          <w:rFonts w:ascii="Arial" w:hAnsi="Arial" w:cs="Arial"/>
          <w:kern w:val="2"/>
          <w:sz w:val="20"/>
          <w:szCs w:val="20"/>
        </w:rPr>
        <w:t>591,634</w:t>
      </w:r>
      <w:r w:rsidR="007143F8">
        <w:rPr>
          <w:rFonts w:ascii="Arial" w:hAnsi="Arial" w:cs="Arial"/>
          <w:kern w:val="2"/>
          <w:sz w:val="20"/>
          <w:szCs w:val="20"/>
        </w:rPr>
        <w:t>.00</w:t>
      </w:r>
      <w:r w:rsidR="00C82724" w:rsidRPr="00010F2F">
        <w:rPr>
          <w:rFonts w:ascii="Arial" w:hAnsi="Arial" w:cs="Arial"/>
          <w:kern w:val="2"/>
          <w:sz w:val="20"/>
          <w:szCs w:val="20"/>
        </w:rPr>
        <w:t>. By year five (5), operating costs are estimated at $</w:t>
      </w:r>
      <w:r w:rsidR="00CF1E73">
        <w:rPr>
          <w:rFonts w:ascii="Arial" w:hAnsi="Arial" w:cs="Arial"/>
          <w:kern w:val="2"/>
          <w:sz w:val="20"/>
          <w:szCs w:val="20"/>
        </w:rPr>
        <w:t>718,666</w:t>
      </w:r>
      <w:r w:rsidR="007143F8">
        <w:rPr>
          <w:rFonts w:ascii="Arial" w:hAnsi="Arial" w:cs="Arial"/>
          <w:kern w:val="2"/>
          <w:sz w:val="20"/>
          <w:szCs w:val="20"/>
        </w:rPr>
        <w:t>.00</w:t>
      </w:r>
      <w:r w:rsidR="00C82724" w:rsidRPr="00010F2F">
        <w:rPr>
          <w:rFonts w:ascii="Arial" w:hAnsi="Arial" w:cs="Arial"/>
          <w:kern w:val="2"/>
          <w:sz w:val="20"/>
          <w:szCs w:val="20"/>
        </w:rPr>
        <w:t>.</w:t>
      </w:r>
    </w:p>
    <w:p w14:paraId="00EBFC81" w14:textId="77777777" w:rsidR="005A6992" w:rsidRPr="00CA3587" w:rsidRDefault="005A6992" w:rsidP="009C4CCF">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598741EE" w14:textId="77777777" w:rsidR="009C4CCF" w:rsidRPr="00CA3587" w:rsidRDefault="009C4CCF" w:rsidP="002B1094">
      <w:pPr>
        <w:tabs>
          <w:tab w:val="left" w:pos="1440"/>
        </w:tabs>
        <w:autoSpaceDE w:val="0"/>
        <w:autoSpaceDN w:val="0"/>
        <w:adjustRightInd w:val="0"/>
        <w:spacing w:after="0" w:line="240" w:lineRule="auto"/>
        <w:jc w:val="both"/>
        <w:rPr>
          <w:rFonts w:ascii="Arial" w:hAnsi="Arial" w:cs="Arial"/>
          <w:b/>
          <w:kern w:val="2"/>
          <w:sz w:val="20"/>
          <w:szCs w:val="20"/>
        </w:rPr>
      </w:pPr>
    </w:p>
    <w:p w14:paraId="34F926C5" w14:textId="373BBEC3" w:rsidR="009C4CCF" w:rsidRPr="00CA3587" w:rsidRDefault="009C4CCF" w:rsidP="009C4CCF">
      <w:pPr>
        <w:tabs>
          <w:tab w:val="left" w:pos="720"/>
        </w:tabs>
        <w:autoSpaceDE w:val="0"/>
        <w:autoSpaceDN w:val="0"/>
        <w:adjustRightInd w:val="0"/>
        <w:spacing w:after="0" w:line="240" w:lineRule="auto"/>
        <w:jc w:val="both"/>
        <w:rPr>
          <w:rFonts w:ascii="Arial" w:hAnsi="Arial" w:cs="Arial"/>
          <w:kern w:val="2"/>
          <w:sz w:val="20"/>
          <w:szCs w:val="20"/>
        </w:rPr>
      </w:pPr>
      <w:r w:rsidRPr="00CA3587">
        <w:rPr>
          <w:rFonts w:ascii="Arial" w:hAnsi="Arial" w:cs="Arial"/>
          <w:b/>
          <w:kern w:val="2"/>
          <w:sz w:val="20"/>
          <w:szCs w:val="20"/>
        </w:rPr>
        <w:t xml:space="preserve">Alternative Proposal: </w:t>
      </w:r>
      <w:r w:rsidR="006D5B65" w:rsidRPr="00CA3587">
        <w:rPr>
          <w:rFonts w:ascii="Arial" w:hAnsi="Arial" w:cs="Arial"/>
          <w:kern w:val="2"/>
          <w:sz w:val="20"/>
          <w:szCs w:val="20"/>
        </w:rPr>
        <w:t xml:space="preserve">Do not acquire a second CT unit and continue to serve patients </w:t>
      </w:r>
      <w:r w:rsidR="006D5B65">
        <w:rPr>
          <w:rFonts w:ascii="Arial" w:hAnsi="Arial" w:cs="Arial"/>
          <w:kern w:val="2"/>
          <w:sz w:val="20"/>
          <w:szCs w:val="20"/>
        </w:rPr>
        <w:t>with</w:t>
      </w:r>
      <w:r w:rsidR="006D5B65" w:rsidRPr="00CA3587">
        <w:rPr>
          <w:rFonts w:ascii="Arial" w:hAnsi="Arial" w:cs="Arial"/>
          <w:kern w:val="2"/>
          <w:sz w:val="20"/>
          <w:szCs w:val="20"/>
        </w:rPr>
        <w:t xml:space="preserve"> a single </w:t>
      </w:r>
      <w:r w:rsidR="006D5B65">
        <w:rPr>
          <w:rFonts w:ascii="Arial" w:hAnsi="Arial" w:cs="Arial"/>
          <w:kern w:val="2"/>
          <w:sz w:val="20"/>
          <w:szCs w:val="20"/>
        </w:rPr>
        <w:t>CT unit</w:t>
      </w:r>
      <w:r w:rsidR="006D5B65" w:rsidRPr="00CA3587">
        <w:rPr>
          <w:rFonts w:ascii="Arial" w:hAnsi="Arial" w:cs="Arial"/>
          <w:kern w:val="2"/>
          <w:sz w:val="20"/>
          <w:szCs w:val="20"/>
        </w:rPr>
        <w:t xml:space="preserve">. </w:t>
      </w:r>
    </w:p>
    <w:p w14:paraId="55512F34" w14:textId="77777777" w:rsidR="009C4CCF" w:rsidRPr="00CA3587" w:rsidRDefault="009C4CCF" w:rsidP="009C4CCF">
      <w:pPr>
        <w:tabs>
          <w:tab w:val="left" w:pos="1440"/>
        </w:tabs>
        <w:autoSpaceDE w:val="0"/>
        <w:autoSpaceDN w:val="0"/>
        <w:adjustRightInd w:val="0"/>
        <w:spacing w:after="0" w:line="240" w:lineRule="auto"/>
        <w:jc w:val="both"/>
        <w:rPr>
          <w:rFonts w:ascii="Arial" w:hAnsi="Arial" w:cs="Arial"/>
          <w:kern w:val="2"/>
          <w:sz w:val="20"/>
          <w:szCs w:val="20"/>
        </w:rPr>
      </w:pPr>
    </w:p>
    <w:p w14:paraId="268CBD5A" w14:textId="2BB6E817" w:rsidR="009C4CCF" w:rsidRPr="00CA3587" w:rsidRDefault="009C4CCF" w:rsidP="009C4CCF">
      <w:pPr>
        <w:tabs>
          <w:tab w:val="left" w:pos="720"/>
        </w:tabs>
        <w:autoSpaceDE w:val="0"/>
        <w:autoSpaceDN w:val="0"/>
        <w:adjustRightInd w:val="0"/>
        <w:spacing w:after="0" w:line="240" w:lineRule="auto"/>
        <w:ind w:left="720" w:hanging="720"/>
        <w:jc w:val="both"/>
        <w:rPr>
          <w:rFonts w:ascii="Arial" w:hAnsi="Arial" w:cs="Arial"/>
          <w:kern w:val="2"/>
          <w:sz w:val="20"/>
          <w:szCs w:val="20"/>
        </w:rPr>
      </w:pPr>
      <w:r w:rsidRPr="00CA3587">
        <w:rPr>
          <w:rFonts w:ascii="Arial" w:hAnsi="Arial" w:cs="Arial"/>
          <w:b/>
          <w:kern w:val="2"/>
          <w:sz w:val="20"/>
          <w:szCs w:val="20"/>
        </w:rPr>
        <w:tab/>
        <w:t xml:space="preserve">Alternative Quality: </w:t>
      </w:r>
      <w:r w:rsidR="0036331A" w:rsidRPr="00CA3587">
        <w:rPr>
          <w:rFonts w:ascii="Arial" w:hAnsi="Arial" w:cs="Arial"/>
          <w:kern w:val="2"/>
          <w:sz w:val="20"/>
          <w:szCs w:val="20"/>
        </w:rPr>
        <w:t xml:space="preserve">This alternative does not address the need of </w:t>
      </w:r>
      <w:r w:rsidR="0036331A">
        <w:rPr>
          <w:rFonts w:ascii="Arial" w:hAnsi="Arial" w:cs="Arial"/>
          <w:bCs/>
          <w:kern w:val="2"/>
          <w:sz w:val="20"/>
          <w:szCs w:val="20"/>
        </w:rPr>
        <w:t xml:space="preserve">AJH’s </w:t>
      </w:r>
      <w:r w:rsidR="0036331A" w:rsidRPr="00CA3587">
        <w:rPr>
          <w:rFonts w:ascii="Arial" w:hAnsi="Arial" w:cs="Arial"/>
          <w:kern w:val="2"/>
          <w:sz w:val="20"/>
          <w:szCs w:val="20"/>
        </w:rPr>
        <w:t>patient population to have timely access to CT imaging</w:t>
      </w:r>
      <w:r w:rsidR="0036331A">
        <w:rPr>
          <w:rFonts w:ascii="Arial" w:hAnsi="Arial" w:cs="Arial"/>
          <w:kern w:val="2"/>
          <w:sz w:val="20"/>
          <w:szCs w:val="20"/>
        </w:rPr>
        <w:t xml:space="preserve">. </w:t>
      </w:r>
      <w:r w:rsidR="0036331A" w:rsidRPr="00CA3587">
        <w:rPr>
          <w:rFonts w:ascii="Arial" w:hAnsi="Arial" w:cs="Arial"/>
          <w:kern w:val="2"/>
          <w:sz w:val="20"/>
          <w:szCs w:val="20"/>
        </w:rPr>
        <w:t xml:space="preserve">Delays in diagnosis result in delayed treatment, which can adversely impact patient outcomes </w:t>
      </w:r>
      <w:r w:rsidR="0036331A">
        <w:rPr>
          <w:rFonts w:ascii="Arial" w:hAnsi="Arial" w:cs="Arial"/>
          <w:kern w:val="2"/>
          <w:sz w:val="20"/>
          <w:szCs w:val="20"/>
        </w:rPr>
        <w:t xml:space="preserve">and </w:t>
      </w:r>
      <w:r w:rsidR="0036331A" w:rsidRPr="00CA3587">
        <w:rPr>
          <w:rFonts w:ascii="Arial" w:hAnsi="Arial" w:cs="Arial"/>
          <w:kern w:val="2"/>
          <w:sz w:val="20"/>
          <w:szCs w:val="20"/>
        </w:rPr>
        <w:t xml:space="preserve">quality of </w:t>
      </w:r>
      <w:r w:rsidR="00FA004B" w:rsidRPr="00CA3587">
        <w:rPr>
          <w:rFonts w:ascii="Arial" w:hAnsi="Arial" w:cs="Arial"/>
          <w:kern w:val="2"/>
          <w:sz w:val="20"/>
          <w:szCs w:val="20"/>
        </w:rPr>
        <w:t>life</w:t>
      </w:r>
      <w:r w:rsidR="00FA004B">
        <w:rPr>
          <w:rFonts w:ascii="Arial" w:hAnsi="Arial" w:cs="Arial"/>
          <w:kern w:val="2"/>
          <w:sz w:val="20"/>
          <w:szCs w:val="20"/>
        </w:rPr>
        <w:t xml:space="preserve"> and</w:t>
      </w:r>
      <w:r w:rsidR="00FE78D4">
        <w:rPr>
          <w:rFonts w:ascii="Arial" w:hAnsi="Arial" w:cs="Arial"/>
          <w:kern w:val="2"/>
          <w:sz w:val="20"/>
          <w:szCs w:val="20"/>
        </w:rPr>
        <w:t xml:space="preserve"> increase costs</w:t>
      </w:r>
      <w:r w:rsidR="0036331A">
        <w:rPr>
          <w:rFonts w:ascii="Arial" w:hAnsi="Arial" w:cs="Arial"/>
          <w:kern w:val="2"/>
          <w:sz w:val="20"/>
          <w:szCs w:val="20"/>
        </w:rPr>
        <w:t>.</w:t>
      </w:r>
    </w:p>
    <w:p w14:paraId="0048E8E9" w14:textId="77777777" w:rsidR="009C4CCF" w:rsidRPr="00CA3587" w:rsidRDefault="009C4CCF" w:rsidP="009C4CCF">
      <w:pPr>
        <w:tabs>
          <w:tab w:val="left" w:pos="1440"/>
        </w:tabs>
        <w:autoSpaceDE w:val="0"/>
        <w:autoSpaceDN w:val="0"/>
        <w:adjustRightInd w:val="0"/>
        <w:spacing w:after="0" w:line="240" w:lineRule="auto"/>
        <w:jc w:val="both"/>
        <w:rPr>
          <w:rFonts w:ascii="Arial" w:hAnsi="Arial" w:cs="Arial"/>
          <w:b/>
          <w:kern w:val="2"/>
          <w:sz w:val="20"/>
          <w:szCs w:val="20"/>
        </w:rPr>
      </w:pPr>
    </w:p>
    <w:p w14:paraId="53489A6B" w14:textId="3220D913" w:rsidR="007143F8" w:rsidRPr="00CA3587" w:rsidRDefault="009C4CCF" w:rsidP="007143F8">
      <w:pPr>
        <w:tabs>
          <w:tab w:val="left" w:pos="720"/>
        </w:tabs>
        <w:autoSpaceDE w:val="0"/>
        <w:autoSpaceDN w:val="0"/>
        <w:adjustRightInd w:val="0"/>
        <w:spacing w:after="0" w:line="240" w:lineRule="auto"/>
        <w:ind w:left="720" w:hanging="720"/>
        <w:jc w:val="both"/>
        <w:rPr>
          <w:rFonts w:ascii="Arial" w:eastAsia="Calibri" w:hAnsi="Arial" w:cs="Arial"/>
          <w:sz w:val="20"/>
          <w:szCs w:val="20"/>
        </w:rPr>
      </w:pPr>
      <w:r w:rsidRPr="00CA3587">
        <w:rPr>
          <w:rFonts w:ascii="Arial" w:hAnsi="Arial" w:cs="Arial"/>
          <w:b/>
          <w:kern w:val="2"/>
          <w:sz w:val="20"/>
          <w:szCs w:val="20"/>
        </w:rPr>
        <w:lastRenderedPageBreak/>
        <w:tab/>
        <w:t xml:space="preserve">Alternative Efficiency: </w:t>
      </w:r>
      <w:r w:rsidR="0036331A">
        <w:rPr>
          <w:rFonts w:ascii="Arial" w:hAnsi="Arial" w:cs="Arial"/>
          <w:kern w:val="2"/>
          <w:sz w:val="20"/>
          <w:szCs w:val="20"/>
        </w:rPr>
        <w:t>AJH</w:t>
      </w:r>
      <w:r w:rsidR="0036331A" w:rsidRPr="00CA3587">
        <w:rPr>
          <w:rFonts w:ascii="Arial" w:hAnsi="Arial" w:cs="Arial"/>
          <w:kern w:val="2"/>
          <w:sz w:val="20"/>
          <w:szCs w:val="20"/>
        </w:rPr>
        <w:t xml:space="preserve"> resources will continue to be strained under this alternative.</w:t>
      </w:r>
      <w:r w:rsidR="007143F8">
        <w:rPr>
          <w:rFonts w:ascii="Arial" w:hAnsi="Arial" w:cs="Arial"/>
          <w:kern w:val="2"/>
          <w:sz w:val="20"/>
          <w:szCs w:val="20"/>
        </w:rPr>
        <w:t xml:space="preserve"> </w:t>
      </w:r>
      <w:r w:rsidR="007143F8" w:rsidRPr="00010F2F">
        <w:rPr>
          <w:rFonts w:ascii="Arial" w:hAnsi="Arial" w:cs="Arial"/>
          <w:bCs/>
          <w:kern w:val="2"/>
          <w:sz w:val="20"/>
          <w:szCs w:val="20"/>
        </w:rPr>
        <w:t xml:space="preserve">As demand for CT continues to grow, outpatients will </w:t>
      </w:r>
      <w:r w:rsidR="007143F8">
        <w:rPr>
          <w:rFonts w:ascii="Arial" w:hAnsi="Arial" w:cs="Arial"/>
          <w:bCs/>
          <w:kern w:val="2"/>
          <w:sz w:val="20"/>
          <w:szCs w:val="20"/>
        </w:rPr>
        <w:t xml:space="preserve">experience </w:t>
      </w:r>
      <w:r w:rsidR="007143F8" w:rsidRPr="00010F2F">
        <w:rPr>
          <w:rFonts w:ascii="Arial" w:hAnsi="Arial" w:cs="Arial"/>
          <w:bCs/>
          <w:kern w:val="2"/>
          <w:sz w:val="20"/>
          <w:szCs w:val="20"/>
        </w:rPr>
        <w:t>delayed access to CT imaging</w:t>
      </w:r>
      <w:r w:rsidR="007143F8">
        <w:rPr>
          <w:rFonts w:ascii="Arial" w:hAnsi="Arial" w:cs="Arial"/>
          <w:bCs/>
          <w:kern w:val="2"/>
          <w:sz w:val="20"/>
          <w:szCs w:val="20"/>
        </w:rPr>
        <w:t xml:space="preserve"> as wait times increase</w:t>
      </w:r>
      <w:r w:rsidR="007143F8" w:rsidRPr="00010F2F">
        <w:rPr>
          <w:rFonts w:ascii="Arial" w:hAnsi="Arial" w:cs="Arial"/>
          <w:bCs/>
          <w:kern w:val="2"/>
          <w:sz w:val="20"/>
          <w:szCs w:val="20"/>
        </w:rPr>
        <w:t xml:space="preserve">. </w:t>
      </w:r>
      <w:r w:rsidR="007143F8" w:rsidRPr="00CA3587">
        <w:rPr>
          <w:rFonts w:ascii="Arial" w:hAnsi="Arial" w:cs="Arial"/>
          <w:kern w:val="2"/>
          <w:sz w:val="20"/>
          <w:szCs w:val="20"/>
        </w:rPr>
        <w:t xml:space="preserve">When </w:t>
      </w:r>
      <w:r w:rsidR="007143F8">
        <w:rPr>
          <w:rFonts w:ascii="Arial" w:hAnsi="Arial" w:cs="Arial"/>
          <w:bCs/>
          <w:kern w:val="2"/>
          <w:sz w:val="20"/>
          <w:szCs w:val="20"/>
        </w:rPr>
        <w:t>AJH</w:t>
      </w:r>
      <w:r w:rsidR="007143F8" w:rsidRPr="00CA3587">
        <w:rPr>
          <w:rFonts w:ascii="Arial" w:hAnsi="Arial" w:cs="Arial"/>
          <w:bCs/>
          <w:kern w:val="2"/>
          <w:sz w:val="20"/>
          <w:szCs w:val="20"/>
        </w:rPr>
        <w:t xml:space="preserve"> </w:t>
      </w:r>
      <w:r w:rsidR="007143F8" w:rsidRPr="00CA3587">
        <w:rPr>
          <w:rFonts w:ascii="Arial" w:hAnsi="Arial" w:cs="Arial"/>
          <w:kern w:val="2"/>
          <w:sz w:val="20"/>
          <w:szCs w:val="20"/>
        </w:rPr>
        <w:t>experiences CT downtime, emergency patients</w:t>
      </w:r>
      <w:r w:rsidR="007143F8">
        <w:rPr>
          <w:rFonts w:ascii="Arial" w:hAnsi="Arial" w:cs="Arial"/>
          <w:kern w:val="2"/>
          <w:sz w:val="20"/>
          <w:szCs w:val="20"/>
        </w:rPr>
        <w:t>, inpatients, and outpatients</w:t>
      </w:r>
      <w:r w:rsidR="007143F8" w:rsidRPr="00CA3587">
        <w:rPr>
          <w:rFonts w:ascii="Arial" w:hAnsi="Arial" w:cs="Arial"/>
          <w:kern w:val="2"/>
          <w:sz w:val="20"/>
          <w:szCs w:val="20"/>
        </w:rPr>
        <w:t xml:space="preserve"> must wait or receive lesser imaging</w:t>
      </w:r>
      <w:r w:rsidR="007143F8">
        <w:rPr>
          <w:rFonts w:ascii="Arial" w:hAnsi="Arial" w:cs="Arial"/>
          <w:kern w:val="2"/>
          <w:sz w:val="20"/>
          <w:szCs w:val="20"/>
        </w:rPr>
        <w:t xml:space="preserve"> or be diverted to another facility</w:t>
      </w:r>
      <w:r w:rsidR="007143F8" w:rsidRPr="00CA3587">
        <w:rPr>
          <w:rFonts w:ascii="Arial" w:hAnsi="Arial" w:cs="Arial"/>
          <w:kern w:val="2"/>
          <w:sz w:val="20"/>
          <w:szCs w:val="20"/>
        </w:rPr>
        <w:t xml:space="preserve">. </w:t>
      </w:r>
      <w:r w:rsidR="00FE78D4">
        <w:rPr>
          <w:rFonts w:ascii="Arial" w:hAnsi="Arial" w:cs="Arial"/>
          <w:kern w:val="2"/>
          <w:sz w:val="20"/>
          <w:szCs w:val="20"/>
        </w:rPr>
        <w:t xml:space="preserve">Finally, one CT unit reduces the ability to accommodate interventional CT procedures and expanded LDCT screening. A second unit will introduce flexibility in the schedule to expand these programs. On balance a second CT unit is the superior option for meeting the needs of the Patient Panel. </w:t>
      </w:r>
    </w:p>
    <w:p w14:paraId="2ACEFC1B" w14:textId="4110200C" w:rsidR="00CC24A7" w:rsidRDefault="007143F8" w:rsidP="007143F8">
      <w:pPr>
        <w:tabs>
          <w:tab w:val="left" w:pos="720"/>
        </w:tabs>
        <w:autoSpaceDE w:val="0"/>
        <w:autoSpaceDN w:val="0"/>
        <w:adjustRightInd w:val="0"/>
        <w:spacing w:after="0" w:line="240" w:lineRule="auto"/>
        <w:ind w:left="720" w:hanging="720"/>
        <w:jc w:val="both"/>
        <w:rPr>
          <w:rFonts w:ascii="Arial" w:hAnsi="Arial" w:cs="Arial"/>
          <w:b/>
          <w:kern w:val="2"/>
          <w:sz w:val="20"/>
          <w:szCs w:val="20"/>
        </w:rPr>
      </w:pPr>
      <w:r>
        <w:rPr>
          <w:rFonts w:ascii="Arial" w:hAnsi="Arial" w:cs="Arial"/>
          <w:kern w:val="2"/>
          <w:sz w:val="20"/>
          <w:szCs w:val="20"/>
        </w:rPr>
        <w:tab/>
      </w:r>
      <w:r w:rsidR="0036331A">
        <w:rPr>
          <w:rFonts w:ascii="Arial" w:hAnsi="Arial" w:cs="Arial"/>
          <w:kern w:val="2"/>
          <w:sz w:val="20"/>
          <w:szCs w:val="20"/>
        </w:rPr>
        <w:t xml:space="preserve"> </w:t>
      </w:r>
    </w:p>
    <w:p w14:paraId="1671AB5C" w14:textId="77777777" w:rsidR="0036331A" w:rsidRPr="00CA3587" w:rsidRDefault="00CC24A7" w:rsidP="0036331A">
      <w:pPr>
        <w:tabs>
          <w:tab w:val="left" w:pos="720"/>
        </w:tabs>
        <w:autoSpaceDE w:val="0"/>
        <w:autoSpaceDN w:val="0"/>
        <w:adjustRightInd w:val="0"/>
        <w:spacing w:after="0" w:line="240" w:lineRule="auto"/>
        <w:ind w:left="720" w:hanging="720"/>
        <w:jc w:val="both"/>
        <w:rPr>
          <w:rFonts w:ascii="Arial" w:hAnsi="Arial" w:cs="Arial"/>
          <w:kern w:val="2"/>
          <w:sz w:val="20"/>
          <w:szCs w:val="20"/>
        </w:rPr>
      </w:pPr>
      <w:r>
        <w:rPr>
          <w:rFonts w:ascii="Arial" w:hAnsi="Arial" w:cs="Arial"/>
          <w:b/>
          <w:kern w:val="2"/>
          <w:sz w:val="20"/>
          <w:szCs w:val="20"/>
        </w:rPr>
        <w:tab/>
      </w:r>
      <w:r w:rsidR="0036331A" w:rsidRPr="00CA3587">
        <w:rPr>
          <w:rFonts w:ascii="Arial" w:hAnsi="Arial" w:cs="Arial"/>
          <w:b/>
          <w:kern w:val="2"/>
          <w:sz w:val="20"/>
          <w:szCs w:val="20"/>
        </w:rPr>
        <w:t xml:space="preserve">Alternative Capital Expenses: </w:t>
      </w:r>
      <w:r w:rsidR="0036331A" w:rsidRPr="00CA3587">
        <w:rPr>
          <w:rFonts w:ascii="Arial" w:hAnsi="Arial" w:cs="Arial"/>
          <w:kern w:val="2"/>
          <w:sz w:val="20"/>
          <w:szCs w:val="20"/>
        </w:rPr>
        <w:t xml:space="preserve">There are no capital expenses under this alternative.  </w:t>
      </w:r>
    </w:p>
    <w:p w14:paraId="21C7971B" w14:textId="77777777" w:rsidR="0036331A" w:rsidRPr="00CA3587" w:rsidRDefault="0036331A" w:rsidP="0036331A">
      <w:pPr>
        <w:tabs>
          <w:tab w:val="left" w:pos="1440"/>
        </w:tabs>
        <w:autoSpaceDE w:val="0"/>
        <w:autoSpaceDN w:val="0"/>
        <w:adjustRightInd w:val="0"/>
        <w:spacing w:after="0" w:line="240" w:lineRule="auto"/>
        <w:jc w:val="both"/>
        <w:rPr>
          <w:rFonts w:ascii="Arial" w:hAnsi="Arial" w:cs="Arial"/>
          <w:b/>
          <w:kern w:val="2"/>
          <w:sz w:val="20"/>
          <w:szCs w:val="20"/>
        </w:rPr>
      </w:pPr>
    </w:p>
    <w:p w14:paraId="00FCA082" w14:textId="77777777" w:rsidR="0036331A" w:rsidRPr="00A96CE7" w:rsidRDefault="0036331A" w:rsidP="0036331A">
      <w:pPr>
        <w:autoSpaceDE w:val="0"/>
        <w:autoSpaceDN w:val="0"/>
        <w:adjustRightInd w:val="0"/>
        <w:spacing w:after="0" w:line="240" w:lineRule="auto"/>
        <w:ind w:left="720" w:hanging="720"/>
        <w:jc w:val="both"/>
        <w:rPr>
          <w:rFonts w:ascii="Arial" w:hAnsi="Arial" w:cs="Arial"/>
          <w:kern w:val="2"/>
          <w:sz w:val="20"/>
          <w:szCs w:val="20"/>
        </w:rPr>
      </w:pPr>
      <w:r w:rsidRPr="00CA3587">
        <w:rPr>
          <w:rFonts w:ascii="Arial" w:hAnsi="Arial" w:cs="Arial"/>
          <w:b/>
          <w:kern w:val="2"/>
          <w:sz w:val="20"/>
          <w:szCs w:val="20"/>
        </w:rPr>
        <w:tab/>
        <w:t xml:space="preserve">Alternative Operating Costs: </w:t>
      </w:r>
      <w:r>
        <w:rPr>
          <w:rFonts w:ascii="Arial" w:hAnsi="Arial" w:cs="Arial"/>
          <w:kern w:val="2"/>
          <w:sz w:val="20"/>
          <w:szCs w:val="20"/>
        </w:rPr>
        <w:t xml:space="preserve">There are no additional operating costs under this option. </w:t>
      </w:r>
      <w:r w:rsidRPr="00A96CE7">
        <w:rPr>
          <w:rFonts w:ascii="Arial" w:hAnsi="Arial" w:cs="Arial"/>
          <w:kern w:val="2"/>
          <w:sz w:val="20"/>
          <w:szCs w:val="20"/>
        </w:rPr>
        <w:t xml:space="preserve"> </w:t>
      </w:r>
    </w:p>
    <w:p w14:paraId="74E1083B" w14:textId="76A64974" w:rsidR="009C4CCF" w:rsidRPr="00987284" w:rsidRDefault="009C4CCF" w:rsidP="0036331A">
      <w:pPr>
        <w:tabs>
          <w:tab w:val="left" w:pos="720"/>
        </w:tabs>
        <w:autoSpaceDE w:val="0"/>
        <w:autoSpaceDN w:val="0"/>
        <w:adjustRightInd w:val="0"/>
        <w:spacing w:after="0" w:line="240" w:lineRule="auto"/>
        <w:ind w:left="720" w:hanging="720"/>
        <w:jc w:val="both"/>
        <w:rPr>
          <w:rFonts w:eastAsia="Times New Roman"/>
        </w:rPr>
      </w:pPr>
    </w:p>
    <w:p w14:paraId="7805B1B2" w14:textId="02528151" w:rsidR="009C4CCF" w:rsidRDefault="009C4CCF" w:rsidP="009C4CCF">
      <w:pPr>
        <w:rPr>
          <w:rFonts w:eastAsia="Times New Roman"/>
        </w:rPr>
      </w:pPr>
    </w:p>
    <w:p w14:paraId="3237B6D3" w14:textId="77777777" w:rsidR="00D25AE8" w:rsidRPr="00987284" w:rsidRDefault="00D25AE8" w:rsidP="009C4CCF">
      <w:pPr>
        <w:rPr>
          <w:rFonts w:eastAsia="Times New Roman"/>
        </w:rPr>
      </w:pPr>
    </w:p>
    <w:sectPr w:rsidR="00D25AE8" w:rsidRPr="00987284" w:rsidSect="00ED3739">
      <w:headerReference w:type="default" r:id="rId8"/>
      <w:footerReference w:type="even" r:id="rId9"/>
      <w:footerReference w:type="default" r:id="rId10"/>
      <w:footerReference w:type="firs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EAC2" w14:textId="77777777" w:rsidR="000A4E2F" w:rsidRDefault="000A4E2F" w:rsidP="00AB7535">
      <w:pPr>
        <w:spacing w:after="0" w:line="240" w:lineRule="auto"/>
      </w:pPr>
      <w:r>
        <w:separator/>
      </w:r>
    </w:p>
  </w:endnote>
  <w:endnote w:type="continuationSeparator" w:id="0">
    <w:p w14:paraId="6DE4A620" w14:textId="77777777" w:rsidR="000A4E2F" w:rsidRDefault="000A4E2F" w:rsidP="00AB7535">
      <w:pPr>
        <w:spacing w:after="0" w:line="240" w:lineRule="auto"/>
      </w:pPr>
      <w:r>
        <w:continuationSeparator/>
      </w:r>
    </w:p>
  </w:endnote>
  <w:endnote w:type="continuationNotice" w:id="1">
    <w:p w14:paraId="02A0B0CF" w14:textId="77777777" w:rsidR="000A4E2F" w:rsidRDefault="000A4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810E" w14:textId="647B79FE" w:rsidR="00CB02FE" w:rsidRDefault="009D1CDF" w:rsidP="00D90285">
    <w:pPr>
      <w:pStyle w:val="DocID"/>
    </w:pPr>
    <w:fldSimple w:instr=" DOCPROPERTY DOCXDOCID DMS=NetDocuments Format=HB: &lt;&lt;ID&gt;&gt;.&lt;&lt;VER&gt;&gt; PRESERVELOCATION \* MERGEFORMAT ">
      <w:r w:rsidR="00D90285" w:rsidRPr="00D90285">
        <w:t>HB: 4855-4215-3801.3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FBC5" w14:textId="21C0DDFB" w:rsidR="00C11954" w:rsidRDefault="00000000">
    <w:pPr>
      <w:pStyle w:val="Footer"/>
      <w:jc w:val="right"/>
    </w:pPr>
    <w:sdt>
      <w:sdtPr>
        <w:id w:val="-1105957003"/>
        <w:docPartObj>
          <w:docPartGallery w:val="Page Numbers (Bottom of Page)"/>
          <w:docPartUnique/>
        </w:docPartObj>
      </w:sdtPr>
      <w:sdtEndPr>
        <w:rPr>
          <w:noProof/>
        </w:rPr>
      </w:sdtEndPr>
      <w:sdtContent>
        <w:r w:rsidR="00C11954">
          <w:fldChar w:fldCharType="begin"/>
        </w:r>
        <w:r w:rsidR="00C11954">
          <w:instrText xml:space="preserve"> PAGE   \* MERGEFORMAT </w:instrText>
        </w:r>
        <w:r w:rsidR="00C11954">
          <w:fldChar w:fldCharType="separate"/>
        </w:r>
        <w:r w:rsidR="00C11954">
          <w:rPr>
            <w:noProof/>
          </w:rPr>
          <w:t>2</w:t>
        </w:r>
        <w:r w:rsidR="00C11954">
          <w:rPr>
            <w:noProof/>
          </w:rPr>
          <w:fldChar w:fldCharType="end"/>
        </w:r>
      </w:sdtContent>
    </w:sdt>
  </w:p>
  <w:p w14:paraId="1E4EAF9D" w14:textId="007BCA5F" w:rsidR="00C11954" w:rsidRDefault="00C11954" w:rsidP="00EC0CC7">
    <w:pPr>
      <w:pStyle w:val="DocID"/>
    </w:pPr>
  </w:p>
  <w:p w14:paraId="3BCE21C4" w14:textId="736C44A5" w:rsidR="00C11954" w:rsidRPr="00B05684" w:rsidRDefault="009D1CDF" w:rsidP="00D90285">
    <w:pPr>
      <w:pStyle w:val="DocID"/>
    </w:pPr>
    <w:fldSimple w:instr=" DOCPROPERTY DOCXDOCID DMS=NetDocuments Format=HB: &lt;&lt;ID&gt;&gt;.&lt;&lt;VER&gt;&gt; PRESERVELOCATION \* MERGEFORMAT ">
      <w:r w:rsidR="00D90285" w:rsidRPr="00D90285">
        <w:t>HB: 4855-4215-3801.3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4827" w14:textId="4DD0CA5B" w:rsidR="00CB02FE" w:rsidRDefault="009D1CDF" w:rsidP="00D90285">
    <w:pPr>
      <w:pStyle w:val="DocID"/>
    </w:pPr>
    <w:fldSimple w:instr=" DOCPROPERTY DOCXDOCID DMS=NetDocuments Format=HB: &lt;&lt;ID&gt;&gt;.&lt;&lt;VER&gt;&gt; PRESERVELOCATION \* MERGEFORMAT ">
      <w:r w:rsidR="00D90285" w:rsidRPr="00D90285">
        <w:t>HB: 4855-4215-3801.3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7C33" w14:textId="77777777" w:rsidR="000A4E2F" w:rsidRDefault="000A4E2F" w:rsidP="00AB7535">
      <w:pPr>
        <w:spacing w:after="0" w:line="240" w:lineRule="auto"/>
      </w:pPr>
      <w:r>
        <w:separator/>
      </w:r>
    </w:p>
  </w:footnote>
  <w:footnote w:type="continuationSeparator" w:id="0">
    <w:p w14:paraId="2357344C" w14:textId="77777777" w:rsidR="000A4E2F" w:rsidRDefault="000A4E2F" w:rsidP="00AB7535">
      <w:pPr>
        <w:spacing w:after="0" w:line="240" w:lineRule="auto"/>
      </w:pPr>
      <w:r>
        <w:continuationSeparator/>
      </w:r>
    </w:p>
  </w:footnote>
  <w:footnote w:type="continuationNotice" w:id="1">
    <w:p w14:paraId="770CFF02" w14:textId="77777777" w:rsidR="000A4E2F" w:rsidRDefault="000A4E2F">
      <w:pPr>
        <w:spacing w:after="0" w:line="240" w:lineRule="auto"/>
      </w:pPr>
    </w:p>
  </w:footnote>
  <w:footnote w:id="2">
    <w:p w14:paraId="058BD8EA" w14:textId="77777777" w:rsidR="009A335D" w:rsidRPr="0093268B" w:rsidRDefault="009A335D" w:rsidP="009A335D">
      <w:pPr>
        <w:pStyle w:val="FootnoteText"/>
        <w:jc w:val="both"/>
        <w:rPr>
          <w:rFonts w:ascii="Arial" w:hAnsi="Arial" w:cs="Arial"/>
          <w:sz w:val="18"/>
          <w:szCs w:val="18"/>
        </w:rPr>
      </w:pPr>
      <w:r w:rsidRPr="0093268B">
        <w:rPr>
          <w:rStyle w:val="FootnoteReference"/>
          <w:rFonts w:ascii="Arial" w:hAnsi="Arial" w:cs="Arial"/>
          <w:sz w:val="18"/>
          <w:szCs w:val="18"/>
        </w:rPr>
        <w:footnoteRef/>
      </w:r>
      <w:r w:rsidRPr="0093268B">
        <w:rPr>
          <w:rFonts w:ascii="Arial" w:hAnsi="Arial" w:cs="Arial"/>
          <w:sz w:val="18"/>
          <w:szCs w:val="18"/>
        </w:rPr>
        <w:t xml:space="preserve"> 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 w:id="3">
    <w:p w14:paraId="5DF3BB21" w14:textId="6DBE7C5B" w:rsidR="00C55325" w:rsidRPr="0093268B" w:rsidRDefault="00C55325" w:rsidP="00C55325">
      <w:pPr>
        <w:pStyle w:val="FootnoteText"/>
        <w:rPr>
          <w:rFonts w:ascii="Arial" w:hAnsi="Arial" w:cs="Arial"/>
          <w:sz w:val="18"/>
          <w:szCs w:val="18"/>
        </w:rPr>
      </w:pPr>
      <w:r w:rsidRPr="0093268B">
        <w:rPr>
          <w:rStyle w:val="FootnoteReference"/>
          <w:rFonts w:ascii="Arial" w:hAnsi="Arial" w:cs="Arial"/>
          <w:sz w:val="18"/>
          <w:szCs w:val="18"/>
        </w:rPr>
        <w:footnoteRef/>
      </w:r>
      <w:r w:rsidRPr="0093268B">
        <w:rPr>
          <w:rFonts w:ascii="Arial" w:hAnsi="Arial" w:cs="Arial"/>
          <w:sz w:val="18"/>
          <w:szCs w:val="18"/>
        </w:rPr>
        <w:t xml:space="preserve"> Census Reporter, Boston-Cambridge-Newton, MA-NH Metro Area</w:t>
      </w:r>
      <w:r w:rsidR="001B17C2" w:rsidRPr="0093268B">
        <w:rPr>
          <w:rFonts w:ascii="Arial" w:hAnsi="Arial" w:cs="Arial"/>
          <w:sz w:val="18"/>
          <w:szCs w:val="18"/>
        </w:rPr>
        <w:t>,</w:t>
      </w:r>
      <w:r w:rsidRPr="0093268B">
        <w:rPr>
          <w:rFonts w:ascii="Arial" w:hAnsi="Arial" w:cs="Arial"/>
          <w:sz w:val="18"/>
          <w:szCs w:val="18"/>
        </w:rPr>
        <w:t xml:space="preserve"> https://censusreporter.org/profiles/31000US14460-boston-cambridge-newton-ma-nh-metro-area/</w:t>
      </w:r>
      <w:r w:rsidR="001B17C2" w:rsidRPr="0093268B">
        <w:rPr>
          <w:rFonts w:ascii="Arial" w:hAnsi="Arial" w:cs="Arial"/>
          <w:sz w:val="18"/>
          <w:szCs w:val="18"/>
        </w:rPr>
        <w:t>.</w:t>
      </w:r>
    </w:p>
  </w:footnote>
  <w:footnote w:id="4">
    <w:p w14:paraId="6A5ECB62" w14:textId="77777777" w:rsidR="00C55325" w:rsidRPr="0093268B" w:rsidRDefault="00C55325" w:rsidP="00C55325">
      <w:pPr>
        <w:pStyle w:val="FootnoteText"/>
        <w:rPr>
          <w:rFonts w:ascii="Arial" w:hAnsi="Arial" w:cs="Arial"/>
          <w:sz w:val="18"/>
          <w:szCs w:val="18"/>
        </w:rPr>
      </w:pPr>
      <w:r w:rsidRPr="0093268B">
        <w:rPr>
          <w:rStyle w:val="FootnoteReference"/>
          <w:rFonts w:ascii="Arial" w:hAnsi="Arial" w:cs="Arial"/>
          <w:sz w:val="18"/>
          <w:szCs w:val="18"/>
        </w:rPr>
        <w:footnoteRef/>
      </w:r>
      <w:r w:rsidRPr="0093268B">
        <w:rPr>
          <w:rFonts w:ascii="Arial" w:hAnsi="Arial" w:cs="Arial"/>
          <w:sz w:val="18"/>
          <w:szCs w:val="18"/>
        </w:rPr>
        <w:t xml:space="preserve"> UMass Donahue Institute, </w:t>
      </w:r>
      <w:r w:rsidRPr="0093268B">
        <w:rPr>
          <w:rFonts w:ascii="Arial" w:hAnsi="Arial" w:cs="Arial"/>
          <w:i/>
          <w:iCs/>
          <w:sz w:val="18"/>
          <w:szCs w:val="18"/>
        </w:rPr>
        <w:t>Long-term Population Projections for Massachusetts Regions and Municipalities</w:t>
      </w:r>
      <w:r w:rsidRPr="0093268B">
        <w:rPr>
          <w:rFonts w:ascii="Arial" w:hAnsi="Arial" w:cs="Arial"/>
          <w:sz w:val="18"/>
          <w:szCs w:val="18"/>
        </w:rPr>
        <w:t xml:space="preserve">, March 2015. </w:t>
      </w:r>
    </w:p>
  </w:footnote>
  <w:footnote w:id="5">
    <w:p w14:paraId="5EF2F7E3" w14:textId="77777777" w:rsidR="009A335D" w:rsidRPr="0093268B" w:rsidRDefault="009A335D" w:rsidP="009A335D">
      <w:pPr>
        <w:pStyle w:val="FootnoteText"/>
        <w:rPr>
          <w:sz w:val="18"/>
          <w:szCs w:val="18"/>
        </w:rPr>
      </w:pPr>
      <w:r w:rsidRPr="0093268B">
        <w:rPr>
          <w:rStyle w:val="FootnoteReference"/>
          <w:rFonts w:ascii="Arial" w:hAnsi="Arial" w:cs="Arial"/>
          <w:sz w:val="18"/>
          <w:szCs w:val="18"/>
        </w:rPr>
        <w:footnoteRef/>
      </w:r>
      <w:r w:rsidRPr="0093268B">
        <w:rPr>
          <w:rFonts w:ascii="Arial" w:hAnsi="Arial" w:cs="Arial"/>
          <w:sz w:val="18"/>
          <w:szCs w:val="18"/>
        </w:rPr>
        <w:t xml:space="preserve"> For purposes of the Applicant’s and the Hospital’s patient panel, the fiscal year is defined as July 1 through June 30.</w:t>
      </w:r>
    </w:p>
  </w:footnote>
  <w:footnote w:id="6">
    <w:p w14:paraId="5D87AD64" w14:textId="77777777" w:rsidR="00C11AE5" w:rsidRPr="0093268B" w:rsidRDefault="00C11AE5" w:rsidP="00292439">
      <w:pPr>
        <w:pStyle w:val="FootnoteText"/>
        <w:rPr>
          <w:rFonts w:ascii="Arial" w:hAnsi="Arial" w:cs="Arial"/>
          <w:sz w:val="18"/>
          <w:szCs w:val="18"/>
        </w:rPr>
      </w:pPr>
      <w:r w:rsidRPr="0093268B">
        <w:rPr>
          <w:rStyle w:val="FootnoteReference"/>
          <w:rFonts w:ascii="Arial" w:hAnsi="Arial" w:cs="Arial"/>
          <w:sz w:val="18"/>
          <w:szCs w:val="18"/>
        </w:rPr>
        <w:footnoteRef/>
      </w:r>
      <w:r w:rsidRPr="0093268B">
        <w:rPr>
          <w:rFonts w:ascii="Arial" w:hAnsi="Arial" w:cs="Arial"/>
          <w:sz w:val="18"/>
          <w:szCs w:val="18"/>
        </w:rPr>
        <w:t xml:space="preserve"> Patients for whom a gender is not specified or whose gender varies across visits over the time period are included in “Other.”  </w:t>
      </w:r>
    </w:p>
  </w:footnote>
  <w:footnote w:id="7">
    <w:p w14:paraId="16E176B3" w14:textId="77777777" w:rsidR="00C11AE5" w:rsidRPr="00EB7F4C" w:rsidRDefault="00C11AE5" w:rsidP="00292439">
      <w:pPr>
        <w:pStyle w:val="FootnoteText"/>
        <w:rPr>
          <w:rFonts w:ascii="Arial" w:hAnsi="Arial" w:cs="Arial"/>
          <w:sz w:val="16"/>
          <w:szCs w:val="16"/>
        </w:rPr>
      </w:pPr>
      <w:r w:rsidRPr="0093268B">
        <w:rPr>
          <w:rStyle w:val="FootnoteReference"/>
          <w:rFonts w:ascii="Arial" w:hAnsi="Arial" w:cs="Arial"/>
          <w:sz w:val="18"/>
          <w:szCs w:val="18"/>
        </w:rPr>
        <w:footnoteRef/>
      </w:r>
      <w:r w:rsidRPr="0093268B">
        <w:rPr>
          <w:rFonts w:ascii="Arial" w:hAnsi="Arial" w:cs="Arial"/>
          <w:sz w:val="18"/>
          <w:szCs w:val="18"/>
        </w:rPr>
        <w:t xml:space="preserve"> </w:t>
      </w:r>
      <w:bookmarkStart w:id="1" w:name="_Hlk90904496"/>
      <w:r w:rsidRPr="0093268B">
        <w:rPr>
          <w:rFonts w:ascii="Arial" w:hAnsi="Arial" w:cs="Arial"/>
          <w:sz w:val="18"/>
          <w:szCs w:val="18"/>
        </w:rPr>
        <w:t>As a newly merged health system, BILH has not yet fully implemented a standardized data collection methodology for BILH Hospitals. As a result, “Other” may include patients whose race and/or ethnicity varied over time, as well as patients who did not report their race and/or ethnicity. Furthermore, patients who declined to report their race and/or ethnicity might also be captured in “Unknown” or “Patient Declined”.</w:t>
      </w:r>
      <w:bookmarkEnd w:id="1"/>
      <w:r w:rsidRPr="0093268B">
        <w:rPr>
          <w:rFonts w:ascii="Arial" w:hAnsi="Arial" w:cs="Arial"/>
          <w:sz w:val="18"/>
          <w:szCs w:val="18"/>
        </w:rPr>
        <w:t xml:space="preserve"> “Other” is a choice for patients to select if they do not feel that their race/ethnicity is reflected in the list of choices.</w:t>
      </w:r>
    </w:p>
  </w:footnote>
  <w:footnote w:id="8">
    <w:p w14:paraId="63DBB2C0" w14:textId="77777777" w:rsidR="007974A1" w:rsidRPr="0093268B" w:rsidRDefault="007974A1" w:rsidP="007974A1">
      <w:pPr>
        <w:pStyle w:val="FootnoteText"/>
        <w:rPr>
          <w:sz w:val="18"/>
          <w:szCs w:val="18"/>
        </w:rPr>
      </w:pPr>
      <w:r w:rsidRPr="0093268B">
        <w:rPr>
          <w:rStyle w:val="FootnoteReference"/>
          <w:rFonts w:ascii="Arial" w:hAnsi="Arial" w:cs="Arial"/>
          <w:sz w:val="18"/>
          <w:szCs w:val="18"/>
        </w:rPr>
        <w:footnoteRef/>
      </w:r>
      <w:r w:rsidRPr="0093268B">
        <w:rPr>
          <w:rFonts w:ascii="Arial" w:hAnsi="Arial" w:cs="Arial"/>
          <w:sz w:val="18"/>
          <w:szCs w:val="18"/>
        </w:rPr>
        <w:t xml:space="preserve"> Ethnicity information is not available at the system-level for three hospitals: BID-Milton, BID-Needham, and BID-Plymouth. For the remaining BILH hospitals, ethnicity information is self-reported. Patients for whom ethnicity is not specified are included in "Patient Declined," "Unknown," or "Other," per the local facility’s data collection methodology. Patients for whom ethnicity varies across visits over the time period are included in "Other."</w:t>
      </w:r>
    </w:p>
  </w:footnote>
  <w:footnote w:id="9">
    <w:p w14:paraId="14001073" w14:textId="77777777" w:rsidR="007E7083" w:rsidRPr="0093268B" w:rsidRDefault="007E7083" w:rsidP="00292439">
      <w:pPr>
        <w:pStyle w:val="FootnoteText"/>
        <w:rPr>
          <w:rFonts w:ascii="Arial" w:hAnsi="Arial" w:cs="Arial"/>
          <w:sz w:val="18"/>
          <w:szCs w:val="18"/>
        </w:rPr>
      </w:pPr>
      <w:r w:rsidRPr="0093268B">
        <w:rPr>
          <w:rStyle w:val="FootnoteReference"/>
          <w:rFonts w:ascii="Arial" w:hAnsi="Arial" w:cs="Arial"/>
          <w:sz w:val="18"/>
          <w:szCs w:val="18"/>
        </w:rPr>
        <w:footnoteRef/>
      </w:r>
      <w:r w:rsidRPr="0093268B">
        <w:rPr>
          <w:rFonts w:ascii="Arial" w:hAnsi="Arial" w:cs="Arial"/>
          <w:sz w:val="18"/>
          <w:szCs w:val="18"/>
        </w:rPr>
        <w:t xml:space="preserve"> Includes self-pay, health safety net, and liability is coverage other than worker’s compensation for an injury event.</w:t>
      </w:r>
    </w:p>
  </w:footnote>
  <w:footnote w:id="10">
    <w:p w14:paraId="529B395A" w14:textId="7D6FF65B" w:rsidR="00E13DE5" w:rsidRPr="00E13DE5" w:rsidRDefault="00E13DE5">
      <w:pPr>
        <w:pStyle w:val="FootnoteText"/>
        <w:rPr>
          <w:rFonts w:ascii="Arial" w:hAnsi="Arial" w:cs="Arial"/>
          <w:sz w:val="18"/>
          <w:szCs w:val="18"/>
        </w:rPr>
      </w:pPr>
      <w:r w:rsidRPr="0093268B">
        <w:rPr>
          <w:rStyle w:val="FootnoteReference"/>
          <w:rFonts w:ascii="Arial" w:hAnsi="Arial" w:cs="Arial"/>
          <w:sz w:val="18"/>
          <w:szCs w:val="18"/>
        </w:rPr>
        <w:footnoteRef/>
      </w:r>
      <w:r w:rsidRPr="0093268B">
        <w:rPr>
          <w:rFonts w:ascii="Arial" w:hAnsi="Arial" w:cs="Arial"/>
          <w:sz w:val="18"/>
          <w:szCs w:val="18"/>
        </w:rPr>
        <w:t xml:space="preserve"> List of city</w:t>
      </w:r>
      <w:r w:rsidR="00DF7DB4" w:rsidRPr="0093268B">
        <w:rPr>
          <w:rFonts w:ascii="Arial" w:hAnsi="Arial" w:cs="Arial"/>
          <w:sz w:val="18"/>
          <w:szCs w:val="18"/>
        </w:rPr>
        <w:t xml:space="preserve"> and </w:t>
      </w:r>
      <w:r w:rsidRPr="0093268B">
        <w:rPr>
          <w:rFonts w:ascii="Arial" w:hAnsi="Arial" w:cs="Arial"/>
          <w:sz w:val="18"/>
          <w:szCs w:val="18"/>
        </w:rPr>
        <w:t xml:space="preserve">town populations that make up the primary service area is in descending order. </w:t>
      </w:r>
    </w:p>
  </w:footnote>
  <w:footnote w:id="11">
    <w:p w14:paraId="2034B21C" w14:textId="77777777" w:rsidR="007E7083" w:rsidRPr="007E6BF7" w:rsidRDefault="007E7083" w:rsidP="00A64B7C">
      <w:pPr>
        <w:pStyle w:val="FootnoteText"/>
        <w:rPr>
          <w:rFonts w:ascii="Arial" w:hAnsi="Arial" w:cs="Arial"/>
          <w:sz w:val="18"/>
          <w:szCs w:val="18"/>
        </w:rPr>
      </w:pPr>
      <w:r w:rsidRPr="007E6BF7">
        <w:rPr>
          <w:rStyle w:val="FootnoteReference"/>
          <w:rFonts w:ascii="Arial" w:hAnsi="Arial" w:cs="Arial"/>
          <w:sz w:val="18"/>
          <w:szCs w:val="18"/>
        </w:rPr>
        <w:footnoteRef/>
      </w:r>
      <w:r w:rsidRPr="007E6BF7">
        <w:rPr>
          <w:rFonts w:ascii="Arial" w:hAnsi="Arial" w:cs="Arial"/>
          <w:sz w:val="18"/>
          <w:szCs w:val="18"/>
        </w:rPr>
        <w:t xml:space="preserve"> Includes “Male” and “Other” for patient confidentiality.</w:t>
      </w:r>
    </w:p>
  </w:footnote>
  <w:footnote w:id="12">
    <w:p w14:paraId="18851BC1" w14:textId="77777777" w:rsidR="007E7083" w:rsidRPr="002F51B5" w:rsidRDefault="007E7083" w:rsidP="00A64B7C">
      <w:pPr>
        <w:pStyle w:val="FootnoteText"/>
        <w:rPr>
          <w:rFonts w:ascii="Arial" w:hAnsi="Arial" w:cs="Arial"/>
          <w:sz w:val="18"/>
          <w:szCs w:val="18"/>
        </w:rPr>
      </w:pPr>
      <w:r w:rsidRPr="002F51B5">
        <w:rPr>
          <w:rStyle w:val="FootnoteReference"/>
          <w:rFonts w:ascii="Arial" w:hAnsi="Arial" w:cs="Arial"/>
          <w:sz w:val="18"/>
          <w:szCs w:val="18"/>
        </w:rPr>
        <w:footnoteRef/>
      </w:r>
      <w:r w:rsidRPr="002F51B5">
        <w:rPr>
          <w:rFonts w:ascii="Arial" w:hAnsi="Arial" w:cs="Arial"/>
          <w:sz w:val="18"/>
          <w:szCs w:val="18"/>
        </w:rPr>
        <w:t xml:space="preserve"> “Multiple Payors” is defined as patients whose primary payors within a given fiscal year fall into more than one payor category.</w:t>
      </w:r>
    </w:p>
  </w:footnote>
  <w:footnote w:id="13">
    <w:p w14:paraId="79927518" w14:textId="77777777" w:rsidR="007E7083" w:rsidRPr="002F51B5" w:rsidRDefault="007E7083" w:rsidP="00A64B7C">
      <w:pPr>
        <w:pStyle w:val="FootnoteText"/>
        <w:jc w:val="both"/>
        <w:rPr>
          <w:rFonts w:ascii="Arial" w:hAnsi="Arial" w:cs="Arial"/>
          <w:sz w:val="18"/>
          <w:szCs w:val="18"/>
        </w:rPr>
      </w:pPr>
      <w:r w:rsidRPr="002F51B5">
        <w:rPr>
          <w:rStyle w:val="FootnoteReference"/>
          <w:rFonts w:ascii="Arial" w:hAnsi="Arial" w:cs="Arial"/>
          <w:sz w:val="18"/>
          <w:szCs w:val="18"/>
        </w:rPr>
        <w:footnoteRef/>
      </w:r>
      <w:r w:rsidRPr="002F51B5">
        <w:rPr>
          <w:rFonts w:ascii="Arial" w:hAnsi="Arial" w:cs="Arial"/>
          <w:sz w:val="18"/>
          <w:szCs w:val="18"/>
        </w:rPr>
        <w:t xml:space="preserve"> “Other” includes but is not limited </w:t>
      </w:r>
      <w:proofErr w:type="gramStart"/>
      <w:r w:rsidRPr="002F51B5">
        <w:rPr>
          <w:rFonts w:ascii="Arial" w:hAnsi="Arial" w:cs="Arial"/>
          <w:sz w:val="18"/>
          <w:szCs w:val="18"/>
        </w:rPr>
        <w:t>to:</w:t>
      </w:r>
      <w:proofErr w:type="gramEnd"/>
      <w:r w:rsidRPr="002F51B5">
        <w:rPr>
          <w:rFonts w:ascii="Arial" w:hAnsi="Arial" w:cs="Arial"/>
          <w:sz w:val="18"/>
          <w:szCs w:val="18"/>
        </w:rPr>
        <w:t xml:space="preserve"> self-pay, workers’ compensation, other government payment, free care, health safety net, auto insurance, Commonwealth Care/</w:t>
      </w:r>
      <w:proofErr w:type="spellStart"/>
      <w:r w:rsidRPr="002F51B5">
        <w:rPr>
          <w:rFonts w:ascii="Arial" w:hAnsi="Arial" w:cs="Arial"/>
          <w:sz w:val="18"/>
          <w:szCs w:val="18"/>
        </w:rPr>
        <w:t>ConnectorCare</w:t>
      </w:r>
      <w:proofErr w:type="spellEnd"/>
      <w:r w:rsidRPr="002F51B5">
        <w:rPr>
          <w:rFonts w:ascii="Arial" w:hAnsi="Arial" w:cs="Arial"/>
          <w:sz w:val="18"/>
          <w:szCs w:val="18"/>
        </w:rPr>
        <w:t xml:space="preserve"> plans, </w:t>
      </w:r>
      <w:r>
        <w:rPr>
          <w:rFonts w:ascii="Arial" w:hAnsi="Arial" w:cs="Arial"/>
          <w:sz w:val="18"/>
          <w:szCs w:val="18"/>
        </w:rPr>
        <w:t>Unknown (</w:t>
      </w:r>
      <w:r w:rsidRPr="002F51B5">
        <w:rPr>
          <w:rFonts w:ascii="Arial" w:hAnsi="Arial" w:cs="Arial"/>
          <w:sz w:val="18"/>
          <w:szCs w:val="18"/>
        </w:rPr>
        <w:t>defined as patients whose primary payor is missing in the data</w:t>
      </w:r>
      <w:r>
        <w:rPr>
          <w:rFonts w:ascii="Arial" w:hAnsi="Arial" w:cs="Arial"/>
          <w:sz w:val="18"/>
          <w:szCs w:val="18"/>
        </w:rPr>
        <w:t xml:space="preserve">) </w:t>
      </w:r>
      <w:r w:rsidRPr="002F51B5">
        <w:rPr>
          <w:rFonts w:ascii="Arial" w:hAnsi="Arial" w:cs="Arial"/>
          <w:sz w:val="18"/>
          <w:szCs w:val="18"/>
        </w:rPr>
        <w:t>and dental plans.</w:t>
      </w:r>
    </w:p>
  </w:footnote>
  <w:footnote w:id="14">
    <w:p w14:paraId="5020EE16" w14:textId="7A10CC9C" w:rsidR="008C2772" w:rsidRPr="0093268B" w:rsidRDefault="008C2772" w:rsidP="008C2772">
      <w:pPr>
        <w:pStyle w:val="FootnoteText"/>
        <w:rPr>
          <w:rFonts w:ascii="Abadi" w:hAnsi="Abadi"/>
          <w:sz w:val="18"/>
          <w:szCs w:val="18"/>
        </w:rPr>
      </w:pPr>
      <w:r w:rsidRPr="0093268B">
        <w:rPr>
          <w:rStyle w:val="FootnoteReference"/>
          <w:rFonts w:ascii="Abadi" w:hAnsi="Abadi"/>
          <w:sz w:val="18"/>
          <w:szCs w:val="18"/>
        </w:rPr>
        <w:footnoteRef/>
      </w:r>
      <w:r w:rsidRPr="0093268B">
        <w:rPr>
          <w:rFonts w:ascii="Abadi" w:hAnsi="Abadi"/>
          <w:sz w:val="18"/>
          <w:szCs w:val="18"/>
        </w:rPr>
        <w:t xml:space="preserve"> Fiscal year is</w:t>
      </w:r>
      <w:r>
        <w:rPr>
          <w:rFonts w:ascii="Abadi" w:hAnsi="Abadi"/>
          <w:sz w:val="18"/>
          <w:szCs w:val="18"/>
        </w:rPr>
        <w:t xml:space="preserve"> defined as</w:t>
      </w:r>
      <w:r w:rsidRPr="0093268B">
        <w:rPr>
          <w:rFonts w:ascii="Abadi" w:hAnsi="Abadi"/>
          <w:sz w:val="18"/>
          <w:szCs w:val="18"/>
        </w:rPr>
        <w:t xml:space="preserve"> October 1 through September 30 for all data aside from data in the Applicant and Hospital’s patient panel.</w:t>
      </w:r>
      <w:r w:rsidRPr="0093268B">
        <w:rPr>
          <w:rFonts w:ascii="Abadi" w:hAnsi="Abadi" w:cs="Arial"/>
          <w:sz w:val="18"/>
          <w:szCs w:val="18"/>
        </w:rPr>
        <w:t xml:space="preserve"> </w:t>
      </w:r>
    </w:p>
  </w:footnote>
  <w:footnote w:id="15">
    <w:p w14:paraId="50BA1CFC" w14:textId="3672B690" w:rsidR="008C2772" w:rsidRPr="00C82724" w:rsidRDefault="008C2772" w:rsidP="008C2772">
      <w:pPr>
        <w:pStyle w:val="FootnoteText"/>
        <w:rPr>
          <w:sz w:val="18"/>
          <w:szCs w:val="18"/>
        </w:rPr>
      </w:pPr>
      <w:r w:rsidRPr="0093268B">
        <w:rPr>
          <w:rStyle w:val="FootnoteReference"/>
          <w:rFonts w:ascii="Abadi" w:hAnsi="Abadi" w:cs="Arial"/>
          <w:sz w:val="18"/>
          <w:szCs w:val="18"/>
        </w:rPr>
        <w:footnoteRef/>
      </w:r>
      <w:r w:rsidRPr="0093268B">
        <w:rPr>
          <w:rFonts w:ascii="Abadi" w:hAnsi="Abadi" w:cs="Arial"/>
          <w:sz w:val="18"/>
          <w:szCs w:val="18"/>
        </w:rPr>
        <w:t xml:space="preserve"> CT scan volume likely decreased from FY20 to FY21 due to patient avoidance of hospitals during the COVID-19 Pandemic.</w:t>
      </w:r>
    </w:p>
  </w:footnote>
  <w:footnote w:id="16">
    <w:p w14:paraId="7658837D" w14:textId="4A1C1210" w:rsidR="00C82724" w:rsidRPr="00C82724" w:rsidRDefault="00C82724">
      <w:pPr>
        <w:pStyle w:val="FootnoteText"/>
        <w:rPr>
          <w:rFonts w:ascii="Arial" w:hAnsi="Arial" w:cs="Arial"/>
          <w:sz w:val="16"/>
          <w:szCs w:val="16"/>
        </w:rPr>
      </w:pPr>
      <w:r w:rsidRPr="00C82724">
        <w:rPr>
          <w:rStyle w:val="FootnoteReference"/>
          <w:rFonts w:ascii="Arial" w:hAnsi="Arial" w:cs="Arial"/>
          <w:sz w:val="18"/>
          <w:szCs w:val="18"/>
        </w:rPr>
        <w:footnoteRef/>
      </w:r>
      <w:r w:rsidRPr="00C82724">
        <w:rPr>
          <w:rFonts w:ascii="Arial" w:hAnsi="Arial" w:cs="Arial"/>
          <w:sz w:val="18"/>
          <w:szCs w:val="18"/>
        </w:rPr>
        <w:t xml:space="preserve"> The term “downtime” indicates the CT</w:t>
      </w:r>
      <w:r>
        <w:rPr>
          <w:rFonts w:ascii="Arial" w:hAnsi="Arial" w:cs="Arial"/>
          <w:sz w:val="18"/>
          <w:szCs w:val="18"/>
        </w:rPr>
        <w:t xml:space="preserve"> unit</w:t>
      </w:r>
      <w:r w:rsidRPr="00C82724">
        <w:rPr>
          <w:rFonts w:ascii="Arial" w:hAnsi="Arial" w:cs="Arial"/>
          <w:sz w:val="18"/>
          <w:szCs w:val="18"/>
        </w:rPr>
        <w:t xml:space="preserve"> is not available and </w:t>
      </w:r>
      <w:r>
        <w:rPr>
          <w:rFonts w:ascii="Arial" w:hAnsi="Arial" w:cs="Arial"/>
          <w:sz w:val="18"/>
          <w:szCs w:val="18"/>
        </w:rPr>
        <w:t xml:space="preserve">emergent </w:t>
      </w:r>
      <w:r w:rsidRPr="00C82724">
        <w:rPr>
          <w:rFonts w:ascii="Arial" w:hAnsi="Arial" w:cs="Arial"/>
          <w:sz w:val="18"/>
          <w:szCs w:val="18"/>
        </w:rPr>
        <w:t xml:space="preserve">patients </w:t>
      </w:r>
      <w:r>
        <w:rPr>
          <w:rFonts w:ascii="Arial" w:hAnsi="Arial" w:cs="Arial"/>
          <w:sz w:val="18"/>
          <w:szCs w:val="18"/>
        </w:rPr>
        <w:t>in</w:t>
      </w:r>
      <w:r w:rsidRPr="00C82724">
        <w:rPr>
          <w:rFonts w:ascii="Arial" w:hAnsi="Arial" w:cs="Arial"/>
          <w:sz w:val="18"/>
          <w:szCs w:val="18"/>
        </w:rPr>
        <w:t xml:space="preserve"> need of CT imaging must be diverted elsewhere.</w:t>
      </w:r>
    </w:p>
  </w:footnote>
  <w:footnote w:id="17">
    <w:p w14:paraId="77F03F0B" w14:textId="77777777" w:rsidR="001D0D1C" w:rsidRPr="00E4488A" w:rsidRDefault="001D0D1C" w:rsidP="001D0D1C">
      <w:pPr>
        <w:pStyle w:val="FootnoteText"/>
        <w:jc w:val="both"/>
        <w:rPr>
          <w:rFonts w:ascii="Arial" w:hAnsi="Arial" w:cs="Arial"/>
          <w:sz w:val="18"/>
          <w:szCs w:val="18"/>
        </w:rPr>
      </w:pPr>
      <w:r w:rsidRPr="00E4488A">
        <w:rPr>
          <w:rStyle w:val="FootnoteReference"/>
          <w:rFonts w:ascii="Arial" w:hAnsi="Arial" w:cs="Arial"/>
          <w:sz w:val="18"/>
          <w:szCs w:val="18"/>
        </w:rPr>
        <w:footnoteRef/>
      </w:r>
      <w:r w:rsidRPr="00E4488A">
        <w:rPr>
          <w:rFonts w:ascii="Arial" w:hAnsi="Arial" w:cs="Arial"/>
          <w:sz w:val="18"/>
          <w:szCs w:val="18"/>
        </w:rPr>
        <w:t xml:space="preserve"> To be designated a PSS Hospital, a hospital must be equipped to readily provide timely acute stroke evaluation and treatment, and “must provide emergency diagnostic and therapeutic services 24 hours-a-day, seven days-a-week to patients presenting with symptoms of acute stroke.” </w:t>
      </w:r>
      <w:r w:rsidRPr="00E4488A">
        <w:rPr>
          <w:rFonts w:ascii="Arial" w:hAnsi="Arial" w:cs="Arial"/>
          <w:i/>
          <w:iCs/>
          <w:sz w:val="18"/>
          <w:szCs w:val="18"/>
        </w:rPr>
        <w:t xml:space="preserve">Primary Stroke Service validation, </w:t>
      </w:r>
      <w:r w:rsidRPr="00E4488A">
        <w:rPr>
          <w:rFonts w:ascii="Arial" w:hAnsi="Arial" w:cs="Arial"/>
          <w:sz w:val="18"/>
          <w:szCs w:val="18"/>
        </w:rPr>
        <w:t xml:space="preserve">https://www.mass.gov/info-details/primary-stroke-service-pss-validation (last visited Feb. 24, 2022). </w:t>
      </w:r>
      <w:r w:rsidRPr="00E4488A">
        <w:rPr>
          <w:rFonts w:ascii="Arial" w:hAnsi="Arial" w:cs="Arial"/>
          <w:i/>
          <w:iCs/>
          <w:sz w:val="18"/>
          <w:szCs w:val="18"/>
        </w:rPr>
        <w:t>See also</w:t>
      </w:r>
      <w:r w:rsidRPr="00E4488A">
        <w:rPr>
          <w:rFonts w:ascii="Arial" w:hAnsi="Arial" w:cs="Arial"/>
          <w:sz w:val="18"/>
          <w:szCs w:val="18"/>
        </w:rPr>
        <w:t xml:space="preserve">, </w:t>
      </w:r>
      <w:r w:rsidRPr="00E4488A">
        <w:rPr>
          <w:rFonts w:ascii="Arial" w:hAnsi="Arial" w:cs="Arial"/>
          <w:i/>
          <w:iCs/>
          <w:sz w:val="18"/>
          <w:szCs w:val="18"/>
        </w:rPr>
        <w:t xml:space="preserve">Designated Primary Stroke Services </w:t>
      </w:r>
      <w:r w:rsidRPr="00E4488A">
        <w:rPr>
          <w:rFonts w:ascii="Arial" w:hAnsi="Arial" w:cs="Arial"/>
          <w:sz w:val="18"/>
          <w:szCs w:val="18"/>
        </w:rPr>
        <w:t>Hospitals, https://www.mass.gov/info-details/designated-primary-stroke-services-hospitals (last visited Feb. 24, 2022).</w:t>
      </w:r>
    </w:p>
  </w:footnote>
  <w:footnote w:id="18">
    <w:p w14:paraId="56AF92F0" w14:textId="6BACAF8B" w:rsidR="001D0D1C" w:rsidRPr="00F01C47" w:rsidRDefault="001D0D1C" w:rsidP="001D0D1C">
      <w:pPr>
        <w:pStyle w:val="FootnoteText"/>
        <w:jc w:val="both"/>
        <w:rPr>
          <w:rFonts w:ascii="Arial" w:hAnsi="Arial" w:cs="Arial"/>
          <w:sz w:val="18"/>
          <w:szCs w:val="18"/>
        </w:rPr>
      </w:pPr>
      <w:r w:rsidRPr="00E4488A">
        <w:rPr>
          <w:rStyle w:val="FootnoteReference"/>
          <w:rFonts w:ascii="Arial" w:hAnsi="Arial" w:cs="Arial"/>
          <w:sz w:val="18"/>
          <w:szCs w:val="18"/>
        </w:rPr>
        <w:footnoteRef/>
      </w:r>
      <w:r w:rsidRPr="00E4488A">
        <w:rPr>
          <w:rFonts w:ascii="Arial" w:hAnsi="Arial" w:cs="Arial"/>
          <w:i/>
          <w:iCs/>
          <w:sz w:val="18"/>
          <w:szCs w:val="18"/>
        </w:rPr>
        <w:t>See</w:t>
      </w:r>
      <w:r w:rsidRPr="00E4488A">
        <w:rPr>
          <w:rFonts w:ascii="Arial" w:hAnsi="Arial" w:cs="Arial"/>
          <w:sz w:val="18"/>
          <w:szCs w:val="18"/>
        </w:rPr>
        <w:t xml:space="preserve"> </w:t>
      </w:r>
      <w:hyperlink r:id="rId1" w:history="1">
        <w:r w:rsidRPr="005C3921">
          <w:rPr>
            <w:rStyle w:val="Hyperlink"/>
            <w:rFonts w:ascii="Arial" w:hAnsi="Arial" w:cs="Arial"/>
            <w:i/>
            <w:iCs/>
            <w:color w:val="auto"/>
            <w:sz w:val="18"/>
            <w:szCs w:val="18"/>
            <w:u w:val="none"/>
          </w:rPr>
          <w:t>Primary Stroke Services Time Target Recommendations</w:t>
        </w:r>
      </w:hyperlink>
      <w:r w:rsidRPr="005C3921">
        <w:rPr>
          <w:rFonts w:ascii="Arial" w:hAnsi="Arial" w:cs="Arial"/>
          <w:sz w:val="18"/>
          <w:szCs w:val="18"/>
        </w:rPr>
        <w:t xml:space="preserve"> (6/2009), </w:t>
      </w:r>
      <w:hyperlink r:id="rId2" w:history="1">
        <w:r w:rsidR="005C3921" w:rsidRPr="005C3921">
          <w:rPr>
            <w:rStyle w:val="Hyperlink"/>
            <w:rFonts w:ascii="Arial" w:hAnsi="Arial" w:cs="Arial"/>
            <w:color w:val="auto"/>
            <w:sz w:val="18"/>
            <w:szCs w:val="18"/>
            <w:u w:val="none"/>
          </w:rPr>
          <w:t>https://www.mass.gov/doc/pss-time-target-recommendations-0/download</w:t>
        </w:r>
      </w:hyperlink>
      <w:r w:rsidR="005C3921" w:rsidRPr="005C3921">
        <w:rPr>
          <w:rFonts w:ascii="Arial" w:hAnsi="Arial" w:cs="Arial"/>
          <w:sz w:val="18"/>
          <w:szCs w:val="18"/>
        </w:rPr>
        <w:t xml:space="preserve"> </w:t>
      </w:r>
      <w:r w:rsidRPr="005C3921">
        <w:rPr>
          <w:rFonts w:ascii="Arial" w:hAnsi="Arial" w:cs="Arial"/>
          <w:sz w:val="18"/>
          <w:szCs w:val="18"/>
        </w:rPr>
        <w:t xml:space="preserve">; </w:t>
      </w:r>
      <w:hyperlink r:id="rId3" w:history="1">
        <w:r w:rsidRPr="005C3921">
          <w:rPr>
            <w:rStyle w:val="Hyperlink"/>
            <w:rFonts w:ascii="Arial" w:hAnsi="Arial" w:cs="Arial"/>
            <w:i/>
            <w:iCs/>
            <w:color w:val="auto"/>
            <w:sz w:val="18"/>
            <w:szCs w:val="18"/>
            <w:u w:val="none"/>
          </w:rPr>
          <w:t>Get With the Guidelines – Stroke Fact Sheet</w:t>
        </w:r>
        <w:r w:rsidRPr="005C3921">
          <w:rPr>
            <w:rStyle w:val="Hyperlink"/>
            <w:rFonts w:ascii="Arial" w:hAnsi="Arial" w:cs="Arial"/>
            <w:color w:val="auto"/>
            <w:sz w:val="18"/>
            <w:szCs w:val="18"/>
            <w:u w:val="none"/>
          </w:rPr>
          <w:t>.</w:t>
        </w:r>
      </w:hyperlink>
      <w:r w:rsidRPr="005C3921">
        <w:rPr>
          <w:rFonts w:ascii="Arial" w:hAnsi="Arial" w:cs="Arial"/>
          <w:sz w:val="18"/>
          <w:szCs w:val="18"/>
        </w:rPr>
        <w:t xml:space="preserve"> </w:t>
      </w:r>
      <w:hyperlink r:id="rId4" w:history="1">
        <w:r w:rsidR="005C3921" w:rsidRPr="005C3921">
          <w:rPr>
            <w:rStyle w:val="Hyperlink"/>
            <w:rFonts w:ascii="Arial" w:hAnsi="Arial" w:cs="Arial"/>
            <w:color w:val="auto"/>
            <w:sz w:val="18"/>
            <w:szCs w:val="18"/>
            <w:u w:val="none"/>
          </w:rPr>
          <w:t>https://www.heart.org/-/media/files/professional/quality-improvement/get-with-the-guidelines/get-with-the-guidelines-stroke/stroke-fact-sheet_-final_ucm_501842.pdf?la=en&amp;hash=7FA33C71D753DF7AB1D4850451C95BBE25BEA622</w:t>
        </w:r>
      </w:hyperlink>
      <w:r w:rsidR="005C3921" w:rsidRPr="005C3921">
        <w:rPr>
          <w:rFonts w:ascii="Arial" w:hAnsi="Arial" w:cs="Arial"/>
          <w:sz w:val="18"/>
          <w:szCs w:val="18"/>
        </w:rPr>
        <w:t xml:space="preserve"> </w:t>
      </w:r>
      <w:r w:rsidRPr="005C3921">
        <w:rPr>
          <w:rStyle w:val="Hyperlink"/>
          <w:rFonts w:ascii="Arial" w:hAnsi="Arial" w:cs="Arial"/>
          <w:color w:val="auto"/>
          <w:sz w:val="18"/>
          <w:szCs w:val="18"/>
          <w:u w:val="none"/>
        </w:rPr>
        <w:t xml:space="preserve"> </w:t>
      </w:r>
      <w:r w:rsidRPr="00E4488A">
        <w:rPr>
          <w:rStyle w:val="Hyperlink"/>
          <w:rFonts w:ascii="Arial" w:hAnsi="Arial" w:cs="Arial"/>
          <w:color w:val="auto"/>
          <w:sz w:val="18"/>
          <w:szCs w:val="18"/>
          <w:u w:val="none"/>
        </w:rPr>
        <w:t xml:space="preserve">(last visited Feb. </w:t>
      </w:r>
      <w:r w:rsidRPr="00F01C47">
        <w:rPr>
          <w:rStyle w:val="Hyperlink"/>
          <w:rFonts w:ascii="Arial" w:hAnsi="Arial" w:cs="Arial"/>
          <w:color w:val="auto"/>
          <w:sz w:val="18"/>
          <w:szCs w:val="18"/>
          <w:u w:val="none"/>
        </w:rPr>
        <w:t>24, 2020)</w:t>
      </w:r>
      <w:r w:rsidRPr="00F01C47">
        <w:rPr>
          <w:rFonts w:ascii="Arial" w:hAnsi="Arial" w:cs="Arial"/>
          <w:sz w:val="18"/>
          <w:szCs w:val="18"/>
        </w:rPr>
        <w:t>.</w:t>
      </w:r>
    </w:p>
  </w:footnote>
  <w:footnote w:id="19">
    <w:p w14:paraId="019DF89B" w14:textId="0038DBE6" w:rsidR="0000130C" w:rsidRDefault="0000130C">
      <w:pPr>
        <w:pStyle w:val="FootnoteText"/>
      </w:pPr>
      <w:r>
        <w:rPr>
          <w:rStyle w:val="FootnoteReference"/>
        </w:rPr>
        <w:footnoteRef/>
      </w:r>
      <w:r>
        <w:t xml:space="preserve"> </w:t>
      </w:r>
      <w:hyperlink r:id="rId5" w:history="1">
        <w:r w:rsidRPr="00C26ABE">
          <w:rPr>
            <w:rStyle w:val="Hyperlink"/>
            <w:rFonts w:ascii="Arial" w:hAnsi="Arial" w:cs="Arial"/>
            <w:color w:val="auto"/>
            <w:sz w:val="18"/>
            <w:szCs w:val="18"/>
            <w:u w:val="none"/>
          </w:rPr>
          <w:t>Mass Donahue Institute MassDOT Vintage 2018 Population Projections</w:t>
        </w:r>
      </w:hyperlink>
      <w:r w:rsidRPr="00C26ABE">
        <w:rPr>
          <w:rFonts w:ascii="Arial" w:hAnsi="Arial" w:cs="Arial"/>
          <w:sz w:val="18"/>
          <w:szCs w:val="18"/>
        </w:rPr>
        <w:t xml:space="preserve">, </w:t>
      </w:r>
      <w:r w:rsidRPr="00C26ABE">
        <w:rPr>
          <w:rFonts w:ascii="Arial" w:hAnsi="Arial" w:cs="Arial"/>
          <w:i/>
          <w:iCs/>
          <w:sz w:val="18"/>
          <w:szCs w:val="18"/>
        </w:rPr>
        <w:t>Massachusetts Population Projections</w:t>
      </w:r>
      <w:r w:rsidRPr="00C26ABE">
        <w:rPr>
          <w:rFonts w:ascii="Arial" w:hAnsi="Arial" w:cs="Arial"/>
          <w:sz w:val="18"/>
          <w:szCs w:val="18"/>
        </w:rPr>
        <w:t xml:space="preserve">, September 2018, </w:t>
      </w:r>
      <w:hyperlink r:id="rId6" w:history="1">
        <w:r w:rsidR="00C26ABE" w:rsidRPr="00C26ABE">
          <w:rPr>
            <w:rStyle w:val="Hyperlink"/>
            <w:rFonts w:ascii="Arial" w:hAnsi="Arial" w:cs="Arial"/>
            <w:color w:val="auto"/>
            <w:sz w:val="18"/>
            <w:szCs w:val="18"/>
            <w:u w:val="none"/>
          </w:rPr>
          <w:t>http://www.pep.donahue-institute.org/</w:t>
        </w:r>
      </w:hyperlink>
      <w:r w:rsidR="00C26ABE" w:rsidRPr="00C26ABE">
        <w:rPr>
          <w:rFonts w:ascii="Arial" w:hAnsi="Arial" w:cs="Arial"/>
          <w:sz w:val="18"/>
          <w:szCs w:val="18"/>
        </w:rPr>
        <w:t xml:space="preserve"> </w:t>
      </w:r>
      <w:r w:rsidRPr="00C26ABE">
        <w:rPr>
          <w:rFonts w:ascii="Arial" w:hAnsi="Arial" w:cs="Arial"/>
          <w:sz w:val="18"/>
          <w:szCs w:val="18"/>
        </w:rPr>
        <w:t>.</w:t>
      </w:r>
    </w:p>
  </w:footnote>
  <w:footnote w:id="20">
    <w:p w14:paraId="74D2E80A" w14:textId="5299BFCD" w:rsidR="0000130C" w:rsidRPr="0000130C" w:rsidRDefault="0000130C">
      <w:pPr>
        <w:pStyle w:val="FootnoteText"/>
      </w:pPr>
      <w:r>
        <w:rPr>
          <w:rStyle w:val="FootnoteReference"/>
        </w:rPr>
        <w:footnoteRef/>
      </w:r>
      <w:r>
        <w:t xml:space="preserve"> </w:t>
      </w:r>
      <w:r>
        <w:rPr>
          <w:rFonts w:ascii="Arial" w:hAnsi="Arial" w:cs="Arial"/>
          <w:i/>
          <w:iCs/>
          <w:sz w:val="18"/>
          <w:szCs w:val="18"/>
        </w:rPr>
        <w:t>Id</w:t>
      </w:r>
      <w:r>
        <w:rPr>
          <w:rFonts w:ascii="Arial" w:hAnsi="Arial" w:cs="Arial"/>
          <w:sz w:val="18"/>
          <w:szCs w:val="18"/>
        </w:rPr>
        <w:t>.</w:t>
      </w:r>
    </w:p>
  </w:footnote>
  <w:footnote w:id="21">
    <w:p w14:paraId="58066E39" w14:textId="3DF14700" w:rsidR="0088656A" w:rsidRPr="00D9600D" w:rsidRDefault="0088656A">
      <w:pPr>
        <w:pStyle w:val="FootnoteText"/>
        <w:rPr>
          <w:rFonts w:ascii="Arial" w:hAnsi="Arial" w:cs="Arial"/>
          <w:sz w:val="18"/>
          <w:szCs w:val="18"/>
        </w:rPr>
      </w:pPr>
      <w:r w:rsidRPr="00D9600D">
        <w:rPr>
          <w:rStyle w:val="FootnoteReference"/>
          <w:rFonts w:ascii="Arial" w:hAnsi="Arial" w:cs="Arial"/>
          <w:sz w:val="18"/>
          <w:szCs w:val="18"/>
        </w:rPr>
        <w:footnoteRef/>
      </w:r>
      <w:r w:rsidRPr="00D9600D">
        <w:rPr>
          <w:rFonts w:ascii="Arial" w:hAnsi="Arial" w:cs="Arial"/>
          <w:sz w:val="18"/>
          <w:szCs w:val="18"/>
        </w:rPr>
        <w:t xml:space="preserve"> </w:t>
      </w:r>
      <w:r>
        <w:rPr>
          <w:rFonts w:ascii="Arial" w:hAnsi="Arial" w:cs="Arial"/>
          <w:sz w:val="18"/>
          <w:szCs w:val="18"/>
        </w:rPr>
        <w:t>Calculated from the time the</w:t>
      </w:r>
      <w:r w:rsidRPr="00D9600D">
        <w:rPr>
          <w:rFonts w:ascii="Arial" w:hAnsi="Arial" w:cs="Arial"/>
          <w:sz w:val="18"/>
          <w:szCs w:val="18"/>
        </w:rPr>
        <w:t xml:space="preserve"> Proposed Project is implemented.</w:t>
      </w:r>
    </w:p>
  </w:footnote>
  <w:footnote w:id="22">
    <w:p w14:paraId="4B006A74" w14:textId="22F9A316" w:rsidR="00617041" w:rsidRPr="0019667E" w:rsidRDefault="00617041" w:rsidP="00617041">
      <w:pPr>
        <w:pStyle w:val="FootnoteText"/>
        <w:rPr>
          <w:rFonts w:ascii="Arial" w:hAnsi="Arial" w:cs="Arial"/>
          <w:sz w:val="18"/>
          <w:szCs w:val="18"/>
        </w:rPr>
      </w:pPr>
      <w:r w:rsidRPr="0019667E">
        <w:rPr>
          <w:rStyle w:val="FootnoteReference"/>
          <w:rFonts w:ascii="Arial" w:hAnsi="Arial" w:cs="Arial"/>
          <w:sz w:val="18"/>
          <w:szCs w:val="18"/>
        </w:rPr>
        <w:footnoteRef/>
      </w:r>
      <w:r w:rsidRPr="0019667E">
        <w:rPr>
          <w:rFonts w:ascii="Arial" w:hAnsi="Arial" w:cs="Arial"/>
          <w:sz w:val="18"/>
          <w:szCs w:val="18"/>
        </w:rPr>
        <w:t xml:space="preserve"> </w:t>
      </w:r>
      <w:r w:rsidRPr="0019667E">
        <w:rPr>
          <w:rFonts w:ascii="Arial" w:hAnsi="Arial" w:cs="Arial"/>
          <w:i/>
          <w:iCs/>
          <w:sz w:val="18"/>
          <w:szCs w:val="18"/>
        </w:rPr>
        <w:t xml:space="preserve">See </w:t>
      </w:r>
      <w:hyperlink r:id="rId7" w:history="1">
        <w:r w:rsidRPr="00846976">
          <w:rPr>
            <w:rStyle w:val="Hyperlink"/>
            <w:rFonts w:ascii="Arial" w:hAnsi="Arial" w:cs="Arial"/>
            <w:i/>
            <w:iCs/>
            <w:color w:val="auto"/>
            <w:sz w:val="18"/>
            <w:szCs w:val="18"/>
            <w:u w:val="none"/>
          </w:rPr>
          <w:t>Recent Advances in CT Scan Technology</w:t>
        </w:r>
      </w:hyperlink>
      <w:r w:rsidRPr="00846976">
        <w:rPr>
          <w:rFonts w:ascii="Arial" w:hAnsi="Arial" w:cs="Arial"/>
          <w:sz w:val="18"/>
          <w:szCs w:val="18"/>
        </w:rPr>
        <w:t xml:space="preserve">, </w:t>
      </w:r>
      <w:proofErr w:type="spellStart"/>
      <w:r w:rsidRPr="00846976">
        <w:rPr>
          <w:rFonts w:ascii="Arial" w:hAnsi="Arial" w:cs="Arial"/>
          <w:sz w:val="18"/>
          <w:szCs w:val="18"/>
        </w:rPr>
        <w:t>Neurologica</w:t>
      </w:r>
      <w:proofErr w:type="spellEnd"/>
      <w:r w:rsidRPr="00846976">
        <w:rPr>
          <w:rFonts w:ascii="Arial" w:hAnsi="Arial" w:cs="Arial"/>
          <w:sz w:val="18"/>
          <w:szCs w:val="18"/>
        </w:rPr>
        <w:t xml:space="preserve">, </w:t>
      </w:r>
      <w:hyperlink r:id="rId8" w:history="1">
        <w:r w:rsidR="00846976" w:rsidRPr="00846976">
          <w:rPr>
            <w:rStyle w:val="Hyperlink"/>
            <w:rFonts w:ascii="Arial" w:hAnsi="Arial" w:cs="Arial"/>
            <w:color w:val="auto"/>
            <w:sz w:val="18"/>
            <w:szCs w:val="18"/>
            <w:u w:val="none"/>
          </w:rPr>
          <w:t>https://www.neurologica.com/blog/advances-ct-scan-technology</w:t>
        </w:r>
      </w:hyperlink>
      <w:r w:rsidR="00846976" w:rsidRPr="00846976">
        <w:rPr>
          <w:rFonts w:ascii="Arial" w:hAnsi="Arial" w:cs="Arial"/>
          <w:sz w:val="18"/>
          <w:szCs w:val="18"/>
        </w:rPr>
        <w:t xml:space="preserve"> </w:t>
      </w:r>
      <w:r w:rsidRPr="00846976">
        <w:rPr>
          <w:rFonts w:ascii="Arial" w:hAnsi="Arial" w:cs="Arial"/>
          <w:sz w:val="18"/>
          <w:szCs w:val="18"/>
        </w:rPr>
        <w:t xml:space="preserve"> (last visited Feb. 24, 2022).</w:t>
      </w:r>
    </w:p>
  </w:footnote>
  <w:footnote w:id="23">
    <w:p w14:paraId="0FDBE0FE" w14:textId="59FE1895" w:rsidR="00617041" w:rsidRPr="00ED2A7E" w:rsidRDefault="00617041" w:rsidP="00617041">
      <w:pPr>
        <w:pStyle w:val="FootnoteText"/>
        <w:rPr>
          <w:rFonts w:ascii="Arial" w:hAnsi="Arial" w:cs="Arial"/>
          <w:sz w:val="18"/>
          <w:szCs w:val="18"/>
        </w:rPr>
      </w:pPr>
      <w:r w:rsidRPr="0019667E">
        <w:rPr>
          <w:rStyle w:val="FootnoteReference"/>
          <w:rFonts w:ascii="Arial" w:hAnsi="Arial" w:cs="Arial"/>
          <w:sz w:val="18"/>
          <w:szCs w:val="18"/>
        </w:rPr>
        <w:footnoteRef/>
      </w:r>
      <w:r w:rsidRPr="0019667E">
        <w:rPr>
          <w:rFonts w:ascii="Arial" w:hAnsi="Arial" w:cs="Arial"/>
          <w:sz w:val="18"/>
          <w:szCs w:val="18"/>
        </w:rPr>
        <w:t xml:space="preserve"> </w:t>
      </w:r>
      <w:r w:rsidRPr="0019667E">
        <w:rPr>
          <w:rFonts w:ascii="Arial" w:hAnsi="Arial" w:cs="Arial"/>
          <w:i/>
          <w:iCs/>
          <w:sz w:val="18"/>
          <w:szCs w:val="18"/>
        </w:rPr>
        <w:t>See</w:t>
      </w:r>
      <w:r w:rsidRPr="0019667E">
        <w:rPr>
          <w:rFonts w:ascii="Arial" w:hAnsi="Arial" w:cs="Arial"/>
          <w:sz w:val="18"/>
          <w:szCs w:val="18"/>
        </w:rPr>
        <w:t xml:space="preserve"> </w:t>
      </w:r>
      <w:hyperlink r:id="rId9" w:history="1">
        <w:r w:rsidRPr="00846976">
          <w:rPr>
            <w:rStyle w:val="Hyperlink"/>
            <w:rFonts w:ascii="Arial" w:hAnsi="Arial" w:cs="Arial"/>
            <w:color w:val="auto"/>
            <w:sz w:val="18"/>
            <w:szCs w:val="18"/>
            <w:u w:val="none"/>
          </w:rPr>
          <w:t>U.S. Department of Health &amp; Human</w:t>
        </w:r>
      </w:hyperlink>
      <w:r w:rsidRPr="00846976">
        <w:rPr>
          <w:rFonts w:ascii="Arial" w:hAnsi="Arial" w:cs="Arial"/>
          <w:sz w:val="18"/>
          <w:szCs w:val="18"/>
        </w:rPr>
        <w:t xml:space="preserve">, </w:t>
      </w:r>
      <w:hyperlink r:id="rId10" w:history="1">
        <w:r w:rsidR="00846976" w:rsidRPr="00846976">
          <w:rPr>
            <w:rStyle w:val="Hyperlink"/>
            <w:rFonts w:ascii="Arial" w:hAnsi="Arial" w:cs="Arial"/>
            <w:color w:val="auto"/>
            <w:sz w:val="18"/>
            <w:szCs w:val="18"/>
            <w:u w:val="none"/>
          </w:rPr>
          <w:t>https://www.nibib.nih.gov/science-education/science-topics/computed-tomography-ct</w:t>
        </w:r>
      </w:hyperlink>
      <w:r w:rsidR="00846976" w:rsidRPr="00846976">
        <w:rPr>
          <w:rFonts w:ascii="Arial" w:hAnsi="Arial" w:cs="Arial"/>
          <w:sz w:val="18"/>
          <w:szCs w:val="18"/>
        </w:rPr>
        <w:t xml:space="preserve"> </w:t>
      </w:r>
      <w:r w:rsidRPr="00846976">
        <w:rPr>
          <w:rFonts w:ascii="Arial" w:hAnsi="Arial" w:cs="Arial"/>
          <w:sz w:val="18"/>
          <w:szCs w:val="18"/>
        </w:rPr>
        <w:t xml:space="preserve"> (last visited Feb. 24, 2022); </w:t>
      </w:r>
      <w:hyperlink r:id="rId11" w:history="1">
        <w:r w:rsidRPr="00846976">
          <w:rPr>
            <w:rStyle w:val="Hyperlink"/>
            <w:rFonts w:ascii="Arial" w:hAnsi="Arial" w:cs="Arial"/>
            <w:color w:val="auto"/>
            <w:sz w:val="18"/>
            <w:szCs w:val="18"/>
            <w:u w:val="none"/>
          </w:rPr>
          <w:t>Mayo Clinic</w:t>
        </w:r>
      </w:hyperlink>
      <w:r w:rsidRPr="00846976">
        <w:rPr>
          <w:rFonts w:ascii="Arial" w:hAnsi="Arial" w:cs="Arial"/>
          <w:sz w:val="18"/>
          <w:szCs w:val="18"/>
        </w:rPr>
        <w:t xml:space="preserve">, </w:t>
      </w:r>
      <w:hyperlink r:id="rId12" w:history="1">
        <w:r w:rsidR="00846976" w:rsidRPr="00ED2A7E">
          <w:rPr>
            <w:rStyle w:val="Hyperlink"/>
            <w:rFonts w:ascii="Arial" w:hAnsi="Arial" w:cs="Arial"/>
            <w:color w:val="auto"/>
            <w:sz w:val="18"/>
            <w:szCs w:val="18"/>
            <w:u w:val="none"/>
          </w:rPr>
          <w:t>https://www.mayoclinic.org/tests-procedures/ct-scan/about/pac-20393675</w:t>
        </w:r>
      </w:hyperlink>
      <w:r w:rsidR="00846976" w:rsidRPr="00ED2A7E">
        <w:rPr>
          <w:rFonts w:ascii="Arial" w:hAnsi="Arial" w:cs="Arial"/>
          <w:sz w:val="18"/>
          <w:szCs w:val="18"/>
        </w:rPr>
        <w:t xml:space="preserve"> </w:t>
      </w:r>
      <w:r w:rsidRPr="00ED2A7E">
        <w:rPr>
          <w:rFonts w:ascii="Arial" w:hAnsi="Arial" w:cs="Arial"/>
          <w:sz w:val="18"/>
          <w:szCs w:val="18"/>
        </w:rPr>
        <w:t xml:space="preserve"> (last visited Feb. 24, 2022).</w:t>
      </w:r>
    </w:p>
  </w:footnote>
  <w:footnote w:id="24">
    <w:p w14:paraId="01531E0F" w14:textId="57D2B7BB" w:rsidR="00617041" w:rsidRPr="00ED2A7E" w:rsidRDefault="00617041" w:rsidP="0019667E">
      <w:pPr>
        <w:pStyle w:val="FootnoteText"/>
        <w:rPr>
          <w:rFonts w:ascii="Arial" w:hAnsi="Arial" w:cs="Arial"/>
          <w:sz w:val="18"/>
          <w:szCs w:val="18"/>
        </w:rPr>
      </w:pPr>
      <w:r w:rsidRPr="00ED2A7E">
        <w:rPr>
          <w:rStyle w:val="FootnoteReference"/>
          <w:rFonts w:ascii="Arial" w:hAnsi="Arial" w:cs="Arial"/>
          <w:sz w:val="18"/>
          <w:szCs w:val="18"/>
        </w:rPr>
        <w:footnoteRef/>
      </w:r>
      <w:r w:rsidRPr="00ED2A7E">
        <w:rPr>
          <w:rFonts w:ascii="Arial" w:hAnsi="Arial" w:cs="Arial"/>
          <w:sz w:val="18"/>
          <w:szCs w:val="18"/>
        </w:rPr>
        <w:t xml:space="preserve"> </w:t>
      </w:r>
      <w:r w:rsidRPr="00ED2A7E">
        <w:rPr>
          <w:rFonts w:ascii="Arial" w:hAnsi="Arial" w:cs="Arial"/>
          <w:i/>
          <w:iCs/>
          <w:sz w:val="18"/>
          <w:szCs w:val="18"/>
        </w:rPr>
        <w:t xml:space="preserve">See </w:t>
      </w:r>
      <w:hyperlink r:id="rId13" w:anchor="procedure" w:history="1">
        <w:r w:rsidRPr="00ED2A7E">
          <w:rPr>
            <w:rStyle w:val="Hyperlink"/>
            <w:rFonts w:ascii="Arial" w:hAnsi="Arial" w:cs="Arial"/>
            <w:i/>
            <w:iCs/>
            <w:color w:val="auto"/>
            <w:sz w:val="18"/>
            <w:szCs w:val="18"/>
            <w:u w:val="none"/>
          </w:rPr>
          <w:t>How Does a CT or CAT scan work?</w:t>
        </w:r>
        <w:r w:rsidRPr="00ED2A7E">
          <w:rPr>
            <w:rStyle w:val="Hyperlink"/>
            <w:rFonts w:ascii="Arial" w:hAnsi="Arial" w:cs="Arial"/>
            <w:color w:val="auto"/>
            <w:sz w:val="18"/>
            <w:szCs w:val="18"/>
            <w:u w:val="none"/>
          </w:rPr>
          <w:t>,</w:t>
        </w:r>
      </w:hyperlink>
      <w:r w:rsidRPr="00ED2A7E">
        <w:rPr>
          <w:rFonts w:ascii="Arial" w:hAnsi="Arial" w:cs="Arial"/>
          <w:i/>
          <w:iCs/>
          <w:sz w:val="18"/>
          <w:szCs w:val="18"/>
        </w:rPr>
        <w:t xml:space="preserve"> </w:t>
      </w:r>
      <w:proofErr w:type="spellStart"/>
      <w:r w:rsidRPr="00ED2A7E">
        <w:rPr>
          <w:rFonts w:ascii="Arial" w:hAnsi="Arial" w:cs="Arial"/>
          <w:sz w:val="18"/>
          <w:szCs w:val="18"/>
        </w:rPr>
        <w:t>MedicalNewsToday</w:t>
      </w:r>
      <w:proofErr w:type="spellEnd"/>
      <w:r w:rsidRPr="00ED2A7E">
        <w:rPr>
          <w:rFonts w:ascii="Arial" w:hAnsi="Arial" w:cs="Arial"/>
          <w:sz w:val="18"/>
          <w:szCs w:val="18"/>
        </w:rPr>
        <w:t xml:space="preserve">, </w:t>
      </w:r>
      <w:hyperlink r:id="rId14" w:history="1">
        <w:r w:rsidR="00A37920" w:rsidRPr="00ED2A7E">
          <w:rPr>
            <w:rStyle w:val="Hyperlink"/>
            <w:rFonts w:ascii="Arial" w:hAnsi="Arial" w:cs="Arial"/>
            <w:color w:val="auto"/>
            <w:sz w:val="18"/>
            <w:szCs w:val="18"/>
            <w:u w:val="none"/>
          </w:rPr>
          <w:t>https://www.medicalnewstoday.com/articles/153201#procedure</w:t>
        </w:r>
      </w:hyperlink>
      <w:r w:rsidR="00A37920" w:rsidRPr="00ED2A7E">
        <w:rPr>
          <w:rFonts w:ascii="Arial" w:hAnsi="Arial" w:cs="Arial"/>
          <w:sz w:val="18"/>
          <w:szCs w:val="18"/>
        </w:rPr>
        <w:t xml:space="preserve"> </w:t>
      </w:r>
      <w:r w:rsidRPr="00ED2A7E">
        <w:rPr>
          <w:rFonts w:ascii="Arial" w:hAnsi="Arial" w:cs="Arial"/>
          <w:sz w:val="18"/>
          <w:szCs w:val="18"/>
        </w:rPr>
        <w:t xml:space="preserve"> (last modified June 23, 2017).</w:t>
      </w:r>
    </w:p>
  </w:footnote>
  <w:footnote w:id="25">
    <w:p w14:paraId="1E53674F" w14:textId="269C4422" w:rsidR="00617041" w:rsidRPr="00ED2A7E" w:rsidRDefault="00617041" w:rsidP="00617041">
      <w:pPr>
        <w:autoSpaceDE w:val="0"/>
        <w:autoSpaceDN w:val="0"/>
        <w:adjustRightInd w:val="0"/>
        <w:spacing w:after="0" w:line="240" w:lineRule="auto"/>
        <w:jc w:val="both"/>
        <w:rPr>
          <w:rFonts w:ascii="Arial" w:hAnsi="Arial" w:cs="Arial"/>
          <w:sz w:val="18"/>
          <w:szCs w:val="18"/>
        </w:rPr>
      </w:pPr>
      <w:r w:rsidRPr="00ED2A7E">
        <w:rPr>
          <w:rStyle w:val="FootnoteReference"/>
          <w:rFonts w:ascii="Arial" w:hAnsi="Arial" w:cs="Arial"/>
          <w:sz w:val="18"/>
          <w:szCs w:val="18"/>
        </w:rPr>
        <w:footnoteRef/>
      </w:r>
      <w:r w:rsidRPr="00ED2A7E">
        <w:rPr>
          <w:rFonts w:ascii="Arial" w:hAnsi="Arial" w:cs="Arial"/>
          <w:sz w:val="18"/>
          <w:szCs w:val="18"/>
        </w:rPr>
        <w:t xml:space="preserve"> Carlo Liguori et al., </w:t>
      </w:r>
      <w:hyperlink r:id="rId15" w:history="1">
        <w:r w:rsidRPr="00ED2A7E">
          <w:rPr>
            <w:rStyle w:val="Hyperlink"/>
            <w:rFonts w:ascii="Arial" w:hAnsi="Arial" w:cs="Arial"/>
            <w:i/>
            <w:iCs/>
            <w:color w:val="auto"/>
            <w:sz w:val="18"/>
            <w:szCs w:val="18"/>
            <w:u w:val="none"/>
          </w:rPr>
          <w:t>Emerging clinical applications of computed tomography</w:t>
        </w:r>
      </w:hyperlink>
      <w:r w:rsidRPr="00ED2A7E">
        <w:rPr>
          <w:rFonts w:ascii="Arial" w:hAnsi="Arial" w:cs="Arial"/>
          <w:i/>
          <w:iCs/>
          <w:sz w:val="18"/>
          <w:szCs w:val="18"/>
        </w:rPr>
        <w:t xml:space="preserve">, </w:t>
      </w:r>
      <w:r w:rsidRPr="00ED2A7E">
        <w:rPr>
          <w:rFonts w:ascii="Arial" w:hAnsi="Arial" w:cs="Arial"/>
          <w:sz w:val="18"/>
          <w:szCs w:val="18"/>
        </w:rPr>
        <w:t xml:space="preserve">8 MED. </w:t>
      </w:r>
      <w:proofErr w:type="spellStart"/>
      <w:r w:rsidRPr="00ED2A7E">
        <w:rPr>
          <w:rFonts w:ascii="Arial" w:hAnsi="Arial" w:cs="Arial"/>
          <w:sz w:val="18"/>
          <w:szCs w:val="18"/>
        </w:rPr>
        <w:t>DEVlCES</w:t>
      </w:r>
      <w:proofErr w:type="spellEnd"/>
      <w:r w:rsidRPr="00ED2A7E">
        <w:rPr>
          <w:rFonts w:ascii="Arial" w:hAnsi="Arial" w:cs="Arial"/>
          <w:sz w:val="18"/>
          <w:szCs w:val="18"/>
        </w:rPr>
        <w:t xml:space="preserve"> 265 (2015),</w:t>
      </w:r>
    </w:p>
    <w:p w14:paraId="00AEF8DA" w14:textId="00B9CE2F" w:rsidR="00617041" w:rsidRPr="00ED2A7E" w:rsidRDefault="00617041" w:rsidP="00617041">
      <w:pPr>
        <w:autoSpaceDE w:val="0"/>
        <w:autoSpaceDN w:val="0"/>
        <w:adjustRightInd w:val="0"/>
        <w:spacing w:after="0" w:line="240" w:lineRule="auto"/>
        <w:rPr>
          <w:rFonts w:ascii="Arial" w:hAnsi="Arial" w:cs="Arial"/>
          <w:sz w:val="18"/>
          <w:szCs w:val="18"/>
        </w:rPr>
      </w:pPr>
      <w:r w:rsidRPr="00ED2A7E">
        <w:rPr>
          <w:rFonts w:ascii="Arial" w:hAnsi="Arial" w:cs="Arial"/>
          <w:i/>
          <w:iCs/>
          <w:sz w:val="18"/>
          <w:szCs w:val="18"/>
        </w:rPr>
        <w:t xml:space="preserve">available at </w:t>
      </w:r>
      <w:r w:rsidRPr="00ED2A7E">
        <w:rPr>
          <w:rFonts w:ascii="Arial" w:hAnsi="Arial" w:cs="Arial"/>
          <w:sz w:val="18"/>
          <w:szCs w:val="18"/>
        </w:rPr>
        <w:t>https:/lwww.ncbi.nlm.nih.gov/</w:t>
      </w:r>
      <w:proofErr w:type="spellStart"/>
      <w:r w:rsidRPr="00ED2A7E">
        <w:rPr>
          <w:rFonts w:ascii="Arial" w:hAnsi="Arial" w:cs="Arial"/>
          <w:sz w:val="18"/>
          <w:szCs w:val="18"/>
        </w:rPr>
        <w:t>pmclarticles</w:t>
      </w:r>
      <w:proofErr w:type="spellEnd"/>
      <w:r w:rsidRPr="00ED2A7E">
        <w:rPr>
          <w:rFonts w:ascii="Arial" w:hAnsi="Arial" w:cs="Arial"/>
          <w:sz w:val="18"/>
          <w:szCs w:val="18"/>
        </w:rPr>
        <w:t>/PMC4467659/</w:t>
      </w:r>
      <w:r w:rsidR="00A37920" w:rsidRPr="00ED2A7E">
        <w:rPr>
          <w:rFonts w:ascii="Arial" w:hAnsi="Arial" w:cs="Arial"/>
          <w:sz w:val="18"/>
          <w:szCs w:val="18"/>
        </w:rPr>
        <w:t xml:space="preserve"> </w:t>
      </w:r>
      <w:r w:rsidRPr="00ED2A7E">
        <w:rPr>
          <w:rFonts w:ascii="Arial" w:hAnsi="Arial" w:cs="Arial"/>
          <w:sz w:val="18"/>
          <w:szCs w:val="18"/>
        </w:rPr>
        <w:t xml:space="preserve">; </w:t>
      </w:r>
      <w:hyperlink r:id="rId16" w:history="1">
        <w:r w:rsidRPr="00ED2A7E">
          <w:rPr>
            <w:rStyle w:val="Hyperlink"/>
            <w:rFonts w:ascii="Arial" w:hAnsi="Arial" w:cs="Arial"/>
            <w:i/>
            <w:iCs/>
            <w:color w:val="auto"/>
            <w:sz w:val="18"/>
            <w:szCs w:val="18"/>
            <w:u w:val="none"/>
          </w:rPr>
          <w:t>Computed Tomography</w:t>
        </w:r>
      </w:hyperlink>
      <w:r w:rsidRPr="00ED2A7E">
        <w:rPr>
          <w:rFonts w:ascii="Arial" w:hAnsi="Arial" w:cs="Arial"/>
          <w:i/>
          <w:iCs/>
          <w:sz w:val="18"/>
          <w:szCs w:val="18"/>
        </w:rPr>
        <w:t xml:space="preserve">, </w:t>
      </w:r>
      <w:r w:rsidRPr="00ED2A7E">
        <w:rPr>
          <w:rFonts w:ascii="Arial" w:hAnsi="Arial" w:cs="Arial"/>
          <w:sz w:val="18"/>
          <w:szCs w:val="18"/>
        </w:rPr>
        <w:t xml:space="preserve">RADIOLOGYINFO.ORG, </w:t>
      </w:r>
      <w:hyperlink r:id="rId17" w:history="1">
        <w:r w:rsidR="00561132" w:rsidRPr="00ED2A7E">
          <w:rPr>
            <w:rStyle w:val="Hyperlink"/>
            <w:rFonts w:ascii="Arial" w:hAnsi="Arial" w:cs="Arial"/>
            <w:color w:val="auto"/>
            <w:sz w:val="18"/>
            <w:szCs w:val="18"/>
            <w:u w:val="none"/>
          </w:rPr>
          <w:t>https://www.radiologyinfo.org/en/submenu.cfm?pg=ctscan</w:t>
        </w:r>
      </w:hyperlink>
      <w:r w:rsidR="00561132" w:rsidRPr="00ED2A7E">
        <w:rPr>
          <w:rFonts w:ascii="Arial" w:hAnsi="Arial" w:cs="Arial"/>
          <w:sz w:val="18"/>
          <w:szCs w:val="18"/>
        </w:rPr>
        <w:t xml:space="preserve"> </w:t>
      </w:r>
      <w:r w:rsidR="00A37920" w:rsidRPr="00ED2A7E">
        <w:rPr>
          <w:rFonts w:ascii="Arial" w:hAnsi="Arial" w:cs="Arial"/>
          <w:sz w:val="18"/>
          <w:szCs w:val="18"/>
        </w:rPr>
        <w:t xml:space="preserve"> </w:t>
      </w:r>
      <w:r w:rsidRPr="00ED2A7E">
        <w:rPr>
          <w:rFonts w:ascii="Arial" w:hAnsi="Arial" w:cs="Arial"/>
          <w:sz w:val="18"/>
          <w:szCs w:val="18"/>
        </w:rPr>
        <w:t xml:space="preserve"> (last visited Jun. 29, 2018); </w:t>
      </w:r>
      <w:r w:rsidRPr="00ED2A7E">
        <w:rPr>
          <w:rFonts w:ascii="Arial" w:hAnsi="Arial" w:cs="Arial"/>
          <w:i/>
          <w:iCs/>
          <w:sz w:val="18"/>
          <w:szCs w:val="18"/>
        </w:rPr>
        <w:t xml:space="preserve">Computed Tomography (CT), </w:t>
      </w:r>
      <w:r w:rsidRPr="00ED2A7E">
        <w:rPr>
          <w:rFonts w:ascii="Arial" w:hAnsi="Arial" w:cs="Arial"/>
          <w:sz w:val="18"/>
          <w:szCs w:val="18"/>
        </w:rPr>
        <w:t>U.S. FOOD &amp;</w:t>
      </w:r>
    </w:p>
    <w:p w14:paraId="538D6AAF" w14:textId="77777777" w:rsidR="00617041" w:rsidRPr="00ED2A7E" w:rsidRDefault="00617041" w:rsidP="00617041">
      <w:pPr>
        <w:autoSpaceDE w:val="0"/>
        <w:autoSpaceDN w:val="0"/>
        <w:adjustRightInd w:val="0"/>
        <w:spacing w:after="0" w:line="240" w:lineRule="auto"/>
        <w:rPr>
          <w:rFonts w:ascii="Arial" w:hAnsi="Arial" w:cs="Arial"/>
          <w:sz w:val="18"/>
          <w:szCs w:val="18"/>
        </w:rPr>
      </w:pPr>
      <w:r w:rsidRPr="00ED2A7E">
        <w:rPr>
          <w:rFonts w:ascii="Arial" w:hAnsi="Arial" w:cs="Arial"/>
          <w:sz w:val="18"/>
          <w:szCs w:val="18"/>
        </w:rPr>
        <w:t>DRUG ADMINISTRATION, https:/lwww.fda.gov/</w:t>
      </w:r>
      <w:proofErr w:type="spellStart"/>
      <w:r w:rsidRPr="00ED2A7E">
        <w:rPr>
          <w:rFonts w:ascii="Arial" w:hAnsi="Arial" w:cs="Arial"/>
          <w:sz w:val="18"/>
          <w:szCs w:val="18"/>
        </w:rPr>
        <w:t>radiationemittingproducts</w:t>
      </w:r>
      <w:proofErr w:type="spellEnd"/>
      <w:r w:rsidRPr="00ED2A7E">
        <w:rPr>
          <w:rFonts w:ascii="Arial" w:hAnsi="Arial" w:cs="Arial"/>
          <w:sz w:val="18"/>
          <w:szCs w:val="18"/>
        </w:rPr>
        <w:t>/</w:t>
      </w:r>
    </w:p>
    <w:p w14:paraId="73428AD9" w14:textId="73278CFB" w:rsidR="00617041" w:rsidRPr="00ED2A7E" w:rsidRDefault="00617041" w:rsidP="00617041">
      <w:pPr>
        <w:autoSpaceDE w:val="0"/>
        <w:autoSpaceDN w:val="0"/>
        <w:adjustRightInd w:val="0"/>
        <w:spacing w:after="0" w:line="240" w:lineRule="auto"/>
        <w:rPr>
          <w:rFonts w:ascii="Arial" w:hAnsi="Arial" w:cs="Arial"/>
          <w:sz w:val="18"/>
          <w:szCs w:val="18"/>
        </w:rPr>
      </w:pPr>
      <w:proofErr w:type="spellStart"/>
      <w:r w:rsidRPr="00ED2A7E">
        <w:rPr>
          <w:rFonts w:ascii="Arial" w:hAnsi="Arial" w:cs="Arial"/>
          <w:sz w:val="18"/>
          <w:szCs w:val="18"/>
        </w:rPr>
        <w:t>radiationem</w:t>
      </w:r>
      <w:proofErr w:type="spellEnd"/>
      <w:r w:rsidRPr="00ED2A7E">
        <w:rPr>
          <w:rFonts w:ascii="Arial" w:hAnsi="Arial" w:cs="Arial"/>
          <w:sz w:val="18"/>
          <w:szCs w:val="18"/>
        </w:rPr>
        <w:t xml:space="preserve"> </w:t>
      </w:r>
      <w:proofErr w:type="spellStart"/>
      <w:r w:rsidRPr="00ED2A7E">
        <w:rPr>
          <w:rFonts w:ascii="Arial" w:hAnsi="Arial" w:cs="Arial"/>
          <w:sz w:val="18"/>
          <w:szCs w:val="18"/>
        </w:rPr>
        <w:t>iltingproductsandprocedures</w:t>
      </w:r>
      <w:proofErr w:type="spellEnd"/>
      <w:r w:rsidRPr="00ED2A7E">
        <w:rPr>
          <w:rFonts w:ascii="Arial" w:hAnsi="Arial" w:cs="Arial"/>
          <w:sz w:val="18"/>
          <w:szCs w:val="18"/>
        </w:rPr>
        <w:t xml:space="preserve">/med </w:t>
      </w:r>
      <w:proofErr w:type="spellStart"/>
      <w:r w:rsidRPr="00ED2A7E">
        <w:rPr>
          <w:rFonts w:ascii="Arial" w:hAnsi="Arial" w:cs="Arial"/>
          <w:sz w:val="18"/>
          <w:szCs w:val="18"/>
        </w:rPr>
        <w:t>icalimaging</w:t>
      </w:r>
      <w:proofErr w:type="spellEnd"/>
      <w:r w:rsidRPr="00ED2A7E">
        <w:rPr>
          <w:rFonts w:ascii="Arial" w:hAnsi="Arial" w:cs="Arial"/>
          <w:sz w:val="18"/>
          <w:szCs w:val="18"/>
        </w:rPr>
        <w:t>/</w:t>
      </w:r>
      <w:proofErr w:type="spellStart"/>
      <w:r w:rsidRPr="00ED2A7E">
        <w:rPr>
          <w:rFonts w:ascii="Arial" w:hAnsi="Arial" w:cs="Arial"/>
          <w:sz w:val="18"/>
          <w:szCs w:val="18"/>
        </w:rPr>
        <w:t>medicalx</w:t>
      </w:r>
      <w:proofErr w:type="spellEnd"/>
      <w:r w:rsidRPr="00ED2A7E">
        <w:rPr>
          <w:rFonts w:ascii="Arial" w:hAnsi="Arial" w:cs="Arial"/>
          <w:sz w:val="18"/>
          <w:szCs w:val="18"/>
        </w:rPr>
        <w:t>-rays/</w:t>
      </w:r>
      <w:proofErr w:type="spellStart"/>
      <w:r w:rsidRPr="00ED2A7E">
        <w:rPr>
          <w:rFonts w:ascii="Arial" w:hAnsi="Arial" w:cs="Arial"/>
          <w:sz w:val="18"/>
          <w:szCs w:val="18"/>
        </w:rPr>
        <w:t>ucm</w:t>
      </w:r>
      <w:proofErr w:type="spellEnd"/>
      <w:r w:rsidRPr="00ED2A7E">
        <w:rPr>
          <w:rFonts w:ascii="Arial" w:hAnsi="Arial" w:cs="Arial"/>
          <w:sz w:val="18"/>
          <w:szCs w:val="18"/>
        </w:rPr>
        <w:t xml:space="preserve"> 115317. </w:t>
      </w:r>
      <w:proofErr w:type="gramStart"/>
      <w:r w:rsidRPr="00ED2A7E">
        <w:rPr>
          <w:rFonts w:ascii="Arial" w:hAnsi="Arial" w:cs="Arial"/>
          <w:sz w:val="18"/>
          <w:szCs w:val="18"/>
        </w:rPr>
        <w:t>him</w:t>
      </w:r>
      <w:r w:rsidR="007D7E84" w:rsidRPr="00ED2A7E">
        <w:rPr>
          <w:rFonts w:ascii="Arial" w:hAnsi="Arial" w:cs="Arial"/>
          <w:sz w:val="18"/>
          <w:szCs w:val="18"/>
        </w:rPr>
        <w:t xml:space="preserve"> </w:t>
      </w:r>
      <w:r w:rsidRPr="00ED2A7E">
        <w:rPr>
          <w:rFonts w:ascii="Arial" w:hAnsi="Arial" w:cs="Arial"/>
          <w:sz w:val="18"/>
          <w:szCs w:val="18"/>
        </w:rPr>
        <w:t xml:space="preserve"> (</w:t>
      </w:r>
      <w:proofErr w:type="gramEnd"/>
      <w:r w:rsidRPr="00ED2A7E">
        <w:rPr>
          <w:rFonts w:ascii="Arial" w:hAnsi="Arial" w:cs="Arial"/>
          <w:sz w:val="18"/>
          <w:szCs w:val="18"/>
        </w:rPr>
        <w:t>last</w:t>
      </w:r>
    </w:p>
    <w:p w14:paraId="5AD592E1" w14:textId="77777777" w:rsidR="00617041" w:rsidRPr="00ED2A7E" w:rsidRDefault="00617041" w:rsidP="00617041">
      <w:pPr>
        <w:pStyle w:val="FootnoteText"/>
        <w:rPr>
          <w:rFonts w:ascii="Arial" w:hAnsi="Arial" w:cs="Arial"/>
          <w:sz w:val="18"/>
          <w:szCs w:val="18"/>
        </w:rPr>
      </w:pPr>
      <w:r w:rsidRPr="00ED2A7E">
        <w:rPr>
          <w:rFonts w:ascii="Arial" w:hAnsi="Arial" w:cs="Arial"/>
          <w:sz w:val="18"/>
          <w:szCs w:val="18"/>
        </w:rPr>
        <w:t>updated Mar. 7, 2018).</w:t>
      </w:r>
    </w:p>
  </w:footnote>
  <w:footnote w:id="26">
    <w:p w14:paraId="4E7098E1" w14:textId="34A65C31" w:rsidR="00617041" w:rsidRPr="00ED2A7E" w:rsidRDefault="00617041" w:rsidP="00617041">
      <w:pPr>
        <w:pStyle w:val="FootnoteText"/>
        <w:rPr>
          <w:rFonts w:ascii="Arial" w:hAnsi="Arial" w:cs="Arial"/>
          <w:sz w:val="18"/>
          <w:szCs w:val="18"/>
        </w:rPr>
      </w:pPr>
      <w:r w:rsidRPr="00ED2A7E">
        <w:rPr>
          <w:rStyle w:val="FootnoteReference"/>
          <w:rFonts w:ascii="Arial" w:hAnsi="Arial" w:cs="Arial"/>
          <w:sz w:val="18"/>
          <w:szCs w:val="18"/>
        </w:rPr>
        <w:footnoteRef/>
      </w:r>
      <w:r w:rsidRPr="00ED2A7E">
        <w:rPr>
          <w:rFonts w:ascii="Arial" w:hAnsi="Arial" w:cs="Arial"/>
          <w:sz w:val="18"/>
          <w:szCs w:val="18"/>
        </w:rPr>
        <w:t xml:space="preserve"> Elizabeth Hanes, RN, </w:t>
      </w:r>
      <w:hyperlink r:id="rId18" w:history="1">
        <w:r w:rsidRPr="00ED2A7E">
          <w:rPr>
            <w:rStyle w:val="Hyperlink"/>
            <w:rFonts w:ascii="Arial" w:hAnsi="Arial" w:cs="Arial"/>
            <w:color w:val="auto"/>
            <w:sz w:val="18"/>
            <w:szCs w:val="18"/>
            <w:u w:val="none"/>
          </w:rPr>
          <w:t>What is Interventional Radiology?,</w:t>
        </w:r>
      </w:hyperlink>
      <w:r w:rsidRPr="00ED2A7E">
        <w:rPr>
          <w:rFonts w:ascii="Arial" w:hAnsi="Arial" w:cs="Arial"/>
          <w:sz w:val="18"/>
          <w:szCs w:val="18"/>
        </w:rPr>
        <w:t xml:space="preserve"> </w:t>
      </w:r>
      <w:proofErr w:type="spellStart"/>
      <w:r w:rsidRPr="00ED2A7E">
        <w:rPr>
          <w:rFonts w:ascii="Arial" w:hAnsi="Arial" w:cs="Arial"/>
          <w:sz w:val="18"/>
          <w:szCs w:val="18"/>
        </w:rPr>
        <w:t>DignityHealth</w:t>
      </w:r>
      <w:proofErr w:type="spellEnd"/>
      <w:r w:rsidRPr="00ED2A7E">
        <w:rPr>
          <w:rFonts w:ascii="Arial" w:hAnsi="Arial" w:cs="Arial"/>
          <w:sz w:val="18"/>
          <w:szCs w:val="18"/>
        </w:rPr>
        <w:t xml:space="preserve">, </w:t>
      </w:r>
      <w:hyperlink r:id="rId19" w:history="1">
        <w:r w:rsidR="00405173" w:rsidRPr="00ED2A7E">
          <w:rPr>
            <w:rStyle w:val="Hyperlink"/>
            <w:rFonts w:ascii="Arial" w:hAnsi="Arial" w:cs="Arial"/>
            <w:color w:val="auto"/>
            <w:sz w:val="18"/>
            <w:szCs w:val="18"/>
            <w:u w:val="none"/>
          </w:rPr>
          <w:t>https://www.dignityhealth.org/articles/what-is-interventional-radiology</w:t>
        </w:r>
      </w:hyperlink>
      <w:r w:rsidR="00405173" w:rsidRPr="00ED2A7E">
        <w:rPr>
          <w:rFonts w:ascii="Arial" w:hAnsi="Arial" w:cs="Arial"/>
          <w:sz w:val="18"/>
          <w:szCs w:val="18"/>
        </w:rPr>
        <w:t xml:space="preserve"> </w:t>
      </w:r>
      <w:r w:rsidRPr="00ED2A7E">
        <w:rPr>
          <w:rFonts w:ascii="Arial" w:hAnsi="Arial" w:cs="Arial"/>
          <w:sz w:val="18"/>
          <w:szCs w:val="18"/>
        </w:rPr>
        <w:t xml:space="preserve"> (Aug. 26, 2017).</w:t>
      </w:r>
    </w:p>
  </w:footnote>
  <w:footnote w:id="27">
    <w:p w14:paraId="50A5D318" w14:textId="460F1E24" w:rsidR="00617041" w:rsidRPr="00ED2A7E" w:rsidRDefault="00617041" w:rsidP="00617041">
      <w:pPr>
        <w:pStyle w:val="FootnoteText"/>
        <w:rPr>
          <w:rFonts w:ascii="Arial" w:hAnsi="Arial" w:cs="Arial"/>
          <w:sz w:val="18"/>
          <w:szCs w:val="18"/>
        </w:rPr>
      </w:pPr>
      <w:r w:rsidRPr="00ED2A7E">
        <w:rPr>
          <w:rStyle w:val="FootnoteReference"/>
          <w:rFonts w:ascii="Arial" w:hAnsi="Arial" w:cs="Arial"/>
          <w:sz w:val="18"/>
          <w:szCs w:val="18"/>
        </w:rPr>
        <w:footnoteRef/>
      </w:r>
      <w:r w:rsidRPr="00ED2A7E">
        <w:rPr>
          <w:rFonts w:ascii="Arial" w:hAnsi="Arial" w:cs="Arial"/>
          <w:sz w:val="18"/>
          <w:szCs w:val="18"/>
        </w:rPr>
        <w:t xml:space="preserve"> </w:t>
      </w:r>
      <w:hyperlink r:id="rId20" w:history="1">
        <w:r w:rsidRPr="00ED2A7E">
          <w:rPr>
            <w:rStyle w:val="Hyperlink"/>
            <w:rFonts w:ascii="Arial" w:hAnsi="Arial" w:cs="Arial"/>
            <w:color w:val="auto"/>
            <w:sz w:val="18"/>
            <w:szCs w:val="18"/>
            <w:u w:val="none"/>
          </w:rPr>
          <w:t>Coronary CTA</w:t>
        </w:r>
      </w:hyperlink>
      <w:r w:rsidRPr="00ED2A7E">
        <w:rPr>
          <w:rFonts w:ascii="Arial" w:hAnsi="Arial" w:cs="Arial"/>
          <w:sz w:val="18"/>
          <w:szCs w:val="18"/>
        </w:rPr>
        <w:t xml:space="preserve">, RadiologiyInfo.org available at </w:t>
      </w:r>
      <w:hyperlink r:id="rId21" w:history="1">
        <w:r w:rsidR="00ED2A7E" w:rsidRPr="00ED2A7E">
          <w:rPr>
            <w:rStyle w:val="Hyperlink"/>
            <w:rFonts w:ascii="Arial" w:hAnsi="Arial" w:cs="Arial"/>
            <w:color w:val="auto"/>
            <w:sz w:val="18"/>
            <w:szCs w:val="18"/>
            <w:u w:val="none"/>
          </w:rPr>
          <w:t>https://www.radiologyinfo.org/en/info/angiocoroct</w:t>
        </w:r>
      </w:hyperlink>
      <w:r w:rsidR="00ED2A7E" w:rsidRPr="00ED2A7E">
        <w:rPr>
          <w:rFonts w:ascii="Arial" w:hAnsi="Arial" w:cs="Arial"/>
          <w:sz w:val="18"/>
          <w:szCs w:val="18"/>
        </w:rPr>
        <w:t xml:space="preserve"> </w:t>
      </w:r>
      <w:r w:rsidRPr="00ED2A7E">
        <w:rPr>
          <w:rFonts w:ascii="Arial" w:hAnsi="Arial" w:cs="Arial"/>
          <w:sz w:val="18"/>
          <w:szCs w:val="18"/>
        </w:rPr>
        <w:t xml:space="preserve"> (last visited March 8, 2023). </w:t>
      </w:r>
    </w:p>
  </w:footnote>
  <w:footnote w:id="28">
    <w:p w14:paraId="3FACB48A" w14:textId="4614D738" w:rsidR="00617041" w:rsidRPr="0019667E" w:rsidRDefault="00617041" w:rsidP="00617041">
      <w:pPr>
        <w:pStyle w:val="FootnoteText"/>
        <w:jc w:val="both"/>
        <w:rPr>
          <w:rFonts w:ascii="Arial" w:hAnsi="Arial" w:cs="Arial"/>
          <w:sz w:val="18"/>
          <w:szCs w:val="18"/>
        </w:rPr>
      </w:pPr>
      <w:r w:rsidRPr="00ED2A7E">
        <w:rPr>
          <w:rStyle w:val="FootnoteReference"/>
          <w:rFonts w:ascii="Arial" w:hAnsi="Arial" w:cs="Arial"/>
          <w:sz w:val="18"/>
          <w:szCs w:val="18"/>
        </w:rPr>
        <w:footnoteRef/>
      </w:r>
      <w:r w:rsidRPr="00ED2A7E">
        <w:rPr>
          <w:rFonts w:ascii="Arial" w:hAnsi="Arial" w:cs="Arial"/>
          <w:sz w:val="18"/>
          <w:szCs w:val="18"/>
        </w:rPr>
        <w:t xml:space="preserve"> </w:t>
      </w:r>
      <w:r w:rsidRPr="00ED2A7E">
        <w:rPr>
          <w:rFonts w:ascii="Arial" w:hAnsi="Arial" w:cs="Arial"/>
          <w:i/>
          <w:iCs/>
          <w:sz w:val="18"/>
          <w:szCs w:val="18"/>
        </w:rPr>
        <w:t>See</w:t>
      </w:r>
      <w:r w:rsidRPr="00ED2A7E">
        <w:rPr>
          <w:rFonts w:ascii="Arial" w:hAnsi="Arial" w:cs="Arial"/>
          <w:sz w:val="18"/>
          <w:szCs w:val="18"/>
        </w:rPr>
        <w:t xml:space="preserve"> </w:t>
      </w:r>
      <w:hyperlink r:id="rId22" w:history="1">
        <w:r w:rsidRPr="00ED2A7E">
          <w:rPr>
            <w:rStyle w:val="Hyperlink"/>
            <w:rFonts w:ascii="Arial" w:hAnsi="Arial" w:cs="Arial"/>
            <w:i/>
            <w:iCs/>
            <w:color w:val="auto"/>
            <w:sz w:val="18"/>
            <w:szCs w:val="18"/>
            <w:u w:val="none"/>
          </w:rPr>
          <w:t>How CT Scans and MRIs are Used to Diagnose Strokes</w:t>
        </w:r>
      </w:hyperlink>
      <w:r w:rsidRPr="00ED2A7E">
        <w:rPr>
          <w:rFonts w:ascii="Arial" w:hAnsi="Arial" w:cs="Arial"/>
          <w:sz w:val="18"/>
          <w:szCs w:val="18"/>
        </w:rPr>
        <w:t xml:space="preserve">, </w:t>
      </w:r>
      <w:hyperlink r:id="rId23" w:history="1">
        <w:r w:rsidR="00ED2A7E" w:rsidRPr="00ED2A7E">
          <w:rPr>
            <w:rStyle w:val="Hyperlink"/>
            <w:rFonts w:ascii="Arial" w:hAnsi="Arial" w:cs="Arial"/>
            <w:color w:val="auto"/>
            <w:sz w:val="18"/>
            <w:szCs w:val="18"/>
            <w:u w:val="none"/>
          </w:rPr>
          <w:t>https://www.envrad.com/how-ct-scans-mris-used-to-diagnose-strokes/</w:t>
        </w:r>
      </w:hyperlink>
      <w:r w:rsidR="00ED2A7E" w:rsidRPr="00ED2A7E">
        <w:rPr>
          <w:rFonts w:ascii="Arial" w:hAnsi="Arial" w:cs="Arial"/>
          <w:sz w:val="18"/>
          <w:szCs w:val="18"/>
        </w:rPr>
        <w:t xml:space="preserve"> </w:t>
      </w:r>
      <w:r w:rsidRPr="00ED2A7E">
        <w:rPr>
          <w:rFonts w:ascii="Arial" w:hAnsi="Arial" w:cs="Arial"/>
          <w:sz w:val="18"/>
          <w:szCs w:val="18"/>
        </w:rPr>
        <w:t xml:space="preserve"> (last visited Feb. 24, 2022).</w:t>
      </w:r>
    </w:p>
  </w:footnote>
  <w:footnote w:id="29">
    <w:p w14:paraId="0015FCAA" w14:textId="77777777" w:rsidR="00617041" w:rsidRPr="0019667E" w:rsidRDefault="00617041" w:rsidP="00617041">
      <w:pPr>
        <w:pStyle w:val="FootnoteText"/>
        <w:jc w:val="both"/>
        <w:rPr>
          <w:rFonts w:ascii="Arial" w:hAnsi="Arial" w:cs="Arial"/>
          <w:sz w:val="18"/>
          <w:szCs w:val="18"/>
        </w:rPr>
      </w:pPr>
      <w:r w:rsidRPr="0019667E">
        <w:rPr>
          <w:rStyle w:val="FootnoteReference"/>
          <w:rFonts w:ascii="Arial" w:hAnsi="Arial" w:cs="Arial"/>
          <w:sz w:val="18"/>
          <w:szCs w:val="18"/>
        </w:rPr>
        <w:footnoteRef/>
      </w:r>
      <w:r w:rsidRPr="0019667E">
        <w:rPr>
          <w:rFonts w:ascii="Arial" w:hAnsi="Arial" w:cs="Arial"/>
          <w:sz w:val="18"/>
          <w:szCs w:val="18"/>
        </w:rPr>
        <w:t xml:space="preserve"> Two main types of strokes are ischemic stroke (blocked artery) or hemorrhagic stroke (a blood vessel bursting or leaking). </w:t>
      </w:r>
      <w:r w:rsidRPr="0019667E">
        <w:rPr>
          <w:rFonts w:ascii="Arial" w:hAnsi="Arial" w:cs="Arial"/>
          <w:i/>
          <w:iCs/>
          <w:sz w:val="18"/>
          <w:szCs w:val="18"/>
        </w:rPr>
        <w:t xml:space="preserve">See id. </w:t>
      </w:r>
      <w:r w:rsidRPr="0019667E">
        <w:rPr>
          <w:rFonts w:ascii="Arial" w:hAnsi="Arial" w:cs="Arial"/>
          <w:sz w:val="18"/>
          <w:szCs w:val="18"/>
        </w:rPr>
        <w:t xml:space="preserve"> Individuals may also experience a temporary disruption of blood flow to the brain, called a transient ischemic attack, but this does not tend to cause lasting symptoms. </w:t>
      </w:r>
      <w:r w:rsidRPr="0019667E">
        <w:rPr>
          <w:rFonts w:ascii="Arial" w:hAnsi="Arial" w:cs="Arial"/>
          <w:i/>
          <w:iCs/>
          <w:sz w:val="18"/>
          <w:szCs w:val="18"/>
        </w:rPr>
        <w:t xml:space="preserve">Id. </w:t>
      </w:r>
      <w:r w:rsidRPr="0019667E">
        <w:rPr>
          <w:rFonts w:ascii="Arial" w:hAnsi="Arial" w:cs="Arial"/>
          <w:sz w:val="18"/>
          <w:szCs w:val="18"/>
        </w:rPr>
        <w:t xml:space="preserve"> </w:t>
      </w:r>
    </w:p>
  </w:footnote>
  <w:footnote w:id="30">
    <w:p w14:paraId="668AC7D8" w14:textId="5A1E20DC" w:rsidR="00617041" w:rsidRPr="00AD2881" w:rsidRDefault="00617041" w:rsidP="00617041">
      <w:pPr>
        <w:pStyle w:val="FootnoteText"/>
        <w:jc w:val="both"/>
        <w:rPr>
          <w:rFonts w:ascii="Arial" w:hAnsi="Arial" w:cs="Arial"/>
          <w:sz w:val="18"/>
          <w:szCs w:val="18"/>
        </w:rPr>
      </w:pPr>
      <w:r w:rsidRPr="0019667E">
        <w:rPr>
          <w:rStyle w:val="FootnoteReference"/>
          <w:rFonts w:ascii="Arial" w:hAnsi="Arial" w:cs="Arial"/>
          <w:sz w:val="18"/>
          <w:szCs w:val="18"/>
        </w:rPr>
        <w:footnoteRef/>
      </w:r>
      <w:r w:rsidRPr="0019667E">
        <w:rPr>
          <w:rFonts w:ascii="Arial" w:hAnsi="Arial" w:cs="Arial"/>
          <w:sz w:val="18"/>
          <w:szCs w:val="18"/>
        </w:rPr>
        <w:t xml:space="preserve"> “</w:t>
      </w:r>
      <w:r w:rsidRPr="0019667E">
        <w:rPr>
          <w:rFonts w:ascii="Arial" w:hAnsi="Arial" w:cs="Arial"/>
          <w:color w:val="333333"/>
          <w:sz w:val="18"/>
          <w:szCs w:val="18"/>
        </w:rPr>
        <w:t xml:space="preserve">In a </w:t>
      </w:r>
      <w:r w:rsidRPr="00AD2881">
        <w:rPr>
          <w:rFonts w:ascii="Arial" w:hAnsi="Arial" w:cs="Arial"/>
          <w:sz w:val="18"/>
          <w:szCs w:val="18"/>
        </w:rPr>
        <w:t xml:space="preserve">registry representing US clinical practice, earlier thrombolytic treatment was associated with reduced mortality and symptomatic intracranial hemorrhage, and higher rates of independent ambulation at discharge and discharge to home following acute ischemic stroke.” Jeffrey L. Saver, M.D., Gregg C. </w:t>
      </w:r>
      <w:proofErr w:type="spellStart"/>
      <w:r w:rsidRPr="00AD2881">
        <w:rPr>
          <w:rFonts w:ascii="Arial" w:hAnsi="Arial" w:cs="Arial"/>
          <w:sz w:val="18"/>
          <w:szCs w:val="18"/>
        </w:rPr>
        <w:t>Fonarow</w:t>
      </w:r>
      <w:proofErr w:type="spellEnd"/>
      <w:r w:rsidRPr="00AD2881">
        <w:rPr>
          <w:rFonts w:ascii="Arial" w:hAnsi="Arial" w:cs="Arial"/>
          <w:sz w:val="18"/>
          <w:szCs w:val="18"/>
        </w:rPr>
        <w:t xml:space="preserve">, M.D., Eric E. Smith, M.D., MPH, et al., </w:t>
      </w:r>
      <w:hyperlink r:id="rId24" w:history="1">
        <w:r w:rsidRPr="00AD2881">
          <w:rPr>
            <w:rStyle w:val="Hyperlink"/>
            <w:rFonts w:ascii="Arial" w:hAnsi="Arial" w:cs="Arial"/>
            <w:i/>
            <w:iCs/>
            <w:color w:val="auto"/>
            <w:sz w:val="18"/>
            <w:szCs w:val="18"/>
            <w:u w:val="none"/>
          </w:rPr>
          <w:t>Time to Treatment With Intravenous Tissue Plasminogen Activator and Outcome From Acute Ischemic Stroke</w:t>
        </w:r>
      </w:hyperlink>
      <w:r w:rsidRPr="00AD2881">
        <w:rPr>
          <w:rFonts w:ascii="Arial" w:hAnsi="Arial" w:cs="Arial"/>
          <w:sz w:val="18"/>
          <w:szCs w:val="18"/>
        </w:rPr>
        <w:t xml:space="preserve">, JAMA (June 19 2013), </w:t>
      </w:r>
      <w:hyperlink r:id="rId25" w:history="1">
        <w:r w:rsidR="00020789" w:rsidRPr="00AD2881">
          <w:rPr>
            <w:rStyle w:val="Hyperlink"/>
            <w:rFonts w:ascii="Arial" w:hAnsi="Arial" w:cs="Arial"/>
            <w:color w:val="auto"/>
            <w:sz w:val="18"/>
            <w:szCs w:val="18"/>
            <w:u w:val="none"/>
          </w:rPr>
          <w:t>https://jamanetwork.com/journals/jama/fullarticle/1697967</w:t>
        </w:r>
      </w:hyperlink>
      <w:r w:rsidR="00020789" w:rsidRPr="00AD2881">
        <w:rPr>
          <w:rFonts w:ascii="Arial" w:hAnsi="Arial" w:cs="Arial"/>
          <w:sz w:val="18"/>
          <w:szCs w:val="18"/>
        </w:rPr>
        <w:t xml:space="preserve"> </w:t>
      </w:r>
      <w:r w:rsidRPr="00AD2881">
        <w:rPr>
          <w:rFonts w:ascii="Arial" w:hAnsi="Arial" w:cs="Arial"/>
          <w:sz w:val="18"/>
          <w:szCs w:val="18"/>
        </w:rPr>
        <w:t xml:space="preserve">. </w:t>
      </w:r>
    </w:p>
  </w:footnote>
  <w:footnote w:id="31">
    <w:p w14:paraId="22E7FF4D" w14:textId="1313BA48" w:rsidR="00617041" w:rsidRPr="00AD2881" w:rsidRDefault="00617041" w:rsidP="00617041">
      <w:pPr>
        <w:pStyle w:val="FootnoteText"/>
        <w:jc w:val="both"/>
        <w:rPr>
          <w:rFonts w:ascii="Arial" w:hAnsi="Arial" w:cs="Arial"/>
          <w:sz w:val="18"/>
          <w:szCs w:val="18"/>
        </w:rPr>
      </w:pPr>
      <w:r w:rsidRPr="00AD2881">
        <w:rPr>
          <w:rStyle w:val="FootnoteReference"/>
          <w:rFonts w:ascii="Arial" w:hAnsi="Arial" w:cs="Arial"/>
          <w:sz w:val="18"/>
          <w:szCs w:val="18"/>
        </w:rPr>
        <w:footnoteRef/>
      </w:r>
      <w:r w:rsidRPr="00AD2881">
        <w:rPr>
          <w:rFonts w:ascii="Arial" w:hAnsi="Arial" w:cs="Arial"/>
          <w:sz w:val="18"/>
          <w:szCs w:val="18"/>
        </w:rPr>
        <w:t xml:space="preserve"> </w:t>
      </w:r>
      <w:r w:rsidRPr="00AD2881">
        <w:rPr>
          <w:rFonts w:ascii="Arial" w:hAnsi="Arial" w:cs="Arial"/>
          <w:i/>
          <w:iCs/>
          <w:sz w:val="18"/>
          <w:szCs w:val="18"/>
        </w:rPr>
        <w:t>See</w:t>
      </w:r>
      <w:r w:rsidRPr="00AD2881">
        <w:rPr>
          <w:rFonts w:ascii="Arial" w:hAnsi="Arial" w:cs="Arial"/>
          <w:sz w:val="18"/>
          <w:szCs w:val="18"/>
        </w:rPr>
        <w:t xml:space="preserve"> </w:t>
      </w:r>
      <w:r w:rsidRPr="00AD2881">
        <w:rPr>
          <w:rFonts w:ascii="Arial" w:hAnsi="Arial" w:cs="Arial"/>
          <w:i/>
          <w:iCs/>
          <w:sz w:val="18"/>
          <w:szCs w:val="18"/>
        </w:rPr>
        <w:t>Primary Stroke Services Time Target Recommendations</w:t>
      </w:r>
      <w:r w:rsidRPr="00AD2881">
        <w:rPr>
          <w:rFonts w:ascii="Arial" w:hAnsi="Arial" w:cs="Arial"/>
          <w:sz w:val="18"/>
          <w:szCs w:val="18"/>
        </w:rPr>
        <w:t xml:space="preserve">, </w:t>
      </w:r>
      <w:r w:rsidRPr="00AD2881">
        <w:rPr>
          <w:rFonts w:ascii="Arial" w:hAnsi="Arial" w:cs="Arial"/>
          <w:i/>
          <w:iCs/>
          <w:sz w:val="18"/>
          <w:szCs w:val="18"/>
        </w:rPr>
        <w:t xml:space="preserve">supra </w:t>
      </w:r>
      <w:r w:rsidRPr="00AD2881">
        <w:rPr>
          <w:rFonts w:ascii="Arial" w:hAnsi="Arial" w:cs="Arial"/>
          <w:sz w:val="18"/>
          <w:szCs w:val="18"/>
        </w:rPr>
        <w:t>note 1</w:t>
      </w:r>
      <w:r w:rsidR="0019667E" w:rsidRPr="00AD2881">
        <w:rPr>
          <w:rFonts w:ascii="Arial" w:hAnsi="Arial" w:cs="Arial"/>
          <w:sz w:val="18"/>
          <w:szCs w:val="18"/>
        </w:rPr>
        <w:t>5</w:t>
      </w:r>
      <w:r w:rsidRPr="00AD2881">
        <w:rPr>
          <w:rFonts w:ascii="Arial" w:hAnsi="Arial" w:cs="Arial"/>
          <w:sz w:val="18"/>
          <w:szCs w:val="18"/>
        </w:rPr>
        <w:t>.</w:t>
      </w:r>
    </w:p>
  </w:footnote>
  <w:footnote w:id="32">
    <w:p w14:paraId="3E191F03" w14:textId="0670B2CB" w:rsidR="005F7BC2" w:rsidRPr="00AD2881" w:rsidRDefault="005F7BC2" w:rsidP="005F7BC2">
      <w:pPr>
        <w:pStyle w:val="FootnoteText"/>
        <w:jc w:val="both"/>
        <w:rPr>
          <w:rFonts w:ascii="Arial" w:hAnsi="Arial" w:cs="Arial"/>
          <w:sz w:val="18"/>
          <w:szCs w:val="18"/>
        </w:rPr>
      </w:pPr>
      <w:r w:rsidRPr="00AD2881">
        <w:rPr>
          <w:rStyle w:val="FootnoteReference"/>
          <w:rFonts w:ascii="Arial" w:hAnsi="Arial" w:cs="Arial"/>
          <w:sz w:val="18"/>
          <w:szCs w:val="18"/>
        </w:rPr>
        <w:footnoteRef/>
      </w:r>
      <w:r w:rsidR="0093268B" w:rsidRPr="00AD2881">
        <w:rPr>
          <w:rFonts w:ascii="Arial" w:hAnsi="Arial" w:cs="Arial"/>
          <w:sz w:val="18"/>
          <w:szCs w:val="18"/>
        </w:rPr>
        <w:t xml:space="preserve"> </w:t>
      </w:r>
      <w:r w:rsidRPr="00AD2881">
        <w:rPr>
          <w:rFonts w:ascii="Arial" w:hAnsi="Arial" w:cs="Arial"/>
          <w:i/>
          <w:iCs/>
          <w:sz w:val="18"/>
          <w:szCs w:val="18"/>
        </w:rPr>
        <w:t>See</w:t>
      </w:r>
      <w:r w:rsidRPr="00AD2881">
        <w:rPr>
          <w:rFonts w:ascii="Arial" w:hAnsi="Arial" w:cs="Arial"/>
          <w:sz w:val="18"/>
          <w:szCs w:val="18"/>
        </w:rPr>
        <w:t xml:space="preserve"> </w:t>
      </w:r>
      <w:hyperlink r:id="rId26" w:anchor=":~:text=Lung%20and%20bronchus%20cancer%20is%20responsible%20for%20the%20most%20deaths,deadliest%20cancer%2C%20causing%2050%2C550%20deaths" w:history="1">
        <w:r w:rsidRPr="00AD2881">
          <w:rPr>
            <w:rStyle w:val="Hyperlink"/>
            <w:rFonts w:ascii="Arial" w:hAnsi="Arial" w:cs="Arial"/>
            <w:i/>
            <w:iCs/>
            <w:color w:val="auto"/>
            <w:sz w:val="18"/>
            <w:szCs w:val="18"/>
            <w:u w:val="none"/>
          </w:rPr>
          <w:t xml:space="preserve">Cancer Stat Facts: Common Cancer </w:t>
        </w:r>
        <w:r w:rsidRPr="00AD2881">
          <w:rPr>
            <w:rStyle w:val="Hyperlink"/>
            <w:rFonts w:ascii="Arial" w:hAnsi="Arial" w:cs="Arial"/>
            <w:color w:val="auto"/>
            <w:sz w:val="18"/>
            <w:szCs w:val="18"/>
            <w:u w:val="none"/>
          </w:rPr>
          <w:t>Sites,</w:t>
        </w:r>
      </w:hyperlink>
      <w:r w:rsidRPr="00AD2881">
        <w:rPr>
          <w:rFonts w:ascii="Arial" w:hAnsi="Arial" w:cs="Arial"/>
          <w:sz w:val="18"/>
          <w:szCs w:val="18"/>
        </w:rPr>
        <w:t xml:space="preserve"> National Cancer Institute, </w:t>
      </w:r>
      <w:hyperlink r:id="rId27" w:history="1">
        <w:r w:rsidR="00020789" w:rsidRPr="00AD2881">
          <w:rPr>
            <w:rStyle w:val="Hyperlink"/>
            <w:rFonts w:ascii="Arial" w:hAnsi="Arial" w:cs="Arial"/>
            <w:color w:val="auto"/>
            <w:sz w:val="18"/>
            <w:szCs w:val="18"/>
            <w:u w:val="none"/>
          </w:rPr>
          <w:t>https://seer.cancer.gov/statfacts/html/common.html#:~:text=Lung%20and%20bronchus%20cancer%20is%20responsible%20for%20the%20most%20deaths,deadliest%20cancer%2C%20causing%2050%2C550%20deaths</w:t>
        </w:r>
      </w:hyperlink>
      <w:r w:rsidR="00020789" w:rsidRPr="00AD2881">
        <w:rPr>
          <w:rFonts w:ascii="Arial" w:hAnsi="Arial" w:cs="Arial"/>
          <w:sz w:val="18"/>
          <w:szCs w:val="18"/>
        </w:rPr>
        <w:t xml:space="preserve"> </w:t>
      </w:r>
      <w:r w:rsidRPr="00AD2881">
        <w:rPr>
          <w:rFonts w:ascii="Arial" w:hAnsi="Arial" w:cs="Arial"/>
          <w:sz w:val="18"/>
          <w:szCs w:val="18"/>
        </w:rPr>
        <w:t xml:space="preserve"> (last visited May 4, 2023). </w:t>
      </w:r>
    </w:p>
  </w:footnote>
  <w:footnote w:id="33">
    <w:p w14:paraId="2797D530" w14:textId="704B2D04" w:rsidR="005F7BC2" w:rsidRPr="00AD2881" w:rsidRDefault="005F7BC2" w:rsidP="005F7BC2">
      <w:pPr>
        <w:pStyle w:val="FootnoteText"/>
        <w:rPr>
          <w:sz w:val="18"/>
          <w:szCs w:val="18"/>
        </w:rPr>
      </w:pPr>
      <w:r w:rsidRPr="00AD2881">
        <w:rPr>
          <w:rStyle w:val="FootnoteReference"/>
          <w:sz w:val="18"/>
          <w:szCs w:val="18"/>
        </w:rPr>
        <w:footnoteRef/>
      </w:r>
      <w:r w:rsidRPr="00AD2881">
        <w:rPr>
          <w:sz w:val="18"/>
          <w:szCs w:val="18"/>
        </w:rPr>
        <w:t xml:space="preserve"> </w:t>
      </w:r>
      <w:r w:rsidRPr="00AD2881">
        <w:rPr>
          <w:rFonts w:ascii="Arial" w:hAnsi="Arial" w:cs="Arial"/>
          <w:i/>
          <w:iCs/>
          <w:sz w:val="18"/>
          <w:szCs w:val="18"/>
        </w:rPr>
        <w:t>See</w:t>
      </w:r>
      <w:r w:rsidRPr="00AD2881">
        <w:rPr>
          <w:rFonts w:ascii="Arial" w:hAnsi="Arial" w:cs="Arial"/>
          <w:sz w:val="18"/>
          <w:szCs w:val="18"/>
        </w:rPr>
        <w:t xml:space="preserve"> </w:t>
      </w:r>
      <w:hyperlink r:id="rId28" w:history="1">
        <w:r w:rsidRPr="00AD2881">
          <w:rPr>
            <w:rStyle w:val="Hyperlink"/>
            <w:rFonts w:ascii="Arial" w:hAnsi="Arial" w:cs="Arial"/>
            <w:i/>
            <w:iCs/>
            <w:color w:val="auto"/>
            <w:sz w:val="18"/>
            <w:szCs w:val="18"/>
            <w:u w:val="none"/>
          </w:rPr>
          <w:t>Lung Cancer Fact Sheet</w:t>
        </w:r>
        <w:r w:rsidRPr="00AD2881">
          <w:rPr>
            <w:rStyle w:val="Hyperlink"/>
            <w:rFonts w:ascii="Arial" w:hAnsi="Arial" w:cs="Arial"/>
            <w:color w:val="auto"/>
            <w:sz w:val="18"/>
            <w:szCs w:val="18"/>
            <w:u w:val="none"/>
          </w:rPr>
          <w:t>,</w:t>
        </w:r>
      </w:hyperlink>
      <w:r w:rsidRPr="00AD2881">
        <w:rPr>
          <w:rFonts w:ascii="Arial" w:hAnsi="Arial" w:cs="Arial"/>
          <w:sz w:val="18"/>
          <w:szCs w:val="18"/>
        </w:rPr>
        <w:t xml:space="preserve"> American Lung Association, </w:t>
      </w:r>
      <w:hyperlink r:id="rId29" w:history="1">
        <w:r w:rsidR="00020789" w:rsidRPr="00AD2881">
          <w:rPr>
            <w:rStyle w:val="Hyperlink"/>
            <w:rFonts w:ascii="Arial" w:hAnsi="Arial" w:cs="Arial"/>
            <w:color w:val="auto"/>
            <w:sz w:val="18"/>
            <w:szCs w:val="18"/>
            <w:u w:val="none"/>
          </w:rPr>
          <w:t>https://www.lung.org/lung-health-diseases/lung-disease-lookup/lung-cancer/resource-library/lung-cancer-fact-sheet</w:t>
        </w:r>
      </w:hyperlink>
      <w:r w:rsidR="00020789" w:rsidRPr="00AD2881">
        <w:rPr>
          <w:rFonts w:ascii="Arial" w:hAnsi="Arial" w:cs="Arial"/>
          <w:sz w:val="18"/>
          <w:szCs w:val="18"/>
        </w:rPr>
        <w:t xml:space="preserve"> </w:t>
      </w:r>
      <w:r w:rsidRPr="00AD2881">
        <w:rPr>
          <w:rFonts w:ascii="Arial" w:hAnsi="Arial" w:cs="Arial"/>
          <w:sz w:val="18"/>
          <w:szCs w:val="18"/>
        </w:rPr>
        <w:t xml:space="preserve"> (last modified May 27, 2020).</w:t>
      </w:r>
    </w:p>
  </w:footnote>
  <w:footnote w:id="34">
    <w:p w14:paraId="06DA55F4" w14:textId="77777777" w:rsidR="005F7BC2" w:rsidRPr="00AD2881" w:rsidRDefault="005F7BC2" w:rsidP="005F7BC2">
      <w:pPr>
        <w:pStyle w:val="FootnoteText"/>
        <w:rPr>
          <w:rFonts w:ascii="Arial" w:hAnsi="Arial" w:cs="Arial"/>
          <w:sz w:val="18"/>
          <w:szCs w:val="18"/>
        </w:rPr>
      </w:pPr>
      <w:r w:rsidRPr="00AD2881">
        <w:rPr>
          <w:rStyle w:val="FootnoteReference"/>
          <w:rFonts w:ascii="Arial" w:hAnsi="Arial" w:cs="Arial"/>
          <w:sz w:val="18"/>
          <w:szCs w:val="18"/>
        </w:rPr>
        <w:footnoteRef/>
      </w:r>
      <w:r w:rsidRPr="00AD2881">
        <w:rPr>
          <w:rFonts w:ascii="Arial" w:hAnsi="Arial" w:cs="Arial"/>
          <w:i/>
          <w:iCs/>
          <w:sz w:val="18"/>
          <w:szCs w:val="18"/>
        </w:rPr>
        <w:t xml:space="preserve"> Id.</w:t>
      </w:r>
    </w:p>
  </w:footnote>
  <w:footnote w:id="35">
    <w:p w14:paraId="01201802" w14:textId="77777777" w:rsidR="005F7BC2" w:rsidRPr="00AD2881" w:rsidRDefault="005F7BC2" w:rsidP="005F7BC2">
      <w:pPr>
        <w:pStyle w:val="FootnoteText"/>
        <w:rPr>
          <w:rFonts w:ascii="Arial" w:hAnsi="Arial" w:cs="Arial"/>
          <w:i/>
          <w:iCs/>
          <w:sz w:val="18"/>
          <w:szCs w:val="18"/>
        </w:rPr>
      </w:pPr>
      <w:r w:rsidRPr="00AD2881">
        <w:rPr>
          <w:rStyle w:val="FootnoteReference"/>
          <w:rFonts w:ascii="Arial" w:hAnsi="Arial" w:cs="Arial"/>
          <w:sz w:val="18"/>
          <w:szCs w:val="18"/>
        </w:rPr>
        <w:footnoteRef/>
      </w:r>
      <w:r w:rsidRPr="00AD2881">
        <w:rPr>
          <w:rFonts w:ascii="Arial" w:hAnsi="Arial" w:cs="Arial"/>
          <w:sz w:val="18"/>
          <w:szCs w:val="18"/>
        </w:rPr>
        <w:t xml:space="preserve"> </w:t>
      </w:r>
      <w:r w:rsidRPr="00AD2881">
        <w:rPr>
          <w:rFonts w:ascii="Arial" w:hAnsi="Arial" w:cs="Arial"/>
          <w:i/>
          <w:iCs/>
          <w:sz w:val="18"/>
          <w:szCs w:val="18"/>
        </w:rPr>
        <w:t>Id.</w:t>
      </w:r>
    </w:p>
  </w:footnote>
  <w:footnote w:id="36">
    <w:p w14:paraId="75229FEF" w14:textId="6A24F131" w:rsidR="005F7BC2" w:rsidRPr="00AD2881" w:rsidRDefault="005F7BC2" w:rsidP="005F7BC2">
      <w:pPr>
        <w:pStyle w:val="FootnoteText"/>
        <w:rPr>
          <w:rFonts w:ascii="Arial" w:hAnsi="Arial" w:cs="Arial"/>
          <w:sz w:val="18"/>
          <w:szCs w:val="18"/>
        </w:rPr>
      </w:pPr>
      <w:r w:rsidRPr="00AD2881">
        <w:rPr>
          <w:rStyle w:val="FootnoteReference"/>
          <w:rFonts w:ascii="Arial" w:hAnsi="Arial" w:cs="Arial"/>
          <w:sz w:val="18"/>
          <w:szCs w:val="18"/>
        </w:rPr>
        <w:footnoteRef/>
      </w:r>
      <w:r w:rsidRPr="00AD2881">
        <w:rPr>
          <w:rFonts w:ascii="Arial" w:hAnsi="Arial" w:cs="Arial"/>
          <w:sz w:val="18"/>
          <w:szCs w:val="18"/>
        </w:rPr>
        <w:t xml:space="preserve">  Rebecca Smith-Bindman et al., </w:t>
      </w:r>
      <w:hyperlink r:id="rId30" w:history="1">
        <w:r w:rsidRPr="00AD2881">
          <w:rPr>
            <w:rStyle w:val="Hyperlink"/>
            <w:rFonts w:ascii="Arial" w:hAnsi="Arial" w:cs="Arial"/>
            <w:color w:val="auto"/>
            <w:sz w:val="18"/>
            <w:szCs w:val="18"/>
            <w:u w:val="none"/>
          </w:rPr>
          <w:t>Rising Use Of Diagnostic Medical Imaging In A Large Integrated Health System,</w:t>
        </w:r>
      </w:hyperlink>
      <w:r w:rsidRPr="00AD2881">
        <w:rPr>
          <w:rFonts w:ascii="Arial" w:hAnsi="Arial" w:cs="Arial"/>
          <w:sz w:val="18"/>
          <w:szCs w:val="18"/>
        </w:rPr>
        <w:t xml:space="preserve"> 27 HEALTH AFFAIRS 1491 {2008), available at </w:t>
      </w:r>
      <w:hyperlink r:id="rId31" w:history="1">
        <w:r w:rsidR="00020789" w:rsidRPr="00AD2881">
          <w:rPr>
            <w:rStyle w:val="Hyperlink"/>
            <w:rFonts w:ascii="Arial" w:hAnsi="Arial" w:cs="Arial"/>
            <w:color w:val="auto"/>
            <w:sz w:val="18"/>
            <w:szCs w:val="18"/>
            <w:u w:val="none"/>
          </w:rPr>
          <w:t>https://www.ncbi.nlm.nih.gov/pmc/articles/PMC2765780/pdf/nihms- 137739.pdf</w:t>
        </w:r>
      </w:hyperlink>
      <w:r w:rsidR="00020789" w:rsidRPr="00AD2881">
        <w:rPr>
          <w:rFonts w:ascii="Arial" w:hAnsi="Arial" w:cs="Arial"/>
          <w:sz w:val="18"/>
          <w:szCs w:val="18"/>
        </w:rPr>
        <w:t xml:space="preserve">  </w:t>
      </w:r>
      <w:r w:rsidRPr="00AD2881">
        <w:rPr>
          <w:rFonts w:ascii="Arial" w:hAnsi="Arial" w:cs="Arial"/>
          <w:sz w:val="18"/>
          <w:szCs w:val="18"/>
        </w:rPr>
        <w:t xml:space="preserve">; Kathleen Lang et al., </w:t>
      </w:r>
      <w:hyperlink r:id="rId32" w:history="1">
        <w:r w:rsidRPr="00AD2881">
          <w:rPr>
            <w:rStyle w:val="Hyperlink"/>
            <w:rFonts w:ascii="Arial" w:hAnsi="Arial" w:cs="Arial"/>
            <w:color w:val="auto"/>
            <w:sz w:val="18"/>
            <w:szCs w:val="18"/>
            <w:u w:val="none"/>
          </w:rPr>
          <w:t>National trends in advanced outpatient diagnostic imaging utilization: an analysis of the medical expenditure panel survey, 2000-2009</w:t>
        </w:r>
      </w:hyperlink>
      <w:r w:rsidRPr="00AD2881">
        <w:rPr>
          <w:rFonts w:ascii="Arial" w:hAnsi="Arial" w:cs="Arial"/>
          <w:sz w:val="18"/>
          <w:szCs w:val="18"/>
        </w:rPr>
        <w:t xml:space="preserve">, 13 </w:t>
      </w:r>
      <w:r w:rsidRPr="00AD2881">
        <w:rPr>
          <w:rFonts w:ascii="Arial" w:hAnsi="Arial" w:cs="Arial"/>
          <w:smallCaps/>
          <w:sz w:val="18"/>
          <w:szCs w:val="18"/>
        </w:rPr>
        <w:t>BMC MED. IMAGING</w:t>
      </w:r>
      <w:r w:rsidRPr="00AD2881">
        <w:rPr>
          <w:rFonts w:ascii="Arial" w:hAnsi="Arial" w:cs="Arial"/>
          <w:sz w:val="18"/>
          <w:szCs w:val="18"/>
        </w:rPr>
        <w:t xml:space="preserve"> 40 (2013), available at </w:t>
      </w:r>
      <w:hyperlink r:id="rId33" w:history="1">
        <w:r w:rsidR="00AD2881" w:rsidRPr="00AD2881">
          <w:rPr>
            <w:rStyle w:val="Hyperlink"/>
            <w:rFonts w:ascii="Arial" w:hAnsi="Arial" w:cs="Arial"/>
            <w:color w:val="auto"/>
            <w:sz w:val="18"/>
            <w:szCs w:val="18"/>
            <w:u w:val="none"/>
          </w:rPr>
          <w:t>https://pubmed.ncbi.nlm.nih.gov/24279724/</w:t>
        </w:r>
      </w:hyperlink>
      <w:r w:rsidR="00AD2881" w:rsidRPr="00AD2881">
        <w:rPr>
          <w:rFonts w:ascii="Arial" w:hAnsi="Arial" w:cs="Arial"/>
          <w:sz w:val="18"/>
          <w:szCs w:val="18"/>
        </w:rPr>
        <w:t xml:space="preserve"> </w:t>
      </w:r>
    </w:p>
  </w:footnote>
  <w:footnote w:id="37">
    <w:p w14:paraId="4C5E8D22" w14:textId="1D3AD914" w:rsidR="005F7BC2" w:rsidRPr="001024FB" w:rsidRDefault="005F7BC2" w:rsidP="005F7BC2">
      <w:pPr>
        <w:pStyle w:val="FootnoteText"/>
      </w:pPr>
      <w:r w:rsidRPr="00AD2881">
        <w:rPr>
          <w:rStyle w:val="FootnoteReference"/>
          <w:rFonts w:ascii="Arial" w:hAnsi="Arial" w:cs="Arial"/>
          <w:sz w:val="18"/>
          <w:szCs w:val="18"/>
        </w:rPr>
        <w:footnoteRef/>
      </w:r>
      <w:r w:rsidRPr="00AD2881">
        <w:rPr>
          <w:rFonts w:ascii="Arial" w:hAnsi="Arial" w:cs="Arial"/>
          <w:sz w:val="18"/>
          <w:szCs w:val="18"/>
        </w:rPr>
        <w:t xml:space="preserve"> Lang et al., </w:t>
      </w:r>
      <w:r w:rsidRPr="00AD2881">
        <w:rPr>
          <w:rFonts w:ascii="Arial" w:hAnsi="Arial" w:cs="Arial"/>
          <w:i/>
          <w:iCs/>
          <w:sz w:val="18"/>
          <w:szCs w:val="18"/>
        </w:rPr>
        <w:t xml:space="preserve">supra </w:t>
      </w:r>
      <w:r w:rsidRPr="00AD2881">
        <w:rPr>
          <w:rFonts w:ascii="Arial" w:hAnsi="Arial" w:cs="Arial"/>
          <w:sz w:val="18"/>
          <w:szCs w:val="18"/>
        </w:rPr>
        <w:t>note 3</w:t>
      </w:r>
      <w:r w:rsidR="0019667E" w:rsidRPr="00AD2881">
        <w:rPr>
          <w:rFonts w:ascii="Arial" w:hAnsi="Arial" w:cs="Arial"/>
          <w:sz w:val="18"/>
          <w:szCs w:val="18"/>
        </w:rPr>
        <w:t>6</w:t>
      </w:r>
      <w:r w:rsidRPr="00AD2881">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DDEC" w14:textId="28DAC812" w:rsidR="000F3164" w:rsidRDefault="000F3164">
    <w:pPr>
      <w:pStyle w:val="Header"/>
    </w:pPr>
  </w:p>
  <w:p w14:paraId="67F7192B" w14:textId="0AC72AC9" w:rsidR="00C11954" w:rsidRDefault="00C11954" w:rsidP="005A2249">
    <w:pPr>
      <w:pStyle w:val="Header"/>
      <w:tabs>
        <w:tab w:val="clear" w:pos="4680"/>
        <w:tab w:val="clear" w:pos="9360"/>
        <w:tab w:val="left" w:pos="81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56E"/>
    <w:multiLevelType w:val="hybridMultilevel"/>
    <w:tmpl w:val="273E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0428"/>
    <w:multiLevelType w:val="hybridMultilevel"/>
    <w:tmpl w:val="3D16F408"/>
    <w:lvl w:ilvl="0" w:tplc="0FCED3C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D1B71"/>
    <w:multiLevelType w:val="hybridMultilevel"/>
    <w:tmpl w:val="63B456E0"/>
    <w:lvl w:ilvl="0" w:tplc="975E9F3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F126D"/>
    <w:multiLevelType w:val="hybridMultilevel"/>
    <w:tmpl w:val="3238FECC"/>
    <w:lvl w:ilvl="0" w:tplc="73C6E9F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DC1199"/>
    <w:multiLevelType w:val="hybridMultilevel"/>
    <w:tmpl w:val="B7CA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452352"/>
    <w:multiLevelType w:val="hybridMultilevel"/>
    <w:tmpl w:val="60AC0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52C9F"/>
    <w:multiLevelType w:val="multilevel"/>
    <w:tmpl w:val="01EC2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3473D"/>
    <w:multiLevelType w:val="hybridMultilevel"/>
    <w:tmpl w:val="4B36A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A4C09"/>
    <w:multiLevelType w:val="hybridMultilevel"/>
    <w:tmpl w:val="00A04A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780F94"/>
    <w:multiLevelType w:val="hybridMultilevel"/>
    <w:tmpl w:val="2B327544"/>
    <w:lvl w:ilvl="0" w:tplc="F670CB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52A1E"/>
    <w:multiLevelType w:val="hybridMultilevel"/>
    <w:tmpl w:val="EB104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7A4779"/>
    <w:multiLevelType w:val="hybridMultilevel"/>
    <w:tmpl w:val="02561B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43E2D"/>
    <w:multiLevelType w:val="hybridMultilevel"/>
    <w:tmpl w:val="F318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2118A"/>
    <w:multiLevelType w:val="hybridMultilevel"/>
    <w:tmpl w:val="6D76BE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260B3"/>
    <w:multiLevelType w:val="hybridMultilevel"/>
    <w:tmpl w:val="8FBED64A"/>
    <w:lvl w:ilvl="0" w:tplc="F24C01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00834"/>
    <w:multiLevelType w:val="hybridMultilevel"/>
    <w:tmpl w:val="B14A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40CFD"/>
    <w:multiLevelType w:val="hybridMultilevel"/>
    <w:tmpl w:val="3FFAD0BA"/>
    <w:lvl w:ilvl="0" w:tplc="E7380F74">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DD74382"/>
    <w:multiLevelType w:val="hybridMultilevel"/>
    <w:tmpl w:val="59C67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A557D"/>
    <w:multiLevelType w:val="hybridMultilevel"/>
    <w:tmpl w:val="7B665F82"/>
    <w:lvl w:ilvl="0" w:tplc="04090015">
      <w:start w:val="1"/>
      <w:numFmt w:val="upperLetter"/>
      <w:lvlText w:val="%1."/>
      <w:lvlJc w:val="left"/>
      <w:pPr>
        <w:ind w:left="720" w:hanging="360"/>
      </w:pPr>
      <w:rPr>
        <w:rFonts w:hint="default"/>
      </w:rPr>
    </w:lvl>
    <w:lvl w:ilvl="1" w:tplc="639A6C28">
      <w:start w:val="1"/>
      <w:numFmt w:val="decimal"/>
      <w:lvlText w:val="%2."/>
      <w:lvlJc w:val="left"/>
      <w:pPr>
        <w:ind w:left="1440" w:hanging="360"/>
      </w:pPr>
      <w:rPr>
        <w:i/>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831D92"/>
    <w:multiLevelType w:val="hybridMultilevel"/>
    <w:tmpl w:val="C1D2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F571C"/>
    <w:multiLevelType w:val="hybridMultilevel"/>
    <w:tmpl w:val="1F50C67C"/>
    <w:lvl w:ilvl="0" w:tplc="2CDA1AD6">
      <w:start w:val="1"/>
      <w:numFmt w:val="bullet"/>
      <w:lvlText w:val="•"/>
      <w:lvlJc w:val="left"/>
      <w:pPr>
        <w:tabs>
          <w:tab w:val="num" w:pos="720"/>
        </w:tabs>
        <w:ind w:left="720" w:hanging="360"/>
      </w:pPr>
      <w:rPr>
        <w:rFonts w:ascii="Calibri" w:hAnsi="Calibri" w:cs="Times New Roman" w:hint="default"/>
      </w:rPr>
    </w:lvl>
    <w:lvl w:ilvl="1" w:tplc="E8DA93F2">
      <w:numFmt w:val="bullet"/>
      <w:lvlText w:val="–"/>
      <w:lvlJc w:val="left"/>
      <w:pPr>
        <w:tabs>
          <w:tab w:val="num" w:pos="1440"/>
        </w:tabs>
        <w:ind w:left="1440" w:hanging="360"/>
      </w:pPr>
      <w:rPr>
        <w:rFonts w:ascii="Calibri" w:hAnsi="Calibri" w:cs="Times New Roman" w:hint="default"/>
      </w:rPr>
    </w:lvl>
    <w:lvl w:ilvl="2" w:tplc="2FA40586">
      <w:numFmt w:val="bullet"/>
      <w:lvlText w:val="•"/>
      <w:lvlJc w:val="left"/>
      <w:pPr>
        <w:tabs>
          <w:tab w:val="num" w:pos="2160"/>
        </w:tabs>
        <w:ind w:left="2160" w:hanging="360"/>
      </w:pPr>
      <w:rPr>
        <w:rFonts w:ascii="Calibri" w:hAnsi="Calibri" w:cs="Times New Roman" w:hint="default"/>
      </w:rPr>
    </w:lvl>
    <w:lvl w:ilvl="3" w:tplc="1DDE254E">
      <w:start w:val="1"/>
      <w:numFmt w:val="bullet"/>
      <w:lvlText w:val="•"/>
      <w:lvlJc w:val="left"/>
      <w:pPr>
        <w:tabs>
          <w:tab w:val="num" w:pos="2880"/>
        </w:tabs>
        <w:ind w:left="2880" w:hanging="360"/>
      </w:pPr>
      <w:rPr>
        <w:rFonts w:ascii="Calibri" w:hAnsi="Calibri" w:cs="Times New Roman" w:hint="default"/>
      </w:rPr>
    </w:lvl>
    <w:lvl w:ilvl="4" w:tplc="7F1E143C">
      <w:start w:val="1"/>
      <w:numFmt w:val="bullet"/>
      <w:lvlText w:val="•"/>
      <w:lvlJc w:val="left"/>
      <w:pPr>
        <w:tabs>
          <w:tab w:val="num" w:pos="3600"/>
        </w:tabs>
        <w:ind w:left="3600" w:hanging="360"/>
      </w:pPr>
      <w:rPr>
        <w:rFonts w:ascii="Calibri" w:hAnsi="Calibri" w:cs="Times New Roman" w:hint="default"/>
      </w:rPr>
    </w:lvl>
    <w:lvl w:ilvl="5" w:tplc="B578305E">
      <w:start w:val="1"/>
      <w:numFmt w:val="bullet"/>
      <w:lvlText w:val="•"/>
      <w:lvlJc w:val="left"/>
      <w:pPr>
        <w:tabs>
          <w:tab w:val="num" w:pos="4320"/>
        </w:tabs>
        <w:ind w:left="4320" w:hanging="360"/>
      </w:pPr>
      <w:rPr>
        <w:rFonts w:ascii="Calibri" w:hAnsi="Calibri" w:cs="Times New Roman" w:hint="default"/>
      </w:rPr>
    </w:lvl>
    <w:lvl w:ilvl="6" w:tplc="D1D6779A">
      <w:start w:val="1"/>
      <w:numFmt w:val="bullet"/>
      <w:lvlText w:val="•"/>
      <w:lvlJc w:val="left"/>
      <w:pPr>
        <w:tabs>
          <w:tab w:val="num" w:pos="5040"/>
        </w:tabs>
        <w:ind w:left="5040" w:hanging="360"/>
      </w:pPr>
      <w:rPr>
        <w:rFonts w:ascii="Calibri" w:hAnsi="Calibri" w:cs="Times New Roman" w:hint="default"/>
      </w:rPr>
    </w:lvl>
    <w:lvl w:ilvl="7" w:tplc="B0149992">
      <w:start w:val="1"/>
      <w:numFmt w:val="bullet"/>
      <w:lvlText w:val="•"/>
      <w:lvlJc w:val="left"/>
      <w:pPr>
        <w:tabs>
          <w:tab w:val="num" w:pos="5760"/>
        </w:tabs>
        <w:ind w:left="5760" w:hanging="360"/>
      </w:pPr>
      <w:rPr>
        <w:rFonts w:ascii="Calibri" w:hAnsi="Calibri" w:cs="Times New Roman" w:hint="default"/>
      </w:rPr>
    </w:lvl>
    <w:lvl w:ilvl="8" w:tplc="13108A10">
      <w:start w:val="1"/>
      <w:numFmt w:val="bullet"/>
      <w:lvlText w:val="•"/>
      <w:lvlJc w:val="left"/>
      <w:pPr>
        <w:tabs>
          <w:tab w:val="num" w:pos="6480"/>
        </w:tabs>
        <w:ind w:left="6480" w:hanging="360"/>
      </w:pPr>
      <w:rPr>
        <w:rFonts w:ascii="Calibri" w:hAnsi="Calibri" w:cs="Times New Roman" w:hint="default"/>
      </w:rPr>
    </w:lvl>
  </w:abstractNum>
  <w:abstractNum w:abstractNumId="22" w15:restartNumberingAfterBreak="0">
    <w:nsid w:val="354A079D"/>
    <w:multiLevelType w:val="hybridMultilevel"/>
    <w:tmpl w:val="15F4ACE0"/>
    <w:lvl w:ilvl="0" w:tplc="3A6A5842">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3" w15:restartNumberingAfterBreak="0">
    <w:nsid w:val="37406018"/>
    <w:multiLevelType w:val="multilevel"/>
    <w:tmpl w:val="6F9AFC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9E95A3B"/>
    <w:multiLevelType w:val="hybridMultilevel"/>
    <w:tmpl w:val="3014D380"/>
    <w:lvl w:ilvl="0" w:tplc="8C04DCE0">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6" w15:restartNumberingAfterBreak="0">
    <w:nsid w:val="3B114CF2"/>
    <w:multiLevelType w:val="hybridMultilevel"/>
    <w:tmpl w:val="6D32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49128F"/>
    <w:multiLevelType w:val="hybridMultilevel"/>
    <w:tmpl w:val="0430091E"/>
    <w:lvl w:ilvl="0" w:tplc="78EC7B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04D007D"/>
    <w:multiLevelType w:val="hybridMultilevel"/>
    <w:tmpl w:val="69F8A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A864546"/>
    <w:multiLevelType w:val="hybridMultilevel"/>
    <w:tmpl w:val="40963372"/>
    <w:lvl w:ilvl="0" w:tplc="0D40BE5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148EE0">
      <w:start w:val="1"/>
      <w:numFmt w:val="decimal"/>
      <w:lvlText w:val="%4."/>
      <w:lvlJc w:val="left"/>
      <w:pPr>
        <w:ind w:left="54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B2934"/>
    <w:multiLevelType w:val="hybridMultilevel"/>
    <w:tmpl w:val="1C5A16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E774B"/>
    <w:multiLevelType w:val="hybridMultilevel"/>
    <w:tmpl w:val="F5823A58"/>
    <w:lvl w:ilvl="0" w:tplc="DF22A4BA">
      <w:start w:val="1"/>
      <w:numFmt w:val="upperLetter"/>
      <w:lvlText w:val="%1."/>
      <w:lvlJc w:val="left"/>
      <w:pPr>
        <w:ind w:left="380" w:hanging="360"/>
      </w:pPr>
      <w:rPr>
        <w:rFonts w:hint="default"/>
      </w:r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15:restartNumberingAfterBreak="0">
    <w:nsid w:val="553170F9"/>
    <w:multiLevelType w:val="hybridMultilevel"/>
    <w:tmpl w:val="8F2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54C3C"/>
    <w:multiLevelType w:val="hybridMultilevel"/>
    <w:tmpl w:val="6DAE19BC"/>
    <w:lvl w:ilvl="0" w:tplc="C54A338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F84322"/>
    <w:multiLevelType w:val="hybridMultilevel"/>
    <w:tmpl w:val="43C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6" w15:restartNumberingAfterBreak="0">
    <w:nsid w:val="60F85006"/>
    <w:multiLevelType w:val="hybridMultilevel"/>
    <w:tmpl w:val="080AEA36"/>
    <w:lvl w:ilvl="0" w:tplc="A1CA3B7E">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59299C"/>
    <w:multiLevelType w:val="hybridMultilevel"/>
    <w:tmpl w:val="165AE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37A00ED"/>
    <w:multiLevelType w:val="hybridMultilevel"/>
    <w:tmpl w:val="FC364B88"/>
    <w:lvl w:ilvl="0" w:tplc="0206E6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C2DE6"/>
    <w:multiLevelType w:val="hybridMultilevel"/>
    <w:tmpl w:val="1248BDB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0D26EC4"/>
    <w:multiLevelType w:val="hybridMultilevel"/>
    <w:tmpl w:val="54E42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D804B5"/>
    <w:multiLevelType w:val="hybridMultilevel"/>
    <w:tmpl w:val="0430091E"/>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8510658"/>
    <w:multiLevelType w:val="hybridMultilevel"/>
    <w:tmpl w:val="167CE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C620C6"/>
    <w:multiLevelType w:val="hybridMultilevel"/>
    <w:tmpl w:val="E1202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140950">
    <w:abstractNumId w:val="12"/>
  </w:num>
  <w:num w:numId="2" w16cid:durableId="1473788372">
    <w:abstractNumId w:val="30"/>
  </w:num>
  <w:num w:numId="3" w16cid:durableId="123083020">
    <w:abstractNumId w:val="3"/>
  </w:num>
  <w:num w:numId="4" w16cid:durableId="795105233">
    <w:abstractNumId w:val="40"/>
  </w:num>
  <w:num w:numId="5" w16cid:durableId="1756317348">
    <w:abstractNumId w:val="26"/>
  </w:num>
  <w:num w:numId="6" w16cid:durableId="2121684052">
    <w:abstractNumId w:val="2"/>
  </w:num>
  <w:num w:numId="7" w16cid:durableId="1676759565">
    <w:abstractNumId w:val="20"/>
  </w:num>
  <w:num w:numId="8" w16cid:durableId="210653433">
    <w:abstractNumId w:val="34"/>
  </w:num>
  <w:num w:numId="9" w16cid:durableId="133720221">
    <w:abstractNumId w:val="13"/>
  </w:num>
  <w:num w:numId="10" w16cid:durableId="1967856362">
    <w:abstractNumId w:val="16"/>
  </w:num>
  <w:num w:numId="11" w16cid:durableId="2098817263">
    <w:abstractNumId w:val="0"/>
  </w:num>
  <w:num w:numId="12" w16cid:durableId="2110351443">
    <w:abstractNumId w:val="4"/>
  </w:num>
  <w:num w:numId="13" w16cid:durableId="1158500130">
    <w:abstractNumId w:val="22"/>
  </w:num>
  <w:num w:numId="14" w16cid:durableId="1877112319">
    <w:abstractNumId w:val="18"/>
  </w:num>
  <w:num w:numId="15" w16cid:durableId="407532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7294124">
    <w:abstractNumId w:val="28"/>
  </w:num>
  <w:num w:numId="17" w16cid:durableId="1521509329">
    <w:abstractNumId w:val="32"/>
  </w:num>
  <w:num w:numId="18" w16cid:durableId="80489015">
    <w:abstractNumId w:val="37"/>
  </w:num>
  <w:num w:numId="19" w16cid:durableId="980767654">
    <w:abstractNumId w:val="35"/>
  </w:num>
  <w:num w:numId="20" w16cid:durableId="1334801900">
    <w:abstractNumId w:val="19"/>
  </w:num>
  <w:num w:numId="21" w16cid:durableId="840241549">
    <w:abstractNumId w:val="23"/>
  </w:num>
  <w:num w:numId="22" w16cid:durableId="1322463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4547472">
    <w:abstractNumId w:val="29"/>
  </w:num>
  <w:num w:numId="24" w16cid:durableId="226378386">
    <w:abstractNumId w:val="6"/>
  </w:num>
  <w:num w:numId="25" w16cid:durableId="645674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9629534">
    <w:abstractNumId w:val="39"/>
  </w:num>
  <w:num w:numId="27" w16cid:durableId="1955400829">
    <w:abstractNumId w:val="8"/>
  </w:num>
  <w:num w:numId="28" w16cid:durableId="2084596929">
    <w:abstractNumId w:val="24"/>
  </w:num>
  <w:num w:numId="29" w16cid:durableId="407533067">
    <w:abstractNumId w:val="15"/>
  </w:num>
  <w:num w:numId="30" w16cid:durableId="496582862">
    <w:abstractNumId w:val="7"/>
  </w:num>
  <w:num w:numId="31" w16cid:durableId="89084072">
    <w:abstractNumId w:val="42"/>
  </w:num>
  <w:num w:numId="32" w16cid:durableId="1375692074">
    <w:abstractNumId w:val="31"/>
  </w:num>
  <w:num w:numId="33" w16cid:durableId="33236513">
    <w:abstractNumId w:val="1"/>
  </w:num>
  <w:num w:numId="34" w16cid:durableId="17396715">
    <w:abstractNumId w:val="11"/>
  </w:num>
  <w:num w:numId="35" w16cid:durableId="130707816">
    <w:abstractNumId w:val="10"/>
  </w:num>
  <w:num w:numId="36" w16cid:durableId="2063095884">
    <w:abstractNumId w:val="5"/>
  </w:num>
  <w:num w:numId="37" w16cid:durableId="37242315">
    <w:abstractNumId w:val="25"/>
  </w:num>
  <w:num w:numId="38" w16cid:durableId="1191381027">
    <w:abstractNumId w:val="21"/>
  </w:num>
  <w:num w:numId="39" w16cid:durableId="1842355054">
    <w:abstractNumId w:val="38"/>
  </w:num>
  <w:num w:numId="40" w16cid:durableId="1572035494">
    <w:abstractNumId w:val="33"/>
  </w:num>
  <w:num w:numId="41" w16cid:durableId="1746564141">
    <w:abstractNumId w:val="36"/>
  </w:num>
  <w:num w:numId="42" w16cid:durableId="1037508965">
    <w:abstractNumId w:val="17"/>
  </w:num>
  <w:num w:numId="43" w16cid:durableId="168494758">
    <w:abstractNumId w:val="27"/>
  </w:num>
  <w:num w:numId="44" w16cid:durableId="1439250837">
    <w:abstractNumId w:val="41"/>
  </w:num>
  <w:num w:numId="45" w16cid:durableId="1437140674">
    <w:abstractNumId w:val="14"/>
  </w:num>
  <w:num w:numId="46" w16cid:durableId="9325202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AB7535"/>
    <w:rsid w:val="000005DB"/>
    <w:rsid w:val="0000130C"/>
    <w:rsid w:val="0000203F"/>
    <w:rsid w:val="00004CBC"/>
    <w:rsid w:val="000055EB"/>
    <w:rsid w:val="00005611"/>
    <w:rsid w:val="00005D7F"/>
    <w:rsid w:val="00006F13"/>
    <w:rsid w:val="00013182"/>
    <w:rsid w:val="00014467"/>
    <w:rsid w:val="000147E4"/>
    <w:rsid w:val="000164AC"/>
    <w:rsid w:val="00020062"/>
    <w:rsid w:val="00020789"/>
    <w:rsid w:val="000212FD"/>
    <w:rsid w:val="0002260A"/>
    <w:rsid w:val="00022CAA"/>
    <w:rsid w:val="0002327F"/>
    <w:rsid w:val="00023A0E"/>
    <w:rsid w:val="00024013"/>
    <w:rsid w:val="0002464A"/>
    <w:rsid w:val="00024A6E"/>
    <w:rsid w:val="00025068"/>
    <w:rsid w:val="000316EF"/>
    <w:rsid w:val="00034402"/>
    <w:rsid w:val="00036AFB"/>
    <w:rsid w:val="00036E84"/>
    <w:rsid w:val="00043911"/>
    <w:rsid w:val="00043930"/>
    <w:rsid w:val="00043BAA"/>
    <w:rsid w:val="000443FC"/>
    <w:rsid w:val="00047975"/>
    <w:rsid w:val="00050093"/>
    <w:rsid w:val="000533BD"/>
    <w:rsid w:val="00053541"/>
    <w:rsid w:val="000543D8"/>
    <w:rsid w:val="000566BB"/>
    <w:rsid w:val="00060889"/>
    <w:rsid w:val="00060FE9"/>
    <w:rsid w:val="00063323"/>
    <w:rsid w:val="00064484"/>
    <w:rsid w:val="000646FF"/>
    <w:rsid w:val="00064AD6"/>
    <w:rsid w:val="00066216"/>
    <w:rsid w:val="00066DE1"/>
    <w:rsid w:val="00067701"/>
    <w:rsid w:val="00070BE5"/>
    <w:rsid w:val="000719B4"/>
    <w:rsid w:val="00073823"/>
    <w:rsid w:val="0007382A"/>
    <w:rsid w:val="000743BF"/>
    <w:rsid w:val="00076503"/>
    <w:rsid w:val="00077D2F"/>
    <w:rsid w:val="00080624"/>
    <w:rsid w:val="00081795"/>
    <w:rsid w:val="00081F50"/>
    <w:rsid w:val="000836DB"/>
    <w:rsid w:val="000858A9"/>
    <w:rsid w:val="00086594"/>
    <w:rsid w:val="00086C4F"/>
    <w:rsid w:val="0008712C"/>
    <w:rsid w:val="0009098A"/>
    <w:rsid w:val="00090D2C"/>
    <w:rsid w:val="00092F76"/>
    <w:rsid w:val="00093EBC"/>
    <w:rsid w:val="00094C30"/>
    <w:rsid w:val="00097194"/>
    <w:rsid w:val="00097257"/>
    <w:rsid w:val="000A0D20"/>
    <w:rsid w:val="000A1BB7"/>
    <w:rsid w:val="000A3B77"/>
    <w:rsid w:val="000A3CD9"/>
    <w:rsid w:val="000A4E2F"/>
    <w:rsid w:val="000A590B"/>
    <w:rsid w:val="000B2094"/>
    <w:rsid w:val="000B2331"/>
    <w:rsid w:val="000B5265"/>
    <w:rsid w:val="000C00BE"/>
    <w:rsid w:val="000C1400"/>
    <w:rsid w:val="000C2786"/>
    <w:rsid w:val="000C3ABF"/>
    <w:rsid w:val="000C3D1A"/>
    <w:rsid w:val="000C47E5"/>
    <w:rsid w:val="000C6624"/>
    <w:rsid w:val="000D00A8"/>
    <w:rsid w:val="000D23F9"/>
    <w:rsid w:val="000D2485"/>
    <w:rsid w:val="000D25A7"/>
    <w:rsid w:val="000D2FDC"/>
    <w:rsid w:val="000D7861"/>
    <w:rsid w:val="000E03CE"/>
    <w:rsid w:val="000E1A3D"/>
    <w:rsid w:val="000E1E8A"/>
    <w:rsid w:val="000E21AC"/>
    <w:rsid w:val="000E2416"/>
    <w:rsid w:val="000E4855"/>
    <w:rsid w:val="000E4A46"/>
    <w:rsid w:val="000E4C1D"/>
    <w:rsid w:val="000E5FBB"/>
    <w:rsid w:val="000E70B8"/>
    <w:rsid w:val="000F0FC9"/>
    <w:rsid w:val="000F1693"/>
    <w:rsid w:val="000F3164"/>
    <w:rsid w:val="000F66D8"/>
    <w:rsid w:val="000F6938"/>
    <w:rsid w:val="000F6C1C"/>
    <w:rsid w:val="00101E89"/>
    <w:rsid w:val="00103FB7"/>
    <w:rsid w:val="00106459"/>
    <w:rsid w:val="00107A39"/>
    <w:rsid w:val="00107AA4"/>
    <w:rsid w:val="0011339C"/>
    <w:rsid w:val="001137C7"/>
    <w:rsid w:val="0011622B"/>
    <w:rsid w:val="0012060D"/>
    <w:rsid w:val="001208E3"/>
    <w:rsid w:val="00120C33"/>
    <w:rsid w:val="00123425"/>
    <w:rsid w:val="00124B13"/>
    <w:rsid w:val="00124BFC"/>
    <w:rsid w:val="001251B9"/>
    <w:rsid w:val="00125C88"/>
    <w:rsid w:val="001261D2"/>
    <w:rsid w:val="00127681"/>
    <w:rsid w:val="00127792"/>
    <w:rsid w:val="001279F1"/>
    <w:rsid w:val="001307AE"/>
    <w:rsid w:val="001330D3"/>
    <w:rsid w:val="00134E76"/>
    <w:rsid w:val="001352A1"/>
    <w:rsid w:val="001414A6"/>
    <w:rsid w:val="00142491"/>
    <w:rsid w:val="00143479"/>
    <w:rsid w:val="00144CBF"/>
    <w:rsid w:val="00145DDF"/>
    <w:rsid w:val="001504DD"/>
    <w:rsid w:val="00150FF1"/>
    <w:rsid w:val="00153432"/>
    <w:rsid w:val="0015543D"/>
    <w:rsid w:val="00156F9C"/>
    <w:rsid w:val="00157AE0"/>
    <w:rsid w:val="00157DFF"/>
    <w:rsid w:val="001614AD"/>
    <w:rsid w:val="00163675"/>
    <w:rsid w:val="00165416"/>
    <w:rsid w:val="00165AC4"/>
    <w:rsid w:val="001664A6"/>
    <w:rsid w:val="001671B8"/>
    <w:rsid w:val="00167999"/>
    <w:rsid w:val="0017041A"/>
    <w:rsid w:val="00171D18"/>
    <w:rsid w:val="0017292D"/>
    <w:rsid w:val="001734E2"/>
    <w:rsid w:val="001738E9"/>
    <w:rsid w:val="00174D53"/>
    <w:rsid w:val="00181813"/>
    <w:rsid w:val="001836BD"/>
    <w:rsid w:val="00186565"/>
    <w:rsid w:val="00187DC2"/>
    <w:rsid w:val="0019156E"/>
    <w:rsid w:val="00194034"/>
    <w:rsid w:val="001959EA"/>
    <w:rsid w:val="00195F23"/>
    <w:rsid w:val="0019667E"/>
    <w:rsid w:val="00196C43"/>
    <w:rsid w:val="00197384"/>
    <w:rsid w:val="00197D4B"/>
    <w:rsid w:val="001A0F1C"/>
    <w:rsid w:val="001A1CD2"/>
    <w:rsid w:val="001A3BC0"/>
    <w:rsid w:val="001A4B2C"/>
    <w:rsid w:val="001B074B"/>
    <w:rsid w:val="001B17C2"/>
    <w:rsid w:val="001B1CE9"/>
    <w:rsid w:val="001B2409"/>
    <w:rsid w:val="001B533D"/>
    <w:rsid w:val="001B6588"/>
    <w:rsid w:val="001B7C6B"/>
    <w:rsid w:val="001C05F6"/>
    <w:rsid w:val="001C1231"/>
    <w:rsid w:val="001C188F"/>
    <w:rsid w:val="001C2337"/>
    <w:rsid w:val="001C4827"/>
    <w:rsid w:val="001C6329"/>
    <w:rsid w:val="001C641B"/>
    <w:rsid w:val="001C6BB9"/>
    <w:rsid w:val="001C76A0"/>
    <w:rsid w:val="001C7F79"/>
    <w:rsid w:val="001D0D1C"/>
    <w:rsid w:val="001D15E6"/>
    <w:rsid w:val="001D2763"/>
    <w:rsid w:val="001D373B"/>
    <w:rsid w:val="001D4600"/>
    <w:rsid w:val="001D561D"/>
    <w:rsid w:val="001D6992"/>
    <w:rsid w:val="001D7957"/>
    <w:rsid w:val="001E06E6"/>
    <w:rsid w:val="001E3BAE"/>
    <w:rsid w:val="001E439B"/>
    <w:rsid w:val="001E4B44"/>
    <w:rsid w:val="001E5E31"/>
    <w:rsid w:val="001E635C"/>
    <w:rsid w:val="001F2201"/>
    <w:rsid w:val="001F303F"/>
    <w:rsid w:val="001F5047"/>
    <w:rsid w:val="001F7D2D"/>
    <w:rsid w:val="001F7F57"/>
    <w:rsid w:val="00201745"/>
    <w:rsid w:val="00202753"/>
    <w:rsid w:val="00203FEE"/>
    <w:rsid w:val="002050F9"/>
    <w:rsid w:val="00205DC2"/>
    <w:rsid w:val="00207002"/>
    <w:rsid w:val="002105DB"/>
    <w:rsid w:val="00211096"/>
    <w:rsid w:val="00213732"/>
    <w:rsid w:val="002140A2"/>
    <w:rsid w:val="0021520B"/>
    <w:rsid w:val="0021678A"/>
    <w:rsid w:val="00217EC5"/>
    <w:rsid w:val="00221C95"/>
    <w:rsid w:val="002229A1"/>
    <w:rsid w:val="00223258"/>
    <w:rsid w:val="00223422"/>
    <w:rsid w:val="00223F0A"/>
    <w:rsid w:val="00225DF5"/>
    <w:rsid w:val="0022668E"/>
    <w:rsid w:val="00226D69"/>
    <w:rsid w:val="00227B2E"/>
    <w:rsid w:val="002306F8"/>
    <w:rsid w:val="00230EAA"/>
    <w:rsid w:val="0023262E"/>
    <w:rsid w:val="0023299A"/>
    <w:rsid w:val="002344DC"/>
    <w:rsid w:val="00236E35"/>
    <w:rsid w:val="002404EF"/>
    <w:rsid w:val="00240A17"/>
    <w:rsid w:val="00241509"/>
    <w:rsid w:val="002459CE"/>
    <w:rsid w:val="00246706"/>
    <w:rsid w:val="00246FE8"/>
    <w:rsid w:val="00247B7A"/>
    <w:rsid w:val="0025192B"/>
    <w:rsid w:val="00252550"/>
    <w:rsid w:val="002535F0"/>
    <w:rsid w:val="00256427"/>
    <w:rsid w:val="00256AF0"/>
    <w:rsid w:val="00261E67"/>
    <w:rsid w:val="00262588"/>
    <w:rsid w:val="0026624A"/>
    <w:rsid w:val="002669CF"/>
    <w:rsid w:val="00271677"/>
    <w:rsid w:val="002724F0"/>
    <w:rsid w:val="00274B35"/>
    <w:rsid w:val="0027544B"/>
    <w:rsid w:val="0027798E"/>
    <w:rsid w:val="00277C36"/>
    <w:rsid w:val="00282DD4"/>
    <w:rsid w:val="002838ED"/>
    <w:rsid w:val="00287101"/>
    <w:rsid w:val="00287C32"/>
    <w:rsid w:val="00290B03"/>
    <w:rsid w:val="00291879"/>
    <w:rsid w:val="00293677"/>
    <w:rsid w:val="00294A5B"/>
    <w:rsid w:val="0029534D"/>
    <w:rsid w:val="002953C7"/>
    <w:rsid w:val="00296080"/>
    <w:rsid w:val="002A23E1"/>
    <w:rsid w:val="002A45F1"/>
    <w:rsid w:val="002A4D27"/>
    <w:rsid w:val="002A636C"/>
    <w:rsid w:val="002B01A1"/>
    <w:rsid w:val="002B1094"/>
    <w:rsid w:val="002B27B8"/>
    <w:rsid w:val="002B2DDA"/>
    <w:rsid w:val="002B6387"/>
    <w:rsid w:val="002B64E7"/>
    <w:rsid w:val="002C07A1"/>
    <w:rsid w:val="002C1410"/>
    <w:rsid w:val="002C1E7E"/>
    <w:rsid w:val="002C4588"/>
    <w:rsid w:val="002C4936"/>
    <w:rsid w:val="002C65FD"/>
    <w:rsid w:val="002D307A"/>
    <w:rsid w:val="002D4926"/>
    <w:rsid w:val="002D4C3B"/>
    <w:rsid w:val="002D6450"/>
    <w:rsid w:val="002D7684"/>
    <w:rsid w:val="002D79F9"/>
    <w:rsid w:val="002E1BDC"/>
    <w:rsid w:val="002E1F31"/>
    <w:rsid w:val="002E51C2"/>
    <w:rsid w:val="002E7EE8"/>
    <w:rsid w:val="002F1711"/>
    <w:rsid w:val="002F3712"/>
    <w:rsid w:val="002F51B5"/>
    <w:rsid w:val="002F62A7"/>
    <w:rsid w:val="002F7983"/>
    <w:rsid w:val="002F7D6A"/>
    <w:rsid w:val="003010DE"/>
    <w:rsid w:val="003012EF"/>
    <w:rsid w:val="00304FA9"/>
    <w:rsid w:val="00307464"/>
    <w:rsid w:val="00310CD1"/>
    <w:rsid w:val="00311226"/>
    <w:rsid w:val="00313356"/>
    <w:rsid w:val="003159CE"/>
    <w:rsid w:val="00316F7A"/>
    <w:rsid w:val="00317092"/>
    <w:rsid w:val="003170DF"/>
    <w:rsid w:val="00321095"/>
    <w:rsid w:val="00325A0E"/>
    <w:rsid w:val="00331713"/>
    <w:rsid w:val="0033434E"/>
    <w:rsid w:val="00334413"/>
    <w:rsid w:val="0033593B"/>
    <w:rsid w:val="00340FA5"/>
    <w:rsid w:val="00341BEF"/>
    <w:rsid w:val="00342156"/>
    <w:rsid w:val="00344008"/>
    <w:rsid w:val="0034559B"/>
    <w:rsid w:val="00352227"/>
    <w:rsid w:val="00352338"/>
    <w:rsid w:val="003533B0"/>
    <w:rsid w:val="00354333"/>
    <w:rsid w:val="0035466D"/>
    <w:rsid w:val="0035558B"/>
    <w:rsid w:val="00355CE1"/>
    <w:rsid w:val="00356E85"/>
    <w:rsid w:val="00361D22"/>
    <w:rsid w:val="003625DC"/>
    <w:rsid w:val="0036331A"/>
    <w:rsid w:val="003647C1"/>
    <w:rsid w:val="0036514D"/>
    <w:rsid w:val="003664EE"/>
    <w:rsid w:val="003673CE"/>
    <w:rsid w:val="00367C46"/>
    <w:rsid w:val="003703CD"/>
    <w:rsid w:val="00372C38"/>
    <w:rsid w:val="00373820"/>
    <w:rsid w:val="0037499F"/>
    <w:rsid w:val="00374AEA"/>
    <w:rsid w:val="003772C9"/>
    <w:rsid w:val="0037775D"/>
    <w:rsid w:val="00380EAB"/>
    <w:rsid w:val="00381137"/>
    <w:rsid w:val="003829C3"/>
    <w:rsid w:val="00382EC7"/>
    <w:rsid w:val="003831BD"/>
    <w:rsid w:val="003858F2"/>
    <w:rsid w:val="0038793E"/>
    <w:rsid w:val="00394C42"/>
    <w:rsid w:val="003960D7"/>
    <w:rsid w:val="003A0F10"/>
    <w:rsid w:val="003A1498"/>
    <w:rsid w:val="003A48C7"/>
    <w:rsid w:val="003A4A3E"/>
    <w:rsid w:val="003B0C52"/>
    <w:rsid w:val="003B0CC7"/>
    <w:rsid w:val="003B53B6"/>
    <w:rsid w:val="003C0031"/>
    <w:rsid w:val="003C0117"/>
    <w:rsid w:val="003C011E"/>
    <w:rsid w:val="003C02FE"/>
    <w:rsid w:val="003C04ED"/>
    <w:rsid w:val="003C06F9"/>
    <w:rsid w:val="003C2ABE"/>
    <w:rsid w:val="003C4549"/>
    <w:rsid w:val="003C5F93"/>
    <w:rsid w:val="003D23C7"/>
    <w:rsid w:val="003D2473"/>
    <w:rsid w:val="003D3B4A"/>
    <w:rsid w:val="003D58AA"/>
    <w:rsid w:val="003D5956"/>
    <w:rsid w:val="003D682B"/>
    <w:rsid w:val="003D6967"/>
    <w:rsid w:val="003D7315"/>
    <w:rsid w:val="003D7CD5"/>
    <w:rsid w:val="003E205D"/>
    <w:rsid w:val="003E3598"/>
    <w:rsid w:val="003E3EBF"/>
    <w:rsid w:val="003E565D"/>
    <w:rsid w:val="003E5E1A"/>
    <w:rsid w:val="003E6475"/>
    <w:rsid w:val="003E6F7E"/>
    <w:rsid w:val="003F30F4"/>
    <w:rsid w:val="003F31D5"/>
    <w:rsid w:val="003F58CF"/>
    <w:rsid w:val="004008AE"/>
    <w:rsid w:val="0040191E"/>
    <w:rsid w:val="00402B8F"/>
    <w:rsid w:val="00403012"/>
    <w:rsid w:val="00404787"/>
    <w:rsid w:val="00405173"/>
    <w:rsid w:val="0040670F"/>
    <w:rsid w:val="00407CAE"/>
    <w:rsid w:val="00410519"/>
    <w:rsid w:val="00411324"/>
    <w:rsid w:val="00412201"/>
    <w:rsid w:val="00412783"/>
    <w:rsid w:val="004140A6"/>
    <w:rsid w:val="00415351"/>
    <w:rsid w:val="00415695"/>
    <w:rsid w:val="00416DE5"/>
    <w:rsid w:val="00417BEE"/>
    <w:rsid w:val="00417CF9"/>
    <w:rsid w:val="00423E0B"/>
    <w:rsid w:val="00433A04"/>
    <w:rsid w:val="0043402B"/>
    <w:rsid w:val="00436ACF"/>
    <w:rsid w:val="00437B77"/>
    <w:rsid w:val="00440A11"/>
    <w:rsid w:val="004433B2"/>
    <w:rsid w:val="00443C3F"/>
    <w:rsid w:val="00444169"/>
    <w:rsid w:val="00444F6A"/>
    <w:rsid w:val="00450BFF"/>
    <w:rsid w:val="00451948"/>
    <w:rsid w:val="0045201E"/>
    <w:rsid w:val="004540AE"/>
    <w:rsid w:val="00454B17"/>
    <w:rsid w:val="00455E26"/>
    <w:rsid w:val="004576B9"/>
    <w:rsid w:val="004600F3"/>
    <w:rsid w:val="00460746"/>
    <w:rsid w:val="00460979"/>
    <w:rsid w:val="004618CB"/>
    <w:rsid w:val="004630C4"/>
    <w:rsid w:val="00463C1C"/>
    <w:rsid w:val="004656A6"/>
    <w:rsid w:val="00467044"/>
    <w:rsid w:val="00470B71"/>
    <w:rsid w:val="004710BA"/>
    <w:rsid w:val="00471688"/>
    <w:rsid w:val="0047587C"/>
    <w:rsid w:val="004758F9"/>
    <w:rsid w:val="00476B76"/>
    <w:rsid w:val="00476E27"/>
    <w:rsid w:val="00476EE4"/>
    <w:rsid w:val="004777ED"/>
    <w:rsid w:val="00480024"/>
    <w:rsid w:val="0048169F"/>
    <w:rsid w:val="00482905"/>
    <w:rsid w:val="00485C7C"/>
    <w:rsid w:val="004914D6"/>
    <w:rsid w:val="00491EF6"/>
    <w:rsid w:val="00492BB6"/>
    <w:rsid w:val="0049394B"/>
    <w:rsid w:val="00493F18"/>
    <w:rsid w:val="00496A14"/>
    <w:rsid w:val="004978E0"/>
    <w:rsid w:val="004A2553"/>
    <w:rsid w:val="004A278C"/>
    <w:rsid w:val="004A394B"/>
    <w:rsid w:val="004A44EE"/>
    <w:rsid w:val="004A5AD7"/>
    <w:rsid w:val="004A5DD4"/>
    <w:rsid w:val="004A6F24"/>
    <w:rsid w:val="004A7A82"/>
    <w:rsid w:val="004B09B9"/>
    <w:rsid w:val="004B0CBB"/>
    <w:rsid w:val="004B103F"/>
    <w:rsid w:val="004B46A2"/>
    <w:rsid w:val="004B4C5F"/>
    <w:rsid w:val="004B4CCB"/>
    <w:rsid w:val="004B4E53"/>
    <w:rsid w:val="004B58B0"/>
    <w:rsid w:val="004B5DCB"/>
    <w:rsid w:val="004B75F5"/>
    <w:rsid w:val="004C1FF1"/>
    <w:rsid w:val="004C2E8E"/>
    <w:rsid w:val="004C2F5F"/>
    <w:rsid w:val="004C4213"/>
    <w:rsid w:val="004C6341"/>
    <w:rsid w:val="004D64E4"/>
    <w:rsid w:val="004D6D09"/>
    <w:rsid w:val="004D7382"/>
    <w:rsid w:val="004D7DF6"/>
    <w:rsid w:val="004E0C32"/>
    <w:rsid w:val="004E354F"/>
    <w:rsid w:val="004E4A7B"/>
    <w:rsid w:val="004E538D"/>
    <w:rsid w:val="004E58A4"/>
    <w:rsid w:val="004E6435"/>
    <w:rsid w:val="004E6B39"/>
    <w:rsid w:val="004F0016"/>
    <w:rsid w:val="004F0E1B"/>
    <w:rsid w:val="004F1985"/>
    <w:rsid w:val="004F24BE"/>
    <w:rsid w:val="004F41A7"/>
    <w:rsid w:val="004F4FB9"/>
    <w:rsid w:val="004F6B2C"/>
    <w:rsid w:val="0050011A"/>
    <w:rsid w:val="00501A4A"/>
    <w:rsid w:val="00501C60"/>
    <w:rsid w:val="005027E7"/>
    <w:rsid w:val="0050287B"/>
    <w:rsid w:val="0050432C"/>
    <w:rsid w:val="00505EC1"/>
    <w:rsid w:val="00507C7B"/>
    <w:rsid w:val="00512016"/>
    <w:rsid w:val="005125D8"/>
    <w:rsid w:val="0051274B"/>
    <w:rsid w:val="00512F7E"/>
    <w:rsid w:val="0051465E"/>
    <w:rsid w:val="00515193"/>
    <w:rsid w:val="005166A4"/>
    <w:rsid w:val="00516D0B"/>
    <w:rsid w:val="00521F73"/>
    <w:rsid w:val="0052539F"/>
    <w:rsid w:val="00532008"/>
    <w:rsid w:val="005335B0"/>
    <w:rsid w:val="0053424B"/>
    <w:rsid w:val="0053606D"/>
    <w:rsid w:val="00541CE8"/>
    <w:rsid w:val="00542582"/>
    <w:rsid w:val="00544976"/>
    <w:rsid w:val="00546BB9"/>
    <w:rsid w:val="00547CEA"/>
    <w:rsid w:val="00552A8D"/>
    <w:rsid w:val="005535AE"/>
    <w:rsid w:val="00554A3F"/>
    <w:rsid w:val="0055556A"/>
    <w:rsid w:val="00557C05"/>
    <w:rsid w:val="00560000"/>
    <w:rsid w:val="00560268"/>
    <w:rsid w:val="00561132"/>
    <w:rsid w:val="00562462"/>
    <w:rsid w:val="00562B7A"/>
    <w:rsid w:val="00562EBC"/>
    <w:rsid w:val="005631F1"/>
    <w:rsid w:val="00570A34"/>
    <w:rsid w:val="00571E03"/>
    <w:rsid w:val="005739DC"/>
    <w:rsid w:val="005756B7"/>
    <w:rsid w:val="00584ABD"/>
    <w:rsid w:val="005879E7"/>
    <w:rsid w:val="005948E7"/>
    <w:rsid w:val="00595C4A"/>
    <w:rsid w:val="005968A2"/>
    <w:rsid w:val="00596F96"/>
    <w:rsid w:val="005A0451"/>
    <w:rsid w:val="005A0764"/>
    <w:rsid w:val="005A0AAD"/>
    <w:rsid w:val="005A0C6C"/>
    <w:rsid w:val="005A2249"/>
    <w:rsid w:val="005A33F7"/>
    <w:rsid w:val="005A4A28"/>
    <w:rsid w:val="005A6992"/>
    <w:rsid w:val="005A7F8B"/>
    <w:rsid w:val="005B1021"/>
    <w:rsid w:val="005B14DF"/>
    <w:rsid w:val="005B2510"/>
    <w:rsid w:val="005B52D8"/>
    <w:rsid w:val="005B5822"/>
    <w:rsid w:val="005B7015"/>
    <w:rsid w:val="005B7202"/>
    <w:rsid w:val="005B78FC"/>
    <w:rsid w:val="005C0E1E"/>
    <w:rsid w:val="005C1D2F"/>
    <w:rsid w:val="005C3921"/>
    <w:rsid w:val="005C3CBD"/>
    <w:rsid w:val="005C4538"/>
    <w:rsid w:val="005C52DB"/>
    <w:rsid w:val="005C6161"/>
    <w:rsid w:val="005C6C5E"/>
    <w:rsid w:val="005C6FBC"/>
    <w:rsid w:val="005D2331"/>
    <w:rsid w:val="005D49B7"/>
    <w:rsid w:val="005D49D6"/>
    <w:rsid w:val="005D4B58"/>
    <w:rsid w:val="005D586B"/>
    <w:rsid w:val="005D5F3F"/>
    <w:rsid w:val="005E0BFB"/>
    <w:rsid w:val="005E33CD"/>
    <w:rsid w:val="005E5B2B"/>
    <w:rsid w:val="005E5C4F"/>
    <w:rsid w:val="005E6ED6"/>
    <w:rsid w:val="005E74CE"/>
    <w:rsid w:val="005E79DE"/>
    <w:rsid w:val="005F151F"/>
    <w:rsid w:val="005F7834"/>
    <w:rsid w:val="005F78DF"/>
    <w:rsid w:val="005F7BC2"/>
    <w:rsid w:val="00600D88"/>
    <w:rsid w:val="00602720"/>
    <w:rsid w:val="00603163"/>
    <w:rsid w:val="006031A4"/>
    <w:rsid w:val="00605171"/>
    <w:rsid w:val="00605826"/>
    <w:rsid w:val="00605BD9"/>
    <w:rsid w:val="0060638C"/>
    <w:rsid w:val="0060680B"/>
    <w:rsid w:val="00610C0E"/>
    <w:rsid w:val="00611972"/>
    <w:rsid w:val="006125FD"/>
    <w:rsid w:val="00613E7F"/>
    <w:rsid w:val="00614FBA"/>
    <w:rsid w:val="00615D81"/>
    <w:rsid w:val="006164E7"/>
    <w:rsid w:val="00616577"/>
    <w:rsid w:val="00617041"/>
    <w:rsid w:val="00621998"/>
    <w:rsid w:val="00621C03"/>
    <w:rsid w:val="006220ED"/>
    <w:rsid w:val="0062232C"/>
    <w:rsid w:val="006232BB"/>
    <w:rsid w:val="006239DF"/>
    <w:rsid w:val="00624B2C"/>
    <w:rsid w:val="00624F9A"/>
    <w:rsid w:val="00626095"/>
    <w:rsid w:val="006261AF"/>
    <w:rsid w:val="00627382"/>
    <w:rsid w:val="0063299D"/>
    <w:rsid w:val="00634D85"/>
    <w:rsid w:val="00635992"/>
    <w:rsid w:val="00637599"/>
    <w:rsid w:val="00637824"/>
    <w:rsid w:val="00637DAE"/>
    <w:rsid w:val="0064060A"/>
    <w:rsid w:val="006411D9"/>
    <w:rsid w:val="006411E6"/>
    <w:rsid w:val="0064185D"/>
    <w:rsid w:val="006424A8"/>
    <w:rsid w:val="00642E9B"/>
    <w:rsid w:val="00645E57"/>
    <w:rsid w:val="00646CB3"/>
    <w:rsid w:val="006478AC"/>
    <w:rsid w:val="00650955"/>
    <w:rsid w:val="00653AB1"/>
    <w:rsid w:val="00656E39"/>
    <w:rsid w:val="0065744E"/>
    <w:rsid w:val="00657FEE"/>
    <w:rsid w:val="006636BD"/>
    <w:rsid w:val="00667B19"/>
    <w:rsid w:val="0067284D"/>
    <w:rsid w:val="0067582D"/>
    <w:rsid w:val="00676B4C"/>
    <w:rsid w:val="00677982"/>
    <w:rsid w:val="00677F0E"/>
    <w:rsid w:val="00680454"/>
    <w:rsid w:val="0068074E"/>
    <w:rsid w:val="00683BDE"/>
    <w:rsid w:val="00683DB9"/>
    <w:rsid w:val="006853C5"/>
    <w:rsid w:val="00690068"/>
    <w:rsid w:val="00690453"/>
    <w:rsid w:val="00690733"/>
    <w:rsid w:val="00690D93"/>
    <w:rsid w:val="0069326E"/>
    <w:rsid w:val="00694D4F"/>
    <w:rsid w:val="006955ED"/>
    <w:rsid w:val="006959A1"/>
    <w:rsid w:val="00697DAF"/>
    <w:rsid w:val="006A4D8C"/>
    <w:rsid w:val="006B0B69"/>
    <w:rsid w:val="006B142C"/>
    <w:rsid w:val="006B2D30"/>
    <w:rsid w:val="006B48A7"/>
    <w:rsid w:val="006B5BC3"/>
    <w:rsid w:val="006C0CE4"/>
    <w:rsid w:val="006C2577"/>
    <w:rsid w:val="006C30CC"/>
    <w:rsid w:val="006C3FBF"/>
    <w:rsid w:val="006C4B1B"/>
    <w:rsid w:val="006C5191"/>
    <w:rsid w:val="006C6CFF"/>
    <w:rsid w:val="006C7356"/>
    <w:rsid w:val="006C7671"/>
    <w:rsid w:val="006D1030"/>
    <w:rsid w:val="006D1795"/>
    <w:rsid w:val="006D4188"/>
    <w:rsid w:val="006D5B65"/>
    <w:rsid w:val="006D6CC6"/>
    <w:rsid w:val="006D7100"/>
    <w:rsid w:val="006D79AA"/>
    <w:rsid w:val="006E465F"/>
    <w:rsid w:val="006E7493"/>
    <w:rsid w:val="006E7DCB"/>
    <w:rsid w:val="006E7E6A"/>
    <w:rsid w:val="006F0967"/>
    <w:rsid w:val="006F0FBB"/>
    <w:rsid w:val="006F10DE"/>
    <w:rsid w:val="006F4AD4"/>
    <w:rsid w:val="006F5995"/>
    <w:rsid w:val="006F6332"/>
    <w:rsid w:val="006F7975"/>
    <w:rsid w:val="0070010A"/>
    <w:rsid w:val="007011CC"/>
    <w:rsid w:val="007018F1"/>
    <w:rsid w:val="00702C8B"/>
    <w:rsid w:val="00702EAF"/>
    <w:rsid w:val="007031A4"/>
    <w:rsid w:val="0070410E"/>
    <w:rsid w:val="007062D4"/>
    <w:rsid w:val="00707D0B"/>
    <w:rsid w:val="0071176C"/>
    <w:rsid w:val="0071390E"/>
    <w:rsid w:val="007143F8"/>
    <w:rsid w:val="007144B3"/>
    <w:rsid w:val="007145AD"/>
    <w:rsid w:val="007159FB"/>
    <w:rsid w:val="00715E3E"/>
    <w:rsid w:val="007167F5"/>
    <w:rsid w:val="00716CDD"/>
    <w:rsid w:val="0071796E"/>
    <w:rsid w:val="007209C0"/>
    <w:rsid w:val="00720AB4"/>
    <w:rsid w:val="00722B50"/>
    <w:rsid w:val="00722E63"/>
    <w:rsid w:val="00722FE3"/>
    <w:rsid w:val="00725EB8"/>
    <w:rsid w:val="00726497"/>
    <w:rsid w:val="00726B51"/>
    <w:rsid w:val="0073000F"/>
    <w:rsid w:val="00730DCD"/>
    <w:rsid w:val="007330AE"/>
    <w:rsid w:val="0073376E"/>
    <w:rsid w:val="007340E6"/>
    <w:rsid w:val="007347C1"/>
    <w:rsid w:val="00735D64"/>
    <w:rsid w:val="00735E11"/>
    <w:rsid w:val="007404E6"/>
    <w:rsid w:val="007458F8"/>
    <w:rsid w:val="0075074E"/>
    <w:rsid w:val="0075078E"/>
    <w:rsid w:val="0075083F"/>
    <w:rsid w:val="00753E62"/>
    <w:rsid w:val="007561CA"/>
    <w:rsid w:val="00757F6E"/>
    <w:rsid w:val="007630E3"/>
    <w:rsid w:val="007636BF"/>
    <w:rsid w:val="0076416F"/>
    <w:rsid w:val="0076748E"/>
    <w:rsid w:val="007710AF"/>
    <w:rsid w:val="0077537B"/>
    <w:rsid w:val="00776883"/>
    <w:rsid w:val="00777932"/>
    <w:rsid w:val="00777A9A"/>
    <w:rsid w:val="007819DF"/>
    <w:rsid w:val="00784941"/>
    <w:rsid w:val="00786410"/>
    <w:rsid w:val="0078721A"/>
    <w:rsid w:val="007901B9"/>
    <w:rsid w:val="00790A34"/>
    <w:rsid w:val="0079506D"/>
    <w:rsid w:val="00795305"/>
    <w:rsid w:val="00796B49"/>
    <w:rsid w:val="007974A1"/>
    <w:rsid w:val="007A3FC7"/>
    <w:rsid w:val="007A47B0"/>
    <w:rsid w:val="007A5DEC"/>
    <w:rsid w:val="007B05F9"/>
    <w:rsid w:val="007B1FE6"/>
    <w:rsid w:val="007B3A4F"/>
    <w:rsid w:val="007B4BD6"/>
    <w:rsid w:val="007C1856"/>
    <w:rsid w:val="007C2614"/>
    <w:rsid w:val="007D0A4D"/>
    <w:rsid w:val="007D0B13"/>
    <w:rsid w:val="007D1E71"/>
    <w:rsid w:val="007D3061"/>
    <w:rsid w:val="007D4599"/>
    <w:rsid w:val="007D5EBA"/>
    <w:rsid w:val="007D7A08"/>
    <w:rsid w:val="007D7E84"/>
    <w:rsid w:val="007E0898"/>
    <w:rsid w:val="007E2711"/>
    <w:rsid w:val="007E2A81"/>
    <w:rsid w:val="007E3514"/>
    <w:rsid w:val="007E481F"/>
    <w:rsid w:val="007E5003"/>
    <w:rsid w:val="007E6BF7"/>
    <w:rsid w:val="007E7083"/>
    <w:rsid w:val="007F1C4C"/>
    <w:rsid w:val="007F212D"/>
    <w:rsid w:val="007F6719"/>
    <w:rsid w:val="007F6A69"/>
    <w:rsid w:val="007F7CBE"/>
    <w:rsid w:val="008005DF"/>
    <w:rsid w:val="008025F7"/>
    <w:rsid w:val="00803BE2"/>
    <w:rsid w:val="00804FB9"/>
    <w:rsid w:val="00806393"/>
    <w:rsid w:val="008064EE"/>
    <w:rsid w:val="00806971"/>
    <w:rsid w:val="00806FA7"/>
    <w:rsid w:val="00806FC1"/>
    <w:rsid w:val="00807362"/>
    <w:rsid w:val="00807BD1"/>
    <w:rsid w:val="00810F61"/>
    <w:rsid w:val="00811EFF"/>
    <w:rsid w:val="00812155"/>
    <w:rsid w:val="00812613"/>
    <w:rsid w:val="00814DA8"/>
    <w:rsid w:val="008151F9"/>
    <w:rsid w:val="00815D38"/>
    <w:rsid w:val="00815EAC"/>
    <w:rsid w:val="00820F44"/>
    <w:rsid w:val="008239D2"/>
    <w:rsid w:val="0082504E"/>
    <w:rsid w:val="00825681"/>
    <w:rsid w:val="008258EF"/>
    <w:rsid w:val="00827632"/>
    <w:rsid w:val="00831042"/>
    <w:rsid w:val="00832F3E"/>
    <w:rsid w:val="00833854"/>
    <w:rsid w:val="00836E5D"/>
    <w:rsid w:val="0083771B"/>
    <w:rsid w:val="008402B5"/>
    <w:rsid w:val="00840961"/>
    <w:rsid w:val="0084202A"/>
    <w:rsid w:val="008453D2"/>
    <w:rsid w:val="00846976"/>
    <w:rsid w:val="008472F8"/>
    <w:rsid w:val="00847A80"/>
    <w:rsid w:val="0085095D"/>
    <w:rsid w:val="0085387A"/>
    <w:rsid w:val="00854836"/>
    <w:rsid w:val="00857A0A"/>
    <w:rsid w:val="0086068A"/>
    <w:rsid w:val="008619EC"/>
    <w:rsid w:val="008625A0"/>
    <w:rsid w:val="0086278A"/>
    <w:rsid w:val="00862D6A"/>
    <w:rsid w:val="00864338"/>
    <w:rsid w:val="008723E6"/>
    <w:rsid w:val="008745B4"/>
    <w:rsid w:val="008746D6"/>
    <w:rsid w:val="00874D35"/>
    <w:rsid w:val="00874E5F"/>
    <w:rsid w:val="0087581E"/>
    <w:rsid w:val="00881254"/>
    <w:rsid w:val="00881391"/>
    <w:rsid w:val="0088656A"/>
    <w:rsid w:val="00886FBF"/>
    <w:rsid w:val="00895A24"/>
    <w:rsid w:val="00895B91"/>
    <w:rsid w:val="008973E5"/>
    <w:rsid w:val="008A224A"/>
    <w:rsid w:val="008A3591"/>
    <w:rsid w:val="008A5586"/>
    <w:rsid w:val="008A6566"/>
    <w:rsid w:val="008A65B5"/>
    <w:rsid w:val="008A6A51"/>
    <w:rsid w:val="008A77B3"/>
    <w:rsid w:val="008B0426"/>
    <w:rsid w:val="008B5A86"/>
    <w:rsid w:val="008C0879"/>
    <w:rsid w:val="008C2772"/>
    <w:rsid w:val="008C281A"/>
    <w:rsid w:val="008C42A6"/>
    <w:rsid w:val="008C6093"/>
    <w:rsid w:val="008C7173"/>
    <w:rsid w:val="008C781B"/>
    <w:rsid w:val="008C7FB0"/>
    <w:rsid w:val="008D0371"/>
    <w:rsid w:val="008D048C"/>
    <w:rsid w:val="008D1C33"/>
    <w:rsid w:val="008D1F24"/>
    <w:rsid w:val="008D2DDF"/>
    <w:rsid w:val="008D3FC0"/>
    <w:rsid w:val="008D6C52"/>
    <w:rsid w:val="008D7C6B"/>
    <w:rsid w:val="008E2318"/>
    <w:rsid w:val="008E3AF5"/>
    <w:rsid w:val="008E4014"/>
    <w:rsid w:val="008E4E20"/>
    <w:rsid w:val="008E6E44"/>
    <w:rsid w:val="008F0DCD"/>
    <w:rsid w:val="008F1019"/>
    <w:rsid w:val="008F11BE"/>
    <w:rsid w:val="008F72D4"/>
    <w:rsid w:val="0090356F"/>
    <w:rsid w:val="00903803"/>
    <w:rsid w:val="009050CD"/>
    <w:rsid w:val="00905F31"/>
    <w:rsid w:val="009126B8"/>
    <w:rsid w:val="009141F6"/>
    <w:rsid w:val="00915A02"/>
    <w:rsid w:val="00916772"/>
    <w:rsid w:val="009201D1"/>
    <w:rsid w:val="00920CBC"/>
    <w:rsid w:val="00921D3A"/>
    <w:rsid w:val="00922317"/>
    <w:rsid w:val="0092325E"/>
    <w:rsid w:val="009245CF"/>
    <w:rsid w:val="0092699B"/>
    <w:rsid w:val="00927495"/>
    <w:rsid w:val="0092793D"/>
    <w:rsid w:val="0093268B"/>
    <w:rsid w:val="00933D9E"/>
    <w:rsid w:val="00937AA5"/>
    <w:rsid w:val="009418CB"/>
    <w:rsid w:val="00945BCD"/>
    <w:rsid w:val="00950D90"/>
    <w:rsid w:val="00951573"/>
    <w:rsid w:val="00952743"/>
    <w:rsid w:val="009550B0"/>
    <w:rsid w:val="0096089B"/>
    <w:rsid w:val="00960ECD"/>
    <w:rsid w:val="00963130"/>
    <w:rsid w:val="00963D9E"/>
    <w:rsid w:val="0096459D"/>
    <w:rsid w:val="009659D9"/>
    <w:rsid w:val="00966EF2"/>
    <w:rsid w:val="00973309"/>
    <w:rsid w:val="009743F5"/>
    <w:rsid w:val="00976223"/>
    <w:rsid w:val="00977BEC"/>
    <w:rsid w:val="009805E0"/>
    <w:rsid w:val="009813CC"/>
    <w:rsid w:val="00984A0B"/>
    <w:rsid w:val="0098652A"/>
    <w:rsid w:val="009871E3"/>
    <w:rsid w:val="00987284"/>
    <w:rsid w:val="009903B5"/>
    <w:rsid w:val="00990BD8"/>
    <w:rsid w:val="009918E0"/>
    <w:rsid w:val="00991C77"/>
    <w:rsid w:val="00992D0C"/>
    <w:rsid w:val="00992E84"/>
    <w:rsid w:val="009972F4"/>
    <w:rsid w:val="009A013A"/>
    <w:rsid w:val="009A2ACE"/>
    <w:rsid w:val="009A32E5"/>
    <w:rsid w:val="009A335D"/>
    <w:rsid w:val="009A3864"/>
    <w:rsid w:val="009A4F49"/>
    <w:rsid w:val="009A76C8"/>
    <w:rsid w:val="009A79A5"/>
    <w:rsid w:val="009B13C3"/>
    <w:rsid w:val="009B14E7"/>
    <w:rsid w:val="009B3F1F"/>
    <w:rsid w:val="009B417F"/>
    <w:rsid w:val="009B4FD4"/>
    <w:rsid w:val="009B525F"/>
    <w:rsid w:val="009B53A2"/>
    <w:rsid w:val="009C1F10"/>
    <w:rsid w:val="009C24E4"/>
    <w:rsid w:val="009C4CCF"/>
    <w:rsid w:val="009C5108"/>
    <w:rsid w:val="009C5793"/>
    <w:rsid w:val="009C625C"/>
    <w:rsid w:val="009C7EEC"/>
    <w:rsid w:val="009D1CDF"/>
    <w:rsid w:val="009D6ABD"/>
    <w:rsid w:val="009D7563"/>
    <w:rsid w:val="009E05B5"/>
    <w:rsid w:val="009E0D5A"/>
    <w:rsid w:val="009E2884"/>
    <w:rsid w:val="009E5158"/>
    <w:rsid w:val="009E56EA"/>
    <w:rsid w:val="009E7F98"/>
    <w:rsid w:val="009F194F"/>
    <w:rsid w:val="009F1C87"/>
    <w:rsid w:val="009F1FA3"/>
    <w:rsid w:val="009F2E75"/>
    <w:rsid w:val="009F4F4F"/>
    <w:rsid w:val="009F6089"/>
    <w:rsid w:val="009F6A86"/>
    <w:rsid w:val="00A01193"/>
    <w:rsid w:val="00A020FB"/>
    <w:rsid w:val="00A06961"/>
    <w:rsid w:val="00A11BAC"/>
    <w:rsid w:val="00A12018"/>
    <w:rsid w:val="00A122F5"/>
    <w:rsid w:val="00A12962"/>
    <w:rsid w:val="00A13C34"/>
    <w:rsid w:val="00A168A0"/>
    <w:rsid w:val="00A17FDC"/>
    <w:rsid w:val="00A20DD4"/>
    <w:rsid w:val="00A213C5"/>
    <w:rsid w:val="00A214DD"/>
    <w:rsid w:val="00A27724"/>
    <w:rsid w:val="00A30EF2"/>
    <w:rsid w:val="00A31166"/>
    <w:rsid w:val="00A32348"/>
    <w:rsid w:val="00A324C9"/>
    <w:rsid w:val="00A32B05"/>
    <w:rsid w:val="00A368A8"/>
    <w:rsid w:val="00A37920"/>
    <w:rsid w:val="00A404C5"/>
    <w:rsid w:val="00A404D6"/>
    <w:rsid w:val="00A40AEA"/>
    <w:rsid w:val="00A40E3E"/>
    <w:rsid w:val="00A42811"/>
    <w:rsid w:val="00A45041"/>
    <w:rsid w:val="00A47EC9"/>
    <w:rsid w:val="00A5431E"/>
    <w:rsid w:val="00A54812"/>
    <w:rsid w:val="00A56196"/>
    <w:rsid w:val="00A56746"/>
    <w:rsid w:val="00A56A79"/>
    <w:rsid w:val="00A56B4B"/>
    <w:rsid w:val="00A571E8"/>
    <w:rsid w:val="00A60126"/>
    <w:rsid w:val="00A60127"/>
    <w:rsid w:val="00A604E4"/>
    <w:rsid w:val="00A62ECD"/>
    <w:rsid w:val="00A62EDE"/>
    <w:rsid w:val="00A63DFD"/>
    <w:rsid w:val="00A652FE"/>
    <w:rsid w:val="00A71C2E"/>
    <w:rsid w:val="00A733AA"/>
    <w:rsid w:val="00A74A9A"/>
    <w:rsid w:val="00A74F0A"/>
    <w:rsid w:val="00A7632E"/>
    <w:rsid w:val="00A77811"/>
    <w:rsid w:val="00A821ED"/>
    <w:rsid w:val="00A83AAD"/>
    <w:rsid w:val="00A8473E"/>
    <w:rsid w:val="00A9290B"/>
    <w:rsid w:val="00A954BD"/>
    <w:rsid w:val="00A96CE7"/>
    <w:rsid w:val="00AA277A"/>
    <w:rsid w:val="00AA3E47"/>
    <w:rsid w:val="00AA5B07"/>
    <w:rsid w:val="00AA6AFC"/>
    <w:rsid w:val="00AB01CA"/>
    <w:rsid w:val="00AB073D"/>
    <w:rsid w:val="00AB13E0"/>
    <w:rsid w:val="00AB4EB8"/>
    <w:rsid w:val="00AB61A4"/>
    <w:rsid w:val="00AB725D"/>
    <w:rsid w:val="00AB7535"/>
    <w:rsid w:val="00AB7F4C"/>
    <w:rsid w:val="00AC1F00"/>
    <w:rsid w:val="00AC26F6"/>
    <w:rsid w:val="00AC315D"/>
    <w:rsid w:val="00AC58DA"/>
    <w:rsid w:val="00AC5A9E"/>
    <w:rsid w:val="00AC61AD"/>
    <w:rsid w:val="00AD0AF7"/>
    <w:rsid w:val="00AD2881"/>
    <w:rsid w:val="00AD2D60"/>
    <w:rsid w:val="00AE2409"/>
    <w:rsid w:val="00AE324F"/>
    <w:rsid w:val="00AE33AB"/>
    <w:rsid w:val="00AE441C"/>
    <w:rsid w:val="00AE6186"/>
    <w:rsid w:val="00AF00D0"/>
    <w:rsid w:val="00AF3DF8"/>
    <w:rsid w:val="00AF5485"/>
    <w:rsid w:val="00B0003C"/>
    <w:rsid w:val="00B02688"/>
    <w:rsid w:val="00B033FB"/>
    <w:rsid w:val="00B05684"/>
    <w:rsid w:val="00B12B40"/>
    <w:rsid w:val="00B12F83"/>
    <w:rsid w:val="00B13548"/>
    <w:rsid w:val="00B13B95"/>
    <w:rsid w:val="00B14A06"/>
    <w:rsid w:val="00B167A0"/>
    <w:rsid w:val="00B22551"/>
    <w:rsid w:val="00B2510C"/>
    <w:rsid w:val="00B253C9"/>
    <w:rsid w:val="00B26125"/>
    <w:rsid w:val="00B2632B"/>
    <w:rsid w:val="00B26CFF"/>
    <w:rsid w:val="00B277C9"/>
    <w:rsid w:val="00B30AC6"/>
    <w:rsid w:val="00B320DD"/>
    <w:rsid w:val="00B33ED3"/>
    <w:rsid w:val="00B34FAC"/>
    <w:rsid w:val="00B35EC6"/>
    <w:rsid w:val="00B371F1"/>
    <w:rsid w:val="00B37288"/>
    <w:rsid w:val="00B40443"/>
    <w:rsid w:val="00B42846"/>
    <w:rsid w:val="00B42ADA"/>
    <w:rsid w:val="00B4360B"/>
    <w:rsid w:val="00B458E2"/>
    <w:rsid w:val="00B47727"/>
    <w:rsid w:val="00B519D6"/>
    <w:rsid w:val="00B51D2B"/>
    <w:rsid w:val="00B52909"/>
    <w:rsid w:val="00B52DB8"/>
    <w:rsid w:val="00B52E94"/>
    <w:rsid w:val="00B5305B"/>
    <w:rsid w:val="00B539B0"/>
    <w:rsid w:val="00B55479"/>
    <w:rsid w:val="00B55485"/>
    <w:rsid w:val="00B60B8A"/>
    <w:rsid w:val="00B60F37"/>
    <w:rsid w:val="00B64FB8"/>
    <w:rsid w:val="00B64FC6"/>
    <w:rsid w:val="00B67AEB"/>
    <w:rsid w:val="00B70811"/>
    <w:rsid w:val="00B7134A"/>
    <w:rsid w:val="00B71B1C"/>
    <w:rsid w:val="00B731CB"/>
    <w:rsid w:val="00B731F7"/>
    <w:rsid w:val="00B73296"/>
    <w:rsid w:val="00B75A0D"/>
    <w:rsid w:val="00B805BD"/>
    <w:rsid w:val="00B83CE1"/>
    <w:rsid w:val="00B86422"/>
    <w:rsid w:val="00B86A7D"/>
    <w:rsid w:val="00B87EDF"/>
    <w:rsid w:val="00B90486"/>
    <w:rsid w:val="00B905D8"/>
    <w:rsid w:val="00B9405A"/>
    <w:rsid w:val="00B9415D"/>
    <w:rsid w:val="00B95BE2"/>
    <w:rsid w:val="00B966E5"/>
    <w:rsid w:val="00B96E5F"/>
    <w:rsid w:val="00B97AB7"/>
    <w:rsid w:val="00BA346A"/>
    <w:rsid w:val="00BA45F2"/>
    <w:rsid w:val="00BB04ED"/>
    <w:rsid w:val="00BB0598"/>
    <w:rsid w:val="00BB15A0"/>
    <w:rsid w:val="00BB2A0F"/>
    <w:rsid w:val="00BB3D54"/>
    <w:rsid w:val="00BB54EC"/>
    <w:rsid w:val="00BB7F40"/>
    <w:rsid w:val="00BC01DE"/>
    <w:rsid w:val="00BC0232"/>
    <w:rsid w:val="00BC2302"/>
    <w:rsid w:val="00BC3665"/>
    <w:rsid w:val="00BC59CC"/>
    <w:rsid w:val="00BC7581"/>
    <w:rsid w:val="00BD0EBB"/>
    <w:rsid w:val="00BD23E6"/>
    <w:rsid w:val="00BD2B61"/>
    <w:rsid w:val="00BD4912"/>
    <w:rsid w:val="00BD74D1"/>
    <w:rsid w:val="00BE0F6C"/>
    <w:rsid w:val="00BE1F12"/>
    <w:rsid w:val="00BE5705"/>
    <w:rsid w:val="00BE6FFE"/>
    <w:rsid w:val="00BE7600"/>
    <w:rsid w:val="00BE792D"/>
    <w:rsid w:val="00BE7B5C"/>
    <w:rsid w:val="00BF0CBF"/>
    <w:rsid w:val="00BF2964"/>
    <w:rsid w:val="00BF3815"/>
    <w:rsid w:val="00BF44B8"/>
    <w:rsid w:val="00C00E95"/>
    <w:rsid w:val="00C00F56"/>
    <w:rsid w:val="00C011B0"/>
    <w:rsid w:val="00C0152D"/>
    <w:rsid w:val="00C0193B"/>
    <w:rsid w:val="00C02DAD"/>
    <w:rsid w:val="00C0545E"/>
    <w:rsid w:val="00C07821"/>
    <w:rsid w:val="00C07994"/>
    <w:rsid w:val="00C11954"/>
    <w:rsid w:val="00C11AE5"/>
    <w:rsid w:val="00C136FC"/>
    <w:rsid w:val="00C14994"/>
    <w:rsid w:val="00C1513D"/>
    <w:rsid w:val="00C15AA5"/>
    <w:rsid w:val="00C15F3B"/>
    <w:rsid w:val="00C16B51"/>
    <w:rsid w:val="00C21DC7"/>
    <w:rsid w:val="00C244B8"/>
    <w:rsid w:val="00C246F6"/>
    <w:rsid w:val="00C24D70"/>
    <w:rsid w:val="00C2515A"/>
    <w:rsid w:val="00C260E2"/>
    <w:rsid w:val="00C26ABE"/>
    <w:rsid w:val="00C30832"/>
    <w:rsid w:val="00C31329"/>
    <w:rsid w:val="00C3205A"/>
    <w:rsid w:val="00C33440"/>
    <w:rsid w:val="00C336E5"/>
    <w:rsid w:val="00C34AD2"/>
    <w:rsid w:val="00C35D47"/>
    <w:rsid w:val="00C37955"/>
    <w:rsid w:val="00C37FFA"/>
    <w:rsid w:val="00C40672"/>
    <w:rsid w:val="00C43A83"/>
    <w:rsid w:val="00C44192"/>
    <w:rsid w:val="00C45179"/>
    <w:rsid w:val="00C4657D"/>
    <w:rsid w:val="00C47B4A"/>
    <w:rsid w:val="00C47E40"/>
    <w:rsid w:val="00C522E8"/>
    <w:rsid w:val="00C52451"/>
    <w:rsid w:val="00C52B74"/>
    <w:rsid w:val="00C54579"/>
    <w:rsid w:val="00C54E42"/>
    <w:rsid w:val="00C55325"/>
    <w:rsid w:val="00C55369"/>
    <w:rsid w:val="00C56BAB"/>
    <w:rsid w:val="00C62186"/>
    <w:rsid w:val="00C64D35"/>
    <w:rsid w:val="00C657B0"/>
    <w:rsid w:val="00C66A49"/>
    <w:rsid w:val="00C67426"/>
    <w:rsid w:val="00C6798D"/>
    <w:rsid w:val="00C7661C"/>
    <w:rsid w:val="00C77265"/>
    <w:rsid w:val="00C815F6"/>
    <w:rsid w:val="00C81734"/>
    <w:rsid w:val="00C82724"/>
    <w:rsid w:val="00C841FC"/>
    <w:rsid w:val="00C8494A"/>
    <w:rsid w:val="00C85D5F"/>
    <w:rsid w:val="00C864F3"/>
    <w:rsid w:val="00C87853"/>
    <w:rsid w:val="00C93157"/>
    <w:rsid w:val="00C933C4"/>
    <w:rsid w:val="00C93EA1"/>
    <w:rsid w:val="00C97E5C"/>
    <w:rsid w:val="00C97F5C"/>
    <w:rsid w:val="00CA12F2"/>
    <w:rsid w:val="00CA27C3"/>
    <w:rsid w:val="00CA3587"/>
    <w:rsid w:val="00CA5BAE"/>
    <w:rsid w:val="00CB02FE"/>
    <w:rsid w:val="00CB0C6D"/>
    <w:rsid w:val="00CB2C35"/>
    <w:rsid w:val="00CB7625"/>
    <w:rsid w:val="00CC24A7"/>
    <w:rsid w:val="00CC250A"/>
    <w:rsid w:val="00CC3B76"/>
    <w:rsid w:val="00CC4F21"/>
    <w:rsid w:val="00CD0E8D"/>
    <w:rsid w:val="00CD7C69"/>
    <w:rsid w:val="00CE0C32"/>
    <w:rsid w:val="00CE1873"/>
    <w:rsid w:val="00CE6E5A"/>
    <w:rsid w:val="00CE74EF"/>
    <w:rsid w:val="00CE7531"/>
    <w:rsid w:val="00CF1E73"/>
    <w:rsid w:val="00CF28BA"/>
    <w:rsid w:val="00CF4184"/>
    <w:rsid w:val="00CF568E"/>
    <w:rsid w:val="00CF5813"/>
    <w:rsid w:val="00CF6C14"/>
    <w:rsid w:val="00D00BA7"/>
    <w:rsid w:val="00D024A4"/>
    <w:rsid w:val="00D02781"/>
    <w:rsid w:val="00D04AE0"/>
    <w:rsid w:val="00D0557D"/>
    <w:rsid w:val="00D062AF"/>
    <w:rsid w:val="00D06427"/>
    <w:rsid w:val="00D065DD"/>
    <w:rsid w:val="00D06D41"/>
    <w:rsid w:val="00D06DBD"/>
    <w:rsid w:val="00D10DF0"/>
    <w:rsid w:val="00D11407"/>
    <w:rsid w:val="00D13022"/>
    <w:rsid w:val="00D14B8B"/>
    <w:rsid w:val="00D20756"/>
    <w:rsid w:val="00D207BE"/>
    <w:rsid w:val="00D216E4"/>
    <w:rsid w:val="00D22AAF"/>
    <w:rsid w:val="00D2300E"/>
    <w:rsid w:val="00D25AE8"/>
    <w:rsid w:val="00D26084"/>
    <w:rsid w:val="00D26BCE"/>
    <w:rsid w:val="00D26CC1"/>
    <w:rsid w:val="00D2726D"/>
    <w:rsid w:val="00D27CD8"/>
    <w:rsid w:val="00D27D54"/>
    <w:rsid w:val="00D30C28"/>
    <w:rsid w:val="00D33CEF"/>
    <w:rsid w:val="00D360C2"/>
    <w:rsid w:val="00D379A4"/>
    <w:rsid w:val="00D42073"/>
    <w:rsid w:val="00D44B2F"/>
    <w:rsid w:val="00D46919"/>
    <w:rsid w:val="00D46DA8"/>
    <w:rsid w:val="00D471BB"/>
    <w:rsid w:val="00D51904"/>
    <w:rsid w:val="00D51D3D"/>
    <w:rsid w:val="00D53A2F"/>
    <w:rsid w:val="00D55314"/>
    <w:rsid w:val="00D60BDE"/>
    <w:rsid w:val="00D61AEF"/>
    <w:rsid w:val="00D621B5"/>
    <w:rsid w:val="00D63BB3"/>
    <w:rsid w:val="00D63E33"/>
    <w:rsid w:val="00D66ECC"/>
    <w:rsid w:val="00D6773B"/>
    <w:rsid w:val="00D72A8E"/>
    <w:rsid w:val="00D7447E"/>
    <w:rsid w:val="00D77DF5"/>
    <w:rsid w:val="00D80CAD"/>
    <w:rsid w:val="00D8171F"/>
    <w:rsid w:val="00D82D59"/>
    <w:rsid w:val="00D831E3"/>
    <w:rsid w:val="00D86B95"/>
    <w:rsid w:val="00D90156"/>
    <w:rsid w:val="00D90285"/>
    <w:rsid w:val="00D9066F"/>
    <w:rsid w:val="00D91203"/>
    <w:rsid w:val="00D9191E"/>
    <w:rsid w:val="00D91946"/>
    <w:rsid w:val="00D9271A"/>
    <w:rsid w:val="00D944A2"/>
    <w:rsid w:val="00D952A4"/>
    <w:rsid w:val="00D95543"/>
    <w:rsid w:val="00D95D48"/>
    <w:rsid w:val="00D9600D"/>
    <w:rsid w:val="00D96480"/>
    <w:rsid w:val="00DA0F1F"/>
    <w:rsid w:val="00DA2869"/>
    <w:rsid w:val="00DA37CC"/>
    <w:rsid w:val="00DA388F"/>
    <w:rsid w:val="00DA401C"/>
    <w:rsid w:val="00DA41B4"/>
    <w:rsid w:val="00DA47BC"/>
    <w:rsid w:val="00DA6CF7"/>
    <w:rsid w:val="00DA7954"/>
    <w:rsid w:val="00DB3032"/>
    <w:rsid w:val="00DB356A"/>
    <w:rsid w:val="00DB394F"/>
    <w:rsid w:val="00DB3C03"/>
    <w:rsid w:val="00DB4294"/>
    <w:rsid w:val="00DB43A2"/>
    <w:rsid w:val="00DB446E"/>
    <w:rsid w:val="00DB68B6"/>
    <w:rsid w:val="00DC2994"/>
    <w:rsid w:val="00DC4D3E"/>
    <w:rsid w:val="00DC68C9"/>
    <w:rsid w:val="00DC6CA0"/>
    <w:rsid w:val="00DC6D4B"/>
    <w:rsid w:val="00DC74E3"/>
    <w:rsid w:val="00DD05B8"/>
    <w:rsid w:val="00DD2479"/>
    <w:rsid w:val="00DD2562"/>
    <w:rsid w:val="00DD5765"/>
    <w:rsid w:val="00DD6006"/>
    <w:rsid w:val="00DE2750"/>
    <w:rsid w:val="00DE3FB9"/>
    <w:rsid w:val="00DE50AC"/>
    <w:rsid w:val="00DE5FA7"/>
    <w:rsid w:val="00DE7CAF"/>
    <w:rsid w:val="00DF0E81"/>
    <w:rsid w:val="00DF0EAF"/>
    <w:rsid w:val="00DF25D7"/>
    <w:rsid w:val="00DF2B56"/>
    <w:rsid w:val="00DF2E96"/>
    <w:rsid w:val="00DF3B96"/>
    <w:rsid w:val="00DF539F"/>
    <w:rsid w:val="00DF579D"/>
    <w:rsid w:val="00DF66A1"/>
    <w:rsid w:val="00DF7DB4"/>
    <w:rsid w:val="00E00B01"/>
    <w:rsid w:val="00E011AA"/>
    <w:rsid w:val="00E01891"/>
    <w:rsid w:val="00E022ED"/>
    <w:rsid w:val="00E02BCD"/>
    <w:rsid w:val="00E03DF5"/>
    <w:rsid w:val="00E04200"/>
    <w:rsid w:val="00E04A83"/>
    <w:rsid w:val="00E053E3"/>
    <w:rsid w:val="00E06E47"/>
    <w:rsid w:val="00E10C56"/>
    <w:rsid w:val="00E12393"/>
    <w:rsid w:val="00E13474"/>
    <w:rsid w:val="00E13861"/>
    <w:rsid w:val="00E13D2E"/>
    <w:rsid w:val="00E13DE5"/>
    <w:rsid w:val="00E141B5"/>
    <w:rsid w:val="00E14979"/>
    <w:rsid w:val="00E16800"/>
    <w:rsid w:val="00E1784A"/>
    <w:rsid w:val="00E17EDB"/>
    <w:rsid w:val="00E20104"/>
    <w:rsid w:val="00E20436"/>
    <w:rsid w:val="00E20D3E"/>
    <w:rsid w:val="00E21955"/>
    <w:rsid w:val="00E23E94"/>
    <w:rsid w:val="00E246CE"/>
    <w:rsid w:val="00E24B93"/>
    <w:rsid w:val="00E26B8E"/>
    <w:rsid w:val="00E26E47"/>
    <w:rsid w:val="00E273E3"/>
    <w:rsid w:val="00E307BE"/>
    <w:rsid w:val="00E318D7"/>
    <w:rsid w:val="00E36035"/>
    <w:rsid w:val="00E3634F"/>
    <w:rsid w:val="00E415C7"/>
    <w:rsid w:val="00E46475"/>
    <w:rsid w:val="00E477B2"/>
    <w:rsid w:val="00E47E41"/>
    <w:rsid w:val="00E5153F"/>
    <w:rsid w:val="00E51C65"/>
    <w:rsid w:val="00E51F51"/>
    <w:rsid w:val="00E529BD"/>
    <w:rsid w:val="00E53050"/>
    <w:rsid w:val="00E54D4A"/>
    <w:rsid w:val="00E55459"/>
    <w:rsid w:val="00E60CEE"/>
    <w:rsid w:val="00E63DFE"/>
    <w:rsid w:val="00E65894"/>
    <w:rsid w:val="00E668D0"/>
    <w:rsid w:val="00E67A80"/>
    <w:rsid w:val="00E71294"/>
    <w:rsid w:val="00E71AD7"/>
    <w:rsid w:val="00E74315"/>
    <w:rsid w:val="00E7435E"/>
    <w:rsid w:val="00E75674"/>
    <w:rsid w:val="00E75791"/>
    <w:rsid w:val="00E771C2"/>
    <w:rsid w:val="00E77D8F"/>
    <w:rsid w:val="00E80431"/>
    <w:rsid w:val="00E812F7"/>
    <w:rsid w:val="00E81348"/>
    <w:rsid w:val="00E8155A"/>
    <w:rsid w:val="00E82175"/>
    <w:rsid w:val="00E83BB2"/>
    <w:rsid w:val="00E83E52"/>
    <w:rsid w:val="00E8486B"/>
    <w:rsid w:val="00E8516C"/>
    <w:rsid w:val="00E856BB"/>
    <w:rsid w:val="00E915CA"/>
    <w:rsid w:val="00E95EFE"/>
    <w:rsid w:val="00E96E73"/>
    <w:rsid w:val="00E97A42"/>
    <w:rsid w:val="00EA0256"/>
    <w:rsid w:val="00EA1279"/>
    <w:rsid w:val="00EA1C17"/>
    <w:rsid w:val="00EA1D54"/>
    <w:rsid w:val="00EA2324"/>
    <w:rsid w:val="00EA29A8"/>
    <w:rsid w:val="00EA4A97"/>
    <w:rsid w:val="00EB0C8C"/>
    <w:rsid w:val="00EB1D7C"/>
    <w:rsid w:val="00EB251A"/>
    <w:rsid w:val="00EB3403"/>
    <w:rsid w:val="00EB344E"/>
    <w:rsid w:val="00EB40AD"/>
    <w:rsid w:val="00EB554D"/>
    <w:rsid w:val="00EB5AA0"/>
    <w:rsid w:val="00EB6829"/>
    <w:rsid w:val="00EC0A0A"/>
    <w:rsid w:val="00EC0CC7"/>
    <w:rsid w:val="00EC12EF"/>
    <w:rsid w:val="00EC1B00"/>
    <w:rsid w:val="00EC1B38"/>
    <w:rsid w:val="00EC392E"/>
    <w:rsid w:val="00EC4235"/>
    <w:rsid w:val="00EC496F"/>
    <w:rsid w:val="00EC6654"/>
    <w:rsid w:val="00ED0B58"/>
    <w:rsid w:val="00ED2A7E"/>
    <w:rsid w:val="00ED3739"/>
    <w:rsid w:val="00ED3EA6"/>
    <w:rsid w:val="00ED52A2"/>
    <w:rsid w:val="00ED7B53"/>
    <w:rsid w:val="00EE167B"/>
    <w:rsid w:val="00EE3EA5"/>
    <w:rsid w:val="00EE477D"/>
    <w:rsid w:val="00EE5D76"/>
    <w:rsid w:val="00EE5E8E"/>
    <w:rsid w:val="00EE6A45"/>
    <w:rsid w:val="00EF2425"/>
    <w:rsid w:val="00EF2A7C"/>
    <w:rsid w:val="00EF4139"/>
    <w:rsid w:val="00EF4CEF"/>
    <w:rsid w:val="00EF7528"/>
    <w:rsid w:val="00EF799E"/>
    <w:rsid w:val="00F014B7"/>
    <w:rsid w:val="00F01C47"/>
    <w:rsid w:val="00F02327"/>
    <w:rsid w:val="00F02AB7"/>
    <w:rsid w:val="00F037D2"/>
    <w:rsid w:val="00F05F66"/>
    <w:rsid w:val="00F10E44"/>
    <w:rsid w:val="00F1356C"/>
    <w:rsid w:val="00F16C9F"/>
    <w:rsid w:val="00F23802"/>
    <w:rsid w:val="00F24A49"/>
    <w:rsid w:val="00F24E4A"/>
    <w:rsid w:val="00F27FEA"/>
    <w:rsid w:val="00F27FF0"/>
    <w:rsid w:val="00F339F8"/>
    <w:rsid w:val="00F33F96"/>
    <w:rsid w:val="00F34338"/>
    <w:rsid w:val="00F35CE9"/>
    <w:rsid w:val="00F36A6C"/>
    <w:rsid w:val="00F41859"/>
    <w:rsid w:val="00F4384B"/>
    <w:rsid w:val="00F450F9"/>
    <w:rsid w:val="00F466D1"/>
    <w:rsid w:val="00F46A63"/>
    <w:rsid w:val="00F46EC8"/>
    <w:rsid w:val="00F53D45"/>
    <w:rsid w:val="00F55661"/>
    <w:rsid w:val="00F55941"/>
    <w:rsid w:val="00F56CB8"/>
    <w:rsid w:val="00F607CB"/>
    <w:rsid w:val="00F61619"/>
    <w:rsid w:val="00F61ACB"/>
    <w:rsid w:val="00F62D3B"/>
    <w:rsid w:val="00F62EF8"/>
    <w:rsid w:val="00F6537D"/>
    <w:rsid w:val="00F663A7"/>
    <w:rsid w:val="00F67712"/>
    <w:rsid w:val="00F7192A"/>
    <w:rsid w:val="00F71C98"/>
    <w:rsid w:val="00F72F29"/>
    <w:rsid w:val="00F73882"/>
    <w:rsid w:val="00F73D16"/>
    <w:rsid w:val="00F74240"/>
    <w:rsid w:val="00F74BD0"/>
    <w:rsid w:val="00F76460"/>
    <w:rsid w:val="00F77332"/>
    <w:rsid w:val="00F81DE7"/>
    <w:rsid w:val="00F83218"/>
    <w:rsid w:val="00F8422F"/>
    <w:rsid w:val="00F864FD"/>
    <w:rsid w:val="00F86F81"/>
    <w:rsid w:val="00F902AA"/>
    <w:rsid w:val="00F90453"/>
    <w:rsid w:val="00F91281"/>
    <w:rsid w:val="00F93207"/>
    <w:rsid w:val="00F93A18"/>
    <w:rsid w:val="00F955BE"/>
    <w:rsid w:val="00F96BE2"/>
    <w:rsid w:val="00F96F0F"/>
    <w:rsid w:val="00F96F1E"/>
    <w:rsid w:val="00FA004B"/>
    <w:rsid w:val="00FA0507"/>
    <w:rsid w:val="00FA0E67"/>
    <w:rsid w:val="00FA2E31"/>
    <w:rsid w:val="00FA3886"/>
    <w:rsid w:val="00FA6B16"/>
    <w:rsid w:val="00FA7F6F"/>
    <w:rsid w:val="00FB0623"/>
    <w:rsid w:val="00FB2FA4"/>
    <w:rsid w:val="00FB3114"/>
    <w:rsid w:val="00FB3EDC"/>
    <w:rsid w:val="00FB684B"/>
    <w:rsid w:val="00FB6CBD"/>
    <w:rsid w:val="00FB72D2"/>
    <w:rsid w:val="00FB7C9E"/>
    <w:rsid w:val="00FC56C6"/>
    <w:rsid w:val="00FC7CA5"/>
    <w:rsid w:val="00FD1D04"/>
    <w:rsid w:val="00FD4200"/>
    <w:rsid w:val="00FD4B97"/>
    <w:rsid w:val="00FD6F90"/>
    <w:rsid w:val="00FE0A07"/>
    <w:rsid w:val="00FE4C3F"/>
    <w:rsid w:val="00FE5880"/>
    <w:rsid w:val="00FE6652"/>
    <w:rsid w:val="00FE6BBB"/>
    <w:rsid w:val="00FE711F"/>
    <w:rsid w:val="00FE78D4"/>
    <w:rsid w:val="00FF13C0"/>
    <w:rsid w:val="00FF1F3B"/>
    <w:rsid w:val="00FF3CAB"/>
    <w:rsid w:val="00FF407A"/>
    <w:rsid w:val="00FF415F"/>
    <w:rsid w:val="00FF4A92"/>
    <w:rsid w:val="00FF5DAC"/>
    <w:rsid w:val="00FF5EEC"/>
    <w:rsid w:val="08494B88"/>
    <w:rsid w:val="31F2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4C5E"/>
  <w15:chartTrackingRefBased/>
  <w15:docId w15:val="{11CBFC3B-89B0-4D35-982A-3F9A1117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71"/>
  </w:style>
  <w:style w:type="paragraph" w:styleId="Heading1">
    <w:name w:val="heading 1"/>
    <w:basedOn w:val="Normal"/>
    <w:next w:val="Normal"/>
    <w:link w:val="Heading1Char"/>
    <w:uiPriority w:val="9"/>
    <w:qFormat/>
    <w:rsid w:val="007A47B0"/>
    <w:pPr>
      <w:keepNext/>
      <w:ind w:firstLine="720"/>
      <w:outlineLvl w:val="0"/>
    </w:pPr>
    <w:rPr>
      <w:rFonts w:ascii="Arial" w:hAnsi="Arial" w:cs="Arial"/>
      <w:i/>
      <w:iCs/>
      <w:sz w:val="20"/>
      <w:szCs w:val="20"/>
    </w:rPr>
  </w:style>
  <w:style w:type="paragraph" w:styleId="Heading2">
    <w:name w:val="heading 2"/>
    <w:basedOn w:val="Normal"/>
    <w:next w:val="Normal"/>
    <w:link w:val="Heading2Char"/>
    <w:uiPriority w:val="9"/>
    <w:unhideWhenUsed/>
    <w:qFormat/>
    <w:rsid w:val="00621C03"/>
    <w:pPr>
      <w:keepNext/>
      <w:spacing w:after="0" w:line="240" w:lineRule="auto"/>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720AB4"/>
    <w:pPr>
      <w:keepNext/>
      <w:widowControl w:val="0"/>
      <w:spacing w:after="0" w:line="240" w:lineRule="auto"/>
      <w:jc w:val="both"/>
      <w:outlineLvl w:val="2"/>
    </w:pPr>
    <w:rPr>
      <w:rFonts w:ascii="Arial" w:eastAsia="Calibri" w:hAnsi="Arial" w:cs="Arial"/>
      <w:b/>
      <w:bCs/>
    </w:rPr>
  </w:style>
  <w:style w:type="paragraph" w:styleId="Heading4">
    <w:name w:val="heading 4"/>
    <w:basedOn w:val="Normal"/>
    <w:next w:val="Normal"/>
    <w:link w:val="Heading4Char"/>
    <w:uiPriority w:val="9"/>
    <w:unhideWhenUsed/>
    <w:qFormat/>
    <w:rsid w:val="00C34AD2"/>
    <w:pPr>
      <w:keepNext/>
      <w:spacing w:after="0" w:line="240" w:lineRule="auto"/>
      <w:outlineLvl w:val="3"/>
    </w:pPr>
    <w:rPr>
      <w:rFonts w:ascii="Arial" w:eastAsia="Times New Roman" w:hAnsi="Arial" w:cs="Arial"/>
      <w:b/>
      <w:bCs/>
      <w:kern w:val="2"/>
    </w:rPr>
  </w:style>
  <w:style w:type="paragraph" w:styleId="Heading5">
    <w:name w:val="heading 5"/>
    <w:basedOn w:val="Normal"/>
    <w:next w:val="Normal"/>
    <w:link w:val="Heading5Char"/>
    <w:uiPriority w:val="9"/>
    <w:unhideWhenUsed/>
    <w:qFormat/>
    <w:rsid w:val="007C2614"/>
    <w:pPr>
      <w:keepNext/>
      <w:spacing w:after="0"/>
      <w:jc w:val="both"/>
      <w:outlineLvl w:val="4"/>
    </w:pPr>
    <w:rPr>
      <w:rFonts w:ascii="Arial" w:eastAsia="Verdana" w:hAnsi="Arial" w:cs="Arial"/>
      <w:b/>
      <w:bCs/>
      <w:sz w:val="28"/>
      <w:szCs w:val="28"/>
    </w:rPr>
  </w:style>
  <w:style w:type="paragraph" w:styleId="Heading6">
    <w:name w:val="heading 6"/>
    <w:basedOn w:val="Normal"/>
    <w:next w:val="Normal"/>
    <w:link w:val="Heading6Char"/>
    <w:uiPriority w:val="9"/>
    <w:unhideWhenUsed/>
    <w:qFormat/>
    <w:rsid w:val="00A45041"/>
    <w:pPr>
      <w:keepNext/>
      <w:spacing w:after="0"/>
      <w:ind w:firstLine="720"/>
      <w:jc w:val="both"/>
      <w:outlineLvl w:val="5"/>
    </w:pPr>
    <w:rPr>
      <w:rFonts w:ascii="Arial" w:hAnsi="Arial" w:cs="Arial"/>
      <w:i/>
      <w:iCs/>
      <w:sz w:val="20"/>
      <w:u w:val="single"/>
    </w:rPr>
  </w:style>
  <w:style w:type="paragraph" w:styleId="Heading7">
    <w:name w:val="heading 7"/>
    <w:basedOn w:val="Normal"/>
    <w:next w:val="Normal"/>
    <w:link w:val="Heading7Char"/>
    <w:uiPriority w:val="9"/>
    <w:unhideWhenUsed/>
    <w:qFormat/>
    <w:rsid w:val="00A45041"/>
    <w:pPr>
      <w:keepNext/>
      <w:spacing w:after="0"/>
      <w:ind w:left="-720"/>
      <w:jc w:val="both"/>
      <w:outlineLvl w:val="6"/>
    </w:pPr>
    <w:rPr>
      <w:rFonts w:ascii="Arial" w:eastAsia="Verdana" w:hAnsi="Arial" w:cs="Arial"/>
      <w:b/>
      <w:bCs/>
      <w:sz w:val="28"/>
      <w:szCs w:val="28"/>
    </w:rPr>
  </w:style>
  <w:style w:type="paragraph" w:styleId="Heading8">
    <w:name w:val="heading 8"/>
    <w:basedOn w:val="Normal"/>
    <w:next w:val="Normal"/>
    <w:link w:val="Heading8Char"/>
    <w:uiPriority w:val="9"/>
    <w:unhideWhenUsed/>
    <w:qFormat/>
    <w:rsid w:val="0049394B"/>
    <w:pPr>
      <w:keepNext/>
      <w:spacing w:after="0" w:line="240" w:lineRule="auto"/>
      <w:ind w:left="720"/>
      <w:jc w:val="both"/>
      <w:outlineLvl w:val="7"/>
    </w:pPr>
    <w:rPr>
      <w:rFonts w:ascii="Arial" w:hAnsi="Arial" w:cs="Arial"/>
      <w:i/>
      <w:iCs/>
      <w:u w:val="single"/>
    </w:rPr>
  </w:style>
  <w:style w:type="paragraph" w:styleId="Heading9">
    <w:name w:val="heading 9"/>
    <w:basedOn w:val="Normal"/>
    <w:next w:val="Normal"/>
    <w:link w:val="Heading9Char"/>
    <w:uiPriority w:val="9"/>
    <w:unhideWhenUsed/>
    <w:qFormat/>
    <w:rsid w:val="00AE324F"/>
    <w:pPr>
      <w:keepNext/>
      <w:spacing w:after="0" w:line="240" w:lineRule="auto"/>
      <w:jc w:val="center"/>
      <w:outlineLvl w:val="8"/>
    </w:pPr>
    <w:rPr>
      <w:rFonts w:asciiTheme="majorHAnsi" w:eastAsia="Verdana" w:hAnsiTheme="majorHAnsi" w:cstheme="majorHAns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next w:val="Footer"/>
    <w:link w:val="DocIDChar"/>
    <w:rsid w:val="00B05684"/>
    <w:pPr>
      <w:spacing w:after="0" w:line="240" w:lineRule="auto"/>
    </w:pPr>
    <w:rPr>
      <w:rFonts w:ascii="Arial" w:hAnsi="Arial" w:cs="Arial"/>
      <w:color w:val="000000"/>
      <w:sz w:val="16"/>
    </w:rPr>
  </w:style>
  <w:style w:type="character" w:customStyle="1" w:styleId="DocIDChar">
    <w:name w:val="DocID Char"/>
    <w:basedOn w:val="DefaultParagraphFont"/>
    <w:link w:val="DocID"/>
    <w:rsid w:val="00B05684"/>
    <w:rPr>
      <w:rFonts w:ascii="Arial" w:hAnsi="Arial" w:cs="Arial"/>
      <w:color w:val="000000"/>
      <w:sz w:val="16"/>
    </w:rPr>
  </w:style>
  <w:style w:type="paragraph" w:styleId="Footer">
    <w:name w:val="footer"/>
    <w:basedOn w:val="Normal"/>
    <w:link w:val="FooterChar"/>
    <w:uiPriority w:val="99"/>
    <w:unhideWhenUsed/>
    <w:rsid w:val="00AB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535"/>
  </w:style>
  <w:style w:type="paragraph" w:styleId="Header">
    <w:name w:val="header"/>
    <w:basedOn w:val="Normal"/>
    <w:link w:val="HeaderChar"/>
    <w:uiPriority w:val="99"/>
    <w:unhideWhenUsed/>
    <w:rsid w:val="00AB7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535"/>
  </w:style>
  <w:style w:type="paragraph" w:styleId="BalloonText">
    <w:name w:val="Balloon Text"/>
    <w:basedOn w:val="Normal"/>
    <w:link w:val="BalloonTextChar"/>
    <w:uiPriority w:val="99"/>
    <w:unhideWhenUsed/>
    <w:rsid w:val="00D6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7671"/>
    <w:rPr>
      <w:rFonts w:ascii="Segoe UI" w:hAnsi="Segoe UI" w:cs="Segoe UI"/>
      <w:sz w:val="18"/>
      <w:szCs w:val="18"/>
    </w:rPr>
  </w:style>
  <w:style w:type="character" w:styleId="FootnoteReference">
    <w:name w:val="footnote reference"/>
    <w:basedOn w:val="DefaultParagraphFont"/>
    <w:uiPriority w:val="99"/>
    <w:unhideWhenUsed/>
    <w:rsid w:val="006C7671"/>
    <w:rPr>
      <w:vertAlign w:val="superscript"/>
    </w:rPr>
  </w:style>
  <w:style w:type="paragraph" w:styleId="FootnoteText">
    <w:name w:val="footnote text"/>
    <w:basedOn w:val="Normal"/>
    <w:link w:val="FootnoteTextChar1"/>
    <w:uiPriority w:val="99"/>
    <w:unhideWhenUsed/>
    <w:rsid w:val="006C7671"/>
    <w:pPr>
      <w:spacing w:after="0" w:line="240" w:lineRule="auto"/>
    </w:pPr>
    <w:rPr>
      <w:sz w:val="20"/>
      <w:szCs w:val="20"/>
    </w:rPr>
  </w:style>
  <w:style w:type="character" w:customStyle="1" w:styleId="FootnoteTextChar">
    <w:name w:val="Footnote Text Char"/>
    <w:basedOn w:val="DefaultParagraphFont"/>
    <w:uiPriority w:val="99"/>
    <w:rsid w:val="006C7671"/>
    <w:rPr>
      <w:sz w:val="20"/>
      <w:szCs w:val="20"/>
    </w:rPr>
  </w:style>
  <w:style w:type="character" w:customStyle="1" w:styleId="FootnoteTextChar1">
    <w:name w:val="Footnote Text Char1"/>
    <w:basedOn w:val="DefaultParagraphFont"/>
    <w:link w:val="FootnoteText"/>
    <w:uiPriority w:val="99"/>
    <w:rsid w:val="006C7671"/>
    <w:rPr>
      <w:sz w:val="20"/>
      <w:szCs w:val="20"/>
    </w:rPr>
  </w:style>
  <w:style w:type="character" w:styleId="Hyperlink">
    <w:name w:val="Hyperlink"/>
    <w:basedOn w:val="DefaultParagraphFont"/>
    <w:uiPriority w:val="99"/>
    <w:unhideWhenUsed/>
    <w:rsid w:val="006C7671"/>
    <w:rPr>
      <w:color w:val="0563C1" w:themeColor="hyperlink"/>
      <w:u w:val="single"/>
    </w:rPr>
  </w:style>
  <w:style w:type="paragraph" w:styleId="ListParagraph">
    <w:name w:val="List Paragraph"/>
    <w:basedOn w:val="Normal"/>
    <w:link w:val="ListParagraphChar"/>
    <w:uiPriority w:val="34"/>
    <w:qFormat/>
    <w:rsid w:val="006C7671"/>
    <w:pPr>
      <w:ind w:left="720"/>
      <w:contextualSpacing/>
    </w:pPr>
  </w:style>
  <w:style w:type="character" w:customStyle="1" w:styleId="ListParagraphChar">
    <w:name w:val="List Paragraph Char"/>
    <w:basedOn w:val="DefaultParagraphFont"/>
    <w:link w:val="ListParagraph"/>
    <w:uiPriority w:val="34"/>
    <w:rsid w:val="006C7671"/>
  </w:style>
  <w:style w:type="character" w:styleId="CommentReference">
    <w:name w:val="annotation reference"/>
    <w:basedOn w:val="DefaultParagraphFont"/>
    <w:uiPriority w:val="99"/>
    <w:semiHidden/>
    <w:unhideWhenUsed/>
    <w:rsid w:val="006C7671"/>
    <w:rPr>
      <w:sz w:val="16"/>
      <w:szCs w:val="16"/>
    </w:rPr>
  </w:style>
  <w:style w:type="paragraph" w:styleId="CommentText">
    <w:name w:val="annotation text"/>
    <w:basedOn w:val="Normal"/>
    <w:link w:val="CommentTextChar"/>
    <w:uiPriority w:val="99"/>
    <w:unhideWhenUsed/>
    <w:rsid w:val="006C7671"/>
    <w:pPr>
      <w:spacing w:line="240" w:lineRule="auto"/>
    </w:pPr>
    <w:rPr>
      <w:sz w:val="20"/>
      <w:szCs w:val="20"/>
    </w:rPr>
  </w:style>
  <w:style w:type="character" w:customStyle="1" w:styleId="CommentTextChar">
    <w:name w:val="Comment Text Char"/>
    <w:basedOn w:val="DefaultParagraphFont"/>
    <w:link w:val="CommentText"/>
    <w:uiPriority w:val="99"/>
    <w:rsid w:val="006C7671"/>
    <w:rPr>
      <w:sz w:val="20"/>
      <w:szCs w:val="20"/>
    </w:rPr>
  </w:style>
  <w:style w:type="table" w:styleId="TableGrid">
    <w:name w:val="Table Grid"/>
    <w:basedOn w:val="TableNormal"/>
    <w:uiPriority w:val="39"/>
    <w:rsid w:val="006C7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36FC"/>
    <w:rPr>
      <w:b/>
      <w:bCs/>
    </w:rPr>
  </w:style>
  <w:style w:type="character" w:customStyle="1" w:styleId="CommentSubjectChar">
    <w:name w:val="Comment Subject Char"/>
    <w:basedOn w:val="CommentTextChar"/>
    <w:link w:val="CommentSubject"/>
    <w:uiPriority w:val="99"/>
    <w:semiHidden/>
    <w:rsid w:val="00C136FC"/>
    <w:rPr>
      <w:b/>
      <w:bCs/>
      <w:sz w:val="20"/>
      <w:szCs w:val="20"/>
    </w:rPr>
  </w:style>
  <w:style w:type="paragraph" w:styleId="BodyText">
    <w:name w:val="Body Text"/>
    <w:basedOn w:val="Normal"/>
    <w:link w:val="BodyTextChar"/>
    <w:uiPriority w:val="1"/>
    <w:qFormat/>
    <w:rsid w:val="000D2FDC"/>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0D2FDC"/>
    <w:rPr>
      <w:rFonts w:ascii="Times New Roman" w:eastAsia="Times New Roman" w:hAnsi="Times New Roman"/>
      <w:sz w:val="19"/>
      <w:szCs w:val="19"/>
    </w:rPr>
  </w:style>
  <w:style w:type="character" w:styleId="FollowedHyperlink">
    <w:name w:val="FollowedHyperlink"/>
    <w:basedOn w:val="DefaultParagraphFont"/>
    <w:uiPriority w:val="99"/>
    <w:semiHidden/>
    <w:unhideWhenUsed/>
    <w:rsid w:val="002F62A7"/>
    <w:rPr>
      <w:color w:val="954F72" w:themeColor="followedHyperlink"/>
      <w:u w:val="single"/>
    </w:rPr>
  </w:style>
  <w:style w:type="character" w:styleId="UnresolvedMention">
    <w:name w:val="Unresolved Mention"/>
    <w:basedOn w:val="DefaultParagraphFont"/>
    <w:uiPriority w:val="99"/>
    <w:semiHidden/>
    <w:unhideWhenUsed/>
    <w:rsid w:val="00352338"/>
    <w:rPr>
      <w:color w:val="605E5C"/>
      <w:shd w:val="clear" w:color="auto" w:fill="E1DFDD"/>
    </w:rPr>
  </w:style>
  <w:style w:type="character" w:styleId="Emphasis">
    <w:name w:val="Emphasis"/>
    <w:basedOn w:val="DefaultParagraphFont"/>
    <w:uiPriority w:val="20"/>
    <w:qFormat/>
    <w:rsid w:val="002953C7"/>
    <w:rPr>
      <w:i/>
      <w:iCs/>
    </w:rPr>
  </w:style>
  <w:style w:type="paragraph" w:styleId="NormalWeb">
    <w:name w:val="Normal (Web)"/>
    <w:basedOn w:val="Normal"/>
    <w:uiPriority w:val="99"/>
    <w:unhideWhenUsed/>
    <w:rsid w:val="002953C7"/>
    <w:pPr>
      <w:spacing w:after="0" w:line="240" w:lineRule="auto"/>
    </w:pPr>
    <w:rPr>
      <w:rFonts w:ascii="Calibri" w:hAnsi="Calibri" w:cs="Calibri"/>
    </w:rPr>
  </w:style>
  <w:style w:type="paragraph" w:styleId="BodyText2">
    <w:name w:val="Body Text 2"/>
    <w:basedOn w:val="Normal"/>
    <w:link w:val="BodyText2Char"/>
    <w:uiPriority w:val="99"/>
    <w:unhideWhenUsed/>
    <w:rsid w:val="00227B2E"/>
    <w:pPr>
      <w:spacing w:after="0" w:line="240" w:lineRule="auto"/>
      <w:jc w:val="both"/>
    </w:pPr>
    <w:rPr>
      <w:rFonts w:ascii="Arial" w:eastAsia="Times New Roman" w:hAnsi="Arial" w:cs="Arial"/>
      <w:kern w:val="2"/>
      <w:sz w:val="20"/>
      <w:szCs w:val="20"/>
    </w:rPr>
  </w:style>
  <w:style w:type="character" w:customStyle="1" w:styleId="BodyText2Char">
    <w:name w:val="Body Text 2 Char"/>
    <w:basedOn w:val="DefaultParagraphFont"/>
    <w:link w:val="BodyText2"/>
    <w:uiPriority w:val="99"/>
    <w:rsid w:val="00227B2E"/>
    <w:rPr>
      <w:rFonts w:ascii="Arial" w:eastAsia="Times New Roman" w:hAnsi="Arial" w:cs="Arial"/>
      <w:kern w:val="2"/>
      <w:sz w:val="20"/>
      <w:szCs w:val="20"/>
    </w:rPr>
  </w:style>
  <w:style w:type="paragraph" w:styleId="BodyText3">
    <w:name w:val="Body Text 3"/>
    <w:basedOn w:val="Normal"/>
    <w:link w:val="BodyText3Char"/>
    <w:uiPriority w:val="99"/>
    <w:unhideWhenUsed/>
    <w:rsid w:val="00A83AAD"/>
    <w:pPr>
      <w:spacing w:after="0" w:line="240" w:lineRule="auto"/>
      <w:jc w:val="center"/>
    </w:pPr>
    <w:rPr>
      <w:rFonts w:ascii="Calibri" w:hAnsi="Calibri"/>
      <w:color w:val="000000"/>
      <w:sz w:val="18"/>
      <w:szCs w:val="18"/>
    </w:rPr>
  </w:style>
  <w:style w:type="character" w:customStyle="1" w:styleId="BodyText3Char">
    <w:name w:val="Body Text 3 Char"/>
    <w:basedOn w:val="DefaultParagraphFont"/>
    <w:link w:val="BodyText3"/>
    <w:uiPriority w:val="99"/>
    <w:rsid w:val="00A83AAD"/>
    <w:rPr>
      <w:rFonts w:ascii="Calibri" w:hAnsi="Calibri"/>
      <w:color w:val="000000"/>
      <w:sz w:val="18"/>
      <w:szCs w:val="18"/>
    </w:rPr>
  </w:style>
  <w:style w:type="character" w:customStyle="1" w:styleId="Heading1Char">
    <w:name w:val="Heading 1 Char"/>
    <w:basedOn w:val="DefaultParagraphFont"/>
    <w:link w:val="Heading1"/>
    <w:uiPriority w:val="9"/>
    <w:rsid w:val="007A47B0"/>
    <w:rPr>
      <w:rFonts w:ascii="Arial" w:hAnsi="Arial" w:cs="Arial"/>
      <w:i/>
      <w:iCs/>
      <w:sz w:val="20"/>
      <w:szCs w:val="20"/>
    </w:rPr>
  </w:style>
  <w:style w:type="paragraph" w:customStyle="1" w:styleId="Default">
    <w:name w:val="Default"/>
    <w:basedOn w:val="Normal"/>
    <w:uiPriority w:val="99"/>
    <w:semiHidden/>
    <w:rsid w:val="00ED52A2"/>
    <w:pPr>
      <w:autoSpaceDE w:val="0"/>
      <w:autoSpaceDN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D52A2"/>
    <w:rPr>
      <w:b/>
      <w:bCs/>
    </w:rPr>
  </w:style>
  <w:style w:type="character" w:customStyle="1" w:styleId="Heading2Char">
    <w:name w:val="Heading 2 Char"/>
    <w:basedOn w:val="DefaultParagraphFont"/>
    <w:link w:val="Heading2"/>
    <w:uiPriority w:val="9"/>
    <w:rsid w:val="00621C03"/>
    <w:rPr>
      <w:rFonts w:ascii="Arial" w:hAnsi="Arial" w:cs="Arial"/>
      <w:b/>
      <w:bCs/>
      <w:sz w:val="20"/>
      <w:szCs w:val="20"/>
    </w:rPr>
  </w:style>
  <w:style w:type="character" w:customStyle="1" w:styleId="Heading3Char">
    <w:name w:val="Heading 3 Char"/>
    <w:basedOn w:val="DefaultParagraphFont"/>
    <w:link w:val="Heading3"/>
    <w:uiPriority w:val="9"/>
    <w:rsid w:val="00720AB4"/>
    <w:rPr>
      <w:rFonts w:ascii="Arial" w:eastAsia="Calibri" w:hAnsi="Arial" w:cs="Arial"/>
      <w:b/>
      <w:bCs/>
    </w:rPr>
  </w:style>
  <w:style w:type="character" w:customStyle="1" w:styleId="Heading4Char">
    <w:name w:val="Heading 4 Char"/>
    <w:basedOn w:val="DefaultParagraphFont"/>
    <w:link w:val="Heading4"/>
    <w:uiPriority w:val="9"/>
    <w:rsid w:val="00C34AD2"/>
    <w:rPr>
      <w:rFonts w:ascii="Arial" w:eastAsia="Times New Roman" w:hAnsi="Arial" w:cs="Arial"/>
      <w:b/>
      <w:bCs/>
      <w:kern w:val="2"/>
    </w:rPr>
  </w:style>
  <w:style w:type="character" w:customStyle="1" w:styleId="Heading5Char">
    <w:name w:val="Heading 5 Char"/>
    <w:basedOn w:val="DefaultParagraphFont"/>
    <w:link w:val="Heading5"/>
    <w:uiPriority w:val="9"/>
    <w:rsid w:val="007C2614"/>
    <w:rPr>
      <w:rFonts w:ascii="Arial" w:eastAsia="Verdana" w:hAnsi="Arial" w:cs="Arial"/>
      <w:b/>
      <w:bCs/>
      <w:sz w:val="28"/>
      <w:szCs w:val="28"/>
    </w:rPr>
  </w:style>
  <w:style w:type="character" w:customStyle="1" w:styleId="Heading6Char">
    <w:name w:val="Heading 6 Char"/>
    <w:basedOn w:val="DefaultParagraphFont"/>
    <w:link w:val="Heading6"/>
    <w:uiPriority w:val="9"/>
    <w:rsid w:val="00A45041"/>
    <w:rPr>
      <w:rFonts w:ascii="Arial" w:hAnsi="Arial" w:cs="Arial"/>
      <w:i/>
      <w:iCs/>
      <w:sz w:val="20"/>
      <w:u w:val="single"/>
    </w:rPr>
  </w:style>
  <w:style w:type="character" w:customStyle="1" w:styleId="Heading7Char">
    <w:name w:val="Heading 7 Char"/>
    <w:basedOn w:val="DefaultParagraphFont"/>
    <w:link w:val="Heading7"/>
    <w:uiPriority w:val="9"/>
    <w:rsid w:val="00A45041"/>
    <w:rPr>
      <w:rFonts w:ascii="Arial" w:eastAsia="Verdana" w:hAnsi="Arial" w:cs="Arial"/>
      <w:b/>
      <w:bCs/>
      <w:sz w:val="28"/>
      <w:szCs w:val="28"/>
    </w:rPr>
  </w:style>
  <w:style w:type="character" w:customStyle="1" w:styleId="ref-title">
    <w:name w:val="ref-title"/>
    <w:basedOn w:val="DefaultParagraphFont"/>
    <w:rsid w:val="00DF3B96"/>
  </w:style>
  <w:style w:type="character" w:customStyle="1" w:styleId="ref-journal">
    <w:name w:val="ref-journal"/>
    <w:basedOn w:val="DefaultParagraphFont"/>
    <w:rsid w:val="00DF3B96"/>
  </w:style>
  <w:style w:type="character" w:customStyle="1" w:styleId="ref-vol">
    <w:name w:val="ref-vol"/>
    <w:basedOn w:val="DefaultParagraphFont"/>
    <w:rsid w:val="00DF3B96"/>
  </w:style>
  <w:style w:type="character" w:customStyle="1" w:styleId="ref-iss">
    <w:name w:val="ref-iss"/>
    <w:basedOn w:val="DefaultParagraphFont"/>
    <w:rsid w:val="00DF3B96"/>
  </w:style>
  <w:style w:type="character" w:customStyle="1" w:styleId="Heading8Char">
    <w:name w:val="Heading 8 Char"/>
    <w:basedOn w:val="DefaultParagraphFont"/>
    <w:link w:val="Heading8"/>
    <w:uiPriority w:val="9"/>
    <w:rsid w:val="0049394B"/>
    <w:rPr>
      <w:rFonts w:ascii="Arial" w:hAnsi="Arial" w:cs="Arial"/>
      <w:i/>
      <w:iCs/>
      <w:u w:val="single"/>
    </w:rPr>
  </w:style>
  <w:style w:type="paragraph" w:styleId="EndnoteText">
    <w:name w:val="endnote text"/>
    <w:basedOn w:val="Normal"/>
    <w:link w:val="EndnoteTextChar"/>
    <w:uiPriority w:val="99"/>
    <w:semiHidden/>
    <w:unhideWhenUsed/>
    <w:rsid w:val="00D055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57D"/>
    <w:rPr>
      <w:sz w:val="20"/>
      <w:szCs w:val="20"/>
    </w:rPr>
  </w:style>
  <w:style w:type="character" w:styleId="EndnoteReference">
    <w:name w:val="endnote reference"/>
    <w:basedOn w:val="DefaultParagraphFont"/>
    <w:uiPriority w:val="99"/>
    <w:semiHidden/>
    <w:unhideWhenUsed/>
    <w:rsid w:val="00D0557D"/>
    <w:rPr>
      <w:vertAlign w:val="superscript"/>
    </w:rPr>
  </w:style>
  <w:style w:type="character" w:customStyle="1" w:styleId="Heading9Char">
    <w:name w:val="Heading 9 Char"/>
    <w:basedOn w:val="DefaultParagraphFont"/>
    <w:link w:val="Heading9"/>
    <w:uiPriority w:val="9"/>
    <w:rsid w:val="00AE324F"/>
    <w:rPr>
      <w:rFonts w:asciiTheme="majorHAnsi" w:eastAsia="Verdana" w:hAnsiTheme="majorHAnsi" w:cstheme="majorHAnsi"/>
      <w:b/>
      <w:bCs/>
      <w:sz w:val="18"/>
      <w:szCs w:val="18"/>
    </w:rPr>
  </w:style>
  <w:style w:type="paragraph" w:styleId="Revision">
    <w:name w:val="Revision"/>
    <w:hidden/>
    <w:uiPriority w:val="99"/>
    <w:semiHidden/>
    <w:rsid w:val="00D61AEF"/>
    <w:pPr>
      <w:spacing w:after="0" w:line="240" w:lineRule="auto"/>
    </w:pPr>
  </w:style>
  <w:style w:type="paragraph" w:customStyle="1" w:styleId="xmsonormal">
    <w:name w:val="x_msonormal"/>
    <w:basedOn w:val="Normal"/>
    <w:rsid w:val="008F72D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78">
      <w:bodyDiv w:val="1"/>
      <w:marLeft w:val="0"/>
      <w:marRight w:val="0"/>
      <w:marTop w:val="0"/>
      <w:marBottom w:val="0"/>
      <w:divBdr>
        <w:top w:val="none" w:sz="0" w:space="0" w:color="auto"/>
        <w:left w:val="none" w:sz="0" w:space="0" w:color="auto"/>
        <w:bottom w:val="none" w:sz="0" w:space="0" w:color="auto"/>
        <w:right w:val="none" w:sz="0" w:space="0" w:color="auto"/>
      </w:divBdr>
    </w:div>
    <w:div w:id="54015720">
      <w:bodyDiv w:val="1"/>
      <w:marLeft w:val="0"/>
      <w:marRight w:val="0"/>
      <w:marTop w:val="0"/>
      <w:marBottom w:val="0"/>
      <w:divBdr>
        <w:top w:val="none" w:sz="0" w:space="0" w:color="auto"/>
        <w:left w:val="none" w:sz="0" w:space="0" w:color="auto"/>
        <w:bottom w:val="none" w:sz="0" w:space="0" w:color="auto"/>
        <w:right w:val="none" w:sz="0" w:space="0" w:color="auto"/>
      </w:divBdr>
    </w:div>
    <w:div w:id="159779932">
      <w:bodyDiv w:val="1"/>
      <w:marLeft w:val="0"/>
      <w:marRight w:val="0"/>
      <w:marTop w:val="0"/>
      <w:marBottom w:val="0"/>
      <w:divBdr>
        <w:top w:val="none" w:sz="0" w:space="0" w:color="auto"/>
        <w:left w:val="none" w:sz="0" w:space="0" w:color="auto"/>
        <w:bottom w:val="none" w:sz="0" w:space="0" w:color="auto"/>
        <w:right w:val="none" w:sz="0" w:space="0" w:color="auto"/>
      </w:divBdr>
    </w:div>
    <w:div w:id="179662279">
      <w:bodyDiv w:val="1"/>
      <w:marLeft w:val="0"/>
      <w:marRight w:val="0"/>
      <w:marTop w:val="0"/>
      <w:marBottom w:val="0"/>
      <w:divBdr>
        <w:top w:val="none" w:sz="0" w:space="0" w:color="auto"/>
        <w:left w:val="none" w:sz="0" w:space="0" w:color="auto"/>
        <w:bottom w:val="none" w:sz="0" w:space="0" w:color="auto"/>
        <w:right w:val="none" w:sz="0" w:space="0" w:color="auto"/>
      </w:divBdr>
    </w:div>
    <w:div w:id="224994859">
      <w:bodyDiv w:val="1"/>
      <w:marLeft w:val="0"/>
      <w:marRight w:val="0"/>
      <w:marTop w:val="0"/>
      <w:marBottom w:val="0"/>
      <w:divBdr>
        <w:top w:val="none" w:sz="0" w:space="0" w:color="auto"/>
        <w:left w:val="none" w:sz="0" w:space="0" w:color="auto"/>
        <w:bottom w:val="none" w:sz="0" w:space="0" w:color="auto"/>
        <w:right w:val="none" w:sz="0" w:space="0" w:color="auto"/>
      </w:divBdr>
    </w:div>
    <w:div w:id="252973745">
      <w:bodyDiv w:val="1"/>
      <w:marLeft w:val="0"/>
      <w:marRight w:val="0"/>
      <w:marTop w:val="0"/>
      <w:marBottom w:val="0"/>
      <w:divBdr>
        <w:top w:val="none" w:sz="0" w:space="0" w:color="auto"/>
        <w:left w:val="none" w:sz="0" w:space="0" w:color="auto"/>
        <w:bottom w:val="none" w:sz="0" w:space="0" w:color="auto"/>
        <w:right w:val="none" w:sz="0" w:space="0" w:color="auto"/>
      </w:divBdr>
    </w:div>
    <w:div w:id="268632222">
      <w:bodyDiv w:val="1"/>
      <w:marLeft w:val="0"/>
      <w:marRight w:val="0"/>
      <w:marTop w:val="0"/>
      <w:marBottom w:val="0"/>
      <w:divBdr>
        <w:top w:val="none" w:sz="0" w:space="0" w:color="auto"/>
        <w:left w:val="none" w:sz="0" w:space="0" w:color="auto"/>
        <w:bottom w:val="none" w:sz="0" w:space="0" w:color="auto"/>
        <w:right w:val="none" w:sz="0" w:space="0" w:color="auto"/>
      </w:divBdr>
    </w:div>
    <w:div w:id="280695830">
      <w:bodyDiv w:val="1"/>
      <w:marLeft w:val="0"/>
      <w:marRight w:val="0"/>
      <w:marTop w:val="0"/>
      <w:marBottom w:val="0"/>
      <w:divBdr>
        <w:top w:val="none" w:sz="0" w:space="0" w:color="auto"/>
        <w:left w:val="none" w:sz="0" w:space="0" w:color="auto"/>
        <w:bottom w:val="none" w:sz="0" w:space="0" w:color="auto"/>
        <w:right w:val="none" w:sz="0" w:space="0" w:color="auto"/>
      </w:divBdr>
    </w:div>
    <w:div w:id="308486041">
      <w:bodyDiv w:val="1"/>
      <w:marLeft w:val="0"/>
      <w:marRight w:val="0"/>
      <w:marTop w:val="0"/>
      <w:marBottom w:val="0"/>
      <w:divBdr>
        <w:top w:val="none" w:sz="0" w:space="0" w:color="auto"/>
        <w:left w:val="none" w:sz="0" w:space="0" w:color="auto"/>
        <w:bottom w:val="none" w:sz="0" w:space="0" w:color="auto"/>
        <w:right w:val="none" w:sz="0" w:space="0" w:color="auto"/>
      </w:divBdr>
    </w:div>
    <w:div w:id="321782769">
      <w:bodyDiv w:val="1"/>
      <w:marLeft w:val="0"/>
      <w:marRight w:val="0"/>
      <w:marTop w:val="0"/>
      <w:marBottom w:val="0"/>
      <w:divBdr>
        <w:top w:val="none" w:sz="0" w:space="0" w:color="auto"/>
        <w:left w:val="none" w:sz="0" w:space="0" w:color="auto"/>
        <w:bottom w:val="none" w:sz="0" w:space="0" w:color="auto"/>
        <w:right w:val="none" w:sz="0" w:space="0" w:color="auto"/>
      </w:divBdr>
    </w:div>
    <w:div w:id="356152599">
      <w:bodyDiv w:val="1"/>
      <w:marLeft w:val="0"/>
      <w:marRight w:val="0"/>
      <w:marTop w:val="0"/>
      <w:marBottom w:val="0"/>
      <w:divBdr>
        <w:top w:val="none" w:sz="0" w:space="0" w:color="auto"/>
        <w:left w:val="none" w:sz="0" w:space="0" w:color="auto"/>
        <w:bottom w:val="none" w:sz="0" w:space="0" w:color="auto"/>
        <w:right w:val="none" w:sz="0" w:space="0" w:color="auto"/>
      </w:divBdr>
    </w:div>
    <w:div w:id="367072354">
      <w:bodyDiv w:val="1"/>
      <w:marLeft w:val="0"/>
      <w:marRight w:val="0"/>
      <w:marTop w:val="0"/>
      <w:marBottom w:val="0"/>
      <w:divBdr>
        <w:top w:val="none" w:sz="0" w:space="0" w:color="auto"/>
        <w:left w:val="none" w:sz="0" w:space="0" w:color="auto"/>
        <w:bottom w:val="none" w:sz="0" w:space="0" w:color="auto"/>
        <w:right w:val="none" w:sz="0" w:space="0" w:color="auto"/>
      </w:divBdr>
    </w:div>
    <w:div w:id="378434100">
      <w:bodyDiv w:val="1"/>
      <w:marLeft w:val="0"/>
      <w:marRight w:val="0"/>
      <w:marTop w:val="0"/>
      <w:marBottom w:val="0"/>
      <w:divBdr>
        <w:top w:val="none" w:sz="0" w:space="0" w:color="auto"/>
        <w:left w:val="none" w:sz="0" w:space="0" w:color="auto"/>
        <w:bottom w:val="none" w:sz="0" w:space="0" w:color="auto"/>
        <w:right w:val="none" w:sz="0" w:space="0" w:color="auto"/>
      </w:divBdr>
    </w:div>
    <w:div w:id="412967924">
      <w:bodyDiv w:val="1"/>
      <w:marLeft w:val="0"/>
      <w:marRight w:val="0"/>
      <w:marTop w:val="0"/>
      <w:marBottom w:val="0"/>
      <w:divBdr>
        <w:top w:val="none" w:sz="0" w:space="0" w:color="auto"/>
        <w:left w:val="none" w:sz="0" w:space="0" w:color="auto"/>
        <w:bottom w:val="none" w:sz="0" w:space="0" w:color="auto"/>
        <w:right w:val="none" w:sz="0" w:space="0" w:color="auto"/>
      </w:divBdr>
    </w:div>
    <w:div w:id="414476068">
      <w:bodyDiv w:val="1"/>
      <w:marLeft w:val="0"/>
      <w:marRight w:val="0"/>
      <w:marTop w:val="0"/>
      <w:marBottom w:val="0"/>
      <w:divBdr>
        <w:top w:val="none" w:sz="0" w:space="0" w:color="auto"/>
        <w:left w:val="none" w:sz="0" w:space="0" w:color="auto"/>
        <w:bottom w:val="none" w:sz="0" w:space="0" w:color="auto"/>
        <w:right w:val="none" w:sz="0" w:space="0" w:color="auto"/>
      </w:divBdr>
    </w:div>
    <w:div w:id="415060382">
      <w:bodyDiv w:val="1"/>
      <w:marLeft w:val="0"/>
      <w:marRight w:val="0"/>
      <w:marTop w:val="0"/>
      <w:marBottom w:val="0"/>
      <w:divBdr>
        <w:top w:val="none" w:sz="0" w:space="0" w:color="auto"/>
        <w:left w:val="none" w:sz="0" w:space="0" w:color="auto"/>
        <w:bottom w:val="none" w:sz="0" w:space="0" w:color="auto"/>
        <w:right w:val="none" w:sz="0" w:space="0" w:color="auto"/>
      </w:divBdr>
    </w:div>
    <w:div w:id="416486891">
      <w:bodyDiv w:val="1"/>
      <w:marLeft w:val="0"/>
      <w:marRight w:val="0"/>
      <w:marTop w:val="0"/>
      <w:marBottom w:val="0"/>
      <w:divBdr>
        <w:top w:val="none" w:sz="0" w:space="0" w:color="auto"/>
        <w:left w:val="none" w:sz="0" w:space="0" w:color="auto"/>
        <w:bottom w:val="none" w:sz="0" w:space="0" w:color="auto"/>
        <w:right w:val="none" w:sz="0" w:space="0" w:color="auto"/>
      </w:divBdr>
    </w:div>
    <w:div w:id="429471542">
      <w:bodyDiv w:val="1"/>
      <w:marLeft w:val="0"/>
      <w:marRight w:val="0"/>
      <w:marTop w:val="0"/>
      <w:marBottom w:val="0"/>
      <w:divBdr>
        <w:top w:val="none" w:sz="0" w:space="0" w:color="auto"/>
        <w:left w:val="none" w:sz="0" w:space="0" w:color="auto"/>
        <w:bottom w:val="none" w:sz="0" w:space="0" w:color="auto"/>
        <w:right w:val="none" w:sz="0" w:space="0" w:color="auto"/>
      </w:divBdr>
    </w:div>
    <w:div w:id="474882879">
      <w:bodyDiv w:val="1"/>
      <w:marLeft w:val="0"/>
      <w:marRight w:val="0"/>
      <w:marTop w:val="0"/>
      <w:marBottom w:val="0"/>
      <w:divBdr>
        <w:top w:val="none" w:sz="0" w:space="0" w:color="auto"/>
        <w:left w:val="none" w:sz="0" w:space="0" w:color="auto"/>
        <w:bottom w:val="none" w:sz="0" w:space="0" w:color="auto"/>
        <w:right w:val="none" w:sz="0" w:space="0" w:color="auto"/>
      </w:divBdr>
    </w:div>
    <w:div w:id="479539676">
      <w:bodyDiv w:val="1"/>
      <w:marLeft w:val="0"/>
      <w:marRight w:val="0"/>
      <w:marTop w:val="0"/>
      <w:marBottom w:val="0"/>
      <w:divBdr>
        <w:top w:val="none" w:sz="0" w:space="0" w:color="auto"/>
        <w:left w:val="none" w:sz="0" w:space="0" w:color="auto"/>
        <w:bottom w:val="none" w:sz="0" w:space="0" w:color="auto"/>
        <w:right w:val="none" w:sz="0" w:space="0" w:color="auto"/>
      </w:divBdr>
    </w:div>
    <w:div w:id="504638785">
      <w:bodyDiv w:val="1"/>
      <w:marLeft w:val="0"/>
      <w:marRight w:val="0"/>
      <w:marTop w:val="0"/>
      <w:marBottom w:val="0"/>
      <w:divBdr>
        <w:top w:val="none" w:sz="0" w:space="0" w:color="auto"/>
        <w:left w:val="none" w:sz="0" w:space="0" w:color="auto"/>
        <w:bottom w:val="none" w:sz="0" w:space="0" w:color="auto"/>
        <w:right w:val="none" w:sz="0" w:space="0" w:color="auto"/>
      </w:divBdr>
    </w:div>
    <w:div w:id="530387112">
      <w:bodyDiv w:val="1"/>
      <w:marLeft w:val="0"/>
      <w:marRight w:val="0"/>
      <w:marTop w:val="0"/>
      <w:marBottom w:val="0"/>
      <w:divBdr>
        <w:top w:val="none" w:sz="0" w:space="0" w:color="auto"/>
        <w:left w:val="none" w:sz="0" w:space="0" w:color="auto"/>
        <w:bottom w:val="none" w:sz="0" w:space="0" w:color="auto"/>
        <w:right w:val="none" w:sz="0" w:space="0" w:color="auto"/>
      </w:divBdr>
    </w:div>
    <w:div w:id="534805175">
      <w:bodyDiv w:val="1"/>
      <w:marLeft w:val="0"/>
      <w:marRight w:val="0"/>
      <w:marTop w:val="0"/>
      <w:marBottom w:val="0"/>
      <w:divBdr>
        <w:top w:val="none" w:sz="0" w:space="0" w:color="auto"/>
        <w:left w:val="none" w:sz="0" w:space="0" w:color="auto"/>
        <w:bottom w:val="none" w:sz="0" w:space="0" w:color="auto"/>
        <w:right w:val="none" w:sz="0" w:space="0" w:color="auto"/>
      </w:divBdr>
    </w:div>
    <w:div w:id="538931936">
      <w:bodyDiv w:val="1"/>
      <w:marLeft w:val="0"/>
      <w:marRight w:val="0"/>
      <w:marTop w:val="0"/>
      <w:marBottom w:val="0"/>
      <w:divBdr>
        <w:top w:val="none" w:sz="0" w:space="0" w:color="auto"/>
        <w:left w:val="none" w:sz="0" w:space="0" w:color="auto"/>
        <w:bottom w:val="none" w:sz="0" w:space="0" w:color="auto"/>
        <w:right w:val="none" w:sz="0" w:space="0" w:color="auto"/>
      </w:divBdr>
    </w:div>
    <w:div w:id="544222766">
      <w:bodyDiv w:val="1"/>
      <w:marLeft w:val="0"/>
      <w:marRight w:val="0"/>
      <w:marTop w:val="0"/>
      <w:marBottom w:val="0"/>
      <w:divBdr>
        <w:top w:val="none" w:sz="0" w:space="0" w:color="auto"/>
        <w:left w:val="none" w:sz="0" w:space="0" w:color="auto"/>
        <w:bottom w:val="none" w:sz="0" w:space="0" w:color="auto"/>
        <w:right w:val="none" w:sz="0" w:space="0" w:color="auto"/>
      </w:divBdr>
    </w:div>
    <w:div w:id="583876461">
      <w:bodyDiv w:val="1"/>
      <w:marLeft w:val="0"/>
      <w:marRight w:val="0"/>
      <w:marTop w:val="0"/>
      <w:marBottom w:val="0"/>
      <w:divBdr>
        <w:top w:val="none" w:sz="0" w:space="0" w:color="auto"/>
        <w:left w:val="none" w:sz="0" w:space="0" w:color="auto"/>
        <w:bottom w:val="none" w:sz="0" w:space="0" w:color="auto"/>
        <w:right w:val="none" w:sz="0" w:space="0" w:color="auto"/>
      </w:divBdr>
    </w:div>
    <w:div w:id="595946980">
      <w:bodyDiv w:val="1"/>
      <w:marLeft w:val="0"/>
      <w:marRight w:val="0"/>
      <w:marTop w:val="0"/>
      <w:marBottom w:val="0"/>
      <w:divBdr>
        <w:top w:val="none" w:sz="0" w:space="0" w:color="auto"/>
        <w:left w:val="none" w:sz="0" w:space="0" w:color="auto"/>
        <w:bottom w:val="none" w:sz="0" w:space="0" w:color="auto"/>
        <w:right w:val="none" w:sz="0" w:space="0" w:color="auto"/>
      </w:divBdr>
    </w:div>
    <w:div w:id="611208793">
      <w:bodyDiv w:val="1"/>
      <w:marLeft w:val="0"/>
      <w:marRight w:val="0"/>
      <w:marTop w:val="0"/>
      <w:marBottom w:val="0"/>
      <w:divBdr>
        <w:top w:val="none" w:sz="0" w:space="0" w:color="auto"/>
        <w:left w:val="none" w:sz="0" w:space="0" w:color="auto"/>
        <w:bottom w:val="none" w:sz="0" w:space="0" w:color="auto"/>
        <w:right w:val="none" w:sz="0" w:space="0" w:color="auto"/>
      </w:divBdr>
    </w:div>
    <w:div w:id="625352638">
      <w:bodyDiv w:val="1"/>
      <w:marLeft w:val="0"/>
      <w:marRight w:val="0"/>
      <w:marTop w:val="0"/>
      <w:marBottom w:val="0"/>
      <w:divBdr>
        <w:top w:val="none" w:sz="0" w:space="0" w:color="auto"/>
        <w:left w:val="none" w:sz="0" w:space="0" w:color="auto"/>
        <w:bottom w:val="none" w:sz="0" w:space="0" w:color="auto"/>
        <w:right w:val="none" w:sz="0" w:space="0" w:color="auto"/>
      </w:divBdr>
    </w:div>
    <w:div w:id="656301266">
      <w:bodyDiv w:val="1"/>
      <w:marLeft w:val="0"/>
      <w:marRight w:val="0"/>
      <w:marTop w:val="0"/>
      <w:marBottom w:val="0"/>
      <w:divBdr>
        <w:top w:val="none" w:sz="0" w:space="0" w:color="auto"/>
        <w:left w:val="none" w:sz="0" w:space="0" w:color="auto"/>
        <w:bottom w:val="none" w:sz="0" w:space="0" w:color="auto"/>
        <w:right w:val="none" w:sz="0" w:space="0" w:color="auto"/>
      </w:divBdr>
    </w:div>
    <w:div w:id="666371276">
      <w:bodyDiv w:val="1"/>
      <w:marLeft w:val="0"/>
      <w:marRight w:val="0"/>
      <w:marTop w:val="0"/>
      <w:marBottom w:val="0"/>
      <w:divBdr>
        <w:top w:val="none" w:sz="0" w:space="0" w:color="auto"/>
        <w:left w:val="none" w:sz="0" w:space="0" w:color="auto"/>
        <w:bottom w:val="none" w:sz="0" w:space="0" w:color="auto"/>
        <w:right w:val="none" w:sz="0" w:space="0" w:color="auto"/>
      </w:divBdr>
    </w:div>
    <w:div w:id="721750296">
      <w:bodyDiv w:val="1"/>
      <w:marLeft w:val="0"/>
      <w:marRight w:val="0"/>
      <w:marTop w:val="0"/>
      <w:marBottom w:val="0"/>
      <w:divBdr>
        <w:top w:val="none" w:sz="0" w:space="0" w:color="auto"/>
        <w:left w:val="none" w:sz="0" w:space="0" w:color="auto"/>
        <w:bottom w:val="none" w:sz="0" w:space="0" w:color="auto"/>
        <w:right w:val="none" w:sz="0" w:space="0" w:color="auto"/>
      </w:divBdr>
    </w:div>
    <w:div w:id="738214894">
      <w:bodyDiv w:val="1"/>
      <w:marLeft w:val="0"/>
      <w:marRight w:val="0"/>
      <w:marTop w:val="0"/>
      <w:marBottom w:val="0"/>
      <w:divBdr>
        <w:top w:val="none" w:sz="0" w:space="0" w:color="auto"/>
        <w:left w:val="none" w:sz="0" w:space="0" w:color="auto"/>
        <w:bottom w:val="none" w:sz="0" w:space="0" w:color="auto"/>
        <w:right w:val="none" w:sz="0" w:space="0" w:color="auto"/>
      </w:divBdr>
    </w:div>
    <w:div w:id="753552033">
      <w:bodyDiv w:val="1"/>
      <w:marLeft w:val="0"/>
      <w:marRight w:val="0"/>
      <w:marTop w:val="0"/>
      <w:marBottom w:val="0"/>
      <w:divBdr>
        <w:top w:val="none" w:sz="0" w:space="0" w:color="auto"/>
        <w:left w:val="none" w:sz="0" w:space="0" w:color="auto"/>
        <w:bottom w:val="none" w:sz="0" w:space="0" w:color="auto"/>
        <w:right w:val="none" w:sz="0" w:space="0" w:color="auto"/>
      </w:divBdr>
    </w:div>
    <w:div w:id="771244517">
      <w:bodyDiv w:val="1"/>
      <w:marLeft w:val="0"/>
      <w:marRight w:val="0"/>
      <w:marTop w:val="0"/>
      <w:marBottom w:val="0"/>
      <w:divBdr>
        <w:top w:val="none" w:sz="0" w:space="0" w:color="auto"/>
        <w:left w:val="none" w:sz="0" w:space="0" w:color="auto"/>
        <w:bottom w:val="none" w:sz="0" w:space="0" w:color="auto"/>
        <w:right w:val="none" w:sz="0" w:space="0" w:color="auto"/>
      </w:divBdr>
    </w:div>
    <w:div w:id="776557253">
      <w:bodyDiv w:val="1"/>
      <w:marLeft w:val="0"/>
      <w:marRight w:val="0"/>
      <w:marTop w:val="0"/>
      <w:marBottom w:val="0"/>
      <w:divBdr>
        <w:top w:val="none" w:sz="0" w:space="0" w:color="auto"/>
        <w:left w:val="none" w:sz="0" w:space="0" w:color="auto"/>
        <w:bottom w:val="none" w:sz="0" w:space="0" w:color="auto"/>
        <w:right w:val="none" w:sz="0" w:space="0" w:color="auto"/>
      </w:divBdr>
    </w:div>
    <w:div w:id="822235666">
      <w:bodyDiv w:val="1"/>
      <w:marLeft w:val="0"/>
      <w:marRight w:val="0"/>
      <w:marTop w:val="0"/>
      <w:marBottom w:val="0"/>
      <w:divBdr>
        <w:top w:val="none" w:sz="0" w:space="0" w:color="auto"/>
        <w:left w:val="none" w:sz="0" w:space="0" w:color="auto"/>
        <w:bottom w:val="none" w:sz="0" w:space="0" w:color="auto"/>
        <w:right w:val="none" w:sz="0" w:space="0" w:color="auto"/>
      </w:divBdr>
    </w:div>
    <w:div w:id="822697493">
      <w:bodyDiv w:val="1"/>
      <w:marLeft w:val="0"/>
      <w:marRight w:val="0"/>
      <w:marTop w:val="0"/>
      <w:marBottom w:val="0"/>
      <w:divBdr>
        <w:top w:val="none" w:sz="0" w:space="0" w:color="auto"/>
        <w:left w:val="none" w:sz="0" w:space="0" w:color="auto"/>
        <w:bottom w:val="none" w:sz="0" w:space="0" w:color="auto"/>
        <w:right w:val="none" w:sz="0" w:space="0" w:color="auto"/>
      </w:divBdr>
    </w:div>
    <w:div w:id="829949673">
      <w:bodyDiv w:val="1"/>
      <w:marLeft w:val="0"/>
      <w:marRight w:val="0"/>
      <w:marTop w:val="0"/>
      <w:marBottom w:val="0"/>
      <w:divBdr>
        <w:top w:val="none" w:sz="0" w:space="0" w:color="auto"/>
        <w:left w:val="none" w:sz="0" w:space="0" w:color="auto"/>
        <w:bottom w:val="none" w:sz="0" w:space="0" w:color="auto"/>
        <w:right w:val="none" w:sz="0" w:space="0" w:color="auto"/>
      </w:divBdr>
    </w:div>
    <w:div w:id="848913764">
      <w:bodyDiv w:val="1"/>
      <w:marLeft w:val="0"/>
      <w:marRight w:val="0"/>
      <w:marTop w:val="0"/>
      <w:marBottom w:val="0"/>
      <w:divBdr>
        <w:top w:val="none" w:sz="0" w:space="0" w:color="auto"/>
        <w:left w:val="none" w:sz="0" w:space="0" w:color="auto"/>
        <w:bottom w:val="none" w:sz="0" w:space="0" w:color="auto"/>
        <w:right w:val="none" w:sz="0" w:space="0" w:color="auto"/>
      </w:divBdr>
    </w:div>
    <w:div w:id="958073445">
      <w:bodyDiv w:val="1"/>
      <w:marLeft w:val="0"/>
      <w:marRight w:val="0"/>
      <w:marTop w:val="0"/>
      <w:marBottom w:val="0"/>
      <w:divBdr>
        <w:top w:val="none" w:sz="0" w:space="0" w:color="auto"/>
        <w:left w:val="none" w:sz="0" w:space="0" w:color="auto"/>
        <w:bottom w:val="none" w:sz="0" w:space="0" w:color="auto"/>
        <w:right w:val="none" w:sz="0" w:space="0" w:color="auto"/>
      </w:divBdr>
    </w:div>
    <w:div w:id="973678105">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57363256">
      <w:bodyDiv w:val="1"/>
      <w:marLeft w:val="0"/>
      <w:marRight w:val="0"/>
      <w:marTop w:val="0"/>
      <w:marBottom w:val="0"/>
      <w:divBdr>
        <w:top w:val="none" w:sz="0" w:space="0" w:color="auto"/>
        <w:left w:val="none" w:sz="0" w:space="0" w:color="auto"/>
        <w:bottom w:val="none" w:sz="0" w:space="0" w:color="auto"/>
        <w:right w:val="none" w:sz="0" w:space="0" w:color="auto"/>
      </w:divBdr>
    </w:div>
    <w:div w:id="1070076402">
      <w:bodyDiv w:val="1"/>
      <w:marLeft w:val="0"/>
      <w:marRight w:val="0"/>
      <w:marTop w:val="0"/>
      <w:marBottom w:val="0"/>
      <w:divBdr>
        <w:top w:val="none" w:sz="0" w:space="0" w:color="auto"/>
        <w:left w:val="none" w:sz="0" w:space="0" w:color="auto"/>
        <w:bottom w:val="none" w:sz="0" w:space="0" w:color="auto"/>
        <w:right w:val="none" w:sz="0" w:space="0" w:color="auto"/>
      </w:divBdr>
    </w:div>
    <w:div w:id="1081373416">
      <w:bodyDiv w:val="1"/>
      <w:marLeft w:val="0"/>
      <w:marRight w:val="0"/>
      <w:marTop w:val="0"/>
      <w:marBottom w:val="0"/>
      <w:divBdr>
        <w:top w:val="none" w:sz="0" w:space="0" w:color="auto"/>
        <w:left w:val="none" w:sz="0" w:space="0" w:color="auto"/>
        <w:bottom w:val="none" w:sz="0" w:space="0" w:color="auto"/>
        <w:right w:val="none" w:sz="0" w:space="0" w:color="auto"/>
      </w:divBdr>
    </w:div>
    <w:div w:id="1098015348">
      <w:bodyDiv w:val="1"/>
      <w:marLeft w:val="0"/>
      <w:marRight w:val="0"/>
      <w:marTop w:val="0"/>
      <w:marBottom w:val="0"/>
      <w:divBdr>
        <w:top w:val="none" w:sz="0" w:space="0" w:color="auto"/>
        <w:left w:val="none" w:sz="0" w:space="0" w:color="auto"/>
        <w:bottom w:val="none" w:sz="0" w:space="0" w:color="auto"/>
        <w:right w:val="none" w:sz="0" w:space="0" w:color="auto"/>
      </w:divBdr>
    </w:div>
    <w:div w:id="1102073940">
      <w:bodyDiv w:val="1"/>
      <w:marLeft w:val="0"/>
      <w:marRight w:val="0"/>
      <w:marTop w:val="0"/>
      <w:marBottom w:val="0"/>
      <w:divBdr>
        <w:top w:val="none" w:sz="0" w:space="0" w:color="auto"/>
        <w:left w:val="none" w:sz="0" w:space="0" w:color="auto"/>
        <w:bottom w:val="none" w:sz="0" w:space="0" w:color="auto"/>
        <w:right w:val="none" w:sz="0" w:space="0" w:color="auto"/>
      </w:divBdr>
    </w:div>
    <w:div w:id="1125731003">
      <w:bodyDiv w:val="1"/>
      <w:marLeft w:val="0"/>
      <w:marRight w:val="0"/>
      <w:marTop w:val="0"/>
      <w:marBottom w:val="0"/>
      <w:divBdr>
        <w:top w:val="none" w:sz="0" w:space="0" w:color="auto"/>
        <w:left w:val="none" w:sz="0" w:space="0" w:color="auto"/>
        <w:bottom w:val="none" w:sz="0" w:space="0" w:color="auto"/>
        <w:right w:val="none" w:sz="0" w:space="0" w:color="auto"/>
      </w:divBdr>
    </w:div>
    <w:div w:id="1135878202">
      <w:bodyDiv w:val="1"/>
      <w:marLeft w:val="0"/>
      <w:marRight w:val="0"/>
      <w:marTop w:val="0"/>
      <w:marBottom w:val="0"/>
      <w:divBdr>
        <w:top w:val="none" w:sz="0" w:space="0" w:color="auto"/>
        <w:left w:val="none" w:sz="0" w:space="0" w:color="auto"/>
        <w:bottom w:val="none" w:sz="0" w:space="0" w:color="auto"/>
        <w:right w:val="none" w:sz="0" w:space="0" w:color="auto"/>
      </w:divBdr>
    </w:div>
    <w:div w:id="1171136887">
      <w:bodyDiv w:val="1"/>
      <w:marLeft w:val="0"/>
      <w:marRight w:val="0"/>
      <w:marTop w:val="0"/>
      <w:marBottom w:val="0"/>
      <w:divBdr>
        <w:top w:val="none" w:sz="0" w:space="0" w:color="auto"/>
        <w:left w:val="none" w:sz="0" w:space="0" w:color="auto"/>
        <w:bottom w:val="none" w:sz="0" w:space="0" w:color="auto"/>
        <w:right w:val="none" w:sz="0" w:space="0" w:color="auto"/>
      </w:divBdr>
    </w:div>
    <w:div w:id="1178542763">
      <w:bodyDiv w:val="1"/>
      <w:marLeft w:val="0"/>
      <w:marRight w:val="0"/>
      <w:marTop w:val="0"/>
      <w:marBottom w:val="0"/>
      <w:divBdr>
        <w:top w:val="none" w:sz="0" w:space="0" w:color="auto"/>
        <w:left w:val="none" w:sz="0" w:space="0" w:color="auto"/>
        <w:bottom w:val="none" w:sz="0" w:space="0" w:color="auto"/>
        <w:right w:val="none" w:sz="0" w:space="0" w:color="auto"/>
      </w:divBdr>
    </w:div>
    <w:div w:id="1196819333">
      <w:bodyDiv w:val="1"/>
      <w:marLeft w:val="0"/>
      <w:marRight w:val="0"/>
      <w:marTop w:val="0"/>
      <w:marBottom w:val="0"/>
      <w:divBdr>
        <w:top w:val="none" w:sz="0" w:space="0" w:color="auto"/>
        <w:left w:val="none" w:sz="0" w:space="0" w:color="auto"/>
        <w:bottom w:val="none" w:sz="0" w:space="0" w:color="auto"/>
        <w:right w:val="none" w:sz="0" w:space="0" w:color="auto"/>
      </w:divBdr>
    </w:div>
    <w:div w:id="1207794237">
      <w:bodyDiv w:val="1"/>
      <w:marLeft w:val="0"/>
      <w:marRight w:val="0"/>
      <w:marTop w:val="0"/>
      <w:marBottom w:val="0"/>
      <w:divBdr>
        <w:top w:val="none" w:sz="0" w:space="0" w:color="auto"/>
        <w:left w:val="none" w:sz="0" w:space="0" w:color="auto"/>
        <w:bottom w:val="none" w:sz="0" w:space="0" w:color="auto"/>
        <w:right w:val="none" w:sz="0" w:space="0" w:color="auto"/>
      </w:divBdr>
    </w:div>
    <w:div w:id="1208908922">
      <w:bodyDiv w:val="1"/>
      <w:marLeft w:val="0"/>
      <w:marRight w:val="0"/>
      <w:marTop w:val="0"/>
      <w:marBottom w:val="0"/>
      <w:divBdr>
        <w:top w:val="none" w:sz="0" w:space="0" w:color="auto"/>
        <w:left w:val="none" w:sz="0" w:space="0" w:color="auto"/>
        <w:bottom w:val="none" w:sz="0" w:space="0" w:color="auto"/>
        <w:right w:val="none" w:sz="0" w:space="0" w:color="auto"/>
      </w:divBdr>
    </w:div>
    <w:div w:id="1216549661">
      <w:bodyDiv w:val="1"/>
      <w:marLeft w:val="0"/>
      <w:marRight w:val="0"/>
      <w:marTop w:val="0"/>
      <w:marBottom w:val="0"/>
      <w:divBdr>
        <w:top w:val="none" w:sz="0" w:space="0" w:color="auto"/>
        <w:left w:val="none" w:sz="0" w:space="0" w:color="auto"/>
        <w:bottom w:val="none" w:sz="0" w:space="0" w:color="auto"/>
        <w:right w:val="none" w:sz="0" w:space="0" w:color="auto"/>
      </w:divBdr>
    </w:div>
    <w:div w:id="1234438077">
      <w:bodyDiv w:val="1"/>
      <w:marLeft w:val="0"/>
      <w:marRight w:val="0"/>
      <w:marTop w:val="0"/>
      <w:marBottom w:val="0"/>
      <w:divBdr>
        <w:top w:val="none" w:sz="0" w:space="0" w:color="auto"/>
        <w:left w:val="none" w:sz="0" w:space="0" w:color="auto"/>
        <w:bottom w:val="none" w:sz="0" w:space="0" w:color="auto"/>
        <w:right w:val="none" w:sz="0" w:space="0" w:color="auto"/>
      </w:divBdr>
    </w:div>
    <w:div w:id="1312173659">
      <w:bodyDiv w:val="1"/>
      <w:marLeft w:val="0"/>
      <w:marRight w:val="0"/>
      <w:marTop w:val="0"/>
      <w:marBottom w:val="0"/>
      <w:divBdr>
        <w:top w:val="none" w:sz="0" w:space="0" w:color="auto"/>
        <w:left w:val="none" w:sz="0" w:space="0" w:color="auto"/>
        <w:bottom w:val="none" w:sz="0" w:space="0" w:color="auto"/>
        <w:right w:val="none" w:sz="0" w:space="0" w:color="auto"/>
      </w:divBdr>
    </w:div>
    <w:div w:id="1327898870">
      <w:bodyDiv w:val="1"/>
      <w:marLeft w:val="0"/>
      <w:marRight w:val="0"/>
      <w:marTop w:val="0"/>
      <w:marBottom w:val="0"/>
      <w:divBdr>
        <w:top w:val="none" w:sz="0" w:space="0" w:color="auto"/>
        <w:left w:val="none" w:sz="0" w:space="0" w:color="auto"/>
        <w:bottom w:val="none" w:sz="0" w:space="0" w:color="auto"/>
        <w:right w:val="none" w:sz="0" w:space="0" w:color="auto"/>
      </w:divBdr>
    </w:div>
    <w:div w:id="1345135209">
      <w:bodyDiv w:val="1"/>
      <w:marLeft w:val="0"/>
      <w:marRight w:val="0"/>
      <w:marTop w:val="0"/>
      <w:marBottom w:val="0"/>
      <w:divBdr>
        <w:top w:val="none" w:sz="0" w:space="0" w:color="auto"/>
        <w:left w:val="none" w:sz="0" w:space="0" w:color="auto"/>
        <w:bottom w:val="none" w:sz="0" w:space="0" w:color="auto"/>
        <w:right w:val="none" w:sz="0" w:space="0" w:color="auto"/>
      </w:divBdr>
    </w:div>
    <w:div w:id="1345665718">
      <w:bodyDiv w:val="1"/>
      <w:marLeft w:val="0"/>
      <w:marRight w:val="0"/>
      <w:marTop w:val="0"/>
      <w:marBottom w:val="0"/>
      <w:divBdr>
        <w:top w:val="none" w:sz="0" w:space="0" w:color="auto"/>
        <w:left w:val="none" w:sz="0" w:space="0" w:color="auto"/>
        <w:bottom w:val="none" w:sz="0" w:space="0" w:color="auto"/>
        <w:right w:val="none" w:sz="0" w:space="0" w:color="auto"/>
      </w:divBdr>
    </w:div>
    <w:div w:id="1346862124">
      <w:bodyDiv w:val="1"/>
      <w:marLeft w:val="0"/>
      <w:marRight w:val="0"/>
      <w:marTop w:val="0"/>
      <w:marBottom w:val="0"/>
      <w:divBdr>
        <w:top w:val="none" w:sz="0" w:space="0" w:color="auto"/>
        <w:left w:val="none" w:sz="0" w:space="0" w:color="auto"/>
        <w:bottom w:val="none" w:sz="0" w:space="0" w:color="auto"/>
        <w:right w:val="none" w:sz="0" w:space="0" w:color="auto"/>
      </w:divBdr>
    </w:div>
    <w:div w:id="1349717826">
      <w:bodyDiv w:val="1"/>
      <w:marLeft w:val="0"/>
      <w:marRight w:val="0"/>
      <w:marTop w:val="0"/>
      <w:marBottom w:val="0"/>
      <w:divBdr>
        <w:top w:val="none" w:sz="0" w:space="0" w:color="auto"/>
        <w:left w:val="none" w:sz="0" w:space="0" w:color="auto"/>
        <w:bottom w:val="none" w:sz="0" w:space="0" w:color="auto"/>
        <w:right w:val="none" w:sz="0" w:space="0" w:color="auto"/>
      </w:divBdr>
    </w:div>
    <w:div w:id="1369141596">
      <w:bodyDiv w:val="1"/>
      <w:marLeft w:val="0"/>
      <w:marRight w:val="0"/>
      <w:marTop w:val="0"/>
      <w:marBottom w:val="0"/>
      <w:divBdr>
        <w:top w:val="none" w:sz="0" w:space="0" w:color="auto"/>
        <w:left w:val="none" w:sz="0" w:space="0" w:color="auto"/>
        <w:bottom w:val="none" w:sz="0" w:space="0" w:color="auto"/>
        <w:right w:val="none" w:sz="0" w:space="0" w:color="auto"/>
      </w:divBdr>
    </w:div>
    <w:div w:id="1415322107">
      <w:bodyDiv w:val="1"/>
      <w:marLeft w:val="0"/>
      <w:marRight w:val="0"/>
      <w:marTop w:val="0"/>
      <w:marBottom w:val="0"/>
      <w:divBdr>
        <w:top w:val="none" w:sz="0" w:space="0" w:color="auto"/>
        <w:left w:val="none" w:sz="0" w:space="0" w:color="auto"/>
        <w:bottom w:val="none" w:sz="0" w:space="0" w:color="auto"/>
        <w:right w:val="none" w:sz="0" w:space="0" w:color="auto"/>
      </w:divBdr>
    </w:div>
    <w:div w:id="1454441833">
      <w:bodyDiv w:val="1"/>
      <w:marLeft w:val="0"/>
      <w:marRight w:val="0"/>
      <w:marTop w:val="0"/>
      <w:marBottom w:val="0"/>
      <w:divBdr>
        <w:top w:val="none" w:sz="0" w:space="0" w:color="auto"/>
        <w:left w:val="none" w:sz="0" w:space="0" w:color="auto"/>
        <w:bottom w:val="none" w:sz="0" w:space="0" w:color="auto"/>
        <w:right w:val="none" w:sz="0" w:space="0" w:color="auto"/>
      </w:divBdr>
    </w:div>
    <w:div w:id="1454715387">
      <w:bodyDiv w:val="1"/>
      <w:marLeft w:val="0"/>
      <w:marRight w:val="0"/>
      <w:marTop w:val="0"/>
      <w:marBottom w:val="0"/>
      <w:divBdr>
        <w:top w:val="none" w:sz="0" w:space="0" w:color="auto"/>
        <w:left w:val="none" w:sz="0" w:space="0" w:color="auto"/>
        <w:bottom w:val="none" w:sz="0" w:space="0" w:color="auto"/>
        <w:right w:val="none" w:sz="0" w:space="0" w:color="auto"/>
      </w:divBdr>
    </w:div>
    <w:div w:id="1454907836">
      <w:bodyDiv w:val="1"/>
      <w:marLeft w:val="0"/>
      <w:marRight w:val="0"/>
      <w:marTop w:val="0"/>
      <w:marBottom w:val="0"/>
      <w:divBdr>
        <w:top w:val="none" w:sz="0" w:space="0" w:color="auto"/>
        <w:left w:val="none" w:sz="0" w:space="0" w:color="auto"/>
        <w:bottom w:val="none" w:sz="0" w:space="0" w:color="auto"/>
        <w:right w:val="none" w:sz="0" w:space="0" w:color="auto"/>
      </w:divBdr>
    </w:div>
    <w:div w:id="1593901307">
      <w:bodyDiv w:val="1"/>
      <w:marLeft w:val="0"/>
      <w:marRight w:val="0"/>
      <w:marTop w:val="0"/>
      <w:marBottom w:val="0"/>
      <w:divBdr>
        <w:top w:val="none" w:sz="0" w:space="0" w:color="auto"/>
        <w:left w:val="none" w:sz="0" w:space="0" w:color="auto"/>
        <w:bottom w:val="none" w:sz="0" w:space="0" w:color="auto"/>
        <w:right w:val="none" w:sz="0" w:space="0" w:color="auto"/>
      </w:divBdr>
    </w:div>
    <w:div w:id="1629241014">
      <w:bodyDiv w:val="1"/>
      <w:marLeft w:val="0"/>
      <w:marRight w:val="0"/>
      <w:marTop w:val="0"/>
      <w:marBottom w:val="0"/>
      <w:divBdr>
        <w:top w:val="none" w:sz="0" w:space="0" w:color="auto"/>
        <w:left w:val="none" w:sz="0" w:space="0" w:color="auto"/>
        <w:bottom w:val="none" w:sz="0" w:space="0" w:color="auto"/>
        <w:right w:val="none" w:sz="0" w:space="0" w:color="auto"/>
      </w:divBdr>
    </w:div>
    <w:div w:id="1673020956">
      <w:bodyDiv w:val="1"/>
      <w:marLeft w:val="0"/>
      <w:marRight w:val="0"/>
      <w:marTop w:val="0"/>
      <w:marBottom w:val="0"/>
      <w:divBdr>
        <w:top w:val="none" w:sz="0" w:space="0" w:color="auto"/>
        <w:left w:val="none" w:sz="0" w:space="0" w:color="auto"/>
        <w:bottom w:val="none" w:sz="0" w:space="0" w:color="auto"/>
        <w:right w:val="none" w:sz="0" w:space="0" w:color="auto"/>
      </w:divBdr>
    </w:div>
    <w:div w:id="1709405587">
      <w:bodyDiv w:val="1"/>
      <w:marLeft w:val="0"/>
      <w:marRight w:val="0"/>
      <w:marTop w:val="0"/>
      <w:marBottom w:val="0"/>
      <w:divBdr>
        <w:top w:val="none" w:sz="0" w:space="0" w:color="auto"/>
        <w:left w:val="none" w:sz="0" w:space="0" w:color="auto"/>
        <w:bottom w:val="none" w:sz="0" w:space="0" w:color="auto"/>
        <w:right w:val="none" w:sz="0" w:space="0" w:color="auto"/>
      </w:divBdr>
    </w:div>
    <w:div w:id="1712460222">
      <w:bodyDiv w:val="1"/>
      <w:marLeft w:val="0"/>
      <w:marRight w:val="0"/>
      <w:marTop w:val="0"/>
      <w:marBottom w:val="0"/>
      <w:divBdr>
        <w:top w:val="none" w:sz="0" w:space="0" w:color="auto"/>
        <w:left w:val="none" w:sz="0" w:space="0" w:color="auto"/>
        <w:bottom w:val="none" w:sz="0" w:space="0" w:color="auto"/>
        <w:right w:val="none" w:sz="0" w:space="0" w:color="auto"/>
      </w:divBdr>
    </w:div>
    <w:div w:id="1713268284">
      <w:bodyDiv w:val="1"/>
      <w:marLeft w:val="0"/>
      <w:marRight w:val="0"/>
      <w:marTop w:val="0"/>
      <w:marBottom w:val="0"/>
      <w:divBdr>
        <w:top w:val="none" w:sz="0" w:space="0" w:color="auto"/>
        <w:left w:val="none" w:sz="0" w:space="0" w:color="auto"/>
        <w:bottom w:val="none" w:sz="0" w:space="0" w:color="auto"/>
        <w:right w:val="none" w:sz="0" w:space="0" w:color="auto"/>
      </w:divBdr>
    </w:div>
    <w:div w:id="1717049490">
      <w:bodyDiv w:val="1"/>
      <w:marLeft w:val="0"/>
      <w:marRight w:val="0"/>
      <w:marTop w:val="0"/>
      <w:marBottom w:val="0"/>
      <w:divBdr>
        <w:top w:val="none" w:sz="0" w:space="0" w:color="auto"/>
        <w:left w:val="none" w:sz="0" w:space="0" w:color="auto"/>
        <w:bottom w:val="none" w:sz="0" w:space="0" w:color="auto"/>
        <w:right w:val="none" w:sz="0" w:space="0" w:color="auto"/>
      </w:divBdr>
    </w:div>
    <w:div w:id="1731346539">
      <w:bodyDiv w:val="1"/>
      <w:marLeft w:val="0"/>
      <w:marRight w:val="0"/>
      <w:marTop w:val="0"/>
      <w:marBottom w:val="0"/>
      <w:divBdr>
        <w:top w:val="none" w:sz="0" w:space="0" w:color="auto"/>
        <w:left w:val="none" w:sz="0" w:space="0" w:color="auto"/>
        <w:bottom w:val="none" w:sz="0" w:space="0" w:color="auto"/>
        <w:right w:val="none" w:sz="0" w:space="0" w:color="auto"/>
      </w:divBdr>
    </w:div>
    <w:div w:id="1734698581">
      <w:bodyDiv w:val="1"/>
      <w:marLeft w:val="0"/>
      <w:marRight w:val="0"/>
      <w:marTop w:val="0"/>
      <w:marBottom w:val="0"/>
      <w:divBdr>
        <w:top w:val="none" w:sz="0" w:space="0" w:color="auto"/>
        <w:left w:val="none" w:sz="0" w:space="0" w:color="auto"/>
        <w:bottom w:val="none" w:sz="0" w:space="0" w:color="auto"/>
        <w:right w:val="none" w:sz="0" w:space="0" w:color="auto"/>
      </w:divBdr>
    </w:div>
    <w:div w:id="1753165563">
      <w:bodyDiv w:val="1"/>
      <w:marLeft w:val="0"/>
      <w:marRight w:val="0"/>
      <w:marTop w:val="0"/>
      <w:marBottom w:val="0"/>
      <w:divBdr>
        <w:top w:val="none" w:sz="0" w:space="0" w:color="auto"/>
        <w:left w:val="none" w:sz="0" w:space="0" w:color="auto"/>
        <w:bottom w:val="none" w:sz="0" w:space="0" w:color="auto"/>
        <w:right w:val="none" w:sz="0" w:space="0" w:color="auto"/>
      </w:divBdr>
    </w:div>
    <w:div w:id="1761826568">
      <w:bodyDiv w:val="1"/>
      <w:marLeft w:val="0"/>
      <w:marRight w:val="0"/>
      <w:marTop w:val="0"/>
      <w:marBottom w:val="0"/>
      <w:divBdr>
        <w:top w:val="none" w:sz="0" w:space="0" w:color="auto"/>
        <w:left w:val="none" w:sz="0" w:space="0" w:color="auto"/>
        <w:bottom w:val="none" w:sz="0" w:space="0" w:color="auto"/>
        <w:right w:val="none" w:sz="0" w:space="0" w:color="auto"/>
      </w:divBdr>
    </w:div>
    <w:div w:id="1783526226">
      <w:bodyDiv w:val="1"/>
      <w:marLeft w:val="0"/>
      <w:marRight w:val="0"/>
      <w:marTop w:val="0"/>
      <w:marBottom w:val="0"/>
      <w:divBdr>
        <w:top w:val="none" w:sz="0" w:space="0" w:color="auto"/>
        <w:left w:val="none" w:sz="0" w:space="0" w:color="auto"/>
        <w:bottom w:val="none" w:sz="0" w:space="0" w:color="auto"/>
        <w:right w:val="none" w:sz="0" w:space="0" w:color="auto"/>
      </w:divBdr>
    </w:div>
    <w:div w:id="1799179892">
      <w:bodyDiv w:val="1"/>
      <w:marLeft w:val="0"/>
      <w:marRight w:val="0"/>
      <w:marTop w:val="0"/>
      <w:marBottom w:val="0"/>
      <w:divBdr>
        <w:top w:val="none" w:sz="0" w:space="0" w:color="auto"/>
        <w:left w:val="none" w:sz="0" w:space="0" w:color="auto"/>
        <w:bottom w:val="none" w:sz="0" w:space="0" w:color="auto"/>
        <w:right w:val="none" w:sz="0" w:space="0" w:color="auto"/>
      </w:divBdr>
    </w:div>
    <w:div w:id="1820488922">
      <w:bodyDiv w:val="1"/>
      <w:marLeft w:val="0"/>
      <w:marRight w:val="0"/>
      <w:marTop w:val="0"/>
      <w:marBottom w:val="0"/>
      <w:divBdr>
        <w:top w:val="none" w:sz="0" w:space="0" w:color="auto"/>
        <w:left w:val="none" w:sz="0" w:space="0" w:color="auto"/>
        <w:bottom w:val="none" w:sz="0" w:space="0" w:color="auto"/>
        <w:right w:val="none" w:sz="0" w:space="0" w:color="auto"/>
      </w:divBdr>
    </w:div>
    <w:div w:id="1822574489">
      <w:bodyDiv w:val="1"/>
      <w:marLeft w:val="0"/>
      <w:marRight w:val="0"/>
      <w:marTop w:val="0"/>
      <w:marBottom w:val="0"/>
      <w:divBdr>
        <w:top w:val="none" w:sz="0" w:space="0" w:color="auto"/>
        <w:left w:val="none" w:sz="0" w:space="0" w:color="auto"/>
        <w:bottom w:val="none" w:sz="0" w:space="0" w:color="auto"/>
        <w:right w:val="none" w:sz="0" w:space="0" w:color="auto"/>
      </w:divBdr>
    </w:div>
    <w:div w:id="1822773059">
      <w:bodyDiv w:val="1"/>
      <w:marLeft w:val="0"/>
      <w:marRight w:val="0"/>
      <w:marTop w:val="0"/>
      <w:marBottom w:val="0"/>
      <w:divBdr>
        <w:top w:val="none" w:sz="0" w:space="0" w:color="auto"/>
        <w:left w:val="none" w:sz="0" w:space="0" w:color="auto"/>
        <w:bottom w:val="none" w:sz="0" w:space="0" w:color="auto"/>
        <w:right w:val="none" w:sz="0" w:space="0" w:color="auto"/>
      </w:divBdr>
    </w:div>
    <w:div w:id="1835297294">
      <w:bodyDiv w:val="1"/>
      <w:marLeft w:val="0"/>
      <w:marRight w:val="0"/>
      <w:marTop w:val="0"/>
      <w:marBottom w:val="0"/>
      <w:divBdr>
        <w:top w:val="none" w:sz="0" w:space="0" w:color="auto"/>
        <w:left w:val="none" w:sz="0" w:space="0" w:color="auto"/>
        <w:bottom w:val="none" w:sz="0" w:space="0" w:color="auto"/>
        <w:right w:val="none" w:sz="0" w:space="0" w:color="auto"/>
      </w:divBdr>
    </w:div>
    <w:div w:id="1862009972">
      <w:bodyDiv w:val="1"/>
      <w:marLeft w:val="0"/>
      <w:marRight w:val="0"/>
      <w:marTop w:val="0"/>
      <w:marBottom w:val="0"/>
      <w:divBdr>
        <w:top w:val="none" w:sz="0" w:space="0" w:color="auto"/>
        <w:left w:val="none" w:sz="0" w:space="0" w:color="auto"/>
        <w:bottom w:val="none" w:sz="0" w:space="0" w:color="auto"/>
        <w:right w:val="none" w:sz="0" w:space="0" w:color="auto"/>
      </w:divBdr>
    </w:div>
    <w:div w:id="1897860168">
      <w:bodyDiv w:val="1"/>
      <w:marLeft w:val="0"/>
      <w:marRight w:val="0"/>
      <w:marTop w:val="0"/>
      <w:marBottom w:val="0"/>
      <w:divBdr>
        <w:top w:val="none" w:sz="0" w:space="0" w:color="auto"/>
        <w:left w:val="none" w:sz="0" w:space="0" w:color="auto"/>
        <w:bottom w:val="none" w:sz="0" w:space="0" w:color="auto"/>
        <w:right w:val="none" w:sz="0" w:space="0" w:color="auto"/>
      </w:divBdr>
    </w:div>
    <w:div w:id="1915898320">
      <w:bodyDiv w:val="1"/>
      <w:marLeft w:val="0"/>
      <w:marRight w:val="0"/>
      <w:marTop w:val="0"/>
      <w:marBottom w:val="0"/>
      <w:divBdr>
        <w:top w:val="none" w:sz="0" w:space="0" w:color="auto"/>
        <w:left w:val="none" w:sz="0" w:space="0" w:color="auto"/>
        <w:bottom w:val="none" w:sz="0" w:space="0" w:color="auto"/>
        <w:right w:val="none" w:sz="0" w:space="0" w:color="auto"/>
      </w:divBdr>
    </w:div>
    <w:div w:id="1935897760">
      <w:bodyDiv w:val="1"/>
      <w:marLeft w:val="0"/>
      <w:marRight w:val="0"/>
      <w:marTop w:val="0"/>
      <w:marBottom w:val="0"/>
      <w:divBdr>
        <w:top w:val="none" w:sz="0" w:space="0" w:color="auto"/>
        <w:left w:val="none" w:sz="0" w:space="0" w:color="auto"/>
        <w:bottom w:val="none" w:sz="0" w:space="0" w:color="auto"/>
        <w:right w:val="none" w:sz="0" w:space="0" w:color="auto"/>
      </w:divBdr>
    </w:div>
    <w:div w:id="1937059257">
      <w:bodyDiv w:val="1"/>
      <w:marLeft w:val="0"/>
      <w:marRight w:val="0"/>
      <w:marTop w:val="0"/>
      <w:marBottom w:val="0"/>
      <w:divBdr>
        <w:top w:val="none" w:sz="0" w:space="0" w:color="auto"/>
        <w:left w:val="none" w:sz="0" w:space="0" w:color="auto"/>
        <w:bottom w:val="none" w:sz="0" w:space="0" w:color="auto"/>
        <w:right w:val="none" w:sz="0" w:space="0" w:color="auto"/>
      </w:divBdr>
    </w:div>
    <w:div w:id="1950770858">
      <w:bodyDiv w:val="1"/>
      <w:marLeft w:val="0"/>
      <w:marRight w:val="0"/>
      <w:marTop w:val="0"/>
      <w:marBottom w:val="0"/>
      <w:divBdr>
        <w:top w:val="none" w:sz="0" w:space="0" w:color="auto"/>
        <w:left w:val="none" w:sz="0" w:space="0" w:color="auto"/>
        <w:bottom w:val="none" w:sz="0" w:space="0" w:color="auto"/>
        <w:right w:val="none" w:sz="0" w:space="0" w:color="auto"/>
      </w:divBdr>
    </w:div>
    <w:div w:id="1957449074">
      <w:bodyDiv w:val="1"/>
      <w:marLeft w:val="0"/>
      <w:marRight w:val="0"/>
      <w:marTop w:val="0"/>
      <w:marBottom w:val="0"/>
      <w:divBdr>
        <w:top w:val="none" w:sz="0" w:space="0" w:color="auto"/>
        <w:left w:val="none" w:sz="0" w:space="0" w:color="auto"/>
        <w:bottom w:val="none" w:sz="0" w:space="0" w:color="auto"/>
        <w:right w:val="none" w:sz="0" w:space="0" w:color="auto"/>
      </w:divBdr>
    </w:div>
    <w:div w:id="1978295012">
      <w:bodyDiv w:val="1"/>
      <w:marLeft w:val="0"/>
      <w:marRight w:val="0"/>
      <w:marTop w:val="0"/>
      <w:marBottom w:val="0"/>
      <w:divBdr>
        <w:top w:val="none" w:sz="0" w:space="0" w:color="auto"/>
        <w:left w:val="none" w:sz="0" w:space="0" w:color="auto"/>
        <w:bottom w:val="none" w:sz="0" w:space="0" w:color="auto"/>
        <w:right w:val="none" w:sz="0" w:space="0" w:color="auto"/>
      </w:divBdr>
    </w:div>
    <w:div w:id="2002584798">
      <w:bodyDiv w:val="1"/>
      <w:marLeft w:val="0"/>
      <w:marRight w:val="0"/>
      <w:marTop w:val="0"/>
      <w:marBottom w:val="0"/>
      <w:divBdr>
        <w:top w:val="none" w:sz="0" w:space="0" w:color="auto"/>
        <w:left w:val="none" w:sz="0" w:space="0" w:color="auto"/>
        <w:bottom w:val="none" w:sz="0" w:space="0" w:color="auto"/>
        <w:right w:val="none" w:sz="0" w:space="0" w:color="auto"/>
      </w:divBdr>
    </w:div>
    <w:div w:id="2025936963">
      <w:bodyDiv w:val="1"/>
      <w:marLeft w:val="0"/>
      <w:marRight w:val="0"/>
      <w:marTop w:val="0"/>
      <w:marBottom w:val="0"/>
      <w:divBdr>
        <w:top w:val="none" w:sz="0" w:space="0" w:color="auto"/>
        <w:left w:val="none" w:sz="0" w:space="0" w:color="auto"/>
        <w:bottom w:val="none" w:sz="0" w:space="0" w:color="auto"/>
        <w:right w:val="none" w:sz="0" w:space="0" w:color="auto"/>
      </w:divBdr>
    </w:div>
    <w:div w:id="2033217877">
      <w:bodyDiv w:val="1"/>
      <w:marLeft w:val="0"/>
      <w:marRight w:val="0"/>
      <w:marTop w:val="0"/>
      <w:marBottom w:val="0"/>
      <w:divBdr>
        <w:top w:val="none" w:sz="0" w:space="0" w:color="auto"/>
        <w:left w:val="none" w:sz="0" w:space="0" w:color="auto"/>
        <w:bottom w:val="none" w:sz="0" w:space="0" w:color="auto"/>
        <w:right w:val="none" w:sz="0" w:space="0" w:color="auto"/>
      </w:divBdr>
    </w:div>
    <w:div w:id="2038120073">
      <w:bodyDiv w:val="1"/>
      <w:marLeft w:val="0"/>
      <w:marRight w:val="0"/>
      <w:marTop w:val="0"/>
      <w:marBottom w:val="0"/>
      <w:divBdr>
        <w:top w:val="none" w:sz="0" w:space="0" w:color="auto"/>
        <w:left w:val="none" w:sz="0" w:space="0" w:color="auto"/>
        <w:bottom w:val="none" w:sz="0" w:space="0" w:color="auto"/>
        <w:right w:val="none" w:sz="0" w:space="0" w:color="auto"/>
      </w:divBdr>
    </w:div>
    <w:div w:id="2041122066">
      <w:bodyDiv w:val="1"/>
      <w:marLeft w:val="0"/>
      <w:marRight w:val="0"/>
      <w:marTop w:val="0"/>
      <w:marBottom w:val="0"/>
      <w:divBdr>
        <w:top w:val="none" w:sz="0" w:space="0" w:color="auto"/>
        <w:left w:val="none" w:sz="0" w:space="0" w:color="auto"/>
        <w:bottom w:val="none" w:sz="0" w:space="0" w:color="auto"/>
        <w:right w:val="none" w:sz="0" w:space="0" w:color="auto"/>
      </w:divBdr>
    </w:div>
    <w:div w:id="2053990753">
      <w:bodyDiv w:val="1"/>
      <w:marLeft w:val="0"/>
      <w:marRight w:val="0"/>
      <w:marTop w:val="0"/>
      <w:marBottom w:val="0"/>
      <w:divBdr>
        <w:top w:val="none" w:sz="0" w:space="0" w:color="auto"/>
        <w:left w:val="none" w:sz="0" w:space="0" w:color="auto"/>
        <w:bottom w:val="none" w:sz="0" w:space="0" w:color="auto"/>
        <w:right w:val="none" w:sz="0" w:space="0" w:color="auto"/>
      </w:divBdr>
    </w:div>
    <w:div w:id="2086029378">
      <w:bodyDiv w:val="1"/>
      <w:marLeft w:val="0"/>
      <w:marRight w:val="0"/>
      <w:marTop w:val="0"/>
      <w:marBottom w:val="0"/>
      <w:divBdr>
        <w:top w:val="none" w:sz="0" w:space="0" w:color="auto"/>
        <w:left w:val="none" w:sz="0" w:space="0" w:color="auto"/>
        <w:bottom w:val="none" w:sz="0" w:space="0" w:color="auto"/>
        <w:right w:val="none" w:sz="0" w:space="0" w:color="auto"/>
      </w:divBdr>
    </w:div>
    <w:div w:id="2101943346">
      <w:bodyDiv w:val="1"/>
      <w:marLeft w:val="0"/>
      <w:marRight w:val="0"/>
      <w:marTop w:val="0"/>
      <w:marBottom w:val="0"/>
      <w:divBdr>
        <w:top w:val="none" w:sz="0" w:space="0" w:color="auto"/>
        <w:left w:val="none" w:sz="0" w:space="0" w:color="auto"/>
        <w:bottom w:val="none" w:sz="0" w:space="0" w:color="auto"/>
        <w:right w:val="none" w:sz="0" w:space="0" w:color="auto"/>
      </w:divBdr>
    </w:div>
    <w:div w:id="2139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medicalnewstoday.com/articles/153201" TargetMode="External"/><Relationship Id="rId18" Type="http://schemas.openxmlformats.org/officeDocument/2006/relationships/hyperlink" Target="https://www.dignityhealth.org/articles/what-is-interventional-radiology" TargetMode="External"/><Relationship Id="rId26" Type="http://schemas.openxmlformats.org/officeDocument/2006/relationships/hyperlink" Target="https://seer.cancer.gov/statfacts/html/common.html" TargetMode="External"/><Relationship Id="rId3" Type="http://schemas.openxmlformats.org/officeDocument/2006/relationships/hyperlink" Target="https://www.heart.org/-/media/files/professional/quality-improvement/get-with-the-guidelines/get-with-the-guidelines-stroke/stroke-fact-sheet_-final_ucm_501842.pdf?la=en&amp;hash=7FA33C71D753DF7AB1D4850451C95BBE25BEA622" TargetMode="External"/><Relationship Id="rId21" Type="http://schemas.openxmlformats.org/officeDocument/2006/relationships/hyperlink" Target="https://www.radiologyinfo.org/en/info/angiocoroct" TargetMode="External"/><Relationship Id="rId7" Type="http://schemas.openxmlformats.org/officeDocument/2006/relationships/hyperlink" Target="https://www.neurologica.com/blog/advances-ct-scan-technology" TargetMode="External"/><Relationship Id="rId12" Type="http://schemas.openxmlformats.org/officeDocument/2006/relationships/hyperlink" Target="https://www.mayoclinic.org/tests-procedures/ct-scan/about/pac-20393675" TargetMode="External"/><Relationship Id="rId17" Type="http://schemas.openxmlformats.org/officeDocument/2006/relationships/hyperlink" Target="https://www.radiologyinfo.org/en/submenu.cfm?pg=ctscan" TargetMode="External"/><Relationship Id="rId25" Type="http://schemas.openxmlformats.org/officeDocument/2006/relationships/hyperlink" Target="https://jamanetwork.com/journals/jama/fullarticle/1697967" TargetMode="External"/><Relationship Id="rId33" Type="http://schemas.openxmlformats.org/officeDocument/2006/relationships/hyperlink" Target="https://pubmed.ncbi.nlm.nih.gov/24279724/" TargetMode="External"/><Relationship Id="rId2" Type="http://schemas.openxmlformats.org/officeDocument/2006/relationships/hyperlink" Target="https://www.mass.gov/doc/pss-time-target-recommendations-0/download" TargetMode="External"/><Relationship Id="rId16" Type="http://schemas.openxmlformats.org/officeDocument/2006/relationships/hyperlink" Target="https://www.radiologyinfo.org/en/submenu.cfm?pg=ctscan" TargetMode="External"/><Relationship Id="rId20" Type="http://schemas.openxmlformats.org/officeDocument/2006/relationships/hyperlink" Target="https://www.radiologyinfo.org/en/info/angiocoroct" TargetMode="External"/><Relationship Id="rId29" Type="http://schemas.openxmlformats.org/officeDocument/2006/relationships/hyperlink" Target="https://www.lung.org/lung-health-diseases/lung-disease-lookup/lung-cancer/resource-library/lung-cancer-fact-sheet" TargetMode="External"/><Relationship Id="rId1" Type="http://schemas.openxmlformats.org/officeDocument/2006/relationships/hyperlink" Target="https://www.mass.gov/doc/pss-time-target-recommendations-0/download" TargetMode="External"/><Relationship Id="rId6" Type="http://schemas.openxmlformats.org/officeDocument/2006/relationships/hyperlink" Target="http://www.pep.donahue-institute.org/" TargetMode="External"/><Relationship Id="rId11" Type="http://schemas.openxmlformats.org/officeDocument/2006/relationships/hyperlink" Target="https://www.mayoclinic.org/tests-procedures/ct-scan/about/pac-20393675" TargetMode="External"/><Relationship Id="rId24" Type="http://schemas.openxmlformats.org/officeDocument/2006/relationships/hyperlink" Target="https://jamanetwork.com/journals/jama/fullarticle/1697967" TargetMode="External"/><Relationship Id="rId32" Type="http://schemas.openxmlformats.org/officeDocument/2006/relationships/hyperlink" Target="https://pubmed.ncbi.nlm.nih.gov/24279724/" TargetMode="External"/><Relationship Id="rId5" Type="http://schemas.openxmlformats.org/officeDocument/2006/relationships/hyperlink" Target="http://www.pep.donahue-institute.org/" TargetMode="External"/><Relationship Id="rId15" Type="http://schemas.openxmlformats.org/officeDocument/2006/relationships/hyperlink" Target="https://lwww.ncbi.nlm.nih.gov/pmclarticles/PMC4467659/" TargetMode="External"/><Relationship Id="rId23" Type="http://schemas.openxmlformats.org/officeDocument/2006/relationships/hyperlink" Target="https://www.envrad.com/how-ct-scans-mris-used-to-diagnose-strokes/" TargetMode="External"/><Relationship Id="rId28" Type="http://schemas.openxmlformats.org/officeDocument/2006/relationships/hyperlink" Target="https://www.lung.org/lung-health-diseases/lung-disease-lookup/lung-cancer/resource-library/lung-cancer-fact-sheet" TargetMode="External"/><Relationship Id="rId10" Type="http://schemas.openxmlformats.org/officeDocument/2006/relationships/hyperlink" Target="https://www.nibib.nih.gov/science-education/science-topics/computed-tomography-ct" TargetMode="External"/><Relationship Id="rId19" Type="http://schemas.openxmlformats.org/officeDocument/2006/relationships/hyperlink" Target="https://www.dignityhealth.org/articles/what-is-interventional-radiology" TargetMode="External"/><Relationship Id="rId31" Type="http://schemas.openxmlformats.org/officeDocument/2006/relationships/hyperlink" Target="https://www.ncbi.nlm.nih.gov/pmc/articles/PMC2765780/pdf/nihms-%20137739.pdf" TargetMode="External"/><Relationship Id="rId4" Type="http://schemas.openxmlformats.org/officeDocument/2006/relationships/hyperlink" Target="https://www.heart.org/-/media/files/professional/quality-improvement/get-with-the-guidelines/get-with-the-guidelines-stroke/stroke-fact-sheet_-final_ucm_501842.pdf?la=en&amp;hash=7FA33C71D753DF7AB1D4850451C95BBE25BEA622" TargetMode="External"/><Relationship Id="rId9" Type="http://schemas.openxmlformats.org/officeDocument/2006/relationships/hyperlink" Target="https://www.nibib.nih.gov/science-education/science-topics/computed-tomography-ct" TargetMode="External"/><Relationship Id="rId14" Type="http://schemas.openxmlformats.org/officeDocument/2006/relationships/hyperlink" Target="https://www.medicalnewstoday.com/articles/153201#procedure" TargetMode="External"/><Relationship Id="rId22" Type="http://schemas.openxmlformats.org/officeDocument/2006/relationships/hyperlink" Target="https://www.envrad.com/how-ct-scans-mris-used-to-diagnose-strokes/" TargetMode="External"/><Relationship Id="rId27" Type="http://schemas.openxmlformats.org/officeDocument/2006/relationships/hyperlink" Target="https://seer.cancer.gov/statfacts/html/common.html#:~:text=Lung%20and%20bronchus%20cancer%20is%20responsible%20for%20the%20most%20deaths,deadliest%20cancer%2C%20causing%2050%2C550%20deaths" TargetMode="External"/><Relationship Id="rId30" Type="http://schemas.openxmlformats.org/officeDocument/2006/relationships/hyperlink" Target="https://www.ncbi.nlm.nih.gov/pmc/articles/PMC2765780/pdf/nihms-%20137739.pdf" TargetMode="External"/><Relationship Id="rId8" Type="http://schemas.openxmlformats.org/officeDocument/2006/relationships/hyperlink" Target="https://www.neurologica.com/blog/advances-ct-scan-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A138-1C31-4691-954F-55424D21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6530</Words>
  <Characters>35332</Characters>
  <Application>Microsoft Office Word</Application>
  <DocSecurity>0</DocSecurity>
  <Lines>1606</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Ciolfi</dc:creator>
  <cp:keywords/>
  <dc:description/>
  <cp:lastModifiedBy>Marks, Brett (DPH)</cp:lastModifiedBy>
  <cp:revision>17</cp:revision>
  <cp:lastPrinted>2021-12-14T13:29:00Z</cp:lastPrinted>
  <dcterms:created xsi:type="dcterms:W3CDTF">2023-07-14T15:27:00Z</dcterms:created>
  <dcterms:modified xsi:type="dcterms:W3CDTF">2023-07-19T13:32:00Z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736382.1</vt:lpwstr>
  </property>
  <property fmtid="{D5CDD505-2E9C-101B-9397-08002B2CF9AE}" pid="4" name="DOCXDOCID">
    <vt:lpwstr>HB: 4855-4215-3801.3</vt:lpwstr>
  </property>
  <property fmtid="{D5CDD505-2E9C-101B-9397-08002B2CF9AE}" pid="5" name="DocXLocation">
    <vt:lpwstr>Every Page</vt:lpwstr>
  </property>
  <property fmtid="{D5CDD505-2E9C-101B-9397-08002B2CF9AE}" pid="6" name="DocXFormat">
    <vt:lpwstr>HB DocID w/ver w/HB Label</vt:lpwstr>
  </property>
  <property fmtid="{D5CDD505-2E9C-101B-9397-08002B2CF9AE}" pid="7" name="DocXRemovePrint">
    <vt:lpwstr>False</vt:lpwstr>
  </property>
  <property fmtid="{D5CDD505-2E9C-101B-9397-08002B2CF9AE}" pid="8" name="ndDocumentId">
    <vt:lpwstr>4855-4215-3801</vt:lpwstr>
  </property>
</Properties>
</file>