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96B9" w14:textId="77777777" w:rsidR="00A111A2" w:rsidRPr="00797F73" w:rsidRDefault="00A111A2" w:rsidP="00A111A2">
      <w:pPr>
        <w:autoSpaceDE w:val="0"/>
        <w:autoSpaceDN w:val="0"/>
        <w:adjustRightInd w:val="0"/>
        <w:jc w:val="center"/>
        <w:rPr>
          <w:rFonts w:ascii="Arial-BoldMT" w:eastAsiaTheme="minorHAnsi" w:hAnsi="Arial-BoldMT" w:cs="Arial-BoldMT"/>
          <w:b/>
          <w:bCs/>
          <w:sz w:val="42"/>
          <w:szCs w:val="42"/>
          <w:u w:val="single"/>
        </w:rPr>
      </w:pPr>
      <w:r w:rsidRPr="00797F73">
        <w:rPr>
          <w:rFonts w:ascii="Arial-BoldMT" w:eastAsiaTheme="minorHAnsi" w:hAnsi="Arial-BoldMT" w:cs="Arial-BoldMT"/>
          <w:b/>
          <w:bCs/>
          <w:sz w:val="42"/>
          <w:szCs w:val="42"/>
          <w:u w:val="single"/>
        </w:rPr>
        <w:t>A</w:t>
      </w:r>
      <w:r w:rsidRPr="00797F73">
        <w:rPr>
          <w:rFonts w:ascii="Arial-BoldMT" w:eastAsiaTheme="minorHAnsi" w:hAnsi="Arial-BoldMT" w:cs="Arial-BoldMT"/>
          <w:b/>
          <w:bCs/>
          <w:sz w:val="36"/>
          <w:szCs w:val="36"/>
          <w:u w:val="single"/>
        </w:rPr>
        <w:t xml:space="preserve">PPENDIX </w:t>
      </w:r>
      <w:r w:rsidRPr="00797F73">
        <w:rPr>
          <w:rFonts w:ascii="Arial-BoldMT" w:eastAsiaTheme="minorHAnsi" w:hAnsi="Arial-BoldMT" w:cs="Arial-BoldMT"/>
          <w:b/>
          <w:bCs/>
          <w:sz w:val="42"/>
          <w:szCs w:val="42"/>
          <w:u w:val="single"/>
        </w:rPr>
        <w:t>2:</w:t>
      </w:r>
    </w:p>
    <w:p w14:paraId="30F1882E" w14:textId="77777777" w:rsidR="00797F73" w:rsidRDefault="00A111A2" w:rsidP="00A111A2">
      <w:pPr>
        <w:jc w:val="center"/>
        <w:rPr>
          <w:rFonts w:ascii="Arial-BoldMT" w:eastAsiaTheme="minorHAnsi" w:hAnsi="Arial-BoldMT" w:cs="Arial-BoldMT"/>
          <w:b/>
          <w:bCs/>
          <w:sz w:val="36"/>
          <w:szCs w:val="36"/>
          <w:u w:val="single"/>
        </w:rPr>
        <w:sectPr w:rsidR="00797F73">
          <w:footerReference w:type="even" r:id="rId8"/>
          <w:footerReference w:type="default" r:id="rId9"/>
          <w:pgSz w:w="12240" w:h="15840"/>
          <w:pgMar w:top="1440" w:right="1440" w:bottom="1440" w:left="1440" w:header="720" w:footer="720" w:gutter="0"/>
          <w:cols w:space="720"/>
          <w:docGrid w:linePitch="360"/>
        </w:sectPr>
      </w:pPr>
      <w:r w:rsidRPr="00797F73">
        <w:rPr>
          <w:rFonts w:ascii="Arial-BoldMT" w:eastAsiaTheme="minorHAnsi" w:hAnsi="Arial-BoldMT" w:cs="Arial-BoldMT"/>
          <w:b/>
          <w:bCs/>
          <w:sz w:val="42"/>
          <w:szCs w:val="42"/>
          <w:u w:val="single"/>
        </w:rPr>
        <w:t>D</w:t>
      </w:r>
      <w:r w:rsidRPr="00797F73">
        <w:rPr>
          <w:rFonts w:ascii="Arial-BoldMT" w:eastAsiaTheme="minorHAnsi" w:hAnsi="Arial-BoldMT" w:cs="Arial-BoldMT"/>
          <w:b/>
          <w:bCs/>
          <w:sz w:val="36"/>
          <w:szCs w:val="36"/>
          <w:u w:val="single"/>
        </w:rPr>
        <w:t>O</w:t>
      </w:r>
      <w:r w:rsidRPr="00797F73">
        <w:rPr>
          <w:rFonts w:ascii="Arial-BoldMT" w:eastAsiaTheme="minorHAnsi" w:hAnsi="Arial-BoldMT" w:cs="Arial-BoldMT"/>
          <w:b/>
          <w:bCs/>
          <w:sz w:val="42"/>
          <w:szCs w:val="42"/>
          <w:u w:val="single"/>
        </w:rPr>
        <w:t>N N</w:t>
      </w:r>
      <w:r w:rsidRPr="00797F73">
        <w:rPr>
          <w:rFonts w:ascii="Arial-BoldMT" w:eastAsiaTheme="minorHAnsi" w:hAnsi="Arial-BoldMT" w:cs="Arial-BoldMT"/>
          <w:b/>
          <w:bCs/>
          <w:sz w:val="36"/>
          <w:szCs w:val="36"/>
          <w:u w:val="single"/>
        </w:rPr>
        <w:t>ARRATIVE</w:t>
      </w:r>
    </w:p>
    <w:p w14:paraId="37C6C0B4" w14:textId="77777777" w:rsidR="00797F73" w:rsidRPr="00797F73" w:rsidRDefault="00797F73" w:rsidP="00797F73">
      <w:pPr>
        <w:autoSpaceDE w:val="0"/>
        <w:autoSpaceDN w:val="0"/>
        <w:adjustRightInd w:val="0"/>
        <w:jc w:val="center"/>
        <w:rPr>
          <w:rFonts w:ascii="Arial-BoldMT" w:eastAsiaTheme="minorHAnsi" w:hAnsi="Arial-BoldMT" w:cs="Arial-BoldMT"/>
          <w:b/>
          <w:bCs/>
          <w:sz w:val="36"/>
          <w:szCs w:val="36"/>
          <w:u w:val="single"/>
        </w:rPr>
      </w:pPr>
      <w:r w:rsidRPr="00797F73">
        <w:rPr>
          <w:rFonts w:ascii="Arial-BoldMT" w:eastAsiaTheme="minorHAnsi" w:hAnsi="Arial-BoldMT" w:cs="Arial-BoldMT"/>
          <w:b/>
          <w:bCs/>
          <w:sz w:val="36"/>
          <w:szCs w:val="36"/>
          <w:u w:val="single"/>
        </w:rPr>
        <w:lastRenderedPageBreak/>
        <w:t>A</w:t>
      </w:r>
      <w:r w:rsidRPr="00797F73">
        <w:rPr>
          <w:rFonts w:ascii="Arial-BoldMT" w:eastAsiaTheme="minorHAnsi" w:hAnsi="Arial-BoldMT" w:cs="Arial-BoldMT"/>
          <w:b/>
          <w:bCs/>
          <w:sz w:val="30"/>
          <w:szCs w:val="30"/>
          <w:u w:val="single"/>
        </w:rPr>
        <w:t xml:space="preserve">PPENDIX </w:t>
      </w:r>
      <w:r w:rsidRPr="00797F73">
        <w:rPr>
          <w:rFonts w:ascii="Arial-BoldMT" w:eastAsiaTheme="minorHAnsi" w:hAnsi="Arial-BoldMT" w:cs="Arial-BoldMT"/>
          <w:b/>
          <w:bCs/>
          <w:sz w:val="36"/>
          <w:szCs w:val="36"/>
          <w:u w:val="single"/>
        </w:rPr>
        <w:t>2A:</w:t>
      </w:r>
    </w:p>
    <w:p w14:paraId="2021DB7D" w14:textId="77777777" w:rsidR="00F0647B" w:rsidRDefault="00797F73" w:rsidP="00797F73">
      <w:pPr>
        <w:jc w:val="center"/>
        <w:rPr>
          <w:rFonts w:ascii="Arial-BoldMT" w:eastAsiaTheme="minorHAnsi" w:hAnsi="Arial-BoldMT" w:cs="Arial-BoldMT"/>
          <w:b/>
          <w:bCs/>
          <w:sz w:val="30"/>
          <w:szCs w:val="30"/>
          <w:u w:val="single"/>
        </w:rPr>
      </w:pPr>
      <w:r w:rsidRPr="00797F73">
        <w:rPr>
          <w:rFonts w:ascii="Arial-BoldMT" w:eastAsiaTheme="minorHAnsi" w:hAnsi="Arial-BoldMT" w:cs="Arial-BoldMT"/>
          <w:b/>
          <w:bCs/>
          <w:sz w:val="36"/>
          <w:szCs w:val="36"/>
          <w:u w:val="single"/>
        </w:rPr>
        <w:t>D</w:t>
      </w:r>
      <w:r w:rsidRPr="00797F73">
        <w:rPr>
          <w:rFonts w:ascii="Arial-BoldMT" w:eastAsiaTheme="minorHAnsi" w:hAnsi="Arial-BoldMT" w:cs="Arial-BoldMT"/>
          <w:b/>
          <w:bCs/>
          <w:sz w:val="30"/>
          <w:szCs w:val="30"/>
          <w:u w:val="single"/>
        </w:rPr>
        <w:t>O</w:t>
      </w:r>
      <w:r w:rsidRPr="00797F73">
        <w:rPr>
          <w:rFonts w:ascii="Arial-BoldMT" w:eastAsiaTheme="minorHAnsi" w:hAnsi="Arial-BoldMT" w:cs="Arial-BoldMT"/>
          <w:b/>
          <w:bCs/>
          <w:sz w:val="36"/>
          <w:szCs w:val="36"/>
          <w:u w:val="single"/>
        </w:rPr>
        <w:t>N N</w:t>
      </w:r>
      <w:r w:rsidRPr="00797F73">
        <w:rPr>
          <w:rFonts w:ascii="Arial-BoldMT" w:eastAsiaTheme="minorHAnsi" w:hAnsi="Arial-BoldMT" w:cs="Arial-BoldMT"/>
          <w:b/>
          <w:bCs/>
          <w:sz w:val="30"/>
          <w:szCs w:val="30"/>
          <w:u w:val="single"/>
        </w:rPr>
        <w:t xml:space="preserve">ARRATIVE </w:t>
      </w:r>
      <w:r w:rsidRPr="00797F73">
        <w:rPr>
          <w:rFonts w:ascii="Arial-BoldMT" w:eastAsiaTheme="minorHAnsi" w:hAnsi="Arial-BoldMT" w:cs="Arial-BoldMT"/>
          <w:b/>
          <w:bCs/>
          <w:sz w:val="36"/>
          <w:szCs w:val="36"/>
          <w:u w:val="single"/>
        </w:rPr>
        <w:t>– P</w:t>
      </w:r>
      <w:r w:rsidRPr="00797F73">
        <w:rPr>
          <w:rFonts w:ascii="Arial-BoldMT" w:eastAsiaTheme="minorHAnsi" w:hAnsi="Arial-BoldMT" w:cs="Arial-BoldMT"/>
          <w:b/>
          <w:bCs/>
          <w:sz w:val="30"/>
          <w:szCs w:val="30"/>
          <w:u w:val="single"/>
        </w:rPr>
        <w:t xml:space="preserve">ROPOSED </w:t>
      </w:r>
      <w:r w:rsidRPr="00797F73">
        <w:rPr>
          <w:rFonts w:ascii="Arial-BoldMT" w:eastAsiaTheme="minorHAnsi" w:hAnsi="Arial-BoldMT" w:cs="Arial-BoldMT"/>
          <w:b/>
          <w:bCs/>
          <w:sz w:val="36"/>
          <w:szCs w:val="36"/>
          <w:u w:val="single"/>
        </w:rPr>
        <w:t>P</w:t>
      </w:r>
      <w:r w:rsidRPr="00797F73">
        <w:rPr>
          <w:rFonts w:ascii="Arial-BoldMT" w:eastAsiaTheme="minorHAnsi" w:hAnsi="Arial-BoldMT" w:cs="Arial-BoldMT"/>
          <w:b/>
          <w:bCs/>
          <w:sz w:val="30"/>
          <w:szCs w:val="30"/>
          <w:u w:val="single"/>
        </w:rPr>
        <w:t xml:space="preserve">ROJECT </w:t>
      </w:r>
      <w:r w:rsidRPr="00797F73">
        <w:rPr>
          <w:rFonts w:ascii="Arial-BoldMT" w:eastAsiaTheme="minorHAnsi" w:hAnsi="Arial-BoldMT" w:cs="Arial-BoldMT"/>
          <w:b/>
          <w:bCs/>
          <w:sz w:val="36"/>
          <w:szCs w:val="36"/>
          <w:u w:val="single"/>
        </w:rPr>
        <w:t>D</w:t>
      </w:r>
      <w:r w:rsidRPr="00797F73">
        <w:rPr>
          <w:rFonts w:ascii="Arial-BoldMT" w:eastAsiaTheme="minorHAnsi" w:hAnsi="Arial-BoldMT" w:cs="Arial-BoldMT"/>
          <w:b/>
          <w:bCs/>
          <w:sz w:val="30"/>
          <w:szCs w:val="30"/>
          <w:u w:val="single"/>
        </w:rPr>
        <w:t>ESCRIPTION</w:t>
      </w:r>
    </w:p>
    <w:p w14:paraId="4DEE11AB" w14:textId="77777777" w:rsidR="001741C6" w:rsidRDefault="001741C6" w:rsidP="00797F73">
      <w:pPr>
        <w:jc w:val="center"/>
        <w:rPr>
          <w:rFonts w:ascii="Arial" w:hAnsi="Arial" w:cs="Arial"/>
          <w:b/>
          <w:bCs/>
          <w:sz w:val="48"/>
          <w:szCs w:val="48"/>
          <w:u w:val="single"/>
        </w:rPr>
        <w:sectPr w:rsidR="001741C6">
          <w:pgSz w:w="12240" w:h="15840"/>
          <w:pgMar w:top="1440" w:right="1440" w:bottom="1440" w:left="1440" w:header="720" w:footer="720" w:gutter="0"/>
          <w:cols w:space="720"/>
          <w:docGrid w:linePitch="360"/>
        </w:sectPr>
      </w:pPr>
    </w:p>
    <w:p w14:paraId="4E1BAE3D" w14:textId="77777777" w:rsidR="001741C6" w:rsidRPr="001741C6" w:rsidRDefault="001741C6" w:rsidP="001741C6">
      <w:pPr>
        <w:rPr>
          <w:b/>
          <w:bCs/>
        </w:rPr>
      </w:pPr>
      <w:r w:rsidRPr="001741C6">
        <w:rPr>
          <w:b/>
          <w:bCs/>
        </w:rPr>
        <w:lastRenderedPageBreak/>
        <w:t>2.1</w:t>
      </w:r>
      <w:r w:rsidRPr="001741C6">
        <w:rPr>
          <w:b/>
          <w:bCs/>
        </w:rPr>
        <w:tab/>
        <w:t>Provide a brief description of the scope of the project.</w:t>
      </w:r>
    </w:p>
    <w:p w14:paraId="16F83E91" w14:textId="77777777" w:rsidR="001741C6" w:rsidRDefault="001741C6" w:rsidP="001741C6">
      <w:pPr>
        <w:pStyle w:val="BodyText"/>
        <w:spacing w:before="10"/>
        <w:rPr>
          <w:b/>
          <w:sz w:val="21"/>
        </w:rPr>
      </w:pPr>
    </w:p>
    <w:p w14:paraId="4C850370" w14:textId="77777777" w:rsidR="001741C6" w:rsidRDefault="001741C6" w:rsidP="001741C6">
      <w:pPr>
        <w:pStyle w:val="ListParagraph"/>
        <w:widowControl w:val="0"/>
        <w:numPr>
          <w:ilvl w:val="0"/>
          <w:numId w:val="49"/>
        </w:numPr>
        <w:tabs>
          <w:tab w:val="left" w:pos="457"/>
        </w:tabs>
        <w:autoSpaceDE w:val="0"/>
        <w:autoSpaceDN w:val="0"/>
        <w:spacing w:before="1"/>
        <w:ind w:left="457" w:hanging="337"/>
        <w:contextualSpacing w:val="0"/>
      </w:pPr>
      <w:r>
        <w:rPr>
          <w:smallCaps/>
          <w:sz w:val="22"/>
          <w:u w:val="single"/>
        </w:rPr>
        <w:t>Proposed</w:t>
      </w:r>
      <w:r>
        <w:rPr>
          <w:smallCaps/>
          <w:spacing w:val="-7"/>
          <w:sz w:val="22"/>
          <w:u w:val="single"/>
        </w:rPr>
        <w:t xml:space="preserve"> </w:t>
      </w:r>
      <w:r>
        <w:rPr>
          <w:smallCaps/>
          <w:sz w:val="22"/>
          <w:u w:val="single"/>
        </w:rPr>
        <w:t>Project</w:t>
      </w:r>
      <w:r>
        <w:rPr>
          <w:smallCaps/>
          <w:spacing w:val="-5"/>
          <w:sz w:val="22"/>
          <w:u w:val="single"/>
        </w:rPr>
        <w:t xml:space="preserve"> </w:t>
      </w:r>
      <w:r>
        <w:rPr>
          <w:smallCaps/>
          <w:spacing w:val="-2"/>
          <w:sz w:val="22"/>
          <w:u w:val="single"/>
        </w:rPr>
        <w:t>Components</w:t>
      </w:r>
    </w:p>
    <w:p w14:paraId="25E1B376" w14:textId="77777777" w:rsidR="001741C6" w:rsidRDefault="001741C6" w:rsidP="001741C6">
      <w:pPr>
        <w:pStyle w:val="BodyText"/>
        <w:spacing w:before="11"/>
        <w:rPr>
          <w:sz w:val="13"/>
        </w:rPr>
      </w:pPr>
    </w:p>
    <w:p w14:paraId="5EAE6C30" w14:textId="77777777" w:rsidR="001741C6" w:rsidRDefault="001741C6" w:rsidP="001741C6">
      <w:pPr>
        <w:pStyle w:val="BodyText"/>
        <w:spacing w:before="92"/>
        <w:ind w:left="120" w:right="118"/>
        <w:jc w:val="both"/>
      </w:pPr>
      <w:r>
        <w:t>BMC</w:t>
      </w:r>
      <w:r>
        <w:rPr>
          <w:spacing w:val="-5"/>
        </w:rPr>
        <w:t xml:space="preserve"> </w:t>
      </w:r>
      <w:r>
        <w:t>Health</w:t>
      </w:r>
      <w:r>
        <w:rPr>
          <w:spacing w:val="-6"/>
        </w:rPr>
        <w:t xml:space="preserve"> </w:t>
      </w:r>
      <w:r>
        <w:t>System,</w:t>
      </w:r>
      <w:r>
        <w:rPr>
          <w:spacing w:val="-6"/>
        </w:rPr>
        <w:t xml:space="preserve"> </w:t>
      </w:r>
      <w:r>
        <w:t>Inc.</w:t>
      </w:r>
      <w:r>
        <w:rPr>
          <w:spacing w:val="-6"/>
        </w:rPr>
        <w:t xml:space="preserve"> </w:t>
      </w:r>
      <w:r>
        <w:t>(“Applicant”,</w:t>
      </w:r>
      <w:r>
        <w:rPr>
          <w:spacing w:val="-6"/>
        </w:rPr>
        <w:t xml:space="preserve"> </w:t>
      </w:r>
      <w:r>
        <w:t>“BMC</w:t>
      </w:r>
      <w:r>
        <w:rPr>
          <w:spacing w:val="-5"/>
        </w:rPr>
        <w:t xml:space="preserve"> </w:t>
      </w:r>
      <w:r>
        <w:t>Health</w:t>
      </w:r>
      <w:r>
        <w:rPr>
          <w:spacing w:val="-6"/>
        </w:rPr>
        <w:t xml:space="preserve"> </w:t>
      </w:r>
      <w:r>
        <w:t>System”,</w:t>
      </w:r>
      <w:r>
        <w:rPr>
          <w:spacing w:val="-6"/>
        </w:rPr>
        <w:t xml:space="preserve"> </w:t>
      </w:r>
      <w:r>
        <w:t>or</w:t>
      </w:r>
      <w:r>
        <w:rPr>
          <w:spacing w:val="-6"/>
        </w:rPr>
        <w:t xml:space="preserve"> </w:t>
      </w:r>
      <w:r>
        <w:t>“System”),</w:t>
      </w:r>
      <w:r>
        <w:rPr>
          <w:spacing w:val="-6"/>
        </w:rPr>
        <w:t xml:space="preserve"> </w:t>
      </w:r>
      <w:r>
        <w:t>with</w:t>
      </w:r>
      <w:r>
        <w:rPr>
          <w:spacing w:val="-6"/>
        </w:rPr>
        <w:t xml:space="preserve"> </w:t>
      </w:r>
      <w:r>
        <w:t>a</w:t>
      </w:r>
      <w:r>
        <w:rPr>
          <w:spacing w:val="-6"/>
        </w:rPr>
        <w:t xml:space="preserve"> </w:t>
      </w:r>
      <w:r>
        <w:t>principal</w:t>
      </w:r>
      <w:r>
        <w:rPr>
          <w:spacing w:val="-5"/>
        </w:rPr>
        <w:t xml:space="preserve"> </w:t>
      </w:r>
      <w:r>
        <w:t>office located at One Boston Medical Center Place, Boston, Massachusetts 02118, is filing a Notice of Determination of Need (“DoN”) (“Application”) with the Massachusetts Department of Public Health (“Department” or “DPH”) for a change in service by Boston Medical Center Corporation d/b/a</w:t>
      </w:r>
      <w:r>
        <w:rPr>
          <w:spacing w:val="-1"/>
        </w:rPr>
        <w:t xml:space="preserve"> </w:t>
      </w:r>
      <w:r>
        <w:t>Boston</w:t>
      </w:r>
      <w:r>
        <w:rPr>
          <w:spacing w:val="-1"/>
        </w:rPr>
        <w:t xml:space="preserve"> </w:t>
      </w:r>
      <w:r>
        <w:t>Medical</w:t>
      </w:r>
      <w:r>
        <w:rPr>
          <w:spacing w:val="-1"/>
        </w:rPr>
        <w:t xml:space="preserve"> </w:t>
      </w:r>
      <w:r>
        <w:t>Center</w:t>
      </w:r>
      <w:r>
        <w:rPr>
          <w:spacing w:val="-1"/>
        </w:rPr>
        <w:t xml:space="preserve"> </w:t>
      </w:r>
      <w:r>
        <w:t>(“BMC”</w:t>
      </w:r>
      <w:r>
        <w:rPr>
          <w:spacing w:val="-1"/>
        </w:rPr>
        <w:t xml:space="preserve"> </w:t>
      </w:r>
      <w:r>
        <w:t>or</w:t>
      </w:r>
      <w:r>
        <w:rPr>
          <w:spacing w:val="-1"/>
        </w:rPr>
        <w:t xml:space="preserve"> </w:t>
      </w:r>
      <w:r>
        <w:t>“Hospital”)</w:t>
      </w:r>
      <w:r>
        <w:rPr>
          <w:spacing w:val="-1"/>
        </w:rPr>
        <w:t xml:space="preserve"> </w:t>
      </w:r>
      <w:r>
        <w:t>located</w:t>
      </w:r>
      <w:r>
        <w:rPr>
          <w:spacing w:val="-1"/>
        </w:rPr>
        <w:t xml:space="preserve"> </w:t>
      </w:r>
      <w:r>
        <w:t>at</w:t>
      </w:r>
      <w:r>
        <w:rPr>
          <w:spacing w:val="-2"/>
        </w:rPr>
        <w:t xml:space="preserve"> </w:t>
      </w:r>
      <w:r>
        <w:t>One</w:t>
      </w:r>
      <w:r>
        <w:rPr>
          <w:spacing w:val="-1"/>
        </w:rPr>
        <w:t xml:space="preserve"> </w:t>
      </w:r>
      <w:r>
        <w:t>Boston</w:t>
      </w:r>
      <w:r>
        <w:rPr>
          <w:spacing w:val="-1"/>
        </w:rPr>
        <w:t xml:space="preserve"> </w:t>
      </w:r>
      <w:r>
        <w:t>Medical</w:t>
      </w:r>
      <w:r>
        <w:rPr>
          <w:spacing w:val="-1"/>
        </w:rPr>
        <w:t xml:space="preserve"> </w:t>
      </w:r>
      <w:r>
        <w:t>Center</w:t>
      </w:r>
      <w:r>
        <w:rPr>
          <w:spacing w:val="-1"/>
        </w:rPr>
        <w:t xml:space="preserve"> </w:t>
      </w:r>
      <w:r>
        <w:t>Place, Boston,</w:t>
      </w:r>
      <w:r>
        <w:rPr>
          <w:spacing w:val="-2"/>
        </w:rPr>
        <w:t xml:space="preserve"> </w:t>
      </w:r>
      <w:r>
        <w:t>Massachusetts</w:t>
      </w:r>
      <w:r>
        <w:rPr>
          <w:spacing w:val="-2"/>
        </w:rPr>
        <w:t xml:space="preserve"> </w:t>
      </w:r>
      <w:r>
        <w:t>02118.</w:t>
      </w:r>
      <w:r>
        <w:rPr>
          <w:spacing w:val="-2"/>
        </w:rPr>
        <w:t xml:space="preserve"> </w:t>
      </w:r>
      <w:r>
        <w:t>Specifically,</w:t>
      </w:r>
      <w:r>
        <w:rPr>
          <w:spacing w:val="-2"/>
        </w:rPr>
        <w:t xml:space="preserve"> </w:t>
      </w:r>
      <w:r>
        <w:t>this</w:t>
      </w:r>
      <w:r>
        <w:rPr>
          <w:spacing w:val="-3"/>
        </w:rPr>
        <w:t xml:space="preserve"> </w:t>
      </w:r>
      <w:r>
        <w:t>Application</w:t>
      </w:r>
      <w:r>
        <w:rPr>
          <w:spacing w:val="-3"/>
        </w:rPr>
        <w:t xml:space="preserve"> </w:t>
      </w:r>
      <w:r>
        <w:t>requests</w:t>
      </w:r>
      <w:r>
        <w:rPr>
          <w:spacing w:val="-2"/>
        </w:rPr>
        <w:t xml:space="preserve"> </w:t>
      </w:r>
      <w:r>
        <w:t>approval</w:t>
      </w:r>
      <w:r>
        <w:rPr>
          <w:spacing w:val="-2"/>
        </w:rPr>
        <w:t xml:space="preserve"> </w:t>
      </w:r>
      <w:r>
        <w:t>for</w:t>
      </w:r>
      <w:r>
        <w:rPr>
          <w:spacing w:val="-2"/>
        </w:rPr>
        <w:t xml:space="preserve"> </w:t>
      </w:r>
      <w:r>
        <w:t>the</w:t>
      </w:r>
      <w:r>
        <w:rPr>
          <w:spacing w:val="-2"/>
        </w:rPr>
        <w:t xml:space="preserve"> </w:t>
      </w:r>
      <w:r>
        <w:t>addition</w:t>
      </w:r>
      <w:r>
        <w:rPr>
          <w:spacing w:val="-2"/>
        </w:rPr>
        <w:t xml:space="preserve"> </w:t>
      </w:r>
      <w:r>
        <w:t>of one (1) 1.5 Tesla (“1.5T”) magnetic resonance imaging (“MRI”) unit at BMC’s main hospital campus (“Proposed Project”).</w:t>
      </w:r>
    </w:p>
    <w:p w14:paraId="647961B9" w14:textId="77777777" w:rsidR="001741C6" w:rsidRDefault="001741C6" w:rsidP="001741C6">
      <w:pPr>
        <w:pStyle w:val="BodyText"/>
      </w:pPr>
    </w:p>
    <w:p w14:paraId="1FA6F2D1" w14:textId="77777777" w:rsidR="001741C6" w:rsidRDefault="001741C6" w:rsidP="001741C6">
      <w:pPr>
        <w:pStyle w:val="ListParagraph"/>
        <w:widowControl w:val="0"/>
        <w:numPr>
          <w:ilvl w:val="0"/>
          <w:numId w:val="49"/>
        </w:numPr>
        <w:tabs>
          <w:tab w:val="left" w:pos="457"/>
        </w:tabs>
        <w:autoSpaceDE w:val="0"/>
        <w:autoSpaceDN w:val="0"/>
        <w:ind w:left="457" w:hanging="337"/>
        <w:contextualSpacing w:val="0"/>
      </w:pPr>
      <w:r>
        <w:rPr>
          <w:smallCaps/>
          <w:sz w:val="22"/>
          <w:u w:val="single"/>
        </w:rPr>
        <w:t>Overview</w:t>
      </w:r>
      <w:r>
        <w:rPr>
          <w:smallCaps/>
          <w:spacing w:val="-4"/>
          <w:sz w:val="22"/>
          <w:u w:val="single"/>
        </w:rPr>
        <w:t xml:space="preserve"> </w:t>
      </w:r>
      <w:r>
        <w:rPr>
          <w:smallCaps/>
          <w:sz w:val="22"/>
          <w:u w:val="single"/>
        </w:rPr>
        <w:t>of</w:t>
      </w:r>
      <w:r>
        <w:rPr>
          <w:smallCaps/>
          <w:spacing w:val="-4"/>
          <w:sz w:val="22"/>
          <w:u w:val="single"/>
        </w:rPr>
        <w:t xml:space="preserve"> </w:t>
      </w:r>
      <w:r>
        <w:rPr>
          <w:smallCaps/>
          <w:sz w:val="22"/>
          <w:u w:val="single"/>
        </w:rPr>
        <w:t>the</w:t>
      </w:r>
      <w:r>
        <w:rPr>
          <w:smallCaps/>
          <w:spacing w:val="-3"/>
          <w:sz w:val="22"/>
          <w:u w:val="single"/>
        </w:rPr>
        <w:t xml:space="preserve"> </w:t>
      </w:r>
      <w:r>
        <w:rPr>
          <w:smallCaps/>
          <w:sz w:val="22"/>
          <w:u w:val="single"/>
        </w:rPr>
        <w:t>Applicant</w:t>
      </w:r>
      <w:r>
        <w:rPr>
          <w:smallCaps/>
          <w:spacing w:val="-4"/>
          <w:sz w:val="22"/>
          <w:u w:val="single"/>
        </w:rPr>
        <w:t xml:space="preserve"> </w:t>
      </w:r>
      <w:r>
        <w:rPr>
          <w:smallCaps/>
          <w:sz w:val="22"/>
          <w:u w:val="single"/>
        </w:rPr>
        <w:t>and</w:t>
      </w:r>
      <w:r>
        <w:rPr>
          <w:smallCaps/>
          <w:spacing w:val="-5"/>
          <w:sz w:val="22"/>
          <w:u w:val="single"/>
        </w:rPr>
        <w:t xml:space="preserve"> </w:t>
      </w:r>
      <w:r>
        <w:rPr>
          <w:smallCaps/>
          <w:spacing w:val="-2"/>
          <w:sz w:val="22"/>
          <w:u w:val="single"/>
        </w:rPr>
        <w:t>Hospital</w:t>
      </w:r>
    </w:p>
    <w:p w14:paraId="62BDF206" w14:textId="77777777" w:rsidR="001741C6" w:rsidRDefault="001741C6" w:rsidP="001741C6">
      <w:pPr>
        <w:pStyle w:val="BodyText"/>
        <w:rPr>
          <w:sz w:val="14"/>
        </w:rPr>
      </w:pPr>
    </w:p>
    <w:p w14:paraId="2BFAAF91" w14:textId="77777777" w:rsidR="001741C6" w:rsidRDefault="001741C6" w:rsidP="001741C6">
      <w:pPr>
        <w:pStyle w:val="BodyText"/>
        <w:spacing w:before="92"/>
        <w:ind w:left="119" w:right="116"/>
        <w:jc w:val="both"/>
      </w:pPr>
      <w:r>
        <w:t>The Applicant is a Massachusetts, non-profit, integrated health care system whose mission is providing exceptional care without exception. Through its various subsidiaries, System affiliates, and community health center partners, BMC Health System provides primary, specialty, and tertiary</w:t>
      </w:r>
      <w:r>
        <w:rPr>
          <w:spacing w:val="-14"/>
        </w:rPr>
        <w:t xml:space="preserve"> </w:t>
      </w:r>
      <w:r>
        <w:t>care,</w:t>
      </w:r>
      <w:r>
        <w:rPr>
          <w:spacing w:val="-15"/>
        </w:rPr>
        <w:t xml:space="preserve"> </w:t>
      </w:r>
      <w:r>
        <w:t>as</w:t>
      </w:r>
      <w:r>
        <w:rPr>
          <w:spacing w:val="-14"/>
        </w:rPr>
        <w:t xml:space="preserve"> </w:t>
      </w:r>
      <w:r>
        <w:t>well</w:t>
      </w:r>
      <w:r>
        <w:rPr>
          <w:spacing w:val="-14"/>
        </w:rPr>
        <w:t xml:space="preserve"> </w:t>
      </w:r>
      <w:r>
        <w:t>as</w:t>
      </w:r>
      <w:r>
        <w:rPr>
          <w:spacing w:val="-14"/>
        </w:rPr>
        <w:t xml:space="preserve"> </w:t>
      </w:r>
      <w:r>
        <w:t>access</w:t>
      </w:r>
      <w:r>
        <w:rPr>
          <w:spacing w:val="-15"/>
        </w:rPr>
        <w:t xml:space="preserve"> </w:t>
      </w:r>
      <w:r>
        <w:t>to</w:t>
      </w:r>
      <w:r>
        <w:rPr>
          <w:spacing w:val="-13"/>
        </w:rPr>
        <w:t xml:space="preserve"> </w:t>
      </w:r>
      <w:r>
        <w:t>a</w:t>
      </w:r>
      <w:r>
        <w:rPr>
          <w:spacing w:val="-14"/>
        </w:rPr>
        <w:t xml:space="preserve"> </w:t>
      </w:r>
      <w:r>
        <w:t>managed</w:t>
      </w:r>
      <w:r>
        <w:rPr>
          <w:spacing w:val="-14"/>
        </w:rPr>
        <w:t xml:space="preserve"> </w:t>
      </w:r>
      <w:r>
        <w:t>care</w:t>
      </w:r>
      <w:r>
        <w:rPr>
          <w:spacing w:val="-15"/>
        </w:rPr>
        <w:t xml:space="preserve"> </w:t>
      </w:r>
      <w:r>
        <w:t>organization,</w:t>
      </w:r>
      <w:r>
        <w:rPr>
          <w:spacing w:val="-13"/>
        </w:rPr>
        <w:t xml:space="preserve"> </w:t>
      </w:r>
      <w:r>
        <w:t>an</w:t>
      </w:r>
      <w:r>
        <w:rPr>
          <w:spacing w:val="-14"/>
        </w:rPr>
        <w:t xml:space="preserve"> </w:t>
      </w:r>
      <w:r>
        <w:t>accountable</w:t>
      </w:r>
      <w:r>
        <w:rPr>
          <w:spacing w:val="-14"/>
        </w:rPr>
        <w:t xml:space="preserve"> </w:t>
      </w:r>
      <w:r>
        <w:t>care</w:t>
      </w:r>
      <w:r>
        <w:rPr>
          <w:spacing w:val="-15"/>
        </w:rPr>
        <w:t xml:space="preserve"> </w:t>
      </w:r>
      <w:r>
        <w:t>organization (”ACO”), and other health related programs, to under-resourced populations in the Boston metropolitan area and individuals throughout Greater Boston, Massachusetts, and beyond who are underserved by existing health care services.</w:t>
      </w:r>
    </w:p>
    <w:p w14:paraId="4B2E09EB" w14:textId="77777777" w:rsidR="001741C6" w:rsidRDefault="001741C6" w:rsidP="001741C6">
      <w:pPr>
        <w:pStyle w:val="BodyText"/>
        <w:spacing w:before="1"/>
      </w:pPr>
    </w:p>
    <w:p w14:paraId="403F57B6" w14:textId="77777777" w:rsidR="001741C6" w:rsidRDefault="001741C6" w:rsidP="001741C6">
      <w:pPr>
        <w:pStyle w:val="BodyText"/>
        <w:ind w:left="119" w:right="117"/>
        <w:jc w:val="both"/>
      </w:pPr>
      <w:r>
        <w:t>BMC,</w:t>
      </w:r>
      <w:r>
        <w:rPr>
          <w:spacing w:val="-16"/>
        </w:rPr>
        <w:t xml:space="preserve"> </w:t>
      </w:r>
      <w:r>
        <w:t>the</w:t>
      </w:r>
      <w:r>
        <w:rPr>
          <w:spacing w:val="-15"/>
        </w:rPr>
        <w:t xml:space="preserve"> </w:t>
      </w:r>
      <w:r>
        <w:t>System’s</w:t>
      </w:r>
      <w:r>
        <w:rPr>
          <w:spacing w:val="-15"/>
        </w:rPr>
        <w:t xml:space="preserve"> </w:t>
      </w:r>
      <w:r>
        <w:t>academic</w:t>
      </w:r>
      <w:r>
        <w:rPr>
          <w:spacing w:val="-16"/>
        </w:rPr>
        <w:t xml:space="preserve"> </w:t>
      </w:r>
      <w:r>
        <w:t>safety</w:t>
      </w:r>
      <w:r>
        <w:rPr>
          <w:spacing w:val="-15"/>
        </w:rPr>
        <w:t xml:space="preserve"> </w:t>
      </w:r>
      <w:r>
        <w:t>net</w:t>
      </w:r>
      <w:r>
        <w:rPr>
          <w:spacing w:val="-15"/>
        </w:rPr>
        <w:t xml:space="preserve"> </w:t>
      </w:r>
      <w:r>
        <w:t>hospital,</w:t>
      </w:r>
      <w:r>
        <w:rPr>
          <w:spacing w:val="-15"/>
        </w:rPr>
        <w:t xml:space="preserve"> </w:t>
      </w:r>
      <w:r>
        <w:t>was</w:t>
      </w:r>
      <w:r>
        <w:rPr>
          <w:spacing w:val="-16"/>
        </w:rPr>
        <w:t xml:space="preserve"> </w:t>
      </w:r>
      <w:r>
        <w:t>incorporated</w:t>
      </w:r>
      <w:r>
        <w:rPr>
          <w:spacing w:val="-15"/>
        </w:rPr>
        <w:t xml:space="preserve"> </w:t>
      </w:r>
      <w:r>
        <w:t>as</w:t>
      </w:r>
      <w:r>
        <w:rPr>
          <w:spacing w:val="-15"/>
        </w:rPr>
        <w:t xml:space="preserve"> </w:t>
      </w:r>
      <w:r>
        <w:t>a</w:t>
      </w:r>
      <w:r>
        <w:rPr>
          <w:spacing w:val="-16"/>
        </w:rPr>
        <w:t xml:space="preserve"> </w:t>
      </w:r>
      <w:r>
        <w:t>Massachusetts</w:t>
      </w:r>
      <w:r>
        <w:rPr>
          <w:spacing w:val="-15"/>
        </w:rPr>
        <w:t xml:space="preserve"> </w:t>
      </w:r>
      <w:r>
        <w:t>charitable corporation</w:t>
      </w:r>
      <w:r>
        <w:rPr>
          <w:spacing w:val="-1"/>
        </w:rPr>
        <w:t xml:space="preserve"> </w:t>
      </w:r>
      <w:r>
        <w:t>in</w:t>
      </w:r>
      <w:r>
        <w:rPr>
          <w:spacing w:val="-1"/>
        </w:rPr>
        <w:t xml:space="preserve"> </w:t>
      </w:r>
      <w:r>
        <w:t>1996</w:t>
      </w:r>
      <w:r>
        <w:rPr>
          <w:spacing w:val="-1"/>
        </w:rPr>
        <w:t xml:space="preserve"> </w:t>
      </w:r>
      <w:r>
        <w:t>with</w:t>
      </w:r>
      <w:r>
        <w:rPr>
          <w:spacing w:val="-2"/>
        </w:rPr>
        <w:t xml:space="preserve"> </w:t>
      </w:r>
      <w:r>
        <w:t>the</w:t>
      </w:r>
      <w:r>
        <w:rPr>
          <w:spacing w:val="-1"/>
        </w:rPr>
        <w:t xml:space="preserve"> </w:t>
      </w:r>
      <w:r>
        <w:t>merger</w:t>
      </w:r>
      <w:r>
        <w:rPr>
          <w:spacing w:val="-1"/>
        </w:rPr>
        <w:t xml:space="preserve"> </w:t>
      </w:r>
      <w:r>
        <w:t>of</w:t>
      </w:r>
      <w:r>
        <w:rPr>
          <w:spacing w:val="-1"/>
        </w:rPr>
        <w:t xml:space="preserve"> </w:t>
      </w:r>
      <w:r>
        <w:t>Boston</w:t>
      </w:r>
      <w:r>
        <w:rPr>
          <w:spacing w:val="-1"/>
        </w:rPr>
        <w:t xml:space="preserve"> </w:t>
      </w:r>
      <w:r>
        <w:t>City Hospital,</w:t>
      </w:r>
      <w:r>
        <w:rPr>
          <w:spacing w:val="-3"/>
        </w:rPr>
        <w:t xml:space="preserve"> </w:t>
      </w:r>
      <w:r>
        <w:t>Boston</w:t>
      </w:r>
      <w:r>
        <w:rPr>
          <w:spacing w:val="-1"/>
        </w:rPr>
        <w:t xml:space="preserve"> </w:t>
      </w:r>
      <w:r>
        <w:t>Specialty</w:t>
      </w:r>
      <w:r>
        <w:rPr>
          <w:spacing w:val="-2"/>
        </w:rPr>
        <w:t xml:space="preserve"> </w:t>
      </w:r>
      <w:r>
        <w:t>and</w:t>
      </w:r>
      <w:r>
        <w:rPr>
          <w:spacing w:val="-1"/>
        </w:rPr>
        <w:t xml:space="preserve"> </w:t>
      </w:r>
      <w:r>
        <w:t>Rehabilitation Hospital, and the Boston University Medical Center Hospital. Today, BMC is a private, not-for- profit, urban academic medical center (“AMC”) located in Boston’s historic South End with satellites</w:t>
      </w:r>
      <w:r>
        <w:rPr>
          <w:spacing w:val="-4"/>
        </w:rPr>
        <w:t xml:space="preserve"> </w:t>
      </w:r>
      <w:r>
        <w:t>and</w:t>
      </w:r>
      <w:r>
        <w:rPr>
          <w:spacing w:val="-4"/>
        </w:rPr>
        <w:t xml:space="preserve"> </w:t>
      </w:r>
      <w:r>
        <w:t>partner</w:t>
      </w:r>
      <w:r>
        <w:rPr>
          <w:spacing w:val="-5"/>
        </w:rPr>
        <w:t xml:space="preserve"> </w:t>
      </w:r>
      <w:r>
        <w:t>locations</w:t>
      </w:r>
      <w:r>
        <w:rPr>
          <w:spacing w:val="-4"/>
        </w:rPr>
        <w:t xml:space="preserve"> </w:t>
      </w:r>
      <w:r>
        <w:t>in</w:t>
      </w:r>
      <w:r>
        <w:rPr>
          <w:spacing w:val="-6"/>
        </w:rPr>
        <w:t xml:space="preserve"> </w:t>
      </w:r>
      <w:r>
        <w:t>Boston</w:t>
      </w:r>
      <w:r>
        <w:rPr>
          <w:spacing w:val="-4"/>
        </w:rPr>
        <w:t xml:space="preserve"> </w:t>
      </w:r>
      <w:r>
        <w:t>and</w:t>
      </w:r>
      <w:r>
        <w:rPr>
          <w:spacing w:val="-4"/>
        </w:rPr>
        <w:t xml:space="preserve"> </w:t>
      </w:r>
      <w:r>
        <w:t>the</w:t>
      </w:r>
      <w:r>
        <w:rPr>
          <w:spacing w:val="-6"/>
        </w:rPr>
        <w:t xml:space="preserve"> </w:t>
      </w:r>
      <w:r>
        <w:t>surrounding</w:t>
      </w:r>
      <w:r>
        <w:rPr>
          <w:spacing w:val="-6"/>
        </w:rPr>
        <w:t xml:space="preserve"> </w:t>
      </w:r>
      <w:r>
        <w:t>communities.</w:t>
      </w:r>
      <w:r>
        <w:rPr>
          <w:spacing w:val="-4"/>
        </w:rPr>
        <w:t xml:space="preserve"> </w:t>
      </w:r>
      <w:r>
        <w:t>As</w:t>
      </w:r>
      <w:r>
        <w:rPr>
          <w:spacing w:val="-4"/>
        </w:rPr>
        <w:t xml:space="preserve"> </w:t>
      </w:r>
      <w:r>
        <w:t>the</w:t>
      </w:r>
      <w:r>
        <w:rPr>
          <w:spacing w:val="-6"/>
        </w:rPr>
        <w:t xml:space="preserve"> </w:t>
      </w:r>
      <w:r>
        <w:t>largest</w:t>
      </w:r>
      <w:r>
        <w:rPr>
          <w:spacing w:val="-4"/>
        </w:rPr>
        <w:t xml:space="preserve"> </w:t>
      </w:r>
      <w:r>
        <w:t>safety net hospital in New England, BMC emphasizes community-based, accessible care and is dedicated</w:t>
      </w:r>
      <w:r>
        <w:rPr>
          <w:spacing w:val="-9"/>
        </w:rPr>
        <w:t xml:space="preserve"> </w:t>
      </w:r>
      <w:r>
        <w:t>to</w:t>
      </w:r>
      <w:r>
        <w:rPr>
          <w:spacing w:val="-10"/>
        </w:rPr>
        <w:t xml:space="preserve"> </w:t>
      </w:r>
      <w:r>
        <w:t>providing</w:t>
      </w:r>
      <w:r>
        <w:rPr>
          <w:spacing w:val="-9"/>
        </w:rPr>
        <w:t xml:space="preserve"> </w:t>
      </w:r>
      <w:r>
        <w:t>consistently</w:t>
      </w:r>
      <w:r>
        <w:rPr>
          <w:spacing w:val="-9"/>
        </w:rPr>
        <w:t xml:space="preserve"> </w:t>
      </w:r>
      <w:r>
        <w:t>exceptional</w:t>
      </w:r>
      <w:r>
        <w:rPr>
          <w:spacing w:val="-9"/>
        </w:rPr>
        <w:t xml:space="preserve"> </w:t>
      </w:r>
      <w:r>
        <w:t>health</w:t>
      </w:r>
      <w:r>
        <w:rPr>
          <w:spacing w:val="-9"/>
        </w:rPr>
        <w:t xml:space="preserve"> </w:t>
      </w:r>
      <w:r>
        <w:t>services</w:t>
      </w:r>
      <w:r>
        <w:rPr>
          <w:spacing w:val="-9"/>
        </w:rPr>
        <w:t xml:space="preserve"> </w:t>
      </w:r>
      <w:r>
        <w:t>to</w:t>
      </w:r>
      <w:r>
        <w:rPr>
          <w:spacing w:val="-9"/>
        </w:rPr>
        <w:t xml:space="preserve"> </w:t>
      </w:r>
      <w:r>
        <w:t>all</w:t>
      </w:r>
      <w:r>
        <w:rPr>
          <w:spacing w:val="-9"/>
        </w:rPr>
        <w:t xml:space="preserve"> </w:t>
      </w:r>
      <w:r>
        <w:t>in</w:t>
      </w:r>
      <w:r>
        <w:rPr>
          <w:spacing w:val="-9"/>
        </w:rPr>
        <w:t xml:space="preserve"> </w:t>
      </w:r>
      <w:r>
        <w:t>need</w:t>
      </w:r>
      <w:r>
        <w:rPr>
          <w:spacing w:val="-9"/>
        </w:rPr>
        <w:t xml:space="preserve"> </w:t>
      </w:r>
      <w:r>
        <w:t>of</w:t>
      </w:r>
      <w:r>
        <w:rPr>
          <w:spacing w:val="-9"/>
        </w:rPr>
        <w:t xml:space="preserve"> </w:t>
      </w:r>
      <w:r>
        <w:t>care</w:t>
      </w:r>
      <w:r>
        <w:rPr>
          <w:spacing w:val="-9"/>
        </w:rPr>
        <w:t xml:space="preserve"> </w:t>
      </w:r>
      <w:r>
        <w:t>regardless</w:t>
      </w:r>
      <w:r>
        <w:rPr>
          <w:spacing w:val="-9"/>
        </w:rPr>
        <w:t xml:space="preserve"> </w:t>
      </w:r>
      <w:r>
        <w:t>of insurance status or ability to pay. Nearly 75% of the Hospital’s patients come from under- resourced</w:t>
      </w:r>
      <w:r>
        <w:rPr>
          <w:spacing w:val="-9"/>
        </w:rPr>
        <w:t xml:space="preserve"> </w:t>
      </w:r>
      <w:r>
        <w:t>populations,</w:t>
      </w:r>
      <w:r>
        <w:rPr>
          <w:spacing w:val="-12"/>
        </w:rPr>
        <w:t xml:space="preserve"> </w:t>
      </w:r>
      <w:r>
        <w:t>such</w:t>
      </w:r>
      <w:r>
        <w:rPr>
          <w:spacing w:val="-9"/>
        </w:rPr>
        <w:t xml:space="preserve"> </w:t>
      </w:r>
      <w:r>
        <w:t>as</w:t>
      </w:r>
      <w:r>
        <w:rPr>
          <w:spacing w:val="-10"/>
        </w:rPr>
        <w:t xml:space="preserve"> </w:t>
      </w:r>
      <w:r>
        <w:t>the</w:t>
      </w:r>
      <w:r>
        <w:rPr>
          <w:spacing w:val="-9"/>
        </w:rPr>
        <w:t xml:space="preserve"> </w:t>
      </w:r>
      <w:r>
        <w:t>low-income</w:t>
      </w:r>
      <w:r>
        <w:rPr>
          <w:spacing w:val="-9"/>
        </w:rPr>
        <w:t xml:space="preserve"> </w:t>
      </w:r>
      <w:r>
        <w:t>and</w:t>
      </w:r>
      <w:r>
        <w:rPr>
          <w:spacing w:val="-9"/>
        </w:rPr>
        <w:t xml:space="preserve"> </w:t>
      </w:r>
      <w:r>
        <w:t>elderly,</w:t>
      </w:r>
      <w:r>
        <w:rPr>
          <w:spacing w:val="-12"/>
        </w:rPr>
        <w:t xml:space="preserve"> </w:t>
      </w:r>
      <w:r>
        <w:t>who</w:t>
      </w:r>
      <w:r>
        <w:rPr>
          <w:spacing w:val="-9"/>
        </w:rPr>
        <w:t xml:space="preserve"> </w:t>
      </w:r>
      <w:r>
        <w:t>rely</w:t>
      </w:r>
      <w:r>
        <w:rPr>
          <w:spacing w:val="-9"/>
        </w:rPr>
        <w:t xml:space="preserve"> </w:t>
      </w:r>
      <w:r>
        <w:t>on</w:t>
      </w:r>
      <w:r>
        <w:rPr>
          <w:spacing w:val="-10"/>
        </w:rPr>
        <w:t xml:space="preserve"> </w:t>
      </w:r>
      <w:r>
        <w:t>government</w:t>
      </w:r>
      <w:r>
        <w:rPr>
          <w:spacing w:val="-9"/>
        </w:rPr>
        <w:t xml:space="preserve"> </w:t>
      </w:r>
      <w:r>
        <w:t>payers</w:t>
      </w:r>
      <w:r>
        <w:rPr>
          <w:spacing w:val="-9"/>
        </w:rPr>
        <w:t xml:space="preserve"> </w:t>
      </w:r>
      <w:r>
        <w:t>such as</w:t>
      </w:r>
      <w:r>
        <w:rPr>
          <w:spacing w:val="-6"/>
        </w:rPr>
        <w:t xml:space="preserve"> </w:t>
      </w:r>
      <w:r>
        <w:t>Medicaid,</w:t>
      </w:r>
      <w:r>
        <w:rPr>
          <w:spacing w:val="-7"/>
        </w:rPr>
        <w:t xml:space="preserve"> </w:t>
      </w:r>
      <w:r>
        <w:t>the</w:t>
      </w:r>
      <w:r>
        <w:rPr>
          <w:spacing w:val="-7"/>
        </w:rPr>
        <w:t xml:space="preserve"> </w:t>
      </w:r>
      <w:r>
        <w:t>Health</w:t>
      </w:r>
      <w:r>
        <w:rPr>
          <w:spacing w:val="-6"/>
        </w:rPr>
        <w:t xml:space="preserve"> </w:t>
      </w:r>
      <w:r>
        <w:t>Safety</w:t>
      </w:r>
      <w:r>
        <w:rPr>
          <w:spacing w:val="-6"/>
        </w:rPr>
        <w:t xml:space="preserve"> </w:t>
      </w:r>
      <w:r>
        <w:t>Net</w:t>
      </w:r>
      <w:r>
        <w:rPr>
          <w:spacing w:val="-6"/>
        </w:rPr>
        <w:t xml:space="preserve"> </w:t>
      </w:r>
      <w:r>
        <w:t>(“HSN”),</w:t>
      </w:r>
      <w:r>
        <w:rPr>
          <w:spacing w:val="-6"/>
        </w:rPr>
        <w:t xml:space="preserve"> </w:t>
      </w:r>
      <w:r>
        <w:t>and</w:t>
      </w:r>
      <w:r>
        <w:rPr>
          <w:spacing w:val="-7"/>
        </w:rPr>
        <w:t xml:space="preserve"> </w:t>
      </w:r>
      <w:r>
        <w:t>Medicare</w:t>
      </w:r>
      <w:r>
        <w:rPr>
          <w:spacing w:val="-7"/>
        </w:rPr>
        <w:t xml:space="preserve"> </w:t>
      </w:r>
      <w:r>
        <w:t>for</w:t>
      </w:r>
      <w:r>
        <w:rPr>
          <w:spacing w:val="-7"/>
        </w:rPr>
        <w:t xml:space="preserve"> </w:t>
      </w:r>
      <w:r>
        <w:t>their</w:t>
      </w:r>
      <w:r>
        <w:rPr>
          <w:spacing w:val="-7"/>
        </w:rPr>
        <w:t xml:space="preserve"> </w:t>
      </w:r>
      <w:r>
        <w:t>coverage.</w:t>
      </w:r>
      <w:r>
        <w:rPr>
          <w:spacing w:val="-6"/>
        </w:rPr>
        <w:t xml:space="preserve"> </w:t>
      </w:r>
      <w:r>
        <w:t>Almost</w:t>
      </w:r>
      <w:r>
        <w:rPr>
          <w:spacing w:val="-6"/>
        </w:rPr>
        <w:t xml:space="preserve"> </w:t>
      </w:r>
      <w:r>
        <w:t>one-third</w:t>
      </w:r>
      <w:r>
        <w:rPr>
          <w:spacing w:val="-7"/>
        </w:rPr>
        <w:t xml:space="preserve"> </w:t>
      </w:r>
      <w:r>
        <w:t>of BMC’s patients do not speak English as their primary language.</w:t>
      </w:r>
    </w:p>
    <w:p w14:paraId="5914A4B4" w14:textId="77777777" w:rsidR="001741C6" w:rsidRDefault="001741C6" w:rsidP="001741C6">
      <w:pPr>
        <w:pStyle w:val="BodyText"/>
        <w:spacing w:before="11"/>
        <w:rPr>
          <w:sz w:val="21"/>
        </w:rPr>
      </w:pPr>
    </w:p>
    <w:p w14:paraId="07FF6117" w14:textId="77777777" w:rsidR="001741C6" w:rsidRDefault="001741C6" w:rsidP="001741C6">
      <w:pPr>
        <w:pStyle w:val="BodyText"/>
        <w:ind w:left="119" w:right="118"/>
        <w:jc w:val="both"/>
      </w:pPr>
      <w:r>
        <w:t>The Hospital is the primary teaching affiliate for the Boston University Chobanian &amp; Avedisian School</w:t>
      </w:r>
      <w:r>
        <w:rPr>
          <w:spacing w:val="-8"/>
        </w:rPr>
        <w:t xml:space="preserve"> </w:t>
      </w:r>
      <w:r>
        <w:t>of</w:t>
      </w:r>
      <w:r>
        <w:rPr>
          <w:spacing w:val="-8"/>
        </w:rPr>
        <w:t xml:space="preserve"> </w:t>
      </w:r>
      <w:r>
        <w:t>Medicine.</w:t>
      </w:r>
      <w:r>
        <w:rPr>
          <w:spacing w:val="-8"/>
        </w:rPr>
        <w:t xml:space="preserve"> </w:t>
      </w:r>
      <w:r>
        <w:t>The</w:t>
      </w:r>
      <w:r>
        <w:rPr>
          <w:spacing w:val="-9"/>
        </w:rPr>
        <w:t xml:space="preserve"> </w:t>
      </w:r>
      <w:r>
        <w:t>Hospital</w:t>
      </w:r>
      <w:r>
        <w:rPr>
          <w:spacing w:val="-7"/>
        </w:rPr>
        <w:t xml:space="preserve"> </w:t>
      </w:r>
      <w:r>
        <w:t>is</w:t>
      </w:r>
      <w:r>
        <w:rPr>
          <w:spacing w:val="-8"/>
        </w:rPr>
        <w:t xml:space="preserve"> </w:t>
      </w:r>
      <w:r>
        <w:t>a</w:t>
      </w:r>
      <w:r>
        <w:rPr>
          <w:spacing w:val="-8"/>
        </w:rPr>
        <w:t xml:space="preserve"> </w:t>
      </w:r>
      <w:r>
        <w:t>recognized</w:t>
      </w:r>
      <w:r>
        <w:rPr>
          <w:spacing w:val="-8"/>
        </w:rPr>
        <w:t xml:space="preserve"> </w:t>
      </w:r>
      <w:r>
        <w:t>leader</w:t>
      </w:r>
      <w:r>
        <w:rPr>
          <w:spacing w:val="-8"/>
        </w:rPr>
        <w:t xml:space="preserve"> </w:t>
      </w:r>
      <w:r>
        <w:t>in</w:t>
      </w:r>
      <w:r>
        <w:rPr>
          <w:spacing w:val="-8"/>
        </w:rPr>
        <w:t xml:space="preserve"> </w:t>
      </w:r>
      <w:r>
        <w:t>groundbreaking</w:t>
      </w:r>
      <w:r>
        <w:rPr>
          <w:spacing w:val="-8"/>
        </w:rPr>
        <w:t xml:space="preserve"> </w:t>
      </w:r>
      <w:r>
        <w:t>medical</w:t>
      </w:r>
      <w:r>
        <w:rPr>
          <w:spacing w:val="-8"/>
        </w:rPr>
        <w:t xml:space="preserve"> </w:t>
      </w:r>
      <w:r>
        <w:t>research</w:t>
      </w:r>
      <w:r>
        <w:rPr>
          <w:spacing w:val="-8"/>
        </w:rPr>
        <w:t xml:space="preserve"> </w:t>
      </w:r>
      <w:r>
        <w:t>and provides a full spectrum of emergency, outpatient and hospital inpatient services, as well as specialized</w:t>
      </w:r>
      <w:r>
        <w:rPr>
          <w:spacing w:val="-1"/>
        </w:rPr>
        <w:t xml:space="preserve"> </w:t>
      </w:r>
      <w:r>
        <w:t>care for complex health problems. Throughout their seventy (70) medical specialties and subspecialties, BMC providers conduct over one million patient visits per year. In addition, the Hospital is the busiest provider of trauma and emergency services in New England.</w:t>
      </w:r>
    </w:p>
    <w:p w14:paraId="6B3C5EB5" w14:textId="77777777" w:rsidR="001741C6" w:rsidRDefault="001741C6" w:rsidP="001741C6">
      <w:pPr>
        <w:pStyle w:val="BodyText"/>
      </w:pPr>
    </w:p>
    <w:p w14:paraId="060A3E2B" w14:textId="77777777" w:rsidR="001741C6" w:rsidRDefault="001741C6" w:rsidP="001741C6">
      <w:pPr>
        <w:pStyle w:val="ListParagraph"/>
        <w:widowControl w:val="0"/>
        <w:numPr>
          <w:ilvl w:val="0"/>
          <w:numId w:val="49"/>
        </w:numPr>
        <w:tabs>
          <w:tab w:val="left" w:pos="455"/>
        </w:tabs>
        <w:autoSpaceDE w:val="0"/>
        <w:autoSpaceDN w:val="0"/>
        <w:ind w:left="455" w:hanging="336"/>
        <w:contextualSpacing w:val="0"/>
      </w:pPr>
      <w:r>
        <w:rPr>
          <w:smallCaps/>
          <w:sz w:val="22"/>
          <w:u w:val="single"/>
        </w:rPr>
        <w:t>Overview</w:t>
      </w:r>
      <w:r>
        <w:rPr>
          <w:smallCaps/>
          <w:spacing w:val="-4"/>
          <w:sz w:val="22"/>
          <w:u w:val="single"/>
        </w:rPr>
        <w:t xml:space="preserve"> </w:t>
      </w:r>
      <w:r>
        <w:rPr>
          <w:smallCaps/>
          <w:sz w:val="22"/>
          <w:u w:val="single"/>
        </w:rPr>
        <w:t>of</w:t>
      </w:r>
      <w:r>
        <w:rPr>
          <w:smallCaps/>
          <w:spacing w:val="-3"/>
          <w:sz w:val="22"/>
          <w:u w:val="single"/>
        </w:rPr>
        <w:t xml:space="preserve"> </w:t>
      </w:r>
      <w:r>
        <w:rPr>
          <w:smallCaps/>
          <w:sz w:val="22"/>
          <w:u w:val="single"/>
        </w:rPr>
        <w:t>the</w:t>
      </w:r>
      <w:r>
        <w:rPr>
          <w:smallCaps/>
          <w:spacing w:val="-3"/>
          <w:sz w:val="22"/>
          <w:u w:val="single"/>
        </w:rPr>
        <w:t xml:space="preserve"> </w:t>
      </w:r>
      <w:r>
        <w:rPr>
          <w:smallCaps/>
          <w:sz w:val="22"/>
          <w:u w:val="single"/>
        </w:rPr>
        <w:t>Need</w:t>
      </w:r>
      <w:r>
        <w:rPr>
          <w:smallCaps/>
          <w:spacing w:val="-4"/>
          <w:sz w:val="22"/>
          <w:u w:val="single"/>
        </w:rPr>
        <w:t xml:space="preserve"> </w:t>
      </w:r>
      <w:r>
        <w:rPr>
          <w:smallCaps/>
          <w:sz w:val="22"/>
          <w:u w:val="single"/>
        </w:rPr>
        <w:t>for</w:t>
      </w:r>
      <w:r>
        <w:rPr>
          <w:smallCaps/>
          <w:spacing w:val="-3"/>
          <w:sz w:val="22"/>
          <w:u w:val="single"/>
        </w:rPr>
        <w:t xml:space="preserve"> </w:t>
      </w:r>
      <w:r>
        <w:rPr>
          <w:smallCaps/>
          <w:sz w:val="22"/>
          <w:u w:val="single"/>
        </w:rPr>
        <w:t>the</w:t>
      </w:r>
      <w:r>
        <w:rPr>
          <w:smallCaps/>
          <w:spacing w:val="-3"/>
          <w:sz w:val="22"/>
          <w:u w:val="single"/>
        </w:rPr>
        <w:t xml:space="preserve"> </w:t>
      </w:r>
      <w:r>
        <w:rPr>
          <w:smallCaps/>
          <w:sz w:val="22"/>
          <w:u w:val="single"/>
        </w:rPr>
        <w:t>Proposed</w:t>
      </w:r>
      <w:r>
        <w:rPr>
          <w:smallCaps/>
          <w:spacing w:val="-4"/>
          <w:sz w:val="22"/>
          <w:u w:val="single"/>
        </w:rPr>
        <w:t xml:space="preserve"> </w:t>
      </w:r>
      <w:r>
        <w:rPr>
          <w:smallCaps/>
          <w:sz w:val="22"/>
          <w:u w:val="single"/>
        </w:rPr>
        <w:t>Project</w:t>
      </w:r>
      <w:r>
        <w:rPr>
          <w:smallCaps/>
          <w:spacing w:val="-3"/>
          <w:sz w:val="22"/>
          <w:u w:val="single"/>
        </w:rPr>
        <w:t xml:space="preserve"> </w:t>
      </w:r>
      <w:r>
        <w:rPr>
          <w:smallCaps/>
          <w:sz w:val="22"/>
          <w:u w:val="single"/>
        </w:rPr>
        <w:t>and</w:t>
      </w:r>
      <w:r>
        <w:rPr>
          <w:smallCaps/>
          <w:spacing w:val="-4"/>
          <w:sz w:val="22"/>
          <w:u w:val="single"/>
        </w:rPr>
        <w:t xml:space="preserve"> </w:t>
      </w:r>
      <w:r>
        <w:rPr>
          <w:smallCaps/>
          <w:sz w:val="22"/>
          <w:u w:val="single"/>
        </w:rPr>
        <w:t>Related</w:t>
      </w:r>
      <w:r>
        <w:rPr>
          <w:smallCaps/>
          <w:spacing w:val="-4"/>
          <w:sz w:val="22"/>
          <w:u w:val="single"/>
        </w:rPr>
        <w:t xml:space="preserve"> </w:t>
      </w:r>
      <w:r>
        <w:rPr>
          <w:smallCaps/>
          <w:spacing w:val="-2"/>
          <w:sz w:val="22"/>
          <w:u w:val="single"/>
        </w:rPr>
        <w:t>Factors</w:t>
      </w:r>
    </w:p>
    <w:p w14:paraId="51FFA733" w14:textId="77777777" w:rsidR="001741C6" w:rsidRDefault="001741C6" w:rsidP="001741C6">
      <w:pPr>
        <w:pStyle w:val="BodyText"/>
        <w:rPr>
          <w:sz w:val="14"/>
        </w:rPr>
      </w:pPr>
    </w:p>
    <w:p w14:paraId="57BE367A" w14:textId="77777777" w:rsidR="001741C6" w:rsidRDefault="001741C6" w:rsidP="001741C6">
      <w:pPr>
        <w:pStyle w:val="BodyText"/>
        <w:spacing w:before="92"/>
        <w:ind w:left="119" w:right="116"/>
        <w:jc w:val="both"/>
      </w:pPr>
      <w:r>
        <w:t>As discussed in detail throughout this Application, the Proposed Project seeks to address the unique</w:t>
      </w:r>
      <w:r>
        <w:rPr>
          <w:spacing w:val="-1"/>
        </w:rPr>
        <w:t xml:space="preserve"> </w:t>
      </w:r>
      <w:r>
        <w:t>needs</w:t>
      </w:r>
      <w:r>
        <w:rPr>
          <w:spacing w:val="-1"/>
        </w:rPr>
        <w:t xml:space="preserve"> </w:t>
      </w:r>
      <w:r>
        <w:t>of</w:t>
      </w:r>
      <w:r>
        <w:rPr>
          <w:spacing w:val="-1"/>
        </w:rPr>
        <w:t xml:space="preserve"> </w:t>
      </w:r>
      <w:r>
        <w:t>BMC’s patient</w:t>
      </w:r>
      <w:r>
        <w:rPr>
          <w:spacing w:val="-1"/>
        </w:rPr>
        <w:t xml:space="preserve"> </w:t>
      </w:r>
      <w:r>
        <w:t>panel</w:t>
      </w:r>
      <w:r>
        <w:rPr>
          <w:spacing w:val="-1"/>
        </w:rPr>
        <w:t xml:space="preserve"> </w:t>
      </w:r>
      <w:r>
        <w:t>through</w:t>
      </w:r>
      <w:r>
        <w:rPr>
          <w:spacing w:val="-1"/>
        </w:rPr>
        <w:t xml:space="preserve"> </w:t>
      </w:r>
      <w:r>
        <w:t>the acquisition</w:t>
      </w:r>
      <w:r>
        <w:rPr>
          <w:spacing w:val="-2"/>
        </w:rPr>
        <w:t xml:space="preserve"> </w:t>
      </w:r>
      <w:r>
        <w:t>of</w:t>
      </w:r>
      <w:r>
        <w:rPr>
          <w:spacing w:val="-1"/>
        </w:rPr>
        <w:t xml:space="preserve"> </w:t>
      </w:r>
      <w:r>
        <w:t>one</w:t>
      </w:r>
      <w:r>
        <w:rPr>
          <w:spacing w:val="-1"/>
        </w:rPr>
        <w:t xml:space="preserve"> </w:t>
      </w:r>
      <w:r>
        <w:t>(1)</w:t>
      </w:r>
      <w:r>
        <w:rPr>
          <w:spacing w:val="-1"/>
        </w:rPr>
        <w:t xml:space="preserve"> </w:t>
      </w:r>
      <w:r>
        <w:t>new</w:t>
      </w:r>
      <w:r>
        <w:rPr>
          <w:spacing w:val="-1"/>
        </w:rPr>
        <w:t xml:space="preserve"> </w:t>
      </w:r>
      <w:r>
        <w:t>1.5T MRI</w:t>
      </w:r>
      <w:r>
        <w:rPr>
          <w:spacing w:val="-1"/>
        </w:rPr>
        <w:t xml:space="preserve"> </w:t>
      </w:r>
      <w:r>
        <w:t>unit</w:t>
      </w:r>
      <w:r>
        <w:rPr>
          <w:spacing w:val="-1"/>
        </w:rPr>
        <w:t xml:space="preserve"> </w:t>
      </w:r>
      <w:r>
        <w:t>at</w:t>
      </w:r>
      <w:r>
        <w:rPr>
          <w:spacing w:val="-1"/>
        </w:rPr>
        <w:t xml:space="preserve"> </w:t>
      </w:r>
      <w:r>
        <w:t>the Hospital’s main campus.</w:t>
      </w:r>
      <w:r>
        <w:rPr>
          <w:spacing w:val="-1"/>
        </w:rPr>
        <w:t xml:space="preserve"> </w:t>
      </w:r>
      <w:r>
        <w:t>Currently,</w:t>
      </w:r>
      <w:r>
        <w:rPr>
          <w:spacing w:val="-1"/>
        </w:rPr>
        <w:t xml:space="preserve"> </w:t>
      </w:r>
      <w:r>
        <w:t>BMC is authorized to</w:t>
      </w:r>
      <w:r>
        <w:rPr>
          <w:spacing w:val="-1"/>
        </w:rPr>
        <w:t xml:space="preserve"> </w:t>
      </w:r>
      <w:r>
        <w:t>provide MRI services to</w:t>
      </w:r>
      <w:r>
        <w:rPr>
          <w:spacing w:val="-1"/>
        </w:rPr>
        <w:t xml:space="preserve"> </w:t>
      </w:r>
      <w:r>
        <w:t>its patients via three</w:t>
      </w:r>
      <w:r>
        <w:rPr>
          <w:spacing w:val="-3"/>
        </w:rPr>
        <w:t xml:space="preserve"> </w:t>
      </w:r>
      <w:r>
        <w:t>(3)</w:t>
      </w:r>
      <w:r>
        <w:rPr>
          <w:spacing w:val="-4"/>
        </w:rPr>
        <w:t xml:space="preserve"> </w:t>
      </w:r>
      <w:r>
        <w:t>MRI</w:t>
      </w:r>
      <w:r>
        <w:rPr>
          <w:spacing w:val="-3"/>
        </w:rPr>
        <w:t xml:space="preserve"> </w:t>
      </w:r>
      <w:r>
        <w:t>units</w:t>
      </w:r>
      <w:r>
        <w:rPr>
          <w:spacing w:val="-3"/>
        </w:rPr>
        <w:t xml:space="preserve"> </w:t>
      </w:r>
      <w:r>
        <w:t>at</w:t>
      </w:r>
      <w:r>
        <w:rPr>
          <w:spacing w:val="-5"/>
        </w:rPr>
        <w:t xml:space="preserve"> </w:t>
      </w:r>
      <w:r>
        <w:t>its</w:t>
      </w:r>
      <w:r>
        <w:rPr>
          <w:spacing w:val="-3"/>
        </w:rPr>
        <w:t xml:space="preserve"> </w:t>
      </w:r>
      <w:r>
        <w:t>main</w:t>
      </w:r>
      <w:r>
        <w:rPr>
          <w:spacing w:val="-3"/>
        </w:rPr>
        <w:t xml:space="preserve"> </w:t>
      </w:r>
      <w:r>
        <w:t>hospital</w:t>
      </w:r>
      <w:r>
        <w:rPr>
          <w:spacing w:val="-3"/>
        </w:rPr>
        <w:t xml:space="preserve"> </w:t>
      </w:r>
      <w:r>
        <w:t>campus</w:t>
      </w:r>
      <w:r>
        <w:rPr>
          <w:spacing w:val="-3"/>
        </w:rPr>
        <w:t xml:space="preserve"> </w:t>
      </w:r>
      <w:r>
        <w:t>–</w:t>
      </w:r>
      <w:r>
        <w:rPr>
          <w:spacing w:val="-3"/>
        </w:rPr>
        <w:t xml:space="preserve"> </w:t>
      </w:r>
      <w:r>
        <w:t>one</w:t>
      </w:r>
      <w:r>
        <w:rPr>
          <w:spacing w:val="-3"/>
        </w:rPr>
        <w:t xml:space="preserve"> </w:t>
      </w:r>
      <w:r>
        <w:t>(1)</w:t>
      </w:r>
      <w:r>
        <w:rPr>
          <w:spacing w:val="-4"/>
        </w:rPr>
        <w:t xml:space="preserve"> </w:t>
      </w:r>
      <w:r>
        <w:t>1.5T</w:t>
      </w:r>
      <w:r>
        <w:rPr>
          <w:spacing w:val="-3"/>
        </w:rPr>
        <w:t xml:space="preserve"> </w:t>
      </w:r>
      <w:r>
        <w:t>MRI</w:t>
      </w:r>
      <w:r>
        <w:rPr>
          <w:spacing w:val="-3"/>
        </w:rPr>
        <w:t xml:space="preserve"> </w:t>
      </w:r>
      <w:r>
        <w:t>unit</w:t>
      </w:r>
      <w:r>
        <w:rPr>
          <w:spacing w:val="-3"/>
        </w:rPr>
        <w:t xml:space="preserve"> </w:t>
      </w:r>
      <w:r>
        <w:t>and</w:t>
      </w:r>
      <w:r>
        <w:rPr>
          <w:spacing w:val="-3"/>
        </w:rPr>
        <w:t xml:space="preserve"> </w:t>
      </w:r>
      <w:r>
        <w:t>two</w:t>
      </w:r>
      <w:r>
        <w:rPr>
          <w:spacing w:val="-3"/>
        </w:rPr>
        <w:t xml:space="preserve"> </w:t>
      </w:r>
      <w:r>
        <w:t>(2)</w:t>
      </w:r>
      <w:r>
        <w:rPr>
          <w:spacing w:val="-5"/>
        </w:rPr>
        <w:t xml:space="preserve"> </w:t>
      </w:r>
      <w:r>
        <w:t>3T</w:t>
      </w:r>
      <w:r>
        <w:rPr>
          <w:spacing w:val="-3"/>
        </w:rPr>
        <w:t xml:space="preserve"> </w:t>
      </w:r>
      <w:r>
        <w:t>MRI</w:t>
      </w:r>
      <w:r>
        <w:rPr>
          <w:spacing w:val="-3"/>
        </w:rPr>
        <w:t xml:space="preserve"> </w:t>
      </w:r>
      <w:r>
        <w:t>units. Accordingly,</w:t>
      </w:r>
      <w:r>
        <w:rPr>
          <w:spacing w:val="-10"/>
        </w:rPr>
        <w:t xml:space="preserve"> </w:t>
      </w:r>
      <w:r>
        <w:t>the</w:t>
      </w:r>
      <w:r>
        <w:rPr>
          <w:spacing w:val="-9"/>
        </w:rPr>
        <w:t xml:space="preserve"> </w:t>
      </w:r>
      <w:r>
        <w:t>Proposed</w:t>
      </w:r>
      <w:r>
        <w:rPr>
          <w:spacing w:val="-9"/>
        </w:rPr>
        <w:t xml:space="preserve"> </w:t>
      </w:r>
      <w:r>
        <w:t>Project</w:t>
      </w:r>
      <w:r>
        <w:rPr>
          <w:spacing w:val="-9"/>
        </w:rPr>
        <w:t xml:space="preserve"> </w:t>
      </w:r>
      <w:r>
        <w:t>will</w:t>
      </w:r>
      <w:r>
        <w:rPr>
          <w:spacing w:val="-9"/>
        </w:rPr>
        <w:t xml:space="preserve"> </w:t>
      </w:r>
      <w:r>
        <w:t>increase</w:t>
      </w:r>
      <w:r>
        <w:rPr>
          <w:spacing w:val="-9"/>
        </w:rPr>
        <w:t xml:space="preserve"> </w:t>
      </w:r>
      <w:r>
        <w:t>BMC’s</w:t>
      </w:r>
      <w:r>
        <w:rPr>
          <w:spacing w:val="-9"/>
        </w:rPr>
        <w:t xml:space="preserve"> </w:t>
      </w:r>
      <w:r>
        <w:t>total</w:t>
      </w:r>
      <w:r>
        <w:rPr>
          <w:spacing w:val="-9"/>
        </w:rPr>
        <w:t xml:space="preserve"> </w:t>
      </w:r>
      <w:r>
        <w:t>licensed</w:t>
      </w:r>
      <w:r>
        <w:rPr>
          <w:spacing w:val="-9"/>
        </w:rPr>
        <w:t xml:space="preserve"> </w:t>
      </w:r>
      <w:r>
        <w:t>MRI</w:t>
      </w:r>
      <w:r>
        <w:rPr>
          <w:spacing w:val="-9"/>
        </w:rPr>
        <w:t xml:space="preserve"> </w:t>
      </w:r>
      <w:r>
        <w:t>capacity</w:t>
      </w:r>
      <w:r>
        <w:rPr>
          <w:spacing w:val="-9"/>
        </w:rPr>
        <w:t xml:space="preserve"> </w:t>
      </w:r>
      <w:r>
        <w:t>to</w:t>
      </w:r>
      <w:r>
        <w:rPr>
          <w:spacing w:val="-9"/>
        </w:rPr>
        <w:t xml:space="preserve"> </w:t>
      </w:r>
      <w:r>
        <w:t>four</w:t>
      </w:r>
      <w:r>
        <w:rPr>
          <w:spacing w:val="-9"/>
        </w:rPr>
        <w:t xml:space="preserve"> </w:t>
      </w:r>
      <w:r>
        <w:t>(4)</w:t>
      </w:r>
      <w:r>
        <w:rPr>
          <w:spacing w:val="-9"/>
        </w:rPr>
        <w:t xml:space="preserve"> </w:t>
      </w:r>
      <w:r>
        <w:t xml:space="preserve">MRI </w:t>
      </w:r>
      <w:r>
        <w:rPr>
          <w:spacing w:val="-2"/>
        </w:rPr>
        <w:t>units.</w:t>
      </w:r>
    </w:p>
    <w:p w14:paraId="373CD630" w14:textId="77777777" w:rsidR="001741C6" w:rsidRDefault="001741C6" w:rsidP="001741C6">
      <w:pPr>
        <w:jc w:val="both"/>
        <w:sectPr w:rsidR="001741C6" w:rsidSect="001741C6">
          <w:footerReference w:type="default" r:id="rId10"/>
          <w:pgSz w:w="12240" w:h="15840"/>
          <w:pgMar w:top="1360" w:right="1320" w:bottom="980" w:left="1320" w:header="0" w:footer="787" w:gutter="0"/>
          <w:pgNumType w:start="1"/>
          <w:cols w:space="720"/>
        </w:sectPr>
      </w:pPr>
    </w:p>
    <w:p w14:paraId="33F1D08C" w14:textId="77777777" w:rsidR="001741C6" w:rsidRDefault="001741C6" w:rsidP="001741C6">
      <w:pPr>
        <w:pStyle w:val="BodyText"/>
        <w:spacing w:before="80"/>
        <w:ind w:left="119" w:right="117"/>
        <w:jc w:val="both"/>
      </w:pPr>
      <w:r>
        <w:lastRenderedPageBreak/>
        <w:t>The request for implementation of the Proposed Project is based on a comprehensive assessment of BMC’s ability to provide accessible MRI services to its patients now and into the future. As radiology has recovered to normal patient volumes through the COVID-19 pandemic, capacity and access concerns have surfaced in MRI operations at BMC. Specifically, historical patient</w:t>
      </w:r>
      <w:r>
        <w:rPr>
          <w:spacing w:val="-6"/>
        </w:rPr>
        <w:t xml:space="preserve"> </w:t>
      </w:r>
      <w:r>
        <w:t>panel</w:t>
      </w:r>
      <w:r>
        <w:rPr>
          <w:spacing w:val="-5"/>
        </w:rPr>
        <w:t xml:space="preserve"> </w:t>
      </w:r>
      <w:r>
        <w:t>and</w:t>
      </w:r>
      <w:r>
        <w:rPr>
          <w:spacing w:val="-6"/>
        </w:rPr>
        <w:t xml:space="preserve"> </w:t>
      </w:r>
      <w:r>
        <w:t>scan</w:t>
      </w:r>
      <w:r>
        <w:rPr>
          <w:spacing w:val="-7"/>
        </w:rPr>
        <w:t xml:space="preserve"> </w:t>
      </w:r>
      <w:r>
        <w:t>volume</w:t>
      </w:r>
      <w:r>
        <w:rPr>
          <w:spacing w:val="-6"/>
        </w:rPr>
        <w:t xml:space="preserve"> </w:t>
      </w:r>
      <w:r>
        <w:t>data</w:t>
      </w:r>
      <w:r>
        <w:rPr>
          <w:spacing w:val="-6"/>
        </w:rPr>
        <w:t xml:space="preserve"> </w:t>
      </w:r>
      <w:r>
        <w:t>indicate</w:t>
      </w:r>
      <w:r>
        <w:rPr>
          <w:spacing w:val="-6"/>
        </w:rPr>
        <w:t xml:space="preserve"> </w:t>
      </w:r>
      <w:r>
        <w:t>that</w:t>
      </w:r>
      <w:r>
        <w:rPr>
          <w:spacing w:val="-7"/>
        </w:rPr>
        <w:t xml:space="preserve"> </w:t>
      </w:r>
      <w:r>
        <w:t>demand</w:t>
      </w:r>
      <w:r>
        <w:rPr>
          <w:spacing w:val="-6"/>
        </w:rPr>
        <w:t xml:space="preserve"> </w:t>
      </w:r>
      <w:r>
        <w:t>currently</w:t>
      </w:r>
      <w:r>
        <w:rPr>
          <w:spacing w:val="-5"/>
        </w:rPr>
        <w:t xml:space="preserve"> </w:t>
      </w:r>
      <w:r>
        <w:t>surpasses</w:t>
      </w:r>
      <w:r>
        <w:rPr>
          <w:spacing w:val="-5"/>
        </w:rPr>
        <w:t xml:space="preserve"> </w:t>
      </w:r>
      <w:r>
        <w:t>target</w:t>
      </w:r>
      <w:r>
        <w:rPr>
          <w:spacing w:val="-8"/>
        </w:rPr>
        <w:t xml:space="preserve"> </w:t>
      </w:r>
      <w:r>
        <w:t>utilization</w:t>
      </w:r>
      <w:r>
        <w:rPr>
          <w:spacing w:val="-6"/>
        </w:rPr>
        <w:t xml:space="preserve"> </w:t>
      </w:r>
      <w:r>
        <w:t>at BMC, with all three (3) existing MRI units operating at greater than 90% capacity and patients facing long wait times for services despite extended operating hours. Moreover, the Applicant anticipates that demand for BMC’s MRI services will continue to grow in the future as the population</w:t>
      </w:r>
      <w:r>
        <w:rPr>
          <w:spacing w:val="-11"/>
        </w:rPr>
        <w:t xml:space="preserve"> </w:t>
      </w:r>
      <w:r>
        <w:t>ages,</w:t>
      </w:r>
      <w:r>
        <w:rPr>
          <w:spacing w:val="-11"/>
        </w:rPr>
        <w:t xml:space="preserve"> </w:t>
      </w:r>
      <w:r>
        <w:t>the</w:t>
      </w:r>
      <w:r>
        <w:rPr>
          <w:spacing w:val="-11"/>
        </w:rPr>
        <w:t xml:space="preserve"> </w:t>
      </w:r>
      <w:r>
        <w:t>prevalence</w:t>
      </w:r>
      <w:r>
        <w:rPr>
          <w:spacing w:val="-11"/>
        </w:rPr>
        <w:t xml:space="preserve"> </w:t>
      </w:r>
      <w:r>
        <w:t>of</w:t>
      </w:r>
      <w:r>
        <w:rPr>
          <w:spacing w:val="-13"/>
        </w:rPr>
        <w:t xml:space="preserve"> </w:t>
      </w:r>
      <w:r>
        <w:t>chronic</w:t>
      </w:r>
      <w:r>
        <w:rPr>
          <w:spacing w:val="-10"/>
        </w:rPr>
        <w:t xml:space="preserve"> </w:t>
      </w:r>
      <w:r>
        <w:t>disease</w:t>
      </w:r>
      <w:r>
        <w:rPr>
          <w:spacing w:val="-11"/>
        </w:rPr>
        <w:t xml:space="preserve"> </w:t>
      </w:r>
      <w:r>
        <w:t>across</w:t>
      </w:r>
      <w:r>
        <w:rPr>
          <w:spacing w:val="-11"/>
        </w:rPr>
        <w:t xml:space="preserve"> </w:t>
      </w:r>
      <w:r>
        <w:t>the</w:t>
      </w:r>
      <w:r>
        <w:rPr>
          <w:spacing w:val="-11"/>
        </w:rPr>
        <w:t xml:space="preserve"> </w:t>
      </w:r>
      <w:r>
        <w:t>Hospital’s</w:t>
      </w:r>
      <w:r>
        <w:rPr>
          <w:spacing w:val="-12"/>
        </w:rPr>
        <w:t xml:space="preserve"> </w:t>
      </w:r>
      <w:r>
        <w:t>under-resourced</w:t>
      </w:r>
      <w:r>
        <w:rPr>
          <w:spacing w:val="-11"/>
        </w:rPr>
        <w:t xml:space="preserve"> </w:t>
      </w:r>
      <w:r>
        <w:t>patient panel</w:t>
      </w:r>
      <w:r>
        <w:rPr>
          <w:spacing w:val="-8"/>
        </w:rPr>
        <w:t xml:space="preserve"> </w:t>
      </w:r>
      <w:r>
        <w:t>increases,</w:t>
      </w:r>
      <w:r>
        <w:rPr>
          <w:spacing w:val="-8"/>
        </w:rPr>
        <w:t xml:space="preserve"> </w:t>
      </w:r>
      <w:r>
        <w:t>and</w:t>
      </w:r>
      <w:r>
        <w:rPr>
          <w:spacing w:val="-9"/>
        </w:rPr>
        <w:t xml:space="preserve"> </w:t>
      </w:r>
      <w:r>
        <w:t>the</w:t>
      </w:r>
      <w:r>
        <w:rPr>
          <w:spacing w:val="-9"/>
        </w:rPr>
        <w:t xml:space="preserve"> </w:t>
      </w:r>
      <w:r>
        <w:t>Hospital</w:t>
      </w:r>
      <w:r>
        <w:rPr>
          <w:spacing w:val="-9"/>
        </w:rPr>
        <w:t xml:space="preserve"> </w:t>
      </w:r>
      <w:r>
        <w:t>implements</w:t>
      </w:r>
      <w:r>
        <w:rPr>
          <w:spacing w:val="-8"/>
        </w:rPr>
        <w:t xml:space="preserve"> </w:t>
      </w:r>
      <w:r>
        <w:t>its</w:t>
      </w:r>
      <w:r>
        <w:rPr>
          <w:spacing w:val="-9"/>
        </w:rPr>
        <w:t xml:space="preserve"> </w:t>
      </w:r>
      <w:r>
        <w:t>approved</w:t>
      </w:r>
      <w:r>
        <w:rPr>
          <w:spacing w:val="-8"/>
        </w:rPr>
        <w:t xml:space="preserve"> </w:t>
      </w:r>
      <w:r>
        <w:t>DoN</w:t>
      </w:r>
      <w:r>
        <w:rPr>
          <w:spacing w:val="-8"/>
        </w:rPr>
        <w:t xml:space="preserve"> </w:t>
      </w:r>
      <w:r>
        <w:t>Project</w:t>
      </w:r>
      <w:r>
        <w:rPr>
          <w:spacing w:val="-8"/>
        </w:rPr>
        <w:t xml:space="preserve"> </w:t>
      </w:r>
      <w:r>
        <w:t>#</w:t>
      </w:r>
      <w:r>
        <w:rPr>
          <w:spacing w:val="-9"/>
        </w:rPr>
        <w:t xml:space="preserve"> </w:t>
      </w:r>
      <w:r>
        <w:t xml:space="preserve">BMCHS-22080908-HE for expansion of its inpatient services. In consideration of these factors, the Applicant seeks to add the fourth MRI unit at BMC’s main hospital campus to increase operating capacity, alleviate wait times, and ensure that BMC’s patient panel has timely access to high-quality MRI services that are necessary for detecting and treating a variety of conditions and enhancing clinical </w:t>
      </w:r>
      <w:r>
        <w:rPr>
          <w:spacing w:val="-2"/>
        </w:rPr>
        <w:t>outcomes.</w:t>
      </w:r>
    </w:p>
    <w:p w14:paraId="5EDA4DEB" w14:textId="77777777" w:rsidR="001741C6" w:rsidRDefault="001741C6" w:rsidP="001741C6">
      <w:pPr>
        <w:pStyle w:val="BodyText"/>
      </w:pPr>
    </w:p>
    <w:p w14:paraId="77EC2003" w14:textId="77777777" w:rsidR="001741C6" w:rsidRDefault="001741C6" w:rsidP="001741C6">
      <w:pPr>
        <w:pStyle w:val="BodyText"/>
        <w:ind w:left="119" w:right="117"/>
        <w:jc w:val="both"/>
      </w:pPr>
      <w:r>
        <w:t>With regard to BMC’s patient panel, the Applicant highlights the importance of the Proposed Project in ensuring BMC’s ability to meet the needs of the area’s most under-resourced populations. To this point, the Applicant notes that although Massachusetts’ health insurance system enables individuals to seek care at any hospital, BMC remains the largest safety net provider</w:t>
      </w:r>
      <w:r>
        <w:rPr>
          <w:spacing w:val="-12"/>
        </w:rPr>
        <w:t xml:space="preserve"> </w:t>
      </w:r>
      <w:r>
        <w:t>in</w:t>
      </w:r>
      <w:r>
        <w:rPr>
          <w:spacing w:val="-12"/>
        </w:rPr>
        <w:t xml:space="preserve"> </w:t>
      </w:r>
      <w:r>
        <w:t>Boston</w:t>
      </w:r>
      <w:r>
        <w:rPr>
          <w:spacing w:val="-12"/>
        </w:rPr>
        <w:t xml:space="preserve"> </w:t>
      </w:r>
      <w:r>
        <w:t>and</w:t>
      </w:r>
      <w:r>
        <w:rPr>
          <w:spacing w:val="-12"/>
        </w:rPr>
        <w:t xml:space="preserve"> </w:t>
      </w:r>
      <w:r>
        <w:t>New</w:t>
      </w:r>
      <w:r>
        <w:rPr>
          <w:spacing w:val="-12"/>
        </w:rPr>
        <w:t xml:space="preserve"> </w:t>
      </w:r>
      <w:r>
        <w:t>England.</w:t>
      </w:r>
      <w:r>
        <w:rPr>
          <w:spacing w:val="-12"/>
        </w:rPr>
        <w:t xml:space="preserve"> </w:t>
      </w:r>
      <w:r>
        <w:t>Unwavering</w:t>
      </w:r>
      <w:r>
        <w:rPr>
          <w:spacing w:val="-12"/>
        </w:rPr>
        <w:t xml:space="preserve"> </w:t>
      </w:r>
      <w:r>
        <w:t>in</w:t>
      </w:r>
      <w:r>
        <w:rPr>
          <w:spacing w:val="-12"/>
        </w:rPr>
        <w:t xml:space="preserve"> </w:t>
      </w:r>
      <w:r>
        <w:t>its</w:t>
      </w:r>
      <w:r>
        <w:rPr>
          <w:spacing w:val="-11"/>
        </w:rPr>
        <w:t xml:space="preserve"> </w:t>
      </w:r>
      <w:r>
        <w:t>long-standing</w:t>
      </w:r>
      <w:r>
        <w:rPr>
          <w:spacing w:val="-12"/>
        </w:rPr>
        <w:t xml:space="preserve"> </w:t>
      </w:r>
      <w:r>
        <w:t>commitment</w:t>
      </w:r>
      <w:r>
        <w:rPr>
          <w:spacing w:val="-12"/>
        </w:rPr>
        <w:t xml:space="preserve"> </w:t>
      </w:r>
      <w:r>
        <w:t>to</w:t>
      </w:r>
      <w:r>
        <w:rPr>
          <w:spacing w:val="-12"/>
        </w:rPr>
        <w:t xml:space="preserve"> </w:t>
      </w:r>
      <w:r>
        <w:t>address</w:t>
      </w:r>
      <w:r>
        <w:rPr>
          <w:spacing w:val="-11"/>
        </w:rPr>
        <w:t xml:space="preserve"> </w:t>
      </w:r>
      <w:r>
        <w:t>the health needs of its community, the Hospital has innovated and demonstrated remarkable creativity</w:t>
      </w:r>
      <w:r>
        <w:rPr>
          <w:spacing w:val="-16"/>
        </w:rPr>
        <w:t xml:space="preserve"> </w:t>
      </w:r>
      <w:r>
        <w:t>in</w:t>
      </w:r>
      <w:r>
        <w:rPr>
          <w:spacing w:val="-15"/>
        </w:rPr>
        <w:t xml:space="preserve"> </w:t>
      </w:r>
      <w:r>
        <w:t>providing</w:t>
      </w:r>
      <w:r>
        <w:rPr>
          <w:spacing w:val="-15"/>
        </w:rPr>
        <w:t xml:space="preserve"> </w:t>
      </w:r>
      <w:r>
        <w:t>a</w:t>
      </w:r>
      <w:r>
        <w:rPr>
          <w:spacing w:val="-16"/>
        </w:rPr>
        <w:t xml:space="preserve"> </w:t>
      </w:r>
      <w:r>
        <w:t>wide</w:t>
      </w:r>
      <w:r>
        <w:rPr>
          <w:spacing w:val="-15"/>
        </w:rPr>
        <w:t xml:space="preserve"> </w:t>
      </w:r>
      <w:r>
        <w:t>range</w:t>
      </w:r>
      <w:r>
        <w:rPr>
          <w:spacing w:val="-15"/>
        </w:rPr>
        <w:t xml:space="preserve"> </w:t>
      </w:r>
      <w:r>
        <w:t>of</w:t>
      </w:r>
      <w:r>
        <w:rPr>
          <w:spacing w:val="-15"/>
        </w:rPr>
        <w:t xml:space="preserve"> </w:t>
      </w:r>
      <w:r>
        <w:t>services</w:t>
      </w:r>
      <w:r>
        <w:rPr>
          <w:spacing w:val="-16"/>
        </w:rPr>
        <w:t xml:space="preserve"> </w:t>
      </w:r>
      <w:r>
        <w:t>and</w:t>
      </w:r>
      <w:r>
        <w:rPr>
          <w:spacing w:val="-15"/>
        </w:rPr>
        <w:t xml:space="preserve"> </w:t>
      </w:r>
      <w:r>
        <w:t>programs</w:t>
      </w:r>
      <w:r>
        <w:rPr>
          <w:spacing w:val="-15"/>
        </w:rPr>
        <w:t xml:space="preserve"> </w:t>
      </w:r>
      <w:r>
        <w:t>beyond</w:t>
      </w:r>
      <w:r>
        <w:rPr>
          <w:spacing w:val="-16"/>
        </w:rPr>
        <w:t xml:space="preserve"> </w:t>
      </w:r>
      <w:r>
        <w:t>the</w:t>
      </w:r>
      <w:r>
        <w:rPr>
          <w:spacing w:val="-15"/>
        </w:rPr>
        <w:t xml:space="preserve"> </w:t>
      </w:r>
      <w:r>
        <w:t>traditional</w:t>
      </w:r>
      <w:r>
        <w:rPr>
          <w:spacing w:val="-15"/>
        </w:rPr>
        <w:t xml:space="preserve"> </w:t>
      </w:r>
      <w:r>
        <w:t>medical</w:t>
      </w:r>
      <w:r>
        <w:rPr>
          <w:spacing w:val="-15"/>
        </w:rPr>
        <w:t xml:space="preserve"> </w:t>
      </w:r>
      <w:r>
        <w:t>model to</w:t>
      </w:r>
      <w:r>
        <w:rPr>
          <w:spacing w:val="-3"/>
        </w:rPr>
        <w:t xml:space="preserve"> </w:t>
      </w:r>
      <w:r>
        <w:t>remediate</w:t>
      </w:r>
      <w:r>
        <w:rPr>
          <w:spacing w:val="-3"/>
        </w:rPr>
        <w:t xml:space="preserve"> </w:t>
      </w:r>
      <w:r>
        <w:t>gaps</w:t>
      </w:r>
      <w:r>
        <w:rPr>
          <w:spacing w:val="-3"/>
        </w:rPr>
        <w:t xml:space="preserve"> </w:t>
      </w:r>
      <w:r>
        <w:t>created</w:t>
      </w:r>
      <w:r>
        <w:rPr>
          <w:spacing w:val="-3"/>
        </w:rPr>
        <w:t xml:space="preserve"> </w:t>
      </w:r>
      <w:r>
        <w:t>by</w:t>
      </w:r>
      <w:r>
        <w:rPr>
          <w:spacing w:val="-3"/>
        </w:rPr>
        <w:t xml:space="preserve"> </w:t>
      </w:r>
      <w:r>
        <w:t>social</w:t>
      </w:r>
      <w:r>
        <w:rPr>
          <w:spacing w:val="-3"/>
        </w:rPr>
        <w:t xml:space="preserve"> </w:t>
      </w:r>
      <w:r>
        <w:t>determinants</w:t>
      </w:r>
      <w:r>
        <w:rPr>
          <w:spacing w:val="-3"/>
        </w:rPr>
        <w:t xml:space="preserve"> </w:t>
      </w:r>
      <w:r>
        <w:t>of</w:t>
      </w:r>
      <w:r>
        <w:rPr>
          <w:spacing w:val="-3"/>
        </w:rPr>
        <w:t xml:space="preserve"> </w:t>
      </w:r>
      <w:r>
        <w:t>health</w:t>
      </w:r>
      <w:r>
        <w:rPr>
          <w:spacing w:val="-3"/>
        </w:rPr>
        <w:t xml:space="preserve"> </w:t>
      </w:r>
      <w:r>
        <w:t>(“SDoHs”)</w:t>
      </w:r>
      <w:r>
        <w:rPr>
          <w:spacing w:val="-3"/>
        </w:rPr>
        <w:t xml:space="preserve"> </w:t>
      </w:r>
      <w:r>
        <w:t>and</w:t>
      </w:r>
      <w:r>
        <w:rPr>
          <w:spacing w:val="-2"/>
        </w:rPr>
        <w:t xml:space="preserve"> </w:t>
      </w:r>
      <w:r>
        <w:t>meet</w:t>
      </w:r>
      <w:r>
        <w:rPr>
          <w:spacing w:val="-3"/>
        </w:rPr>
        <w:t xml:space="preserve"> </w:t>
      </w:r>
      <w:r>
        <w:t>the</w:t>
      </w:r>
      <w:r>
        <w:rPr>
          <w:spacing w:val="-3"/>
        </w:rPr>
        <w:t xml:space="preserve"> </w:t>
      </w:r>
      <w:r>
        <w:t>unmet</w:t>
      </w:r>
      <w:r>
        <w:rPr>
          <w:spacing w:val="-3"/>
        </w:rPr>
        <w:t xml:space="preserve"> </w:t>
      </w:r>
      <w:r>
        <w:t>basic needs</w:t>
      </w:r>
      <w:r>
        <w:rPr>
          <w:spacing w:val="-16"/>
        </w:rPr>
        <w:t xml:space="preserve"> </w:t>
      </w:r>
      <w:r>
        <w:t>of</w:t>
      </w:r>
      <w:r>
        <w:rPr>
          <w:spacing w:val="-15"/>
        </w:rPr>
        <w:t xml:space="preserve"> </w:t>
      </w:r>
      <w:r>
        <w:t>the</w:t>
      </w:r>
      <w:r>
        <w:rPr>
          <w:spacing w:val="-15"/>
        </w:rPr>
        <w:t xml:space="preserve"> </w:t>
      </w:r>
      <w:r>
        <w:t>many</w:t>
      </w:r>
      <w:r>
        <w:rPr>
          <w:spacing w:val="-16"/>
        </w:rPr>
        <w:t xml:space="preserve"> </w:t>
      </w:r>
      <w:r>
        <w:t>diverse,</w:t>
      </w:r>
      <w:r>
        <w:rPr>
          <w:spacing w:val="-15"/>
        </w:rPr>
        <w:t xml:space="preserve"> </w:t>
      </w:r>
      <w:r>
        <w:t>vulnerable</w:t>
      </w:r>
      <w:r>
        <w:rPr>
          <w:spacing w:val="-15"/>
        </w:rPr>
        <w:t xml:space="preserve"> </w:t>
      </w:r>
      <w:r>
        <w:t>people</w:t>
      </w:r>
      <w:r>
        <w:rPr>
          <w:spacing w:val="-15"/>
        </w:rPr>
        <w:t xml:space="preserve"> </w:t>
      </w:r>
      <w:r>
        <w:t>it</w:t>
      </w:r>
      <w:r>
        <w:rPr>
          <w:spacing w:val="-16"/>
        </w:rPr>
        <w:t xml:space="preserve"> </w:t>
      </w:r>
      <w:r>
        <w:t>serves.</w:t>
      </w:r>
      <w:r>
        <w:rPr>
          <w:spacing w:val="-15"/>
        </w:rPr>
        <w:t xml:space="preserve"> </w:t>
      </w:r>
      <w:r>
        <w:t>However,</w:t>
      </w:r>
      <w:r>
        <w:rPr>
          <w:spacing w:val="-15"/>
        </w:rPr>
        <w:t xml:space="preserve"> </w:t>
      </w:r>
      <w:r>
        <w:t>to</w:t>
      </w:r>
      <w:r>
        <w:rPr>
          <w:spacing w:val="-16"/>
        </w:rPr>
        <w:t xml:space="preserve"> </w:t>
      </w:r>
      <w:r>
        <w:t>continue</w:t>
      </w:r>
      <w:r>
        <w:rPr>
          <w:spacing w:val="-15"/>
        </w:rPr>
        <w:t xml:space="preserve"> </w:t>
      </w:r>
      <w:r>
        <w:t>this</w:t>
      </w:r>
      <w:r>
        <w:rPr>
          <w:spacing w:val="-15"/>
        </w:rPr>
        <w:t xml:space="preserve"> </w:t>
      </w:r>
      <w:r>
        <w:t>work</w:t>
      </w:r>
      <w:r>
        <w:rPr>
          <w:spacing w:val="-15"/>
        </w:rPr>
        <w:t xml:space="preserve"> </w:t>
      </w:r>
      <w:r>
        <w:t>and</w:t>
      </w:r>
      <w:r>
        <w:rPr>
          <w:spacing w:val="-16"/>
        </w:rPr>
        <w:t xml:space="preserve"> </w:t>
      </w:r>
      <w:r>
        <w:t>further address health inequities, the Hospital must ensure that an appropriate infrastructure and resources exist to meet patient demand. The Proposed Project is designed with these goals in mind and will provide members of BMC’s patient panel, including those within identified under- resourced</w:t>
      </w:r>
      <w:r>
        <w:rPr>
          <w:spacing w:val="-7"/>
        </w:rPr>
        <w:t xml:space="preserve"> </w:t>
      </w:r>
      <w:r>
        <w:t>populations,</w:t>
      </w:r>
      <w:r>
        <w:rPr>
          <w:spacing w:val="-8"/>
        </w:rPr>
        <w:t xml:space="preserve"> </w:t>
      </w:r>
      <w:r>
        <w:t>with</w:t>
      </w:r>
      <w:r>
        <w:rPr>
          <w:spacing w:val="-7"/>
        </w:rPr>
        <w:t xml:space="preserve"> </w:t>
      </w:r>
      <w:r>
        <w:t>enhanced</w:t>
      </w:r>
      <w:r>
        <w:rPr>
          <w:spacing w:val="-7"/>
        </w:rPr>
        <w:t xml:space="preserve"> </w:t>
      </w:r>
      <w:r>
        <w:t>access</w:t>
      </w:r>
      <w:r>
        <w:rPr>
          <w:spacing w:val="-7"/>
        </w:rPr>
        <w:t xml:space="preserve"> </w:t>
      </w:r>
      <w:r>
        <w:t>to</w:t>
      </w:r>
      <w:r>
        <w:rPr>
          <w:spacing w:val="-7"/>
        </w:rPr>
        <w:t xml:space="preserve"> </w:t>
      </w:r>
      <w:r>
        <w:t>equitable</w:t>
      </w:r>
      <w:r>
        <w:rPr>
          <w:spacing w:val="-8"/>
        </w:rPr>
        <w:t xml:space="preserve"> </w:t>
      </w:r>
      <w:r>
        <w:t>and</w:t>
      </w:r>
      <w:r>
        <w:rPr>
          <w:spacing w:val="-7"/>
        </w:rPr>
        <w:t xml:space="preserve"> </w:t>
      </w:r>
      <w:r>
        <w:t>high-quality</w:t>
      </w:r>
      <w:r>
        <w:rPr>
          <w:spacing w:val="-6"/>
        </w:rPr>
        <w:t xml:space="preserve"> </w:t>
      </w:r>
      <w:r>
        <w:t>imaging</w:t>
      </w:r>
      <w:r>
        <w:rPr>
          <w:spacing w:val="-7"/>
        </w:rPr>
        <w:t xml:space="preserve"> </w:t>
      </w:r>
      <w:r>
        <w:t>services</w:t>
      </w:r>
      <w:r>
        <w:rPr>
          <w:spacing w:val="-7"/>
        </w:rPr>
        <w:t xml:space="preserve"> </w:t>
      </w:r>
      <w:r>
        <w:t>and related SDoH programs at BMC.</w:t>
      </w:r>
    </w:p>
    <w:p w14:paraId="389505A8" w14:textId="77777777" w:rsidR="001741C6" w:rsidRDefault="001741C6" w:rsidP="001741C6">
      <w:pPr>
        <w:pStyle w:val="BodyText"/>
      </w:pPr>
    </w:p>
    <w:p w14:paraId="4806CD88" w14:textId="77777777" w:rsidR="001741C6" w:rsidRDefault="001741C6" w:rsidP="001741C6">
      <w:pPr>
        <w:pStyle w:val="BodyText"/>
        <w:ind w:left="119" w:right="116"/>
        <w:jc w:val="both"/>
      </w:pPr>
      <w:r>
        <w:t>Finally, the Applicant notes that the Proposed Project will compete on the basis of price, total medical expenses (“TME”), provider costs, and other recognized measures of health care spending, and will meaningfully contribute to Massachusetts' goals for cost containment by ensuring</w:t>
      </w:r>
      <w:r>
        <w:rPr>
          <w:spacing w:val="-12"/>
        </w:rPr>
        <w:t xml:space="preserve"> </w:t>
      </w:r>
      <w:r>
        <w:t>timely</w:t>
      </w:r>
      <w:r>
        <w:rPr>
          <w:spacing w:val="-11"/>
        </w:rPr>
        <w:t xml:space="preserve"> </w:t>
      </w:r>
      <w:r>
        <w:t>and</w:t>
      </w:r>
      <w:r>
        <w:rPr>
          <w:spacing w:val="-12"/>
        </w:rPr>
        <w:t xml:space="preserve"> </w:t>
      </w:r>
      <w:r>
        <w:t>equitable</w:t>
      </w:r>
      <w:r>
        <w:rPr>
          <w:spacing w:val="-12"/>
        </w:rPr>
        <w:t xml:space="preserve"> </w:t>
      </w:r>
      <w:r>
        <w:t>access</w:t>
      </w:r>
      <w:r>
        <w:rPr>
          <w:spacing w:val="-12"/>
        </w:rPr>
        <w:t xml:space="preserve"> </w:t>
      </w:r>
      <w:r>
        <w:t>to</w:t>
      </w:r>
      <w:r>
        <w:rPr>
          <w:spacing w:val="-12"/>
        </w:rPr>
        <w:t xml:space="preserve"> </w:t>
      </w:r>
      <w:r>
        <w:t>high-quality</w:t>
      </w:r>
      <w:r>
        <w:rPr>
          <w:spacing w:val="-11"/>
        </w:rPr>
        <w:t xml:space="preserve"> </w:t>
      </w:r>
      <w:r>
        <w:t>MRI</w:t>
      </w:r>
      <w:r>
        <w:rPr>
          <w:spacing w:val="-12"/>
        </w:rPr>
        <w:t xml:space="preserve"> </w:t>
      </w:r>
      <w:r>
        <w:t>services.</w:t>
      </w:r>
      <w:r>
        <w:rPr>
          <w:spacing w:val="-12"/>
        </w:rPr>
        <w:t xml:space="preserve"> </w:t>
      </w:r>
      <w:r>
        <w:t>As</w:t>
      </w:r>
      <w:r>
        <w:rPr>
          <w:spacing w:val="-11"/>
        </w:rPr>
        <w:t xml:space="preserve"> </w:t>
      </w:r>
      <w:r>
        <w:t>noted</w:t>
      </w:r>
      <w:r>
        <w:rPr>
          <w:spacing w:val="-12"/>
        </w:rPr>
        <w:t xml:space="preserve"> </w:t>
      </w:r>
      <w:r>
        <w:t>above</w:t>
      </w:r>
      <w:r>
        <w:rPr>
          <w:spacing w:val="-12"/>
        </w:rPr>
        <w:t xml:space="preserve"> </w:t>
      </w:r>
      <w:r>
        <w:t>and</w:t>
      </w:r>
      <w:r>
        <w:rPr>
          <w:spacing w:val="-12"/>
        </w:rPr>
        <w:t xml:space="preserve"> </w:t>
      </w:r>
      <w:r>
        <w:t>described in detail throughout this Application, high demand for MRI services at BMC has led to capacity constraints and increased wait times that, without intervention, are projected to grow into the future. Studies indicate that such constraints and long wait times result in negative health outcomes due to delays in diagnosis and treatment. Through the expansion of MRI capacity at the Hospital, the Applicant aims to provide timely access to MRI services, thereby reducing barriers to accessing care, creating operational efficiencies, improving health outcomes, and reducing costs. Moreover, the Applicant notes that imaging services provided on the new MRI unit will be reimbursed at the same rate as imaging services provided on the existing MRI units at the Hospital, which is</w:t>
      </w:r>
      <w:r>
        <w:rPr>
          <w:spacing w:val="-1"/>
        </w:rPr>
        <w:t xml:space="preserve"> </w:t>
      </w:r>
      <w:r>
        <w:t>particularly significant in</w:t>
      </w:r>
      <w:r>
        <w:rPr>
          <w:spacing w:val="-1"/>
        </w:rPr>
        <w:t xml:space="preserve"> </w:t>
      </w:r>
      <w:r>
        <w:t>recognition</w:t>
      </w:r>
      <w:r>
        <w:rPr>
          <w:spacing w:val="-1"/>
        </w:rPr>
        <w:t xml:space="preserve"> </w:t>
      </w:r>
      <w:r>
        <w:t>of the fact that BMC is a lower-cost provider</w:t>
      </w:r>
      <w:r>
        <w:rPr>
          <w:spacing w:val="-13"/>
        </w:rPr>
        <w:t xml:space="preserve"> </w:t>
      </w:r>
      <w:r>
        <w:t>as</w:t>
      </w:r>
      <w:r>
        <w:rPr>
          <w:spacing w:val="-13"/>
        </w:rPr>
        <w:t xml:space="preserve"> </w:t>
      </w:r>
      <w:r>
        <w:t>compared</w:t>
      </w:r>
      <w:r>
        <w:rPr>
          <w:spacing w:val="-13"/>
        </w:rPr>
        <w:t xml:space="preserve"> </w:t>
      </w:r>
      <w:r>
        <w:t>with</w:t>
      </w:r>
      <w:r>
        <w:rPr>
          <w:spacing w:val="-13"/>
        </w:rPr>
        <w:t xml:space="preserve"> </w:t>
      </w:r>
      <w:r>
        <w:t>the</w:t>
      </w:r>
      <w:r>
        <w:rPr>
          <w:spacing w:val="-13"/>
        </w:rPr>
        <w:t xml:space="preserve"> </w:t>
      </w:r>
      <w:r>
        <w:t>other</w:t>
      </w:r>
      <w:r>
        <w:rPr>
          <w:spacing w:val="-12"/>
        </w:rPr>
        <w:t xml:space="preserve"> </w:t>
      </w:r>
      <w:r>
        <w:t>hospitals</w:t>
      </w:r>
      <w:r>
        <w:rPr>
          <w:spacing w:val="-13"/>
        </w:rPr>
        <w:t xml:space="preserve"> </w:t>
      </w:r>
      <w:r>
        <w:t>in</w:t>
      </w:r>
      <w:r>
        <w:rPr>
          <w:spacing w:val="-13"/>
        </w:rPr>
        <w:t xml:space="preserve"> </w:t>
      </w:r>
      <w:r>
        <w:t>its</w:t>
      </w:r>
      <w:r>
        <w:rPr>
          <w:spacing w:val="-13"/>
        </w:rPr>
        <w:t xml:space="preserve"> </w:t>
      </w:r>
      <w:r>
        <w:t>AMC</w:t>
      </w:r>
      <w:r>
        <w:rPr>
          <w:spacing w:val="-12"/>
        </w:rPr>
        <w:t xml:space="preserve"> </w:t>
      </w:r>
      <w:r>
        <w:t>cohort,</w:t>
      </w:r>
      <w:r>
        <w:rPr>
          <w:spacing w:val="-13"/>
        </w:rPr>
        <w:t xml:space="preserve"> </w:t>
      </w:r>
      <w:r>
        <w:t>and,</w:t>
      </w:r>
      <w:r>
        <w:rPr>
          <w:spacing w:val="-13"/>
        </w:rPr>
        <w:t xml:space="preserve"> </w:t>
      </w:r>
      <w:r>
        <w:t>therefore,</w:t>
      </w:r>
      <w:r>
        <w:rPr>
          <w:spacing w:val="-13"/>
        </w:rPr>
        <w:t xml:space="preserve"> </w:t>
      </w:r>
      <w:r>
        <w:t>will</w:t>
      </w:r>
      <w:r>
        <w:rPr>
          <w:spacing w:val="-13"/>
        </w:rPr>
        <w:t xml:space="preserve"> </w:t>
      </w:r>
      <w:r>
        <w:t>not</w:t>
      </w:r>
      <w:r>
        <w:rPr>
          <w:spacing w:val="-13"/>
        </w:rPr>
        <w:t xml:space="preserve"> </w:t>
      </w:r>
      <w:r>
        <w:t>negatively impact the cost growth benchmark set for the Commonwealth.</w:t>
      </w:r>
    </w:p>
    <w:p w14:paraId="4807A988" w14:textId="77777777" w:rsidR="001741C6" w:rsidRDefault="001741C6" w:rsidP="001741C6">
      <w:pPr>
        <w:pStyle w:val="BodyText"/>
        <w:spacing w:before="4"/>
        <w:rPr>
          <w:sz w:val="25"/>
        </w:rPr>
      </w:pPr>
    </w:p>
    <w:p w14:paraId="68FF990D" w14:textId="77777777" w:rsidR="001741C6" w:rsidRDefault="001741C6" w:rsidP="001741C6">
      <w:pPr>
        <w:pStyle w:val="BodyText"/>
        <w:ind w:left="120" w:right="119"/>
        <w:jc w:val="both"/>
      </w:pPr>
      <w:r>
        <w:t>In consideration of these factors, the Applicant believes the Proposed Project meets the factors of review for DoN approval.</w:t>
      </w:r>
    </w:p>
    <w:p w14:paraId="081EDB7E" w14:textId="77777777" w:rsidR="001741C6" w:rsidRDefault="001741C6" w:rsidP="00797F73">
      <w:pPr>
        <w:jc w:val="center"/>
        <w:rPr>
          <w:rFonts w:ascii="Arial" w:hAnsi="Arial" w:cs="Arial"/>
          <w:b/>
          <w:bCs/>
          <w:sz w:val="48"/>
          <w:szCs w:val="48"/>
          <w:u w:val="single"/>
        </w:rPr>
        <w:sectPr w:rsidR="001741C6">
          <w:pgSz w:w="12240" w:h="15840"/>
          <w:pgMar w:top="1440" w:right="1440" w:bottom="1440" w:left="1440" w:header="720" w:footer="720" w:gutter="0"/>
          <w:cols w:space="720"/>
          <w:docGrid w:linePitch="360"/>
        </w:sectPr>
      </w:pPr>
    </w:p>
    <w:p w14:paraId="5FE62BEA" w14:textId="77777777" w:rsidR="004D7A6C" w:rsidRPr="004D7A6C" w:rsidRDefault="004D7A6C" w:rsidP="004D7A6C">
      <w:pPr>
        <w:autoSpaceDE w:val="0"/>
        <w:autoSpaceDN w:val="0"/>
        <w:adjustRightInd w:val="0"/>
        <w:jc w:val="center"/>
        <w:rPr>
          <w:rFonts w:ascii="Arial-BoldMT" w:eastAsiaTheme="minorHAnsi" w:hAnsi="Arial-BoldMT" w:cs="Arial-BoldMT"/>
          <w:b/>
          <w:bCs/>
          <w:sz w:val="34"/>
          <w:szCs w:val="34"/>
          <w:u w:val="single"/>
        </w:rPr>
      </w:pPr>
      <w:r w:rsidRPr="004D7A6C">
        <w:rPr>
          <w:rFonts w:ascii="Arial-BoldMT" w:eastAsiaTheme="minorHAnsi" w:hAnsi="Arial-BoldMT" w:cs="Arial-BoldMT"/>
          <w:b/>
          <w:bCs/>
          <w:sz w:val="34"/>
          <w:szCs w:val="34"/>
          <w:u w:val="single"/>
        </w:rPr>
        <w:lastRenderedPageBreak/>
        <w:t>A</w:t>
      </w:r>
      <w:r w:rsidRPr="004D7A6C">
        <w:rPr>
          <w:rFonts w:ascii="Arial-BoldMT" w:eastAsiaTheme="minorHAnsi" w:hAnsi="Arial-BoldMT" w:cs="Arial-BoldMT"/>
          <w:b/>
          <w:bCs/>
          <w:sz w:val="28"/>
          <w:szCs w:val="28"/>
          <w:u w:val="single"/>
        </w:rPr>
        <w:t xml:space="preserve">PPENDIX </w:t>
      </w:r>
      <w:r w:rsidRPr="004D7A6C">
        <w:rPr>
          <w:rFonts w:ascii="Arial-BoldMT" w:eastAsiaTheme="minorHAnsi" w:hAnsi="Arial-BoldMT" w:cs="Arial-BoldMT"/>
          <w:b/>
          <w:bCs/>
          <w:sz w:val="34"/>
          <w:szCs w:val="34"/>
          <w:u w:val="single"/>
        </w:rPr>
        <w:t>2B:</w:t>
      </w:r>
    </w:p>
    <w:p w14:paraId="7FDC2205" w14:textId="1C2FA68C" w:rsidR="001741C6" w:rsidRPr="004D7A6C" w:rsidRDefault="004D7A6C" w:rsidP="004D7A6C">
      <w:pPr>
        <w:jc w:val="center"/>
        <w:rPr>
          <w:rFonts w:ascii="Arial" w:hAnsi="Arial" w:cs="Arial"/>
          <w:b/>
          <w:bCs/>
          <w:sz w:val="52"/>
          <w:szCs w:val="52"/>
          <w:u w:val="single"/>
        </w:rPr>
        <w:sectPr w:rsidR="001741C6" w:rsidRPr="004D7A6C">
          <w:footerReference w:type="default" r:id="rId11"/>
          <w:pgSz w:w="12240" w:h="15840"/>
          <w:pgMar w:top="1440" w:right="1440" w:bottom="1440" w:left="1440" w:header="720" w:footer="720" w:gutter="0"/>
          <w:cols w:space="720"/>
          <w:docGrid w:linePitch="360"/>
        </w:sectPr>
      </w:pPr>
      <w:r w:rsidRPr="004D7A6C">
        <w:rPr>
          <w:rFonts w:ascii="Arial-BoldMT" w:eastAsiaTheme="minorHAnsi" w:hAnsi="Arial-BoldMT" w:cs="Arial-BoldMT"/>
          <w:b/>
          <w:bCs/>
          <w:sz w:val="34"/>
          <w:szCs w:val="34"/>
          <w:u w:val="single"/>
        </w:rPr>
        <w:t>D</w:t>
      </w:r>
      <w:r w:rsidRPr="004D7A6C">
        <w:rPr>
          <w:rFonts w:ascii="Arial-BoldMT" w:eastAsiaTheme="minorHAnsi" w:hAnsi="Arial-BoldMT" w:cs="Arial-BoldMT"/>
          <w:b/>
          <w:bCs/>
          <w:sz w:val="28"/>
          <w:szCs w:val="28"/>
          <w:u w:val="single"/>
        </w:rPr>
        <w:t>O</w:t>
      </w:r>
      <w:r w:rsidRPr="004D7A6C">
        <w:rPr>
          <w:rFonts w:ascii="Arial-BoldMT" w:eastAsiaTheme="minorHAnsi" w:hAnsi="Arial-BoldMT" w:cs="Arial-BoldMT"/>
          <w:b/>
          <w:bCs/>
          <w:sz w:val="34"/>
          <w:szCs w:val="34"/>
          <w:u w:val="single"/>
        </w:rPr>
        <w:t>N N</w:t>
      </w:r>
      <w:r w:rsidRPr="004D7A6C">
        <w:rPr>
          <w:rFonts w:ascii="Arial-BoldMT" w:eastAsiaTheme="minorHAnsi" w:hAnsi="Arial-BoldMT" w:cs="Arial-BoldMT"/>
          <w:b/>
          <w:bCs/>
          <w:sz w:val="28"/>
          <w:szCs w:val="28"/>
          <w:u w:val="single"/>
        </w:rPr>
        <w:t xml:space="preserve">ARRATIVE </w:t>
      </w:r>
      <w:r w:rsidRPr="004D7A6C">
        <w:rPr>
          <w:rFonts w:ascii="Arial-BoldMT" w:eastAsiaTheme="minorHAnsi" w:hAnsi="Arial-BoldMT" w:cs="Arial-BoldMT"/>
          <w:b/>
          <w:bCs/>
          <w:sz w:val="34"/>
          <w:szCs w:val="34"/>
          <w:u w:val="single"/>
        </w:rPr>
        <w:t>– P</w:t>
      </w:r>
      <w:r w:rsidRPr="004D7A6C">
        <w:rPr>
          <w:rFonts w:ascii="Arial-BoldMT" w:eastAsiaTheme="minorHAnsi" w:hAnsi="Arial-BoldMT" w:cs="Arial-BoldMT"/>
          <w:b/>
          <w:bCs/>
          <w:sz w:val="28"/>
          <w:szCs w:val="28"/>
          <w:u w:val="single"/>
        </w:rPr>
        <w:t xml:space="preserve">ROPOSED </w:t>
      </w:r>
      <w:r w:rsidRPr="004D7A6C">
        <w:rPr>
          <w:rFonts w:ascii="Arial-BoldMT" w:eastAsiaTheme="minorHAnsi" w:hAnsi="Arial-BoldMT" w:cs="Arial-BoldMT"/>
          <w:b/>
          <w:bCs/>
          <w:sz w:val="34"/>
          <w:szCs w:val="34"/>
          <w:u w:val="single"/>
        </w:rPr>
        <w:t>P</w:t>
      </w:r>
      <w:r w:rsidRPr="004D7A6C">
        <w:rPr>
          <w:rFonts w:ascii="Arial-BoldMT" w:eastAsiaTheme="minorHAnsi" w:hAnsi="Arial-BoldMT" w:cs="Arial-BoldMT"/>
          <w:b/>
          <w:bCs/>
          <w:sz w:val="28"/>
          <w:szCs w:val="28"/>
          <w:u w:val="single"/>
        </w:rPr>
        <w:t xml:space="preserve">ROJECT </w:t>
      </w:r>
      <w:r w:rsidRPr="004D7A6C">
        <w:rPr>
          <w:rFonts w:ascii="Arial-BoldMT" w:eastAsiaTheme="minorHAnsi" w:hAnsi="Arial-BoldMT" w:cs="Arial-BoldMT"/>
          <w:b/>
          <w:bCs/>
          <w:sz w:val="34"/>
          <w:szCs w:val="34"/>
          <w:u w:val="single"/>
        </w:rPr>
        <w:t>F</w:t>
      </w:r>
      <w:r w:rsidRPr="004D7A6C">
        <w:rPr>
          <w:rFonts w:ascii="Arial-BoldMT" w:eastAsiaTheme="minorHAnsi" w:hAnsi="Arial-BoldMT" w:cs="Arial-BoldMT"/>
          <w:b/>
          <w:bCs/>
          <w:sz w:val="28"/>
          <w:szCs w:val="28"/>
          <w:u w:val="single"/>
        </w:rPr>
        <w:t>ACTORS</w:t>
      </w:r>
    </w:p>
    <w:p w14:paraId="682A4721" w14:textId="77777777" w:rsidR="009F76F1" w:rsidRPr="00E06CAE" w:rsidRDefault="009F76F1" w:rsidP="009F76F1">
      <w:pPr>
        <w:jc w:val="both"/>
        <w:rPr>
          <w:rFonts w:ascii="Arial" w:hAnsi="Arial" w:cs="Arial"/>
          <w:b/>
          <w:bCs/>
          <w:sz w:val="22"/>
          <w:szCs w:val="22"/>
        </w:rPr>
      </w:pPr>
      <w:r w:rsidRPr="00E06CAE">
        <w:rPr>
          <w:rFonts w:ascii="Arial" w:hAnsi="Arial" w:cs="Arial"/>
          <w:b/>
          <w:bCs/>
          <w:sz w:val="22"/>
          <w:szCs w:val="22"/>
        </w:rPr>
        <w:lastRenderedPageBreak/>
        <w:t xml:space="preserve">Factor 1: Applicant Patient Panel Need, Public Health Values and Operational Objectives </w:t>
      </w:r>
    </w:p>
    <w:p w14:paraId="38F7B9BF" w14:textId="77777777" w:rsidR="009F76F1" w:rsidRPr="00E06CAE" w:rsidRDefault="009F76F1" w:rsidP="009F76F1">
      <w:pPr>
        <w:pStyle w:val="NormalWeb"/>
        <w:spacing w:before="0" w:beforeAutospacing="0" w:after="0" w:afterAutospacing="0"/>
        <w:jc w:val="both"/>
        <w:rPr>
          <w:rFonts w:ascii="Arial" w:hAnsi="Arial" w:cs="Arial"/>
          <w:sz w:val="22"/>
          <w:szCs w:val="22"/>
        </w:rPr>
      </w:pPr>
    </w:p>
    <w:p w14:paraId="129D986D" w14:textId="77777777" w:rsidR="009F76F1" w:rsidRPr="00E06CAE" w:rsidRDefault="009F76F1" w:rsidP="00B16CAF">
      <w:pPr>
        <w:pStyle w:val="NormalWeb"/>
        <w:spacing w:before="0" w:beforeAutospacing="0" w:after="0" w:afterAutospacing="0"/>
        <w:ind w:left="1080" w:hanging="1080"/>
        <w:jc w:val="both"/>
        <w:rPr>
          <w:rFonts w:ascii="Arial" w:hAnsi="Arial" w:cs="Arial"/>
          <w:b/>
          <w:bCs/>
          <w:sz w:val="22"/>
          <w:szCs w:val="22"/>
          <w:u w:val="single"/>
        </w:rPr>
      </w:pPr>
      <w:r w:rsidRPr="00E06CAE">
        <w:rPr>
          <w:rFonts w:ascii="Arial" w:hAnsi="Arial" w:cs="Arial"/>
          <w:b/>
          <w:bCs/>
          <w:sz w:val="22"/>
          <w:szCs w:val="22"/>
        </w:rPr>
        <w:t>F1.a.i</w:t>
      </w:r>
      <w:r w:rsidRPr="00E06CAE">
        <w:rPr>
          <w:rFonts w:ascii="Arial" w:hAnsi="Arial" w:cs="Arial"/>
          <w:b/>
          <w:bCs/>
          <w:sz w:val="22"/>
          <w:szCs w:val="22"/>
        </w:rPr>
        <w:tab/>
      </w:r>
      <w:r w:rsidRPr="00E06CAE">
        <w:rPr>
          <w:rFonts w:ascii="Arial" w:hAnsi="Arial" w:cs="Arial"/>
          <w:b/>
          <w:bCs/>
          <w:sz w:val="22"/>
          <w:szCs w:val="22"/>
          <w:u w:val="single"/>
        </w:rPr>
        <w:t>Patient Panel</w:t>
      </w:r>
      <w:r w:rsidRPr="00E06CAE">
        <w:rPr>
          <w:rFonts w:ascii="Arial" w:hAnsi="Arial" w:cs="Arial"/>
          <w:b/>
          <w:bCs/>
          <w:sz w:val="22"/>
          <w:szCs w:val="22"/>
        </w:rPr>
        <w:t>:</w:t>
      </w:r>
    </w:p>
    <w:p w14:paraId="42ED3E60" w14:textId="77777777" w:rsidR="009F76F1" w:rsidRPr="00E06CAE" w:rsidRDefault="009F76F1" w:rsidP="00B16CAF">
      <w:pPr>
        <w:pStyle w:val="NormalWeb"/>
        <w:spacing w:before="0" w:beforeAutospacing="0" w:after="0" w:afterAutospacing="0"/>
        <w:ind w:left="1080"/>
        <w:jc w:val="both"/>
        <w:rPr>
          <w:rFonts w:ascii="Arial" w:hAnsi="Arial" w:cs="Arial"/>
          <w:sz w:val="22"/>
          <w:szCs w:val="22"/>
        </w:rPr>
      </w:pPr>
      <w:r w:rsidRPr="00E06CAE">
        <w:rPr>
          <w:rFonts w:ascii="Arial" w:hAnsi="Arial" w:cs="Arial"/>
          <w:b/>
          <w:bCs/>
          <w:sz w:val="22"/>
          <w:szCs w:val="22"/>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r w:rsidRPr="00E06CAE">
        <w:rPr>
          <w:rFonts w:ascii="Arial" w:hAnsi="Arial" w:cs="Arial"/>
          <w:sz w:val="22"/>
          <w:szCs w:val="22"/>
        </w:rPr>
        <w:t xml:space="preserve"> </w:t>
      </w:r>
    </w:p>
    <w:p w14:paraId="227ECC3B" w14:textId="77777777" w:rsidR="009F76F1" w:rsidRPr="00E06CAE" w:rsidRDefault="009F76F1" w:rsidP="009F76F1">
      <w:pPr>
        <w:pStyle w:val="NormalWeb"/>
        <w:spacing w:before="0" w:beforeAutospacing="0" w:after="0" w:afterAutospacing="0"/>
        <w:jc w:val="both"/>
        <w:rPr>
          <w:rFonts w:ascii="Arial" w:hAnsi="Arial" w:cs="Arial"/>
          <w:sz w:val="22"/>
          <w:szCs w:val="22"/>
        </w:rPr>
      </w:pPr>
    </w:p>
    <w:p w14:paraId="756DC7BA" w14:textId="77777777" w:rsidR="009F76F1" w:rsidRPr="00E06CAE" w:rsidRDefault="009F76F1" w:rsidP="009F76F1">
      <w:pPr>
        <w:pStyle w:val="NormalWeb"/>
        <w:numPr>
          <w:ilvl w:val="0"/>
          <w:numId w:val="1"/>
        </w:numPr>
        <w:spacing w:before="0" w:beforeAutospacing="0" w:after="0" w:afterAutospacing="0"/>
        <w:ind w:left="360"/>
        <w:jc w:val="both"/>
        <w:rPr>
          <w:rFonts w:ascii="Arial" w:hAnsi="Arial" w:cs="Arial"/>
          <w:smallCaps/>
          <w:sz w:val="22"/>
          <w:szCs w:val="22"/>
          <w:u w:val="single"/>
        </w:rPr>
      </w:pPr>
      <w:r w:rsidRPr="00E06CAE">
        <w:rPr>
          <w:rFonts w:ascii="Arial" w:hAnsi="Arial" w:cs="Arial"/>
          <w:smallCaps/>
          <w:sz w:val="22"/>
          <w:szCs w:val="22"/>
          <w:u w:val="single"/>
        </w:rPr>
        <w:t>Overview of Patient Panel Selection</w:t>
      </w:r>
    </w:p>
    <w:p w14:paraId="0F9411AD" w14:textId="77777777" w:rsidR="00C55085" w:rsidRPr="00E06CAE" w:rsidRDefault="00C55085" w:rsidP="00C55085">
      <w:pPr>
        <w:pStyle w:val="NormalWeb"/>
        <w:spacing w:before="0" w:beforeAutospacing="0" w:after="0" w:afterAutospacing="0"/>
        <w:jc w:val="both"/>
        <w:rPr>
          <w:rFonts w:ascii="Arial" w:hAnsi="Arial" w:cs="Arial"/>
          <w:sz w:val="22"/>
          <w:szCs w:val="22"/>
          <w:u w:val="single"/>
        </w:rPr>
      </w:pPr>
    </w:p>
    <w:p w14:paraId="3E76CAED" w14:textId="77777777" w:rsidR="00B16CAF" w:rsidRPr="00E06CAE" w:rsidRDefault="00B16CAF" w:rsidP="009F76F1">
      <w:pPr>
        <w:jc w:val="both"/>
        <w:rPr>
          <w:rFonts w:ascii="Arial" w:hAnsi="Arial" w:cs="Arial"/>
          <w:sz w:val="22"/>
          <w:szCs w:val="22"/>
        </w:rPr>
      </w:pPr>
      <w:r w:rsidRPr="00E06CAE">
        <w:rPr>
          <w:rFonts w:ascii="Arial" w:hAnsi="Arial" w:cs="Arial"/>
          <w:sz w:val="22"/>
          <w:szCs w:val="22"/>
        </w:rPr>
        <w:t xml:space="preserve">As noted </w:t>
      </w:r>
      <w:r w:rsidR="0011254C" w:rsidRPr="00E06CAE">
        <w:rPr>
          <w:rFonts w:ascii="Arial" w:hAnsi="Arial" w:cs="Arial"/>
          <w:sz w:val="22"/>
          <w:szCs w:val="22"/>
        </w:rPr>
        <w:t>in the Project Description</w:t>
      </w:r>
      <w:r w:rsidRPr="00E06CAE">
        <w:rPr>
          <w:rFonts w:ascii="Arial" w:hAnsi="Arial" w:cs="Arial"/>
          <w:sz w:val="22"/>
          <w:szCs w:val="22"/>
        </w:rPr>
        <w:t xml:space="preserve">, </w:t>
      </w:r>
      <w:r w:rsidR="009F76F1" w:rsidRPr="00E06CAE">
        <w:rPr>
          <w:rFonts w:ascii="Arial" w:hAnsi="Arial" w:cs="Arial"/>
          <w:sz w:val="22"/>
          <w:szCs w:val="22"/>
        </w:rPr>
        <w:t xml:space="preserve">BMC Health System is a </w:t>
      </w:r>
      <w:r w:rsidR="007F0EC1" w:rsidRPr="00E06CAE">
        <w:rPr>
          <w:rFonts w:ascii="Arial" w:hAnsi="Arial" w:cs="Arial"/>
          <w:sz w:val="22"/>
          <w:szCs w:val="22"/>
        </w:rPr>
        <w:t xml:space="preserve">Massachusetts </w:t>
      </w:r>
      <w:r w:rsidR="009F76F1" w:rsidRPr="00E06CAE">
        <w:rPr>
          <w:rFonts w:ascii="Arial" w:hAnsi="Arial" w:cs="Arial"/>
          <w:sz w:val="22"/>
          <w:szCs w:val="22"/>
        </w:rPr>
        <w:t>no</w:t>
      </w:r>
      <w:r w:rsidR="007F0EC1" w:rsidRPr="00E06CAE">
        <w:rPr>
          <w:rFonts w:ascii="Arial" w:hAnsi="Arial" w:cs="Arial"/>
          <w:sz w:val="22"/>
          <w:szCs w:val="22"/>
        </w:rPr>
        <w:t>n-</w:t>
      </w:r>
      <w:r w:rsidR="009F76F1" w:rsidRPr="00E06CAE">
        <w:rPr>
          <w:rFonts w:ascii="Arial" w:hAnsi="Arial" w:cs="Arial"/>
          <w:sz w:val="22"/>
          <w:szCs w:val="22"/>
        </w:rPr>
        <w:t xml:space="preserve">profit </w:t>
      </w:r>
      <w:r w:rsidR="00BE4A05" w:rsidRPr="00E06CAE">
        <w:rPr>
          <w:rFonts w:ascii="Arial" w:hAnsi="Arial" w:cs="Arial"/>
          <w:sz w:val="22"/>
          <w:szCs w:val="22"/>
        </w:rPr>
        <w:t>integrated health</w:t>
      </w:r>
      <w:r w:rsidR="00CF77C3" w:rsidRPr="00E06CAE">
        <w:rPr>
          <w:rFonts w:ascii="Arial" w:hAnsi="Arial" w:cs="Arial"/>
          <w:sz w:val="22"/>
          <w:szCs w:val="22"/>
        </w:rPr>
        <w:t xml:space="preserve"> </w:t>
      </w:r>
      <w:r w:rsidR="00BE4A05" w:rsidRPr="00E06CAE">
        <w:rPr>
          <w:rFonts w:ascii="Arial" w:hAnsi="Arial" w:cs="Arial"/>
          <w:sz w:val="22"/>
          <w:szCs w:val="22"/>
        </w:rPr>
        <w:t xml:space="preserve">care system whose mission is providing exceptional care without exception. </w:t>
      </w:r>
      <w:r w:rsidR="00CA2DE2" w:rsidRPr="00E06CAE">
        <w:rPr>
          <w:rFonts w:ascii="Arial" w:hAnsi="Arial" w:cs="Arial"/>
          <w:sz w:val="22"/>
          <w:szCs w:val="22"/>
        </w:rPr>
        <w:t xml:space="preserve">BMC Health System is currently comprised of four </w:t>
      </w:r>
      <w:r w:rsidR="00064B86" w:rsidRPr="00E06CAE">
        <w:rPr>
          <w:rFonts w:ascii="Arial" w:hAnsi="Arial" w:cs="Arial"/>
          <w:sz w:val="22"/>
          <w:szCs w:val="22"/>
        </w:rPr>
        <w:t>corporate affiliates that provide a variety of services</w:t>
      </w:r>
      <w:r w:rsidR="00C81E83" w:rsidRPr="00E06CAE">
        <w:rPr>
          <w:rFonts w:ascii="Arial" w:hAnsi="Arial" w:cs="Arial"/>
          <w:sz w:val="22"/>
          <w:szCs w:val="22"/>
        </w:rPr>
        <w:t xml:space="preserve">, </w:t>
      </w:r>
      <w:r w:rsidR="00064B86" w:rsidRPr="00E06CAE">
        <w:rPr>
          <w:rFonts w:ascii="Arial" w:hAnsi="Arial" w:cs="Arial"/>
          <w:sz w:val="22"/>
          <w:szCs w:val="22"/>
        </w:rPr>
        <w:t xml:space="preserve">for which </w:t>
      </w:r>
      <w:r w:rsidR="00C81E83" w:rsidRPr="00E06CAE">
        <w:rPr>
          <w:rFonts w:ascii="Arial" w:hAnsi="Arial" w:cs="Arial"/>
          <w:sz w:val="22"/>
          <w:szCs w:val="22"/>
        </w:rPr>
        <w:t xml:space="preserve">BMC Health System </w:t>
      </w:r>
      <w:r w:rsidR="00461758" w:rsidRPr="00E06CAE">
        <w:rPr>
          <w:rFonts w:ascii="Arial" w:hAnsi="Arial" w:cs="Arial"/>
          <w:sz w:val="22"/>
          <w:szCs w:val="22"/>
        </w:rPr>
        <w:t>oversees operation</w:t>
      </w:r>
      <w:r w:rsidR="00BE3F26" w:rsidRPr="00E06CAE">
        <w:rPr>
          <w:rFonts w:ascii="Arial" w:hAnsi="Arial" w:cs="Arial"/>
          <w:sz w:val="22"/>
          <w:szCs w:val="22"/>
        </w:rPr>
        <w:t>s</w:t>
      </w:r>
      <w:r w:rsidR="00461758" w:rsidRPr="00E06CAE">
        <w:rPr>
          <w:rFonts w:ascii="Arial" w:hAnsi="Arial" w:cs="Arial"/>
          <w:sz w:val="22"/>
          <w:szCs w:val="22"/>
        </w:rPr>
        <w:t xml:space="preserve"> and </w:t>
      </w:r>
      <w:r w:rsidR="00064B86" w:rsidRPr="00E06CAE">
        <w:rPr>
          <w:rFonts w:ascii="Arial" w:hAnsi="Arial" w:cs="Arial"/>
          <w:sz w:val="22"/>
          <w:szCs w:val="22"/>
        </w:rPr>
        <w:t>provides governance</w:t>
      </w:r>
      <w:r w:rsidR="0011254C" w:rsidRPr="00E06CAE">
        <w:rPr>
          <w:rFonts w:ascii="Arial" w:hAnsi="Arial" w:cs="Arial"/>
          <w:sz w:val="22"/>
          <w:szCs w:val="22"/>
        </w:rPr>
        <w:t xml:space="preserve"> and</w:t>
      </w:r>
      <w:r w:rsidR="00064B86" w:rsidRPr="00E06CAE">
        <w:rPr>
          <w:rFonts w:ascii="Arial" w:hAnsi="Arial" w:cs="Arial"/>
          <w:sz w:val="22"/>
          <w:szCs w:val="22"/>
        </w:rPr>
        <w:t xml:space="preserve"> long-term strategic planning</w:t>
      </w:r>
      <w:r w:rsidR="00515616">
        <w:rPr>
          <w:rFonts w:ascii="Arial" w:hAnsi="Arial" w:cs="Arial"/>
          <w:sz w:val="22"/>
          <w:szCs w:val="22"/>
        </w:rPr>
        <w:t>,</w:t>
      </w:r>
      <w:r w:rsidR="00064B86" w:rsidRPr="00E06CAE">
        <w:rPr>
          <w:rFonts w:ascii="Arial" w:hAnsi="Arial" w:cs="Arial"/>
          <w:sz w:val="22"/>
          <w:szCs w:val="22"/>
        </w:rPr>
        <w:t xml:space="preserve"> </w:t>
      </w:r>
      <w:r w:rsidR="0011254C" w:rsidRPr="00E06CAE">
        <w:rPr>
          <w:rFonts w:ascii="Arial" w:hAnsi="Arial" w:cs="Arial"/>
          <w:sz w:val="22"/>
          <w:szCs w:val="22"/>
        </w:rPr>
        <w:t>as well as</w:t>
      </w:r>
      <w:r w:rsidR="00064B86" w:rsidRPr="00E06CAE">
        <w:rPr>
          <w:rFonts w:ascii="Arial" w:hAnsi="Arial" w:cs="Arial"/>
          <w:sz w:val="22"/>
          <w:szCs w:val="22"/>
        </w:rPr>
        <w:t xml:space="preserve"> budgetary </w:t>
      </w:r>
      <w:r w:rsidR="009F5BD5" w:rsidRPr="00E06CAE">
        <w:rPr>
          <w:rFonts w:ascii="Arial" w:hAnsi="Arial" w:cs="Arial"/>
          <w:sz w:val="22"/>
          <w:szCs w:val="22"/>
        </w:rPr>
        <w:t xml:space="preserve">and </w:t>
      </w:r>
      <w:r w:rsidR="00547D90" w:rsidRPr="00E06CAE">
        <w:rPr>
          <w:rFonts w:ascii="Arial" w:hAnsi="Arial" w:cs="Arial"/>
          <w:sz w:val="22"/>
          <w:szCs w:val="22"/>
        </w:rPr>
        <w:t xml:space="preserve">financial </w:t>
      </w:r>
      <w:r w:rsidR="00064B86" w:rsidRPr="00E06CAE">
        <w:rPr>
          <w:rFonts w:ascii="Arial" w:hAnsi="Arial" w:cs="Arial"/>
          <w:sz w:val="22"/>
          <w:szCs w:val="22"/>
        </w:rPr>
        <w:t>assistance</w:t>
      </w:r>
      <w:r w:rsidR="009F76F1" w:rsidRPr="00E06CAE">
        <w:rPr>
          <w:rFonts w:ascii="Arial" w:hAnsi="Arial" w:cs="Arial"/>
          <w:sz w:val="22"/>
          <w:szCs w:val="22"/>
        </w:rPr>
        <w:t>.</w:t>
      </w:r>
      <w:r w:rsidR="009F76F1" w:rsidRPr="00E06CAE">
        <w:rPr>
          <w:rStyle w:val="FootnoteReference"/>
          <w:rFonts w:ascii="Arial" w:hAnsi="Arial" w:cs="Arial"/>
          <w:sz w:val="22"/>
          <w:szCs w:val="22"/>
        </w:rPr>
        <w:footnoteReference w:id="1"/>
      </w:r>
      <w:r w:rsidR="00686618" w:rsidRPr="00E06CAE">
        <w:rPr>
          <w:rFonts w:ascii="Arial" w:hAnsi="Arial" w:cs="Arial"/>
          <w:sz w:val="22"/>
          <w:szCs w:val="22"/>
        </w:rPr>
        <w:t xml:space="preserve"> </w:t>
      </w:r>
      <w:r w:rsidR="00C55085" w:rsidRPr="00E06CAE">
        <w:rPr>
          <w:rFonts w:ascii="Arial" w:hAnsi="Arial" w:cs="Arial"/>
          <w:sz w:val="22"/>
          <w:szCs w:val="22"/>
        </w:rPr>
        <w:t>Of these four entities, Boston Medical Center Corporation</w:t>
      </w:r>
      <w:r w:rsidR="002563DE" w:rsidRPr="00E06CAE">
        <w:rPr>
          <w:rFonts w:ascii="Arial" w:hAnsi="Arial" w:cs="Arial"/>
          <w:sz w:val="22"/>
          <w:szCs w:val="22"/>
        </w:rPr>
        <w:t>, the owner and operator of BMC,</w:t>
      </w:r>
      <w:r w:rsidR="00133522" w:rsidRPr="00E06CAE">
        <w:rPr>
          <w:rFonts w:ascii="Arial" w:hAnsi="Arial" w:cs="Arial"/>
          <w:sz w:val="22"/>
          <w:szCs w:val="22"/>
        </w:rPr>
        <w:t xml:space="preserve"> </w:t>
      </w:r>
      <w:r w:rsidR="00C55085" w:rsidRPr="00E06CAE">
        <w:rPr>
          <w:rFonts w:ascii="Arial" w:hAnsi="Arial" w:cs="Arial"/>
          <w:sz w:val="22"/>
          <w:szCs w:val="22"/>
        </w:rPr>
        <w:t xml:space="preserve">is the </w:t>
      </w:r>
      <w:r w:rsidR="00D444CD" w:rsidRPr="00E06CAE">
        <w:rPr>
          <w:rFonts w:ascii="Arial" w:hAnsi="Arial" w:cs="Arial"/>
          <w:sz w:val="22"/>
          <w:szCs w:val="22"/>
        </w:rPr>
        <w:t>Applicant’s sole corporate</w:t>
      </w:r>
      <w:r w:rsidR="00C55085" w:rsidRPr="00E06CAE">
        <w:rPr>
          <w:rFonts w:ascii="Arial" w:hAnsi="Arial" w:cs="Arial"/>
          <w:sz w:val="22"/>
          <w:szCs w:val="22"/>
        </w:rPr>
        <w:t xml:space="preserve"> affiliate involved in the </w:t>
      </w:r>
      <w:r w:rsidR="00AA4A61" w:rsidRPr="00E06CAE">
        <w:rPr>
          <w:rFonts w:ascii="Arial" w:hAnsi="Arial" w:cs="Arial"/>
          <w:sz w:val="22"/>
          <w:szCs w:val="22"/>
        </w:rPr>
        <w:t xml:space="preserve">direct </w:t>
      </w:r>
      <w:r w:rsidR="00C55085" w:rsidRPr="00E06CAE">
        <w:rPr>
          <w:rFonts w:ascii="Arial" w:hAnsi="Arial" w:cs="Arial"/>
          <w:sz w:val="22"/>
          <w:szCs w:val="22"/>
        </w:rPr>
        <w:t xml:space="preserve">provision of patient care services. Accordingly, the Applicant relies upon </w:t>
      </w:r>
      <w:r w:rsidR="00AD42AC" w:rsidRPr="00E06CAE">
        <w:rPr>
          <w:rFonts w:ascii="Arial" w:hAnsi="Arial" w:cs="Arial"/>
          <w:sz w:val="22"/>
          <w:szCs w:val="22"/>
        </w:rPr>
        <w:t>BMC</w:t>
      </w:r>
      <w:r w:rsidR="00C55085" w:rsidRPr="00E06CAE">
        <w:rPr>
          <w:rFonts w:ascii="Arial" w:hAnsi="Arial" w:cs="Arial"/>
          <w:sz w:val="22"/>
          <w:szCs w:val="22"/>
        </w:rPr>
        <w:t xml:space="preserve">’s patient panel for </w:t>
      </w:r>
      <w:r w:rsidR="00DE3F5B" w:rsidRPr="00E06CAE">
        <w:rPr>
          <w:rFonts w:ascii="Arial" w:hAnsi="Arial" w:cs="Arial"/>
          <w:sz w:val="22"/>
          <w:szCs w:val="22"/>
        </w:rPr>
        <w:t>purposes of this</w:t>
      </w:r>
      <w:r w:rsidR="00C55085" w:rsidRPr="00E06CAE">
        <w:rPr>
          <w:rFonts w:ascii="Arial" w:hAnsi="Arial" w:cs="Arial"/>
          <w:sz w:val="22"/>
          <w:szCs w:val="22"/>
        </w:rPr>
        <w:t xml:space="preserve"> Applicatio</w:t>
      </w:r>
      <w:r w:rsidR="00D067C4" w:rsidRPr="00E06CAE">
        <w:rPr>
          <w:rFonts w:ascii="Arial" w:hAnsi="Arial" w:cs="Arial"/>
          <w:sz w:val="22"/>
          <w:szCs w:val="22"/>
        </w:rPr>
        <w:t>n</w:t>
      </w:r>
      <w:r w:rsidR="0087503C" w:rsidRPr="00E06CAE">
        <w:rPr>
          <w:rFonts w:ascii="Arial" w:hAnsi="Arial" w:cs="Arial"/>
          <w:sz w:val="22"/>
          <w:szCs w:val="22"/>
        </w:rPr>
        <w:t xml:space="preserve"> to determine the need for the Proposed Project</w:t>
      </w:r>
      <w:r w:rsidR="00D067C4" w:rsidRPr="00E06CAE">
        <w:rPr>
          <w:rFonts w:ascii="Arial" w:hAnsi="Arial" w:cs="Arial"/>
          <w:sz w:val="22"/>
          <w:szCs w:val="22"/>
        </w:rPr>
        <w:t>.</w:t>
      </w:r>
    </w:p>
    <w:p w14:paraId="6E53BEF6" w14:textId="77777777" w:rsidR="00C74445" w:rsidRPr="00E06CAE" w:rsidRDefault="00C74445" w:rsidP="009F76F1">
      <w:pPr>
        <w:jc w:val="both"/>
        <w:rPr>
          <w:rFonts w:ascii="Arial" w:hAnsi="Arial" w:cs="Arial"/>
          <w:sz w:val="22"/>
          <w:szCs w:val="22"/>
        </w:rPr>
      </w:pPr>
    </w:p>
    <w:p w14:paraId="1DD1CD8B" w14:textId="77777777" w:rsidR="00C74445" w:rsidRPr="00E06CAE" w:rsidRDefault="004E5F4C" w:rsidP="00C74445">
      <w:pPr>
        <w:pStyle w:val="NormalWeb"/>
        <w:numPr>
          <w:ilvl w:val="0"/>
          <w:numId w:val="1"/>
        </w:numPr>
        <w:spacing w:before="0" w:beforeAutospacing="0" w:after="0" w:afterAutospacing="0"/>
        <w:ind w:left="360"/>
        <w:jc w:val="both"/>
        <w:rPr>
          <w:rFonts w:ascii="Arial" w:hAnsi="Arial" w:cs="Arial"/>
          <w:smallCaps/>
          <w:sz w:val="22"/>
          <w:szCs w:val="22"/>
          <w:u w:val="single"/>
        </w:rPr>
      </w:pPr>
      <w:r w:rsidRPr="00E06CAE">
        <w:rPr>
          <w:rFonts w:ascii="Arial" w:hAnsi="Arial" w:cs="Arial"/>
          <w:smallCaps/>
          <w:sz w:val="22"/>
          <w:szCs w:val="22"/>
          <w:u w:val="single"/>
        </w:rPr>
        <w:t xml:space="preserve">Overview of </w:t>
      </w:r>
      <w:r w:rsidR="00AD42AC" w:rsidRPr="00E06CAE">
        <w:rPr>
          <w:rFonts w:ascii="Arial" w:hAnsi="Arial" w:cs="Arial"/>
          <w:smallCaps/>
          <w:sz w:val="22"/>
          <w:szCs w:val="22"/>
          <w:u w:val="single"/>
        </w:rPr>
        <w:t>BMC’s</w:t>
      </w:r>
      <w:r w:rsidR="00C74445" w:rsidRPr="00E06CAE">
        <w:rPr>
          <w:rFonts w:ascii="Arial" w:hAnsi="Arial" w:cs="Arial"/>
          <w:smallCaps/>
          <w:sz w:val="22"/>
          <w:szCs w:val="22"/>
          <w:u w:val="single"/>
        </w:rPr>
        <w:t xml:space="preserve"> Patient Panel </w:t>
      </w:r>
    </w:p>
    <w:p w14:paraId="14C70FD0" w14:textId="77777777" w:rsidR="00C55085" w:rsidRPr="00E06CAE" w:rsidRDefault="00C55085" w:rsidP="009F76F1">
      <w:pPr>
        <w:jc w:val="both"/>
        <w:rPr>
          <w:rFonts w:ascii="Arial" w:hAnsi="Arial" w:cs="Arial"/>
          <w:sz w:val="22"/>
          <w:szCs w:val="22"/>
        </w:rPr>
      </w:pPr>
    </w:p>
    <w:p w14:paraId="33B64886" w14:textId="60389E15" w:rsidR="00AD42AC" w:rsidRPr="00E06CAE" w:rsidRDefault="00AD42AC" w:rsidP="00AD42AC">
      <w:pPr>
        <w:jc w:val="both"/>
        <w:rPr>
          <w:rFonts w:ascii="Arial" w:hAnsi="Arial" w:cs="Arial"/>
          <w:sz w:val="22"/>
          <w:szCs w:val="22"/>
        </w:rPr>
      </w:pPr>
      <w:r w:rsidRPr="00E06CAE">
        <w:rPr>
          <w:rFonts w:ascii="Arial" w:hAnsi="Arial" w:cs="Arial"/>
          <w:sz w:val="22"/>
          <w:szCs w:val="22"/>
        </w:rPr>
        <w:t xml:space="preserve">BMC is </w:t>
      </w:r>
      <w:r w:rsidR="00CB376C" w:rsidRPr="00E06CAE">
        <w:rPr>
          <w:rFonts w:ascii="Arial" w:hAnsi="Arial" w:cs="Arial"/>
          <w:sz w:val="22"/>
          <w:szCs w:val="22"/>
        </w:rPr>
        <w:t xml:space="preserve">a private, non-profit, urban academic medical center </w:t>
      </w:r>
      <w:r w:rsidR="00F832F9" w:rsidRPr="00E06CAE">
        <w:rPr>
          <w:rFonts w:ascii="Arial" w:hAnsi="Arial" w:cs="Arial"/>
          <w:sz w:val="22"/>
          <w:szCs w:val="22"/>
        </w:rPr>
        <w:t xml:space="preserve">that </w:t>
      </w:r>
      <w:r w:rsidRPr="00E06CAE">
        <w:rPr>
          <w:rFonts w:ascii="Arial" w:hAnsi="Arial" w:cs="Arial"/>
          <w:sz w:val="22"/>
          <w:szCs w:val="22"/>
        </w:rPr>
        <w:t>emphasizes community-based, accessible care</w:t>
      </w:r>
      <w:r w:rsidR="00C14937" w:rsidRPr="00E06CAE">
        <w:rPr>
          <w:rFonts w:ascii="Arial" w:hAnsi="Arial" w:cs="Arial"/>
          <w:sz w:val="22"/>
          <w:szCs w:val="22"/>
        </w:rPr>
        <w:t xml:space="preserve">. Located in Boston’s historic South End neighborhood, the </w:t>
      </w:r>
      <w:r w:rsidRPr="00E06CAE">
        <w:rPr>
          <w:rFonts w:ascii="Arial" w:hAnsi="Arial" w:cs="Arial"/>
          <w:sz w:val="22"/>
          <w:szCs w:val="22"/>
        </w:rPr>
        <w:t>Hospital provides a full spectrum of pediatric and adult care services from primary to family medicine to advanced specialty care</w:t>
      </w:r>
      <w:r w:rsidR="00B87DF0">
        <w:rPr>
          <w:rFonts w:ascii="Arial" w:hAnsi="Arial" w:cs="Arial"/>
          <w:sz w:val="22"/>
          <w:szCs w:val="22"/>
        </w:rPr>
        <w:t>,</w:t>
      </w:r>
      <w:r w:rsidRPr="00E06CAE">
        <w:rPr>
          <w:rFonts w:ascii="Arial" w:hAnsi="Arial" w:cs="Arial"/>
          <w:sz w:val="22"/>
          <w:szCs w:val="22"/>
        </w:rPr>
        <w:t xml:space="preserve"> </w:t>
      </w:r>
      <w:r w:rsidR="00C705B9" w:rsidRPr="00E06CAE">
        <w:rPr>
          <w:rFonts w:ascii="Arial" w:hAnsi="Arial" w:cs="Arial"/>
          <w:sz w:val="22"/>
          <w:szCs w:val="22"/>
        </w:rPr>
        <w:t xml:space="preserve">and </w:t>
      </w:r>
      <w:r w:rsidR="00C14937" w:rsidRPr="00E06CAE">
        <w:rPr>
          <w:rFonts w:ascii="Arial" w:hAnsi="Arial" w:cs="Arial"/>
          <w:sz w:val="22"/>
          <w:szCs w:val="22"/>
        </w:rPr>
        <w:t>is the largest safety net hospital</w:t>
      </w:r>
      <w:r w:rsidR="00E8142A">
        <w:rPr>
          <w:rFonts w:ascii="Arial" w:hAnsi="Arial" w:cs="Arial"/>
          <w:sz w:val="22"/>
          <w:szCs w:val="22"/>
        </w:rPr>
        <w:t xml:space="preserve">, </w:t>
      </w:r>
      <w:r w:rsidR="00C705B9" w:rsidRPr="00E06CAE">
        <w:rPr>
          <w:rFonts w:ascii="Arial" w:hAnsi="Arial" w:cs="Arial"/>
          <w:sz w:val="22"/>
          <w:szCs w:val="22"/>
        </w:rPr>
        <w:t>and</w:t>
      </w:r>
      <w:r w:rsidRPr="00E06CAE">
        <w:rPr>
          <w:rFonts w:ascii="Arial" w:hAnsi="Arial" w:cs="Arial"/>
          <w:sz w:val="22"/>
          <w:szCs w:val="22"/>
        </w:rPr>
        <w:t xml:space="preserve"> the busiest trauma center in New England.</w:t>
      </w:r>
    </w:p>
    <w:p w14:paraId="73090BBA" w14:textId="77777777" w:rsidR="00485707" w:rsidRPr="00E06CAE" w:rsidRDefault="00485707" w:rsidP="006B7379">
      <w:pPr>
        <w:jc w:val="both"/>
        <w:rPr>
          <w:rFonts w:ascii="Arial" w:hAnsi="Arial" w:cs="Arial"/>
          <w:sz w:val="22"/>
          <w:szCs w:val="22"/>
        </w:rPr>
      </w:pPr>
    </w:p>
    <w:p w14:paraId="3D13D09D" w14:textId="3008BC41" w:rsidR="008F6129" w:rsidRPr="00E06CAE" w:rsidRDefault="006B7379" w:rsidP="008F6129">
      <w:pPr>
        <w:jc w:val="both"/>
        <w:rPr>
          <w:rFonts w:ascii="Arial" w:hAnsi="Arial" w:cs="Arial"/>
          <w:sz w:val="22"/>
          <w:szCs w:val="22"/>
        </w:rPr>
      </w:pPr>
      <w:r w:rsidRPr="00E06CAE">
        <w:rPr>
          <w:rFonts w:ascii="Arial" w:hAnsi="Arial" w:cs="Arial"/>
          <w:sz w:val="22"/>
          <w:szCs w:val="22"/>
        </w:rPr>
        <w:t xml:space="preserve">In addition to its main hospital campus, </w:t>
      </w:r>
      <w:r w:rsidRPr="002F2747">
        <w:rPr>
          <w:rFonts w:ascii="Arial" w:hAnsi="Arial" w:cs="Arial"/>
          <w:sz w:val="22"/>
          <w:szCs w:val="22"/>
        </w:rPr>
        <w:t xml:space="preserve">BMC </w:t>
      </w:r>
      <w:r w:rsidR="00C14937" w:rsidRPr="002F2747">
        <w:rPr>
          <w:rFonts w:ascii="Arial" w:hAnsi="Arial" w:cs="Arial"/>
          <w:sz w:val="22"/>
          <w:szCs w:val="22"/>
        </w:rPr>
        <w:t xml:space="preserve">also </w:t>
      </w:r>
      <w:r w:rsidRPr="002F2747">
        <w:rPr>
          <w:rFonts w:ascii="Arial" w:hAnsi="Arial" w:cs="Arial"/>
          <w:sz w:val="22"/>
          <w:szCs w:val="22"/>
        </w:rPr>
        <w:t>offers services to patients through various hospital satellite</w:t>
      </w:r>
      <w:r w:rsidR="00F5471F" w:rsidRPr="002F2747">
        <w:rPr>
          <w:rFonts w:ascii="Arial" w:hAnsi="Arial" w:cs="Arial"/>
          <w:sz w:val="22"/>
          <w:szCs w:val="22"/>
        </w:rPr>
        <w:t>s</w:t>
      </w:r>
      <w:r w:rsidR="00F1514C" w:rsidRPr="002F2747">
        <w:rPr>
          <w:rFonts w:ascii="Arial" w:hAnsi="Arial" w:cs="Arial"/>
          <w:sz w:val="22"/>
          <w:szCs w:val="22"/>
        </w:rPr>
        <w:t xml:space="preserve"> (including its new inpatient satellite known as BMC Brockton Behavioral Health Center (“BBHC”)</w:t>
      </w:r>
      <w:r w:rsidR="00F5471F" w:rsidRPr="002F2747">
        <w:rPr>
          <w:rFonts w:ascii="Arial" w:hAnsi="Arial" w:cs="Arial"/>
          <w:sz w:val="22"/>
          <w:szCs w:val="22"/>
        </w:rPr>
        <w:t>,</w:t>
      </w:r>
      <w:r w:rsidR="00F1514C" w:rsidRPr="002F2747">
        <w:rPr>
          <w:rFonts w:ascii="Arial" w:hAnsi="Arial" w:cs="Arial"/>
          <w:sz w:val="22"/>
          <w:szCs w:val="22"/>
        </w:rPr>
        <w:t xml:space="preserve"> which opened in October 2022 and offers inpatient psychiatry services), as</w:t>
      </w:r>
      <w:r w:rsidR="00F1514C" w:rsidRPr="00E06CAE">
        <w:rPr>
          <w:rFonts w:ascii="Arial" w:hAnsi="Arial" w:cs="Arial"/>
          <w:sz w:val="22"/>
          <w:szCs w:val="22"/>
        </w:rPr>
        <w:t xml:space="preserve"> well as</w:t>
      </w:r>
      <w:r w:rsidRPr="00E06CAE">
        <w:rPr>
          <w:rFonts w:ascii="Arial" w:hAnsi="Arial" w:cs="Arial"/>
          <w:sz w:val="22"/>
          <w:szCs w:val="22"/>
        </w:rPr>
        <w:t xml:space="preserve"> school-based health center</w:t>
      </w:r>
      <w:r w:rsidR="00F5471F" w:rsidRPr="00E06CAE">
        <w:rPr>
          <w:rFonts w:ascii="Arial" w:hAnsi="Arial" w:cs="Arial"/>
          <w:sz w:val="22"/>
          <w:szCs w:val="22"/>
        </w:rPr>
        <w:t>s and physician group location</w:t>
      </w:r>
      <w:r w:rsidR="00485707" w:rsidRPr="00E06CAE">
        <w:rPr>
          <w:rFonts w:ascii="Arial" w:hAnsi="Arial" w:cs="Arial"/>
          <w:sz w:val="22"/>
          <w:szCs w:val="22"/>
        </w:rPr>
        <w:t>s</w:t>
      </w:r>
      <w:r w:rsidR="009D6A08" w:rsidRPr="00E06CAE">
        <w:rPr>
          <w:rFonts w:ascii="Arial" w:hAnsi="Arial" w:cs="Arial"/>
          <w:sz w:val="22"/>
          <w:szCs w:val="22"/>
        </w:rPr>
        <w:t xml:space="preserve">. </w:t>
      </w:r>
      <w:r w:rsidR="00E4589B" w:rsidRPr="00E06CAE">
        <w:rPr>
          <w:rFonts w:ascii="Arial" w:hAnsi="Arial" w:cs="Arial"/>
          <w:sz w:val="22"/>
          <w:szCs w:val="22"/>
        </w:rPr>
        <w:t>With regard to its physician groups</w:t>
      </w:r>
      <w:r w:rsidR="009D6A08" w:rsidRPr="00E06CAE">
        <w:rPr>
          <w:rFonts w:ascii="Arial" w:hAnsi="Arial" w:cs="Arial"/>
          <w:sz w:val="22"/>
          <w:szCs w:val="22"/>
        </w:rPr>
        <w:t>, BMC operates Boston University Affiliated Physicians, Inc. (“BUAP”), a non-profit corporation that employs physicians in Boston to provide health</w:t>
      </w:r>
      <w:r w:rsidR="00CF77C3" w:rsidRPr="00E06CAE">
        <w:rPr>
          <w:rFonts w:ascii="Arial" w:hAnsi="Arial" w:cs="Arial"/>
          <w:sz w:val="22"/>
          <w:szCs w:val="22"/>
        </w:rPr>
        <w:t xml:space="preserve"> </w:t>
      </w:r>
      <w:r w:rsidR="009D6A08" w:rsidRPr="00E06CAE">
        <w:rPr>
          <w:rFonts w:ascii="Arial" w:hAnsi="Arial" w:cs="Arial"/>
          <w:sz w:val="22"/>
          <w:szCs w:val="22"/>
        </w:rPr>
        <w:t>care services, perform medical and clinical research, and provide health and medical education programs</w:t>
      </w:r>
      <w:r w:rsidR="001C3BC7" w:rsidRPr="00E06CAE">
        <w:rPr>
          <w:rFonts w:ascii="Arial" w:hAnsi="Arial" w:cs="Arial"/>
          <w:sz w:val="22"/>
          <w:szCs w:val="22"/>
        </w:rPr>
        <w:t xml:space="preserve">. </w:t>
      </w:r>
      <w:r w:rsidR="00E65E42" w:rsidRPr="00E06CAE">
        <w:rPr>
          <w:rFonts w:ascii="Arial" w:hAnsi="Arial" w:cs="Arial"/>
          <w:sz w:val="22"/>
          <w:szCs w:val="22"/>
        </w:rPr>
        <w:t>Additionally</w:t>
      </w:r>
      <w:r w:rsidR="001C3BC7" w:rsidRPr="00E06CAE">
        <w:rPr>
          <w:rFonts w:ascii="Arial" w:hAnsi="Arial" w:cs="Arial"/>
          <w:sz w:val="22"/>
          <w:szCs w:val="22"/>
        </w:rPr>
        <w:t>,</w:t>
      </w:r>
      <w:r w:rsidR="00E65E42" w:rsidRPr="00E06CAE">
        <w:rPr>
          <w:rFonts w:ascii="Arial" w:hAnsi="Arial" w:cs="Arial"/>
          <w:sz w:val="22"/>
          <w:szCs w:val="22"/>
        </w:rPr>
        <w:t xml:space="preserve"> BMC operates Faculty Practice Foundation, Inc., d/b/a Boston </w:t>
      </w:r>
      <w:r w:rsidR="009D6A08" w:rsidRPr="00E06CAE">
        <w:rPr>
          <w:rFonts w:ascii="Arial" w:hAnsi="Arial" w:cs="Arial"/>
          <w:sz w:val="22"/>
          <w:szCs w:val="22"/>
        </w:rPr>
        <w:t>University Medical Group (“BUMG”),</w:t>
      </w:r>
      <w:r w:rsidR="009D6A08" w:rsidRPr="00E06CAE">
        <w:rPr>
          <w:rStyle w:val="FootnoteReference"/>
          <w:rFonts w:ascii="Arial" w:hAnsi="Arial" w:cs="Arial"/>
          <w:sz w:val="22"/>
          <w:szCs w:val="22"/>
        </w:rPr>
        <w:footnoteReference w:id="2"/>
      </w:r>
      <w:r w:rsidR="009D6A08" w:rsidRPr="00E06CAE">
        <w:rPr>
          <w:rFonts w:ascii="Arial" w:hAnsi="Arial" w:cs="Arial"/>
          <w:sz w:val="22"/>
          <w:szCs w:val="22"/>
        </w:rPr>
        <w:t xml:space="preserve"> a non-profit integrated multi-specialty academic group practice that represents over </w:t>
      </w:r>
      <w:r w:rsidR="008F043A" w:rsidRPr="00E06CAE">
        <w:rPr>
          <w:rFonts w:ascii="Arial" w:hAnsi="Arial" w:cs="Arial"/>
          <w:sz w:val="22"/>
          <w:szCs w:val="22"/>
        </w:rPr>
        <w:t>88</w:t>
      </w:r>
      <w:r w:rsidR="009D6A08" w:rsidRPr="00E06CAE">
        <w:rPr>
          <w:rFonts w:ascii="Arial" w:hAnsi="Arial" w:cs="Arial"/>
          <w:sz w:val="22"/>
          <w:szCs w:val="22"/>
        </w:rPr>
        <w:t xml:space="preserve">0 physicians, non-physician clinicians, educators, and researchers across 18 clinical departments at BMC and </w:t>
      </w:r>
      <w:r w:rsidR="009D6A08" w:rsidRPr="00E06CAE">
        <w:rPr>
          <w:rFonts w:ascii="Arial" w:hAnsi="Arial" w:cs="Arial"/>
          <w:sz w:val="22"/>
          <w:szCs w:val="22"/>
        </w:rPr>
        <w:lastRenderedPageBreak/>
        <w:t>coordinates the delivery of managed care services by its physician organizations known as faculty practice plans (“FPPs”).</w:t>
      </w:r>
      <w:r w:rsidR="00C211D7" w:rsidRPr="00E06CAE">
        <w:rPr>
          <w:rFonts w:ascii="Arial" w:hAnsi="Arial" w:cs="Arial"/>
          <w:sz w:val="22"/>
          <w:szCs w:val="22"/>
        </w:rPr>
        <w:t xml:space="preserve"> </w:t>
      </w:r>
      <w:r w:rsidR="009D6A08" w:rsidRPr="00E06CAE">
        <w:rPr>
          <w:rFonts w:ascii="Arial" w:hAnsi="Arial" w:cs="Arial"/>
          <w:sz w:val="22"/>
          <w:szCs w:val="22"/>
        </w:rPr>
        <w:t xml:space="preserve">BMC </w:t>
      </w:r>
      <w:r w:rsidR="00D0611A" w:rsidRPr="00E06CAE">
        <w:rPr>
          <w:rFonts w:ascii="Arial" w:hAnsi="Arial" w:cs="Arial"/>
          <w:sz w:val="22"/>
          <w:szCs w:val="22"/>
        </w:rPr>
        <w:t xml:space="preserve">also </w:t>
      </w:r>
      <w:r w:rsidRPr="00E06CAE">
        <w:rPr>
          <w:rFonts w:ascii="Arial" w:hAnsi="Arial" w:cs="Arial"/>
          <w:sz w:val="22"/>
          <w:szCs w:val="22"/>
        </w:rPr>
        <w:t xml:space="preserve">partners with various community health centers </w:t>
      </w:r>
      <w:r w:rsidR="007609CA" w:rsidRPr="00E06CAE">
        <w:rPr>
          <w:rFonts w:ascii="Arial" w:hAnsi="Arial" w:cs="Arial"/>
          <w:sz w:val="22"/>
          <w:szCs w:val="22"/>
        </w:rPr>
        <w:t xml:space="preserve">(“CHCs”) </w:t>
      </w:r>
      <w:r w:rsidRPr="00E06CAE">
        <w:rPr>
          <w:rFonts w:ascii="Arial" w:hAnsi="Arial" w:cs="Arial"/>
          <w:sz w:val="22"/>
          <w:szCs w:val="22"/>
        </w:rPr>
        <w:t>to meet patients’ health</w:t>
      </w:r>
      <w:r w:rsidR="00CF77C3" w:rsidRPr="00E06CAE">
        <w:rPr>
          <w:rFonts w:ascii="Arial" w:hAnsi="Arial" w:cs="Arial"/>
          <w:sz w:val="22"/>
          <w:szCs w:val="22"/>
        </w:rPr>
        <w:t xml:space="preserve"> </w:t>
      </w:r>
      <w:r w:rsidRPr="00E06CAE">
        <w:rPr>
          <w:rFonts w:ascii="Arial" w:hAnsi="Arial" w:cs="Arial"/>
          <w:sz w:val="22"/>
          <w:szCs w:val="22"/>
        </w:rPr>
        <w:t>care needs in the communities where they live</w:t>
      </w:r>
      <w:r w:rsidR="005342C2" w:rsidRPr="00E06CAE">
        <w:rPr>
          <w:rFonts w:ascii="Arial" w:hAnsi="Arial" w:cs="Arial"/>
          <w:sz w:val="22"/>
          <w:szCs w:val="22"/>
        </w:rPr>
        <w:t xml:space="preserve">, and participates with such </w:t>
      </w:r>
      <w:r w:rsidR="007609CA" w:rsidRPr="00E06CAE">
        <w:rPr>
          <w:rFonts w:ascii="Arial" w:hAnsi="Arial" w:cs="Arial"/>
          <w:sz w:val="22"/>
          <w:szCs w:val="22"/>
        </w:rPr>
        <w:t>CHC</w:t>
      </w:r>
      <w:r w:rsidR="009C3173" w:rsidRPr="00E06CAE">
        <w:rPr>
          <w:rFonts w:ascii="Arial" w:hAnsi="Arial" w:cs="Arial"/>
          <w:sz w:val="22"/>
          <w:szCs w:val="22"/>
        </w:rPr>
        <w:t>s</w:t>
      </w:r>
      <w:r w:rsidR="005342C2" w:rsidRPr="00E06CAE">
        <w:rPr>
          <w:rFonts w:ascii="Arial" w:hAnsi="Arial" w:cs="Arial"/>
          <w:sz w:val="22"/>
          <w:szCs w:val="22"/>
        </w:rPr>
        <w:t xml:space="preserve"> and </w:t>
      </w:r>
      <w:r w:rsidR="00F36025" w:rsidRPr="00E06CAE">
        <w:rPr>
          <w:rFonts w:ascii="Arial" w:hAnsi="Arial" w:cs="Arial"/>
          <w:sz w:val="22"/>
          <w:szCs w:val="22"/>
        </w:rPr>
        <w:t>other provider</w:t>
      </w:r>
      <w:r w:rsidR="008F6129" w:rsidRPr="00E06CAE">
        <w:rPr>
          <w:rFonts w:ascii="Arial" w:hAnsi="Arial" w:cs="Arial"/>
          <w:sz w:val="22"/>
          <w:szCs w:val="22"/>
        </w:rPr>
        <w:t xml:space="preserve"> organizations</w:t>
      </w:r>
      <w:r w:rsidR="005342C2" w:rsidRPr="00E06CAE">
        <w:rPr>
          <w:rFonts w:ascii="Arial" w:hAnsi="Arial" w:cs="Arial"/>
          <w:sz w:val="22"/>
          <w:szCs w:val="22"/>
        </w:rPr>
        <w:t xml:space="preserve"> as part of the Boston Accountable Care Organization (“BACO”)</w:t>
      </w:r>
      <w:r w:rsidRPr="00E06CAE">
        <w:rPr>
          <w:rFonts w:ascii="Arial" w:hAnsi="Arial" w:cs="Arial"/>
          <w:sz w:val="22"/>
          <w:szCs w:val="22"/>
        </w:rPr>
        <w:t>.</w:t>
      </w:r>
      <w:r w:rsidR="00D0611A" w:rsidRPr="00E06CAE">
        <w:rPr>
          <w:rFonts w:ascii="Arial" w:hAnsi="Arial" w:cs="Arial"/>
          <w:sz w:val="22"/>
          <w:szCs w:val="22"/>
        </w:rPr>
        <w:t xml:space="preserve"> </w:t>
      </w:r>
      <w:r w:rsidR="00485707" w:rsidRPr="00E06CAE">
        <w:rPr>
          <w:rFonts w:ascii="Arial" w:hAnsi="Arial" w:cs="Arial"/>
          <w:sz w:val="22"/>
          <w:szCs w:val="22"/>
        </w:rPr>
        <w:t>Together</w:t>
      </w:r>
      <w:r w:rsidR="00ED7AEA">
        <w:rPr>
          <w:rFonts w:ascii="Arial" w:hAnsi="Arial" w:cs="Arial"/>
          <w:sz w:val="22"/>
          <w:szCs w:val="22"/>
        </w:rPr>
        <w:t xml:space="preserve">, </w:t>
      </w:r>
      <w:r w:rsidR="00485707" w:rsidRPr="00E06CAE">
        <w:rPr>
          <w:rFonts w:ascii="Arial" w:hAnsi="Arial" w:cs="Arial"/>
          <w:sz w:val="22"/>
          <w:szCs w:val="22"/>
        </w:rPr>
        <w:t xml:space="preserve">with its </w:t>
      </w:r>
      <w:r w:rsidR="00C211D7" w:rsidRPr="00E06CAE">
        <w:rPr>
          <w:rFonts w:ascii="Arial" w:hAnsi="Arial" w:cs="Arial"/>
          <w:sz w:val="22"/>
          <w:szCs w:val="22"/>
        </w:rPr>
        <w:t>affiliates</w:t>
      </w:r>
      <w:r w:rsidR="00485707" w:rsidRPr="00E06CAE">
        <w:rPr>
          <w:rFonts w:ascii="Arial" w:hAnsi="Arial" w:cs="Arial"/>
          <w:sz w:val="22"/>
          <w:szCs w:val="22"/>
        </w:rPr>
        <w:t xml:space="preserve"> and </w:t>
      </w:r>
      <w:r w:rsidR="007609CA" w:rsidRPr="00E06CAE">
        <w:rPr>
          <w:rFonts w:ascii="Arial" w:hAnsi="Arial" w:cs="Arial"/>
          <w:sz w:val="22"/>
          <w:szCs w:val="22"/>
        </w:rPr>
        <w:t>CHC</w:t>
      </w:r>
      <w:r w:rsidR="00485707" w:rsidRPr="00E06CAE">
        <w:rPr>
          <w:rFonts w:ascii="Arial" w:hAnsi="Arial" w:cs="Arial"/>
          <w:sz w:val="22"/>
          <w:szCs w:val="22"/>
        </w:rPr>
        <w:t xml:space="preserve"> partners, BMC provides an integrated system of health</w:t>
      </w:r>
      <w:r w:rsidR="00CF77C3" w:rsidRPr="00E06CAE">
        <w:rPr>
          <w:rFonts w:ascii="Arial" w:hAnsi="Arial" w:cs="Arial"/>
          <w:sz w:val="22"/>
          <w:szCs w:val="22"/>
        </w:rPr>
        <w:t xml:space="preserve"> </w:t>
      </w:r>
      <w:r w:rsidR="00485707" w:rsidRPr="00E06CAE">
        <w:rPr>
          <w:rFonts w:ascii="Arial" w:hAnsi="Arial" w:cs="Arial"/>
          <w:sz w:val="22"/>
          <w:szCs w:val="22"/>
        </w:rPr>
        <w:t xml:space="preserve">care delivery to ensure that vulnerable and underserved populations in the Boston metropolitan area have access to </w:t>
      </w:r>
      <w:r w:rsidR="008F6129" w:rsidRPr="00E06CAE">
        <w:rPr>
          <w:rFonts w:ascii="Arial" w:hAnsi="Arial" w:cs="Arial"/>
          <w:sz w:val="22"/>
          <w:szCs w:val="22"/>
        </w:rPr>
        <w:t xml:space="preserve">coordinated, </w:t>
      </w:r>
      <w:r w:rsidR="00485707" w:rsidRPr="00E06CAE">
        <w:rPr>
          <w:rFonts w:ascii="Arial" w:hAnsi="Arial" w:cs="Arial"/>
          <w:sz w:val="22"/>
          <w:szCs w:val="22"/>
        </w:rPr>
        <w:t>high-quality</w:t>
      </w:r>
      <w:r w:rsidR="008F6129" w:rsidRPr="00E06CAE">
        <w:rPr>
          <w:rFonts w:ascii="Arial" w:hAnsi="Arial" w:cs="Arial"/>
          <w:sz w:val="22"/>
          <w:szCs w:val="22"/>
        </w:rPr>
        <w:t xml:space="preserve">, </w:t>
      </w:r>
      <w:r w:rsidR="007C4352" w:rsidRPr="00E06CAE">
        <w:rPr>
          <w:rFonts w:ascii="Arial" w:hAnsi="Arial" w:cs="Arial"/>
          <w:sz w:val="22"/>
          <w:szCs w:val="22"/>
        </w:rPr>
        <w:t xml:space="preserve">and </w:t>
      </w:r>
      <w:r w:rsidR="008F6129" w:rsidRPr="00E06CAE">
        <w:rPr>
          <w:rFonts w:ascii="Arial" w:hAnsi="Arial" w:cs="Arial"/>
          <w:sz w:val="22"/>
          <w:szCs w:val="22"/>
        </w:rPr>
        <w:t xml:space="preserve">cost-effective </w:t>
      </w:r>
      <w:r w:rsidR="00485707" w:rsidRPr="00E06CAE">
        <w:rPr>
          <w:rFonts w:ascii="Arial" w:hAnsi="Arial" w:cs="Arial"/>
          <w:sz w:val="22"/>
          <w:szCs w:val="22"/>
        </w:rPr>
        <w:t>primary, specialty, and tertiary car</w:t>
      </w:r>
      <w:r w:rsidR="005342C2" w:rsidRPr="00E06CAE">
        <w:rPr>
          <w:rFonts w:ascii="Arial" w:hAnsi="Arial" w:cs="Arial"/>
          <w:sz w:val="22"/>
          <w:szCs w:val="22"/>
        </w:rPr>
        <w:t>e that meets individual patients’ needs and preferences</w:t>
      </w:r>
      <w:r w:rsidR="00485707" w:rsidRPr="00E06CAE">
        <w:rPr>
          <w:rFonts w:ascii="Arial" w:hAnsi="Arial" w:cs="Arial"/>
          <w:sz w:val="22"/>
          <w:szCs w:val="22"/>
        </w:rPr>
        <w:t>.</w:t>
      </w:r>
    </w:p>
    <w:p w14:paraId="3C36DC32" w14:textId="77777777" w:rsidR="008F6129" w:rsidRPr="00E06CAE" w:rsidRDefault="008F6129" w:rsidP="00E6464C">
      <w:pPr>
        <w:pStyle w:val="NormalWeb"/>
        <w:spacing w:before="0" w:beforeAutospacing="0" w:after="0" w:afterAutospacing="0"/>
        <w:jc w:val="both"/>
        <w:rPr>
          <w:rFonts w:ascii="Arial" w:hAnsi="Arial" w:cs="Arial"/>
          <w:sz w:val="22"/>
          <w:szCs w:val="22"/>
        </w:rPr>
      </w:pPr>
    </w:p>
    <w:p w14:paraId="1FAA36BE" w14:textId="77777777" w:rsidR="004E5F4C" w:rsidRPr="00E06CAE" w:rsidRDefault="004E5F4C" w:rsidP="004E5F4C">
      <w:pPr>
        <w:pStyle w:val="NormalWeb"/>
        <w:numPr>
          <w:ilvl w:val="0"/>
          <w:numId w:val="1"/>
        </w:numPr>
        <w:spacing w:before="0" w:beforeAutospacing="0" w:after="0" w:afterAutospacing="0"/>
        <w:ind w:left="360"/>
        <w:jc w:val="both"/>
        <w:rPr>
          <w:rFonts w:ascii="Arial" w:hAnsi="Arial" w:cs="Arial"/>
          <w:smallCaps/>
          <w:sz w:val="22"/>
          <w:szCs w:val="22"/>
          <w:u w:val="single"/>
        </w:rPr>
      </w:pPr>
      <w:r w:rsidRPr="00E06CAE">
        <w:rPr>
          <w:rFonts w:ascii="Arial" w:hAnsi="Arial" w:cs="Arial"/>
          <w:smallCaps/>
          <w:sz w:val="22"/>
          <w:szCs w:val="22"/>
          <w:u w:val="single"/>
        </w:rPr>
        <w:t>Patient Panel Data</w:t>
      </w:r>
    </w:p>
    <w:p w14:paraId="6002E2ED" w14:textId="77777777" w:rsidR="004E5F4C" w:rsidRPr="00E06CAE" w:rsidRDefault="004E5F4C" w:rsidP="004E5F4C">
      <w:pPr>
        <w:pStyle w:val="NormalWeb"/>
        <w:spacing w:before="0" w:beforeAutospacing="0" w:after="0" w:afterAutospacing="0"/>
        <w:ind w:left="360"/>
        <w:jc w:val="both"/>
        <w:rPr>
          <w:rFonts w:ascii="Arial" w:hAnsi="Arial" w:cs="Arial"/>
          <w:sz w:val="22"/>
          <w:szCs w:val="22"/>
          <w:u w:val="single"/>
        </w:rPr>
      </w:pPr>
    </w:p>
    <w:p w14:paraId="69C87802" w14:textId="77777777" w:rsidR="004E5F4C" w:rsidRPr="00E06CAE" w:rsidRDefault="004E5F4C">
      <w:pPr>
        <w:pStyle w:val="NormalWeb"/>
        <w:numPr>
          <w:ilvl w:val="2"/>
          <w:numId w:val="3"/>
        </w:numPr>
        <w:spacing w:before="0" w:beforeAutospacing="0" w:after="0" w:afterAutospacing="0"/>
        <w:ind w:left="720"/>
        <w:jc w:val="both"/>
        <w:rPr>
          <w:rFonts w:ascii="Arial" w:hAnsi="Arial" w:cs="Arial"/>
          <w:sz w:val="22"/>
          <w:szCs w:val="22"/>
          <w:u w:val="single"/>
        </w:rPr>
      </w:pPr>
      <w:r w:rsidRPr="00E06CAE">
        <w:rPr>
          <w:rFonts w:ascii="Arial" w:hAnsi="Arial" w:cs="Arial"/>
          <w:sz w:val="22"/>
          <w:szCs w:val="22"/>
          <w:u w:val="single"/>
        </w:rPr>
        <w:t>BMC’s Overall Patient Pane</w:t>
      </w:r>
      <w:r w:rsidR="00525708">
        <w:rPr>
          <w:rFonts w:ascii="Arial" w:hAnsi="Arial" w:cs="Arial"/>
          <w:sz w:val="22"/>
          <w:szCs w:val="22"/>
          <w:u w:val="single"/>
        </w:rPr>
        <w:t>l</w:t>
      </w:r>
      <w:r w:rsidR="007B24DE" w:rsidRPr="00E06CAE">
        <w:rPr>
          <w:rStyle w:val="FootnoteReference"/>
          <w:rFonts w:ascii="Arial" w:hAnsi="Arial" w:cs="Arial"/>
          <w:sz w:val="22"/>
          <w:szCs w:val="22"/>
        </w:rPr>
        <w:footnoteReference w:id="3"/>
      </w:r>
    </w:p>
    <w:p w14:paraId="4AB0E3BB" w14:textId="77777777" w:rsidR="004E5F4C" w:rsidRPr="00E06CAE" w:rsidRDefault="004E5F4C" w:rsidP="004E5F4C">
      <w:pPr>
        <w:pStyle w:val="NormalWeb"/>
        <w:spacing w:before="0" w:beforeAutospacing="0" w:after="0" w:afterAutospacing="0"/>
        <w:ind w:left="360"/>
        <w:jc w:val="both"/>
        <w:rPr>
          <w:rFonts w:ascii="Arial" w:hAnsi="Arial" w:cs="Arial"/>
          <w:sz w:val="22"/>
          <w:szCs w:val="22"/>
        </w:rPr>
      </w:pPr>
    </w:p>
    <w:p w14:paraId="7F1D5233" w14:textId="77777777" w:rsidR="00B03A5B" w:rsidRPr="00E06CAE" w:rsidRDefault="001227D8" w:rsidP="00A1010D">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 xml:space="preserve">As outlined in Table </w:t>
      </w:r>
      <w:r w:rsidR="00020AF7" w:rsidRPr="00E06CAE">
        <w:rPr>
          <w:rFonts w:ascii="Arial" w:hAnsi="Arial" w:cs="Arial"/>
          <w:sz w:val="22"/>
          <w:szCs w:val="22"/>
        </w:rPr>
        <w:t>1</w:t>
      </w:r>
      <w:r w:rsidRPr="00E06CAE">
        <w:rPr>
          <w:rFonts w:ascii="Arial" w:hAnsi="Arial" w:cs="Arial"/>
          <w:sz w:val="22"/>
          <w:szCs w:val="22"/>
        </w:rPr>
        <w:t>, u</w:t>
      </w:r>
      <w:r w:rsidR="00CD3CE8" w:rsidRPr="00E06CAE">
        <w:rPr>
          <w:rFonts w:ascii="Arial" w:hAnsi="Arial" w:cs="Arial"/>
          <w:sz w:val="22"/>
          <w:szCs w:val="22"/>
        </w:rPr>
        <w:t>tilization data for the 36-month period covering FY</w:t>
      </w:r>
      <w:r w:rsidR="008C3B5B" w:rsidRPr="00E06CAE">
        <w:rPr>
          <w:rFonts w:ascii="Arial" w:hAnsi="Arial" w:cs="Arial"/>
          <w:sz w:val="22"/>
          <w:szCs w:val="22"/>
        </w:rPr>
        <w:t>20</w:t>
      </w:r>
      <w:r w:rsidR="007F4BDF" w:rsidRPr="00E06CAE">
        <w:rPr>
          <w:rFonts w:ascii="Arial" w:hAnsi="Arial" w:cs="Arial"/>
          <w:sz w:val="22"/>
          <w:szCs w:val="22"/>
        </w:rPr>
        <w:t xml:space="preserve"> through FY</w:t>
      </w:r>
      <w:r w:rsidR="00CD3CE8" w:rsidRPr="00E06CAE">
        <w:rPr>
          <w:rFonts w:ascii="Arial" w:hAnsi="Arial" w:cs="Arial"/>
          <w:sz w:val="22"/>
          <w:szCs w:val="22"/>
        </w:rPr>
        <w:t>2</w:t>
      </w:r>
      <w:r w:rsidR="008C3B5B" w:rsidRPr="00E06CAE">
        <w:rPr>
          <w:rFonts w:ascii="Arial" w:hAnsi="Arial" w:cs="Arial"/>
          <w:sz w:val="22"/>
          <w:szCs w:val="22"/>
        </w:rPr>
        <w:t>2</w:t>
      </w:r>
      <w:r w:rsidR="00CD3CE8" w:rsidRPr="00E06CAE">
        <w:rPr>
          <w:rFonts w:ascii="Arial" w:hAnsi="Arial" w:cs="Arial"/>
          <w:sz w:val="22"/>
          <w:szCs w:val="22"/>
        </w:rPr>
        <w:t xml:space="preserve"> and preliminary data </w:t>
      </w:r>
      <w:r w:rsidR="007F4BDF" w:rsidRPr="00E06CAE">
        <w:rPr>
          <w:rFonts w:ascii="Arial" w:hAnsi="Arial" w:cs="Arial"/>
          <w:sz w:val="22"/>
          <w:szCs w:val="22"/>
        </w:rPr>
        <w:t>for FY2</w:t>
      </w:r>
      <w:r w:rsidR="008C3B5B" w:rsidRPr="00E06CAE">
        <w:rPr>
          <w:rFonts w:ascii="Arial" w:hAnsi="Arial" w:cs="Arial"/>
          <w:sz w:val="22"/>
          <w:szCs w:val="22"/>
        </w:rPr>
        <w:t>3</w:t>
      </w:r>
      <w:r w:rsidR="00C211D7" w:rsidRPr="00E06CAE">
        <w:rPr>
          <w:rFonts w:ascii="Arial" w:hAnsi="Arial" w:cs="Arial"/>
          <w:sz w:val="22"/>
          <w:szCs w:val="22"/>
        </w:rPr>
        <w:t xml:space="preserve"> </w:t>
      </w:r>
      <w:r w:rsidR="00F50FB0">
        <w:rPr>
          <w:rFonts w:ascii="Arial" w:hAnsi="Arial" w:cs="Arial"/>
          <w:sz w:val="22"/>
          <w:szCs w:val="22"/>
        </w:rPr>
        <w:t>year-to-date (“YTD”)</w:t>
      </w:r>
      <w:r w:rsidR="00D308AC" w:rsidRPr="00E06CAE">
        <w:rPr>
          <w:rFonts w:ascii="Arial" w:hAnsi="Arial" w:cs="Arial"/>
          <w:sz w:val="22"/>
          <w:szCs w:val="22"/>
        </w:rPr>
        <w:t xml:space="preserve"> </w:t>
      </w:r>
      <w:r w:rsidR="00C211D7" w:rsidRPr="00E06CAE">
        <w:rPr>
          <w:rFonts w:ascii="Arial" w:hAnsi="Arial" w:cs="Arial"/>
          <w:sz w:val="22"/>
          <w:szCs w:val="22"/>
        </w:rPr>
        <w:t>demonstrate that BMC serves a large and diverse patient panel.</w:t>
      </w:r>
      <w:r w:rsidRPr="00E06CAE">
        <w:rPr>
          <w:rFonts w:ascii="Arial" w:hAnsi="Arial" w:cs="Arial"/>
          <w:sz w:val="22"/>
          <w:szCs w:val="22"/>
        </w:rPr>
        <w:t xml:space="preserve"> </w:t>
      </w:r>
      <w:r w:rsidR="001E74E6" w:rsidRPr="00E06CAE">
        <w:rPr>
          <w:rFonts w:ascii="Arial" w:hAnsi="Arial" w:cs="Arial"/>
          <w:sz w:val="22"/>
          <w:szCs w:val="22"/>
        </w:rPr>
        <w:t xml:space="preserve">Despite </w:t>
      </w:r>
      <w:r w:rsidR="001E74E6" w:rsidRPr="00B420F1">
        <w:rPr>
          <w:rFonts w:ascii="Arial" w:hAnsi="Arial" w:cs="Arial"/>
          <w:sz w:val="22"/>
          <w:szCs w:val="22"/>
        </w:rPr>
        <w:t xml:space="preserve">decreasing slightly </w:t>
      </w:r>
      <w:r w:rsidR="008A0288" w:rsidRPr="00B420F1">
        <w:rPr>
          <w:rFonts w:ascii="Arial" w:hAnsi="Arial" w:cs="Arial"/>
          <w:sz w:val="22"/>
          <w:szCs w:val="22"/>
        </w:rPr>
        <w:t>between FY21 and</w:t>
      </w:r>
      <w:r w:rsidR="009B55C2" w:rsidRPr="00B420F1">
        <w:rPr>
          <w:rFonts w:ascii="Arial" w:hAnsi="Arial" w:cs="Arial"/>
          <w:sz w:val="22"/>
          <w:szCs w:val="22"/>
        </w:rPr>
        <w:t xml:space="preserve"> FY</w:t>
      </w:r>
      <w:r w:rsidR="001E74E6" w:rsidRPr="00B420F1">
        <w:rPr>
          <w:rFonts w:ascii="Arial" w:hAnsi="Arial" w:cs="Arial"/>
          <w:sz w:val="22"/>
          <w:szCs w:val="22"/>
        </w:rPr>
        <w:t>2</w:t>
      </w:r>
      <w:r w:rsidR="008A0288" w:rsidRPr="00B420F1">
        <w:rPr>
          <w:rFonts w:ascii="Arial" w:hAnsi="Arial" w:cs="Arial"/>
          <w:sz w:val="22"/>
          <w:szCs w:val="22"/>
        </w:rPr>
        <w:t>2</w:t>
      </w:r>
      <w:r w:rsidR="001E74E6" w:rsidRPr="00B420F1">
        <w:rPr>
          <w:rFonts w:ascii="Arial" w:hAnsi="Arial" w:cs="Arial"/>
          <w:sz w:val="22"/>
          <w:szCs w:val="22"/>
        </w:rPr>
        <w:t xml:space="preserve"> </w:t>
      </w:r>
      <w:r w:rsidR="008A0288" w:rsidRPr="00B420F1">
        <w:rPr>
          <w:rFonts w:ascii="Arial" w:hAnsi="Arial" w:cs="Arial"/>
          <w:sz w:val="22"/>
          <w:szCs w:val="22"/>
        </w:rPr>
        <w:t>primarily due</w:t>
      </w:r>
      <w:r w:rsidR="009B55C2" w:rsidRPr="00B420F1">
        <w:rPr>
          <w:rFonts w:ascii="Arial" w:hAnsi="Arial" w:cs="Arial"/>
          <w:sz w:val="22"/>
          <w:szCs w:val="22"/>
        </w:rPr>
        <w:t xml:space="preserve"> </w:t>
      </w:r>
      <w:r w:rsidR="008A0288" w:rsidRPr="00B420F1">
        <w:rPr>
          <w:rFonts w:ascii="Arial" w:hAnsi="Arial" w:cs="Arial"/>
          <w:sz w:val="22"/>
          <w:szCs w:val="22"/>
        </w:rPr>
        <w:t>to factors attributable to</w:t>
      </w:r>
      <w:r w:rsidR="009B55C2" w:rsidRPr="00B420F1">
        <w:rPr>
          <w:rFonts w:ascii="Arial" w:hAnsi="Arial" w:cs="Arial"/>
          <w:sz w:val="22"/>
          <w:szCs w:val="22"/>
        </w:rPr>
        <w:t xml:space="preserve"> </w:t>
      </w:r>
      <w:r w:rsidR="001E74E6" w:rsidRPr="00B420F1">
        <w:rPr>
          <w:rFonts w:ascii="Arial" w:hAnsi="Arial" w:cs="Arial"/>
          <w:sz w:val="22"/>
          <w:szCs w:val="22"/>
        </w:rPr>
        <w:t>the COVID-19 pandemi</w:t>
      </w:r>
      <w:r w:rsidR="00525708" w:rsidRPr="00B420F1">
        <w:rPr>
          <w:rFonts w:ascii="Arial" w:hAnsi="Arial" w:cs="Arial"/>
          <w:sz w:val="22"/>
          <w:szCs w:val="22"/>
        </w:rPr>
        <w:t>c</w:t>
      </w:r>
      <w:r w:rsidR="008A0288" w:rsidRPr="00B420F1">
        <w:rPr>
          <w:rStyle w:val="FootnoteReference"/>
          <w:rFonts w:ascii="Arial" w:hAnsi="Arial" w:cs="Arial"/>
          <w:sz w:val="22"/>
          <w:szCs w:val="22"/>
        </w:rPr>
        <w:footnoteReference w:id="4"/>
      </w:r>
      <w:r w:rsidR="001E74E6" w:rsidRPr="00B420F1">
        <w:rPr>
          <w:rFonts w:ascii="Arial" w:hAnsi="Arial" w:cs="Arial"/>
          <w:sz w:val="22"/>
          <w:szCs w:val="22"/>
        </w:rPr>
        <w:t>,</w:t>
      </w:r>
      <w:r w:rsidR="001E74E6" w:rsidRPr="00E06CAE">
        <w:rPr>
          <w:rFonts w:ascii="Arial" w:hAnsi="Arial" w:cs="Arial"/>
          <w:sz w:val="22"/>
          <w:szCs w:val="22"/>
        </w:rPr>
        <w:t xml:space="preserve"> </w:t>
      </w:r>
      <w:r w:rsidR="00DB4471" w:rsidRPr="00E06CAE">
        <w:rPr>
          <w:rFonts w:ascii="Arial" w:hAnsi="Arial" w:cs="Arial"/>
          <w:sz w:val="22"/>
          <w:szCs w:val="22"/>
        </w:rPr>
        <w:t xml:space="preserve">BMC’s </w:t>
      </w:r>
      <w:r w:rsidR="00C84063" w:rsidRPr="00E06CAE">
        <w:rPr>
          <w:rFonts w:ascii="Arial" w:hAnsi="Arial" w:cs="Arial"/>
          <w:sz w:val="22"/>
          <w:szCs w:val="22"/>
        </w:rPr>
        <w:t>patient panel</w:t>
      </w:r>
      <w:r w:rsidR="00DB4471" w:rsidRPr="00E06CAE">
        <w:rPr>
          <w:rFonts w:ascii="Arial" w:hAnsi="Arial" w:cs="Arial"/>
          <w:sz w:val="22"/>
          <w:szCs w:val="22"/>
        </w:rPr>
        <w:t xml:space="preserve"> increased overall </w:t>
      </w:r>
      <w:r w:rsidR="008A0288" w:rsidRPr="00E06CAE">
        <w:rPr>
          <w:rFonts w:ascii="Arial" w:hAnsi="Arial" w:cs="Arial"/>
          <w:sz w:val="22"/>
          <w:szCs w:val="22"/>
        </w:rPr>
        <w:t>during the three-year period between</w:t>
      </w:r>
      <w:r w:rsidR="00DB4471" w:rsidRPr="00E06CAE">
        <w:rPr>
          <w:rFonts w:ascii="Arial" w:hAnsi="Arial" w:cs="Arial"/>
          <w:sz w:val="22"/>
          <w:szCs w:val="22"/>
        </w:rPr>
        <w:t xml:space="preserve"> FY</w:t>
      </w:r>
      <w:r w:rsidR="009B55C2" w:rsidRPr="00E06CAE">
        <w:rPr>
          <w:rFonts w:ascii="Arial" w:hAnsi="Arial" w:cs="Arial"/>
          <w:sz w:val="22"/>
          <w:szCs w:val="22"/>
        </w:rPr>
        <w:t>2</w:t>
      </w:r>
      <w:r w:rsidR="008A0288" w:rsidRPr="00E06CAE">
        <w:rPr>
          <w:rFonts w:ascii="Arial" w:hAnsi="Arial" w:cs="Arial"/>
          <w:sz w:val="22"/>
          <w:szCs w:val="22"/>
        </w:rPr>
        <w:t>0</w:t>
      </w:r>
      <w:r w:rsidR="00DB4471" w:rsidRPr="00E06CAE">
        <w:rPr>
          <w:rFonts w:ascii="Arial" w:hAnsi="Arial" w:cs="Arial"/>
          <w:sz w:val="22"/>
          <w:szCs w:val="22"/>
        </w:rPr>
        <w:t xml:space="preserve"> and FY2</w:t>
      </w:r>
      <w:r w:rsidR="009B55C2" w:rsidRPr="00E06CAE">
        <w:rPr>
          <w:rFonts w:ascii="Arial" w:hAnsi="Arial" w:cs="Arial"/>
          <w:sz w:val="22"/>
          <w:szCs w:val="22"/>
        </w:rPr>
        <w:t>2</w:t>
      </w:r>
      <w:r w:rsidR="00A1010D" w:rsidRPr="00E06CAE">
        <w:rPr>
          <w:rFonts w:ascii="Arial" w:hAnsi="Arial" w:cs="Arial"/>
          <w:sz w:val="22"/>
          <w:szCs w:val="22"/>
        </w:rPr>
        <w:t xml:space="preserve">, from </w:t>
      </w:r>
      <w:r w:rsidR="009B55C2" w:rsidRPr="00E06CAE">
        <w:rPr>
          <w:rFonts w:ascii="Arial" w:hAnsi="Arial" w:cs="Arial"/>
          <w:sz w:val="22"/>
          <w:szCs w:val="22"/>
        </w:rPr>
        <w:t>207,237</w:t>
      </w:r>
      <w:r w:rsidR="00A1010D" w:rsidRPr="00E06CAE">
        <w:rPr>
          <w:rFonts w:ascii="Arial" w:hAnsi="Arial" w:cs="Arial"/>
          <w:sz w:val="22"/>
          <w:szCs w:val="22"/>
        </w:rPr>
        <w:t xml:space="preserve"> </w:t>
      </w:r>
      <w:r w:rsidR="00A1010D" w:rsidRPr="00777978">
        <w:rPr>
          <w:rFonts w:ascii="Arial" w:hAnsi="Arial" w:cs="Arial"/>
          <w:sz w:val="22"/>
          <w:szCs w:val="22"/>
        </w:rPr>
        <w:t xml:space="preserve">patients and </w:t>
      </w:r>
      <w:r w:rsidR="009B55C2" w:rsidRPr="00777978">
        <w:rPr>
          <w:rFonts w:ascii="Arial" w:hAnsi="Arial" w:cs="Arial"/>
          <w:sz w:val="22"/>
          <w:szCs w:val="22"/>
        </w:rPr>
        <w:t xml:space="preserve">977,488 </w:t>
      </w:r>
      <w:r w:rsidR="00A1010D" w:rsidRPr="00777978">
        <w:rPr>
          <w:rFonts w:ascii="Arial" w:hAnsi="Arial" w:cs="Arial"/>
          <w:sz w:val="22"/>
          <w:szCs w:val="22"/>
        </w:rPr>
        <w:t>encounters in</w:t>
      </w:r>
      <w:r w:rsidR="00A1010D" w:rsidRPr="00E06CAE">
        <w:rPr>
          <w:rFonts w:ascii="Arial" w:hAnsi="Arial" w:cs="Arial"/>
          <w:sz w:val="22"/>
          <w:szCs w:val="22"/>
        </w:rPr>
        <w:t xml:space="preserve"> FY</w:t>
      </w:r>
      <w:r w:rsidR="008A0288" w:rsidRPr="00E06CAE">
        <w:rPr>
          <w:rFonts w:ascii="Arial" w:hAnsi="Arial" w:cs="Arial"/>
          <w:sz w:val="22"/>
          <w:szCs w:val="22"/>
        </w:rPr>
        <w:t>20</w:t>
      </w:r>
      <w:r w:rsidR="00A1010D" w:rsidRPr="00E06CAE">
        <w:rPr>
          <w:rFonts w:ascii="Arial" w:hAnsi="Arial" w:cs="Arial"/>
          <w:sz w:val="22"/>
          <w:szCs w:val="22"/>
        </w:rPr>
        <w:t xml:space="preserve"> to </w:t>
      </w:r>
      <w:r w:rsidR="008A0288" w:rsidRPr="00E06CAE">
        <w:rPr>
          <w:rFonts w:ascii="Arial" w:hAnsi="Arial" w:cs="Arial"/>
          <w:sz w:val="22"/>
          <w:szCs w:val="22"/>
        </w:rPr>
        <w:t>278,408</w:t>
      </w:r>
      <w:r w:rsidR="00A1010D" w:rsidRPr="00E06CAE">
        <w:rPr>
          <w:rFonts w:ascii="Arial" w:hAnsi="Arial" w:cs="Arial"/>
          <w:sz w:val="22"/>
          <w:szCs w:val="22"/>
        </w:rPr>
        <w:t xml:space="preserve"> patients and </w:t>
      </w:r>
      <w:r w:rsidR="000E4732" w:rsidRPr="00E06CAE">
        <w:rPr>
          <w:rFonts w:ascii="Arial" w:hAnsi="Arial" w:cs="Arial"/>
          <w:sz w:val="22"/>
          <w:szCs w:val="22"/>
        </w:rPr>
        <w:t>1,</w:t>
      </w:r>
      <w:r w:rsidR="008A0288" w:rsidRPr="00E06CAE">
        <w:rPr>
          <w:rFonts w:ascii="Arial" w:hAnsi="Arial" w:cs="Arial"/>
          <w:sz w:val="22"/>
          <w:szCs w:val="22"/>
        </w:rPr>
        <w:t>223</w:t>
      </w:r>
      <w:r w:rsidR="000E4732" w:rsidRPr="00E06CAE">
        <w:rPr>
          <w:rFonts w:ascii="Arial" w:hAnsi="Arial" w:cs="Arial"/>
          <w:sz w:val="22"/>
          <w:szCs w:val="22"/>
        </w:rPr>
        <w:t>,</w:t>
      </w:r>
      <w:r w:rsidR="008A0288" w:rsidRPr="00E06CAE">
        <w:rPr>
          <w:rFonts w:ascii="Arial" w:hAnsi="Arial" w:cs="Arial"/>
          <w:sz w:val="22"/>
          <w:szCs w:val="22"/>
        </w:rPr>
        <w:t>890</w:t>
      </w:r>
      <w:r w:rsidR="000E4732" w:rsidRPr="00E06CAE">
        <w:rPr>
          <w:rFonts w:ascii="Arial" w:hAnsi="Arial" w:cs="Arial"/>
          <w:sz w:val="22"/>
          <w:szCs w:val="22"/>
        </w:rPr>
        <w:t xml:space="preserve"> </w:t>
      </w:r>
      <w:r w:rsidR="004D2E94" w:rsidRPr="00E06CAE">
        <w:rPr>
          <w:rFonts w:ascii="Arial" w:hAnsi="Arial" w:cs="Arial"/>
          <w:sz w:val="22"/>
          <w:szCs w:val="22"/>
        </w:rPr>
        <w:t>encounters</w:t>
      </w:r>
      <w:r w:rsidR="00A1010D" w:rsidRPr="00E06CAE">
        <w:rPr>
          <w:rFonts w:ascii="Arial" w:hAnsi="Arial" w:cs="Arial"/>
          <w:sz w:val="22"/>
          <w:szCs w:val="22"/>
        </w:rPr>
        <w:t xml:space="preserve"> in FY2</w:t>
      </w:r>
      <w:r w:rsidR="009B55C2" w:rsidRPr="00E06CAE">
        <w:rPr>
          <w:rFonts w:ascii="Arial" w:hAnsi="Arial" w:cs="Arial"/>
          <w:sz w:val="22"/>
          <w:szCs w:val="22"/>
        </w:rPr>
        <w:t>2</w:t>
      </w:r>
      <w:r w:rsidR="00A1010D" w:rsidRPr="00E06CAE">
        <w:rPr>
          <w:rFonts w:ascii="Arial" w:hAnsi="Arial" w:cs="Arial"/>
          <w:sz w:val="22"/>
          <w:szCs w:val="22"/>
        </w:rPr>
        <w:t>.</w:t>
      </w:r>
      <w:r w:rsidR="00F44445" w:rsidRPr="00E06CAE">
        <w:rPr>
          <w:rFonts w:ascii="Arial" w:hAnsi="Arial" w:cs="Arial"/>
          <w:sz w:val="22"/>
          <w:szCs w:val="22"/>
        </w:rPr>
        <w:t xml:space="preserve"> Significantly, the Applicant notes that the Hospital experienced increases in its patient panel over this time period even after accounting for utilization attributed solely to COVID-19 testing and vaccinations</w:t>
      </w:r>
      <w:r w:rsidR="0094066E" w:rsidRPr="00E06CAE">
        <w:rPr>
          <w:rFonts w:ascii="Arial" w:hAnsi="Arial" w:cs="Arial"/>
          <w:sz w:val="22"/>
          <w:szCs w:val="22"/>
        </w:rPr>
        <w:t>.</w:t>
      </w:r>
      <w:r w:rsidR="0094066E" w:rsidRPr="00E06CAE">
        <w:rPr>
          <w:rStyle w:val="FootnoteReference"/>
          <w:rFonts w:ascii="Arial" w:hAnsi="Arial" w:cs="Arial"/>
          <w:sz w:val="22"/>
          <w:szCs w:val="22"/>
        </w:rPr>
        <w:footnoteReference w:id="5"/>
      </w:r>
      <w:r w:rsidR="00D308AC" w:rsidRPr="00E06CAE">
        <w:rPr>
          <w:rFonts w:ascii="Arial" w:hAnsi="Arial" w:cs="Arial"/>
          <w:sz w:val="22"/>
          <w:szCs w:val="22"/>
        </w:rPr>
        <w:t xml:space="preserve"> </w:t>
      </w:r>
    </w:p>
    <w:p w14:paraId="22E7637E" w14:textId="77777777" w:rsidR="00B03A5B" w:rsidRPr="00E06CAE" w:rsidRDefault="00B03A5B" w:rsidP="00727C10">
      <w:pPr>
        <w:pStyle w:val="NormalWeb"/>
        <w:spacing w:before="0" w:beforeAutospacing="0" w:after="0" w:afterAutospacing="0"/>
        <w:jc w:val="both"/>
        <w:rPr>
          <w:rFonts w:ascii="Arial" w:hAnsi="Arial" w:cs="Arial"/>
          <w:sz w:val="22"/>
          <w:szCs w:val="22"/>
        </w:rPr>
      </w:pPr>
    </w:p>
    <w:p w14:paraId="21E0A115" w14:textId="77777777" w:rsidR="007B24DE" w:rsidRDefault="00C0094E" w:rsidP="007F4BDF">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Wit</w:t>
      </w:r>
      <w:r w:rsidR="00362443" w:rsidRPr="00E06CAE">
        <w:rPr>
          <w:rFonts w:ascii="Arial" w:hAnsi="Arial" w:cs="Arial"/>
          <w:sz w:val="22"/>
          <w:szCs w:val="22"/>
        </w:rPr>
        <w:t>h</w:t>
      </w:r>
      <w:r w:rsidRPr="00E06CAE">
        <w:rPr>
          <w:rFonts w:ascii="Arial" w:hAnsi="Arial" w:cs="Arial"/>
          <w:sz w:val="22"/>
          <w:szCs w:val="22"/>
        </w:rPr>
        <w:t xml:space="preserve"> regard to</w:t>
      </w:r>
      <w:r w:rsidR="00EB3E20" w:rsidRPr="00E06CAE">
        <w:rPr>
          <w:rFonts w:ascii="Arial" w:hAnsi="Arial" w:cs="Arial"/>
          <w:sz w:val="22"/>
          <w:szCs w:val="22"/>
        </w:rPr>
        <w:t xml:space="preserve"> gender, </w:t>
      </w:r>
      <w:r w:rsidR="00C86D87" w:rsidRPr="00E06CAE">
        <w:rPr>
          <w:rFonts w:ascii="Arial" w:hAnsi="Arial" w:cs="Arial"/>
          <w:sz w:val="22"/>
          <w:szCs w:val="22"/>
        </w:rPr>
        <w:t xml:space="preserve">BMC’s patient </w:t>
      </w:r>
      <w:r w:rsidR="009A20AA" w:rsidRPr="00E06CAE">
        <w:rPr>
          <w:rFonts w:ascii="Arial" w:hAnsi="Arial" w:cs="Arial"/>
          <w:sz w:val="22"/>
          <w:szCs w:val="22"/>
        </w:rPr>
        <w:t>panel</w:t>
      </w:r>
      <w:r w:rsidR="00C86D87" w:rsidRPr="00E06CAE">
        <w:rPr>
          <w:rFonts w:ascii="Arial" w:hAnsi="Arial" w:cs="Arial"/>
          <w:sz w:val="22"/>
          <w:szCs w:val="22"/>
        </w:rPr>
        <w:t xml:space="preserve"> consists of approximately 55.</w:t>
      </w:r>
      <w:r w:rsidR="00777978">
        <w:rPr>
          <w:rFonts w:ascii="Arial" w:hAnsi="Arial" w:cs="Arial"/>
          <w:sz w:val="22"/>
          <w:szCs w:val="22"/>
        </w:rPr>
        <w:t>6</w:t>
      </w:r>
      <w:r w:rsidR="00C86D87" w:rsidRPr="00E06CAE">
        <w:rPr>
          <w:rFonts w:ascii="Arial" w:hAnsi="Arial" w:cs="Arial"/>
          <w:sz w:val="22"/>
          <w:szCs w:val="22"/>
        </w:rPr>
        <w:t xml:space="preserve">% females and </w:t>
      </w:r>
      <w:r w:rsidR="00B03A5B" w:rsidRPr="00E06CAE">
        <w:rPr>
          <w:rFonts w:ascii="Arial" w:hAnsi="Arial" w:cs="Arial"/>
          <w:sz w:val="22"/>
          <w:szCs w:val="22"/>
        </w:rPr>
        <w:t>44.</w:t>
      </w:r>
      <w:r w:rsidR="008B3FCF" w:rsidRPr="00E06CAE">
        <w:rPr>
          <w:rFonts w:ascii="Arial" w:hAnsi="Arial" w:cs="Arial"/>
          <w:sz w:val="22"/>
          <w:szCs w:val="22"/>
        </w:rPr>
        <w:t>4</w:t>
      </w:r>
      <w:r w:rsidR="00B03A5B" w:rsidRPr="00E06CAE">
        <w:rPr>
          <w:rFonts w:ascii="Arial" w:hAnsi="Arial" w:cs="Arial"/>
          <w:sz w:val="22"/>
          <w:szCs w:val="22"/>
        </w:rPr>
        <w:t xml:space="preserve">% </w:t>
      </w:r>
      <w:r w:rsidR="009A20AA" w:rsidRPr="00E06CAE">
        <w:rPr>
          <w:rFonts w:ascii="Arial" w:hAnsi="Arial" w:cs="Arial"/>
          <w:sz w:val="22"/>
          <w:szCs w:val="22"/>
        </w:rPr>
        <w:t xml:space="preserve">males </w:t>
      </w:r>
      <w:r w:rsidR="00C86D87" w:rsidRPr="00E06CAE">
        <w:rPr>
          <w:rFonts w:ascii="Arial" w:hAnsi="Arial" w:cs="Arial"/>
          <w:sz w:val="22"/>
          <w:szCs w:val="22"/>
        </w:rPr>
        <w:t>based on FY2</w:t>
      </w:r>
      <w:r w:rsidR="00C932FE" w:rsidRPr="00E06CAE">
        <w:rPr>
          <w:rFonts w:ascii="Arial" w:hAnsi="Arial" w:cs="Arial"/>
          <w:sz w:val="22"/>
          <w:szCs w:val="22"/>
        </w:rPr>
        <w:t>2</w:t>
      </w:r>
      <w:r w:rsidR="00C86D87" w:rsidRPr="00E06CAE">
        <w:rPr>
          <w:rFonts w:ascii="Arial" w:hAnsi="Arial" w:cs="Arial"/>
          <w:sz w:val="22"/>
          <w:szCs w:val="22"/>
        </w:rPr>
        <w:t xml:space="preserve"> data, with gender unknown for less than 0.0</w:t>
      </w:r>
      <w:r w:rsidR="008B3FCF" w:rsidRPr="00E06CAE">
        <w:rPr>
          <w:rFonts w:ascii="Arial" w:hAnsi="Arial" w:cs="Arial"/>
          <w:sz w:val="22"/>
          <w:szCs w:val="22"/>
        </w:rPr>
        <w:t>2</w:t>
      </w:r>
      <w:r w:rsidR="00C86D87" w:rsidRPr="00E06CAE">
        <w:rPr>
          <w:rFonts w:ascii="Arial" w:hAnsi="Arial" w:cs="Arial"/>
          <w:sz w:val="22"/>
          <w:szCs w:val="22"/>
        </w:rPr>
        <w:t>% of the patient population.</w:t>
      </w:r>
      <w:r w:rsidR="009A20AA" w:rsidRPr="00E06CAE">
        <w:rPr>
          <w:rFonts w:ascii="Arial" w:hAnsi="Arial" w:cs="Arial"/>
          <w:sz w:val="22"/>
          <w:szCs w:val="22"/>
        </w:rPr>
        <w:t xml:space="preserve"> </w:t>
      </w:r>
      <w:r w:rsidR="00362443" w:rsidRPr="00E06CAE">
        <w:rPr>
          <w:rFonts w:ascii="Arial" w:hAnsi="Arial" w:cs="Arial"/>
          <w:sz w:val="22"/>
          <w:szCs w:val="22"/>
        </w:rPr>
        <w:t>In terms of age,</w:t>
      </w:r>
      <w:r w:rsidR="00EB3E20" w:rsidRPr="00E06CAE">
        <w:rPr>
          <w:rFonts w:ascii="Arial" w:hAnsi="Arial" w:cs="Arial"/>
          <w:sz w:val="22"/>
          <w:szCs w:val="22"/>
        </w:rPr>
        <w:t xml:space="preserve"> </w:t>
      </w:r>
      <w:r w:rsidR="007C4352" w:rsidRPr="00E06CAE">
        <w:rPr>
          <w:rFonts w:ascii="Arial" w:hAnsi="Arial" w:cs="Arial"/>
          <w:sz w:val="22"/>
          <w:szCs w:val="22"/>
        </w:rPr>
        <w:t>t</w:t>
      </w:r>
      <w:r w:rsidR="009A20AA" w:rsidRPr="00E06CAE">
        <w:rPr>
          <w:rFonts w:ascii="Arial" w:hAnsi="Arial" w:cs="Arial"/>
          <w:sz w:val="22"/>
          <w:szCs w:val="22"/>
        </w:rPr>
        <w:t>he majority of BMC’s patient panel is between the ages of 18-64 (7</w:t>
      </w:r>
      <w:r w:rsidR="008B3FCF" w:rsidRPr="00E06CAE">
        <w:rPr>
          <w:rFonts w:ascii="Arial" w:hAnsi="Arial" w:cs="Arial"/>
          <w:sz w:val="22"/>
          <w:szCs w:val="22"/>
        </w:rPr>
        <w:t>1</w:t>
      </w:r>
      <w:r w:rsidR="009A20AA" w:rsidRPr="00E06CAE">
        <w:rPr>
          <w:rFonts w:ascii="Arial" w:hAnsi="Arial" w:cs="Arial"/>
          <w:sz w:val="22"/>
          <w:szCs w:val="22"/>
        </w:rPr>
        <w:t>.</w:t>
      </w:r>
      <w:r w:rsidR="008B3FCF" w:rsidRPr="00E06CAE">
        <w:rPr>
          <w:rFonts w:ascii="Arial" w:hAnsi="Arial" w:cs="Arial"/>
          <w:sz w:val="22"/>
          <w:szCs w:val="22"/>
        </w:rPr>
        <w:t>3</w:t>
      </w:r>
      <w:r w:rsidR="009A20AA" w:rsidRPr="00E06CAE">
        <w:rPr>
          <w:rFonts w:ascii="Arial" w:hAnsi="Arial" w:cs="Arial"/>
          <w:sz w:val="22"/>
          <w:szCs w:val="22"/>
        </w:rPr>
        <w:t>% in FY2</w:t>
      </w:r>
      <w:r w:rsidR="00C932FE" w:rsidRPr="00E06CAE">
        <w:rPr>
          <w:rFonts w:ascii="Arial" w:hAnsi="Arial" w:cs="Arial"/>
          <w:sz w:val="22"/>
          <w:szCs w:val="22"/>
        </w:rPr>
        <w:t>2</w:t>
      </w:r>
      <w:r w:rsidR="009A20AA" w:rsidRPr="00E06CAE">
        <w:rPr>
          <w:rFonts w:ascii="Arial" w:hAnsi="Arial" w:cs="Arial"/>
          <w:sz w:val="22"/>
          <w:szCs w:val="22"/>
        </w:rPr>
        <w:t xml:space="preserve">). </w:t>
      </w:r>
      <w:r w:rsidR="004F35C3" w:rsidRPr="00E06CAE">
        <w:rPr>
          <w:rFonts w:ascii="Arial" w:hAnsi="Arial" w:cs="Arial"/>
          <w:sz w:val="22"/>
          <w:szCs w:val="22"/>
        </w:rPr>
        <w:t xml:space="preserve">However, </w:t>
      </w:r>
      <w:r w:rsidR="006408BF" w:rsidRPr="00E06CAE">
        <w:rPr>
          <w:rFonts w:ascii="Arial" w:hAnsi="Arial" w:cs="Arial"/>
          <w:sz w:val="22"/>
          <w:szCs w:val="22"/>
        </w:rPr>
        <w:t>there are also a substantial number of patients that are 0-17 years of age (</w:t>
      </w:r>
      <w:r w:rsidR="008B3FCF" w:rsidRPr="00E06CAE">
        <w:rPr>
          <w:rFonts w:ascii="Arial" w:hAnsi="Arial" w:cs="Arial"/>
          <w:sz w:val="22"/>
          <w:szCs w:val="22"/>
        </w:rPr>
        <w:t>14.7</w:t>
      </w:r>
      <w:r w:rsidR="006408BF" w:rsidRPr="00E06CAE">
        <w:rPr>
          <w:rFonts w:ascii="Arial" w:hAnsi="Arial" w:cs="Arial"/>
          <w:sz w:val="22"/>
          <w:szCs w:val="22"/>
        </w:rPr>
        <w:t xml:space="preserve">% in </w:t>
      </w:r>
      <w:r w:rsidR="006408BF" w:rsidRPr="00E06CAE">
        <w:rPr>
          <w:rFonts w:ascii="Arial" w:hAnsi="Arial" w:cs="Arial"/>
          <w:sz w:val="22"/>
          <w:szCs w:val="22"/>
        </w:rPr>
        <w:lastRenderedPageBreak/>
        <w:t>FY2</w:t>
      </w:r>
      <w:r w:rsidR="00C932FE" w:rsidRPr="00E06CAE">
        <w:rPr>
          <w:rFonts w:ascii="Arial" w:hAnsi="Arial" w:cs="Arial"/>
          <w:sz w:val="22"/>
          <w:szCs w:val="22"/>
        </w:rPr>
        <w:t>2</w:t>
      </w:r>
      <w:r w:rsidR="006408BF" w:rsidRPr="00E06CAE">
        <w:rPr>
          <w:rFonts w:ascii="Arial" w:hAnsi="Arial" w:cs="Arial"/>
          <w:sz w:val="22"/>
          <w:szCs w:val="22"/>
        </w:rPr>
        <w:t xml:space="preserve">) and </w:t>
      </w:r>
      <w:r w:rsidR="009A20AA" w:rsidRPr="00E06CAE">
        <w:rPr>
          <w:rFonts w:ascii="Arial" w:hAnsi="Arial" w:cs="Arial"/>
          <w:sz w:val="22"/>
          <w:szCs w:val="22"/>
        </w:rPr>
        <w:t xml:space="preserve">65+ </w:t>
      </w:r>
      <w:r w:rsidR="006408BF" w:rsidRPr="00E06CAE">
        <w:rPr>
          <w:rFonts w:ascii="Arial" w:hAnsi="Arial" w:cs="Arial"/>
          <w:sz w:val="22"/>
          <w:szCs w:val="22"/>
        </w:rPr>
        <w:t>(14% in FY2</w:t>
      </w:r>
      <w:r w:rsidR="00C932FE" w:rsidRPr="00E06CAE">
        <w:rPr>
          <w:rFonts w:ascii="Arial" w:hAnsi="Arial" w:cs="Arial"/>
          <w:sz w:val="22"/>
          <w:szCs w:val="22"/>
        </w:rPr>
        <w:t>2</w:t>
      </w:r>
      <w:r w:rsidR="006408BF" w:rsidRPr="00E06CAE">
        <w:rPr>
          <w:rFonts w:ascii="Arial" w:hAnsi="Arial" w:cs="Arial"/>
          <w:sz w:val="22"/>
          <w:szCs w:val="22"/>
        </w:rPr>
        <w:t xml:space="preserve">). </w:t>
      </w:r>
      <w:r w:rsidR="00362443" w:rsidRPr="00E06CAE">
        <w:rPr>
          <w:rFonts w:ascii="Arial" w:hAnsi="Arial" w:cs="Arial"/>
          <w:sz w:val="22"/>
          <w:szCs w:val="22"/>
        </w:rPr>
        <w:t xml:space="preserve">Race/ethnicity </w:t>
      </w:r>
      <w:r w:rsidR="0036431F" w:rsidRPr="00E06CAE">
        <w:rPr>
          <w:rFonts w:ascii="Arial" w:hAnsi="Arial" w:cs="Arial"/>
          <w:sz w:val="22"/>
          <w:szCs w:val="22"/>
        </w:rPr>
        <w:t xml:space="preserve">data </w:t>
      </w:r>
      <w:r w:rsidR="00362443" w:rsidRPr="00E06CAE">
        <w:rPr>
          <w:rFonts w:ascii="Arial" w:hAnsi="Arial" w:cs="Arial"/>
          <w:sz w:val="22"/>
          <w:szCs w:val="22"/>
        </w:rPr>
        <w:t xml:space="preserve">as self-reported by BMC patients </w:t>
      </w:r>
      <w:r w:rsidR="002034E7" w:rsidRPr="00E06CAE">
        <w:rPr>
          <w:rFonts w:ascii="Arial" w:hAnsi="Arial" w:cs="Arial"/>
          <w:sz w:val="22"/>
          <w:szCs w:val="22"/>
        </w:rPr>
        <w:t xml:space="preserve">indicate that BMC’s panel is comprised of a mix of races. Specifically, </w:t>
      </w:r>
      <w:r w:rsidR="00362443" w:rsidRPr="00E06CAE">
        <w:rPr>
          <w:rFonts w:ascii="Arial" w:hAnsi="Arial" w:cs="Arial"/>
          <w:sz w:val="22"/>
          <w:szCs w:val="22"/>
        </w:rPr>
        <w:t>in FY2</w:t>
      </w:r>
      <w:r w:rsidR="00C932FE" w:rsidRPr="00E06CAE">
        <w:rPr>
          <w:rFonts w:ascii="Arial" w:hAnsi="Arial" w:cs="Arial"/>
          <w:sz w:val="22"/>
          <w:szCs w:val="22"/>
        </w:rPr>
        <w:t>2</w:t>
      </w:r>
      <w:r w:rsidR="00362443" w:rsidRPr="00E06CAE">
        <w:rPr>
          <w:rFonts w:ascii="Arial" w:hAnsi="Arial" w:cs="Arial"/>
          <w:sz w:val="22"/>
          <w:szCs w:val="22"/>
        </w:rPr>
        <w:t xml:space="preserve">, the predominant races served by BMC were </w:t>
      </w:r>
      <w:r w:rsidR="006037FA" w:rsidRPr="00E06CAE">
        <w:rPr>
          <w:rFonts w:ascii="Arial" w:hAnsi="Arial" w:cs="Arial"/>
          <w:sz w:val="22"/>
          <w:szCs w:val="22"/>
        </w:rPr>
        <w:t xml:space="preserve">Black/African American (31.9%) and </w:t>
      </w:r>
      <w:r w:rsidR="00362443" w:rsidRPr="00E06CAE">
        <w:rPr>
          <w:rFonts w:ascii="Arial" w:hAnsi="Arial" w:cs="Arial"/>
          <w:sz w:val="22"/>
          <w:szCs w:val="22"/>
        </w:rPr>
        <w:t>White/Caucasian (</w:t>
      </w:r>
      <w:r w:rsidR="006037FA" w:rsidRPr="00E06CAE">
        <w:rPr>
          <w:rFonts w:ascii="Arial" w:hAnsi="Arial" w:cs="Arial"/>
          <w:sz w:val="22"/>
          <w:szCs w:val="22"/>
        </w:rPr>
        <w:t>2</w:t>
      </w:r>
      <w:r w:rsidR="00D23FDE">
        <w:rPr>
          <w:rFonts w:ascii="Arial" w:hAnsi="Arial" w:cs="Arial"/>
          <w:sz w:val="22"/>
          <w:szCs w:val="22"/>
        </w:rPr>
        <w:t>5</w:t>
      </w:r>
      <w:r w:rsidR="00362443" w:rsidRPr="00E06CAE">
        <w:rPr>
          <w:rFonts w:ascii="Arial" w:hAnsi="Arial" w:cs="Arial"/>
          <w:sz w:val="22"/>
          <w:szCs w:val="22"/>
        </w:rPr>
        <w:t>%). Additionally, patients self-identified as Hispanic/Latino (</w:t>
      </w:r>
      <w:r w:rsidR="006037FA" w:rsidRPr="00E06CAE">
        <w:rPr>
          <w:rFonts w:ascii="Arial" w:hAnsi="Arial" w:cs="Arial"/>
          <w:sz w:val="22"/>
          <w:szCs w:val="22"/>
        </w:rPr>
        <w:t>15.8</w:t>
      </w:r>
      <w:r w:rsidR="00362443" w:rsidRPr="00E06CAE">
        <w:rPr>
          <w:rFonts w:ascii="Arial" w:hAnsi="Arial" w:cs="Arial"/>
          <w:sz w:val="22"/>
          <w:szCs w:val="22"/>
        </w:rPr>
        <w:t xml:space="preserve">%), </w:t>
      </w:r>
      <w:r w:rsidR="00F216C5" w:rsidRPr="00E06CAE">
        <w:rPr>
          <w:rFonts w:ascii="Arial" w:hAnsi="Arial" w:cs="Arial"/>
          <w:sz w:val="22"/>
          <w:szCs w:val="22"/>
        </w:rPr>
        <w:t>Asian (</w:t>
      </w:r>
      <w:r w:rsidR="006037FA" w:rsidRPr="00E06CAE">
        <w:rPr>
          <w:rFonts w:ascii="Arial" w:hAnsi="Arial" w:cs="Arial"/>
          <w:sz w:val="22"/>
          <w:szCs w:val="22"/>
        </w:rPr>
        <w:t>4.9</w:t>
      </w:r>
      <w:r w:rsidR="00F216C5" w:rsidRPr="00E06CAE">
        <w:rPr>
          <w:rFonts w:ascii="Arial" w:hAnsi="Arial" w:cs="Arial"/>
          <w:sz w:val="22"/>
          <w:szCs w:val="22"/>
        </w:rPr>
        <w:t>%), American Indian/Alaska Native (0.3%), Native Hawaiian/Pacific Islander (</w:t>
      </w:r>
      <w:r w:rsidR="0036431F" w:rsidRPr="00E06CAE">
        <w:rPr>
          <w:rFonts w:ascii="Arial" w:hAnsi="Arial" w:cs="Arial"/>
          <w:sz w:val="22"/>
          <w:szCs w:val="22"/>
        </w:rPr>
        <w:t>0.</w:t>
      </w:r>
      <w:r w:rsidR="006037FA" w:rsidRPr="00E06CAE">
        <w:rPr>
          <w:rFonts w:ascii="Arial" w:hAnsi="Arial" w:cs="Arial"/>
          <w:sz w:val="22"/>
          <w:szCs w:val="22"/>
        </w:rPr>
        <w:t>1</w:t>
      </w:r>
      <w:r w:rsidR="00F216C5" w:rsidRPr="00E06CAE">
        <w:rPr>
          <w:rFonts w:ascii="Arial" w:hAnsi="Arial" w:cs="Arial"/>
          <w:sz w:val="22"/>
          <w:szCs w:val="22"/>
        </w:rPr>
        <w:t>%)</w:t>
      </w:r>
      <w:r w:rsidR="0036431F" w:rsidRPr="00E06CAE">
        <w:rPr>
          <w:rFonts w:ascii="Arial" w:hAnsi="Arial" w:cs="Arial"/>
          <w:sz w:val="22"/>
          <w:szCs w:val="22"/>
        </w:rPr>
        <w:t>, and Other (21.</w:t>
      </w:r>
      <w:r w:rsidR="006037FA" w:rsidRPr="00E06CAE">
        <w:rPr>
          <w:rFonts w:ascii="Arial" w:hAnsi="Arial" w:cs="Arial"/>
          <w:sz w:val="22"/>
          <w:szCs w:val="22"/>
        </w:rPr>
        <w:t>9</w:t>
      </w:r>
      <w:r w:rsidR="0036431F" w:rsidRPr="00E06CAE">
        <w:rPr>
          <w:rFonts w:ascii="Arial" w:hAnsi="Arial" w:cs="Arial"/>
          <w:sz w:val="22"/>
          <w:szCs w:val="22"/>
        </w:rPr>
        <w:t>%).</w:t>
      </w:r>
      <w:r w:rsidR="00740CDC" w:rsidRPr="00E06CAE">
        <w:rPr>
          <w:rFonts w:ascii="Arial" w:hAnsi="Arial" w:cs="Arial"/>
          <w:sz w:val="22"/>
          <w:szCs w:val="22"/>
        </w:rPr>
        <w:t xml:space="preserve"> Finally, geographic origin demographics show that BMC patients mainly reside in the Boston/Greater Boston area, with nearly 60% </w:t>
      </w:r>
      <w:r w:rsidR="00C479B7" w:rsidRPr="00E06CAE">
        <w:rPr>
          <w:rFonts w:ascii="Arial" w:hAnsi="Arial" w:cs="Arial"/>
          <w:sz w:val="22"/>
          <w:szCs w:val="22"/>
        </w:rPr>
        <w:t xml:space="preserve">of patients </w:t>
      </w:r>
      <w:r w:rsidR="00740CDC" w:rsidRPr="00E06CAE">
        <w:rPr>
          <w:rFonts w:ascii="Arial" w:hAnsi="Arial" w:cs="Arial"/>
          <w:sz w:val="22"/>
          <w:szCs w:val="22"/>
        </w:rPr>
        <w:t xml:space="preserve">residing in the following </w:t>
      </w:r>
      <w:r w:rsidR="00C932FE" w:rsidRPr="00E06CAE">
        <w:rPr>
          <w:rFonts w:ascii="Arial" w:hAnsi="Arial" w:cs="Arial"/>
          <w:sz w:val="22"/>
          <w:szCs w:val="22"/>
        </w:rPr>
        <w:t>ten (</w:t>
      </w:r>
      <w:r w:rsidR="00740CDC" w:rsidRPr="00E06CAE">
        <w:rPr>
          <w:rFonts w:ascii="Arial" w:hAnsi="Arial" w:cs="Arial"/>
          <w:sz w:val="22"/>
          <w:szCs w:val="22"/>
        </w:rPr>
        <w:t>10</w:t>
      </w:r>
      <w:r w:rsidR="00C932FE" w:rsidRPr="00E06CAE">
        <w:rPr>
          <w:rFonts w:ascii="Arial" w:hAnsi="Arial" w:cs="Arial"/>
          <w:sz w:val="22"/>
          <w:szCs w:val="22"/>
        </w:rPr>
        <w:t>)</w:t>
      </w:r>
      <w:r w:rsidR="00740CDC" w:rsidRPr="00E06CAE">
        <w:rPr>
          <w:rFonts w:ascii="Arial" w:hAnsi="Arial" w:cs="Arial"/>
          <w:sz w:val="22"/>
          <w:szCs w:val="22"/>
        </w:rPr>
        <w:t xml:space="preserve"> communities: Dorchester, Boston, Roxbury, Brockton, Mattapan, Hyde Park, Revere, Quincy, Chelsea, and Lynn.</w:t>
      </w:r>
    </w:p>
    <w:p w14:paraId="04D87DE5" w14:textId="77777777" w:rsidR="006A6681" w:rsidRPr="00E06CAE" w:rsidRDefault="006A6681" w:rsidP="007F4BDF">
      <w:pPr>
        <w:pStyle w:val="NormalWeb"/>
        <w:spacing w:before="0" w:beforeAutospacing="0" w:after="0" w:afterAutospacing="0"/>
        <w:jc w:val="both"/>
        <w:rPr>
          <w:rFonts w:ascii="Arial" w:hAnsi="Arial" w:cs="Arial"/>
          <w:sz w:val="22"/>
          <w:szCs w:val="22"/>
        </w:rPr>
      </w:pPr>
    </w:p>
    <w:p w14:paraId="419060F8" w14:textId="318C7D7A" w:rsidR="00CC2F37" w:rsidRPr="00E06CAE" w:rsidRDefault="00E70474" w:rsidP="002314A5">
      <w:pPr>
        <w:pStyle w:val="NormalWeb"/>
        <w:shd w:val="clear" w:color="auto" w:fill="3964B1"/>
        <w:spacing w:before="0" w:beforeAutospacing="0" w:after="0" w:afterAutospacing="0"/>
        <w:jc w:val="center"/>
        <w:rPr>
          <w:rFonts w:ascii="Arial" w:hAnsi="Arial" w:cs="Arial"/>
          <w:sz w:val="22"/>
          <w:szCs w:val="22"/>
        </w:rPr>
      </w:pPr>
      <w:r w:rsidRPr="00501ECA">
        <w:rPr>
          <w:rFonts w:ascii="Arial Narrow" w:hAnsi="Arial Narrow" w:cs="Arial"/>
          <w:b/>
          <w:bCs/>
          <w:color w:val="FFFFFF"/>
          <w:sz w:val="22"/>
          <w:szCs w:val="22"/>
        </w:rPr>
        <w:t>Table 1: BMC Patient Panel Demographics</w:t>
      </w:r>
    </w:p>
    <w:tbl>
      <w:tblPr>
        <w:tblStyle w:val="TableGrid"/>
        <w:tblW w:w="9363" w:type="dxa"/>
        <w:jc w:val="center"/>
        <w:tblLayout w:type="fixed"/>
        <w:tblLook w:val="04A0" w:firstRow="1" w:lastRow="0" w:firstColumn="1" w:lastColumn="0" w:noHBand="0" w:noVBand="1"/>
      </w:tblPr>
      <w:tblGrid>
        <w:gridCol w:w="2663"/>
        <w:gridCol w:w="9"/>
        <w:gridCol w:w="17"/>
        <w:gridCol w:w="780"/>
        <w:gridCol w:w="10"/>
        <w:gridCol w:w="20"/>
        <w:gridCol w:w="720"/>
        <w:gridCol w:w="60"/>
        <w:gridCol w:w="10"/>
        <w:gridCol w:w="20"/>
        <w:gridCol w:w="870"/>
        <w:gridCol w:w="10"/>
        <w:gridCol w:w="20"/>
        <w:gridCol w:w="780"/>
        <w:gridCol w:w="10"/>
        <w:gridCol w:w="21"/>
        <w:gridCol w:w="29"/>
        <w:gridCol w:w="840"/>
        <w:gridCol w:w="10"/>
        <w:gridCol w:w="21"/>
        <w:gridCol w:w="779"/>
        <w:gridCol w:w="10"/>
        <w:gridCol w:w="16"/>
        <w:gridCol w:w="10"/>
        <w:gridCol w:w="800"/>
        <w:gridCol w:w="10"/>
        <w:gridCol w:w="805"/>
        <w:gridCol w:w="13"/>
      </w:tblGrid>
      <w:tr w:rsidR="00AF4E48" w:rsidRPr="00501ECA" w14:paraId="1552D01B" w14:textId="77777777" w:rsidTr="00EB4FB2">
        <w:trPr>
          <w:gridAfter w:val="1"/>
          <w:wAfter w:w="13" w:type="dxa"/>
          <w:cantSplit/>
          <w:trHeight w:val="20"/>
          <w:tblHeader/>
          <w:jc w:val="center"/>
        </w:trPr>
        <w:tc>
          <w:tcPr>
            <w:tcW w:w="2663" w:type="dxa"/>
            <w:tcBorders>
              <w:left w:val="single" w:sz="4" w:space="0" w:color="auto"/>
            </w:tcBorders>
            <w:shd w:val="clear" w:color="auto" w:fill="8DA9DB"/>
            <w:vAlign w:val="center"/>
          </w:tcPr>
          <w:p w14:paraId="5B2D0C93" w14:textId="05B75D7C" w:rsidR="00AF4E48" w:rsidRPr="00501ECA" w:rsidRDefault="00E83334" w:rsidP="00E83334">
            <w:pPr>
              <w:rPr>
                <w:rFonts w:ascii="Arial Narrow" w:hAnsi="Arial Narrow" w:cs="Arial"/>
                <w:sz w:val="22"/>
                <w:szCs w:val="22"/>
              </w:rPr>
            </w:pPr>
            <w:r w:rsidRPr="00501ECA">
              <w:rPr>
                <w:rFonts w:ascii="Arial Narrow" w:hAnsi="Arial Narrow" w:cs="Arial"/>
                <w:b/>
                <w:bCs/>
                <w:sz w:val="22"/>
                <w:szCs w:val="22"/>
              </w:rPr>
              <w:t>Demographic</w:t>
            </w:r>
          </w:p>
        </w:tc>
        <w:tc>
          <w:tcPr>
            <w:tcW w:w="806" w:type="dxa"/>
            <w:gridSpan w:val="3"/>
            <w:shd w:val="clear" w:color="auto" w:fill="8DA9DB"/>
            <w:vAlign w:val="center"/>
          </w:tcPr>
          <w:p w14:paraId="6A484748" w14:textId="5798D335" w:rsidR="00AF4E48" w:rsidRPr="00501ECA" w:rsidRDefault="002314A5" w:rsidP="00F3113C">
            <w:pPr>
              <w:jc w:val="center"/>
              <w:rPr>
                <w:rFonts w:ascii="Arial Narrow" w:hAnsi="Arial Narrow" w:cs="Arial"/>
                <w:b/>
                <w:bCs/>
                <w:sz w:val="22"/>
                <w:szCs w:val="22"/>
              </w:rPr>
            </w:pPr>
            <w:r>
              <w:rPr>
                <w:rFonts w:ascii="Arial Narrow" w:hAnsi="Arial Narrow" w:cs="Arial"/>
                <w:b/>
                <w:bCs/>
                <w:sz w:val="22"/>
                <w:szCs w:val="22"/>
              </w:rPr>
              <w:t xml:space="preserve">FY20 </w:t>
            </w:r>
            <w:r w:rsidR="00AF4E48" w:rsidRPr="00501ECA">
              <w:rPr>
                <w:rFonts w:ascii="Arial Narrow" w:hAnsi="Arial Narrow" w:cs="Arial"/>
                <w:b/>
                <w:bCs/>
                <w:sz w:val="22"/>
                <w:szCs w:val="22"/>
              </w:rPr>
              <w:t>Count</w:t>
            </w:r>
          </w:p>
        </w:tc>
        <w:tc>
          <w:tcPr>
            <w:tcW w:w="810" w:type="dxa"/>
            <w:gridSpan w:val="4"/>
            <w:shd w:val="clear" w:color="auto" w:fill="8DA9DB"/>
            <w:vAlign w:val="center"/>
          </w:tcPr>
          <w:p w14:paraId="71E373DD" w14:textId="11A5C70B" w:rsidR="00AF4E48" w:rsidRPr="00501ECA" w:rsidRDefault="002314A5" w:rsidP="00F3113C">
            <w:pPr>
              <w:jc w:val="center"/>
              <w:rPr>
                <w:rFonts w:ascii="Arial Narrow" w:hAnsi="Arial Narrow" w:cs="Arial"/>
                <w:b/>
                <w:bCs/>
                <w:sz w:val="22"/>
                <w:szCs w:val="22"/>
              </w:rPr>
            </w:pPr>
            <w:r>
              <w:rPr>
                <w:rFonts w:ascii="Arial Narrow" w:hAnsi="Arial Narrow" w:cs="Arial"/>
                <w:b/>
                <w:bCs/>
                <w:sz w:val="22"/>
                <w:szCs w:val="22"/>
              </w:rPr>
              <w:t xml:space="preserve">FY20 </w:t>
            </w:r>
            <w:r w:rsidR="00AF4E48" w:rsidRPr="00501ECA">
              <w:rPr>
                <w:rFonts w:ascii="Arial Narrow" w:hAnsi="Arial Narrow" w:cs="Arial"/>
                <w:b/>
                <w:bCs/>
                <w:sz w:val="22"/>
                <w:szCs w:val="22"/>
              </w:rPr>
              <w:t>%</w:t>
            </w:r>
          </w:p>
        </w:tc>
        <w:tc>
          <w:tcPr>
            <w:tcW w:w="900" w:type="dxa"/>
            <w:gridSpan w:val="3"/>
            <w:shd w:val="clear" w:color="auto" w:fill="8DA9DB"/>
            <w:vAlign w:val="center"/>
          </w:tcPr>
          <w:p w14:paraId="3DE0D5E7" w14:textId="154B8EF2" w:rsidR="00AF4E48" w:rsidRPr="00501ECA" w:rsidRDefault="0078426F" w:rsidP="00F3113C">
            <w:pPr>
              <w:jc w:val="center"/>
              <w:rPr>
                <w:rFonts w:ascii="Arial Narrow" w:hAnsi="Arial Narrow" w:cs="Arial"/>
                <w:b/>
                <w:bCs/>
                <w:sz w:val="22"/>
                <w:szCs w:val="22"/>
              </w:rPr>
            </w:pPr>
            <w:r>
              <w:rPr>
                <w:rFonts w:ascii="Arial Narrow" w:hAnsi="Arial Narrow" w:cs="Arial"/>
                <w:b/>
                <w:bCs/>
                <w:sz w:val="22"/>
                <w:szCs w:val="22"/>
              </w:rPr>
              <w:t xml:space="preserve">FY21 </w:t>
            </w:r>
            <w:r w:rsidR="00AF4E48" w:rsidRPr="00501ECA">
              <w:rPr>
                <w:rFonts w:ascii="Arial Narrow" w:hAnsi="Arial Narrow" w:cs="Arial"/>
                <w:b/>
                <w:bCs/>
                <w:sz w:val="22"/>
                <w:szCs w:val="22"/>
              </w:rPr>
              <w:t>Count</w:t>
            </w:r>
          </w:p>
        </w:tc>
        <w:tc>
          <w:tcPr>
            <w:tcW w:w="810" w:type="dxa"/>
            <w:gridSpan w:val="3"/>
            <w:shd w:val="clear" w:color="auto" w:fill="8DA9DB"/>
            <w:vAlign w:val="center"/>
          </w:tcPr>
          <w:p w14:paraId="757AD90E" w14:textId="4A68687F" w:rsidR="00AF4E48" w:rsidRPr="00501ECA" w:rsidRDefault="0078426F" w:rsidP="00F3113C">
            <w:pPr>
              <w:jc w:val="center"/>
              <w:rPr>
                <w:rFonts w:ascii="Arial Narrow" w:hAnsi="Arial Narrow" w:cs="Arial"/>
                <w:b/>
                <w:bCs/>
                <w:sz w:val="22"/>
                <w:szCs w:val="22"/>
              </w:rPr>
            </w:pPr>
            <w:r>
              <w:rPr>
                <w:rFonts w:ascii="Arial Narrow" w:hAnsi="Arial Narrow" w:cs="Arial"/>
                <w:b/>
                <w:bCs/>
                <w:sz w:val="22"/>
                <w:szCs w:val="22"/>
              </w:rPr>
              <w:t xml:space="preserve">FY21 </w:t>
            </w:r>
            <w:r w:rsidR="00AF4E48" w:rsidRPr="00501ECA">
              <w:rPr>
                <w:rFonts w:ascii="Arial Narrow" w:hAnsi="Arial Narrow" w:cs="Arial"/>
                <w:b/>
                <w:bCs/>
                <w:sz w:val="22"/>
                <w:szCs w:val="22"/>
              </w:rPr>
              <w:t>%</w:t>
            </w:r>
          </w:p>
        </w:tc>
        <w:tc>
          <w:tcPr>
            <w:tcW w:w="900" w:type="dxa"/>
            <w:gridSpan w:val="4"/>
            <w:shd w:val="clear" w:color="auto" w:fill="8DA9DB"/>
            <w:vAlign w:val="center"/>
          </w:tcPr>
          <w:p w14:paraId="04E5DBA3" w14:textId="646B68F4" w:rsidR="00AF4E48" w:rsidRPr="00501ECA" w:rsidRDefault="0078426F" w:rsidP="00F3113C">
            <w:pPr>
              <w:jc w:val="center"/>
              <w:rPr>
                <w:rFonts w:ascii="Arial Narrow" w:hAnsi="Arial Narrow" w:cs="Arial"/>
                <w:b/>
                <w:bCs/>
                <w:sz w:val="22"/>
                <w:szCs w:val="22"/>
              </w:rPr>
            </w:pPr>
            <w:r>
              <w:rPr>
                <w:rFonts w:ascii="Arial Narrow" w:hAnsi="Arial Narrow" w:cs="Arial"/>
                <w:b/>
                <w:bCs/>
                <w:sz w:val="22"/>
                <w:szCs w:val="22"/>
              </w:rPr>
              <w:t xml:space="preserve">FY22 </w:t>
            </w:r>
            <w:r w:rsidR="00AF4E48" w:rsidRPr="00501ECA">
              <w:rPr>
                <w:rFonts w:ascii="Arial Narrow" w:hAnsi="Arial Narrow" w:cs="Arial"/>
                <w:b/>
                <w:bCs/>
                <w:sz w:val="22"/>
                <w:szCs w:val="22"/>
              </w:rPr>
              <w:t>Count</w:t>
            </w:r>
          </w:p>
        </w:tc>
        <w:tc>
          <w:tcPr>
            <w:tcW w:w="810" w:type="dxa"/>
            <w:gridSpan w:val="3"/>
            <w:shd w:val="clear" w:color="auto" w:fill="8DA9DB"/>
            <w:vAlign w:val="center"/>
          </w:tcPr>
          <w:p w14:paraId="01279EE9" w14:textId="14EC3736" w:rsidR="00AF4E48" w:rsidRPr="00501ECA" w:rsidRDefault="0078426F" w:rsidP="00F3113C">
            <w:pPr>
              <w:jc w:val="center"/>
              <w:rPr>
                <w:rFonts w:ascii="Arial Narrow" w:hAnsi="Arial Narrow" w:cs="Arial"/>
                <w:b/>
                <w:bCs/>
                <w:sz w:val="22"/>
                <w:szCs w:val="22"/>
              </w:rPr>
            </w:pPr>
            <w:r>
              <w:rPr>
                <w:rFonts w:ascii="Arial Narrow" w:hAnsi="Arial Narrow" w:cs="Arial"/>
                <w:b/>
                <w:bCs/>
                <w:sz w:val="22"/>
                <w:szCs w:val="22"/>
              </w:rPr>
              <w:t xml:space="preserve">FY22 </w:t>
            </w:r>
            <w:r w:rsidR="00AF4E48" w:rsidRPr="00501ECA">
              <w:rPr>
                <w:rFonts w:ascii="Arial Narrow" w:hAnsi="Arial Narrow" w:cs="Arial"/>
                <w:b/>
                <w:bCs/>
                <w:sz w:val="22"/>
                <w:szCs w:val="22"/>
              </w:rPr>
              <w:t>%</w:t>
            </w:r>
          </w:p>
        </w:tc>
        <w:tc>
          <w:tcPr>
            <w:tcW w:w="836" w:type="dxa"/>
            <w:gridSpan w:val="4"/>
            <w:shd w:val="clear" w:color="auto" w:fill="8DA9DB"/>
            <w:vAlign w:val="center"/>
          </w:tcPr>
          <w:p w14:paraId="680807F1" w14:textId="66AAB536" w:rsidR="00AF4E48" w:rsidRPr="00501ECA" w:rsidRDefault="0078426F" w:rsidP="00F3113C">
            <w:pPr>
              <w:jc w:val="center"/>
              <w:rPr>
                <w:rFonts w:ascii="Arial Narrow" w:hAnsi="Arial Narrow" w:cs="Arial"/>
                <w:b/>
                <w:bCs/>
                <w:sz w:val="22"/>
                <w:szCs w:val="22"/>
              </w:rPr>
            </w:pPr>
            <w:r w:rsidRPr="00501ECA">
              <w:rPr>
                <w:rFonts w:ascii="Arial Narrow" w:hAnsi="Arial Narrow" w:cs="Arial"/>
                <w:b/>
                <w:bCs/>
                <w:sz w:val="22"/>
                <w:szCs w:val="22"/>
              </w:rPr>
              <w:t>FY23 YT</w:t>
            </w:r>
            <w:r>
              <w:rPr>
                <w:rFonts w:ascii="Arial Narrow" w:hAnsi="Arial Narrow" w:cs="Arial"/>
                <w:b/>
                <w:bCs/>
                <w:sz w:val="22"/>
                <w:szCs w:val="22"/>
              </w:rPr>
              <w:t>D</w:t>
            </w:r>
            <w:bookmarkStart w:id="1" w:name="_Ref141341924"/>
            <w:r w:rsidRPr="00501ECA">
              <w:rPr>
                <w:rStyle w:val="FootnoteReference"/>
                <w:rFonts w:ascii="Arial Narrow" w:hAnsi="Arial Narrow" w:cs="Arial"/>
                <w:b/>
                <w:bCs/>
                <w:sz w:val="22"/>
                <w:szCs w:val="22"/>
              </w:rPr>
              <w:footnoteReference w:id="6"/>
            </w:r>
            <w:bookmarkEnd w:id="1"/>
            <w:r>
              <w:rPr>
                <w:rFonts w:ascii="Arial Narrow" w:hAnsi="Arial Narrow" w:cs="Arial"/>
                <w:b/>
                <w:bCs/>
                <w:sz w:val="22"/>
                <w:szCs w:val="22"/>
              </w:rPr>
              <w:t xml:space="preserve"> </w:t>
            </w:r>
            <w:r w:rsidR="00AF4E48" w:rsidRPr="00501ECA">
              <w:rPr>
                <w:rFonts w:ascii="Arial Narrow" w:hAnsi="Arial Narrow" w:cs="Arial"/>
                <w:b/>
                <w:bCs/>
                <w:sz w:val="22"/>
                <w:szCs w:val="22"/>
              </w:rPr>
              <w:t>Count</w:t>
            </w:r>
          </w:p>
        </w:tc>
        <w:tc>
          <w:tcPr>
            <w:tcW w:w="815" w:type="dxa"/>
            <w:gridSpan w:val="2"/>
            <w:tcBorders>
              <w:right w:val="single" w:sz="4" w:space="0" w:color="auto"/>
            </w:tcBorders>
            <w:shd w:val="clear" w:color="auto" w:fill="8DA9DB"/>
            <w:vAlign w:val="center"/>
          </w:tcPr>
          <w:p w14:paraId="17258458" w14:textId="7C4C5B0B" w:rsidR="00AF4E48" w:rsidRPr="00501ECA" w:rsidRDefault="008F7794" w:rsidP="00F3113C">
            <w:pPr>
              <w:jc w:val="center"/>
              <w:rPr>
                <w:rFonts w:ascii="Arial Narrow" w:hAnsi="Arial Narrow" w:cs="Arial"/>
                <w:b/>
                <w:bCs/>
                <w:sz w:val="22"/>
                <w:szCs w:val="22"/>
              </w:rPr>
            </w:pPr>
            <w:r w:rsidRPr="00501ECA">
              <w:rPr>
                <w:rFonts w:ascii="Arial Narrow" w:hAnsi="Arial Narrow" w:cs="Arial"/>
                <w:b/>
                <w:bCs/>
                <w:sz w:val="22"/>
                <w:szCs w:val="22"/>
              </w:rPr>
              <w:t>FY23 YT</w:t>
            </w:r>
            <w:r>
              <w:rPr>
                <w:rFonts w:ascii="Arial Narrow" w:hAnsi="Arial Narrow" w:cs="Arial"/>
                <w:b/>
                <w:bCs/>
                <w:sz w:val="22"/>
                <w:szCs w:val="22"/>
              </w:rPr>
              <w:t>D</w:t>
            </w:r>
            <w:r w:rsidR="00790DF6" w:rsidRPr="00790DF6">
              <w:rPr>
                <w:rFonts w:ascii="Arial Narrow" w:hAnsi="Arial Narrow" w:cs="Arial"/>
                <w:b/>
                <w:bCs/>
                <w:sz w:val="16"/>
                <w:szCs w:val="16"/>
              </w:rPr>
              <w:fldChar w:fldCharType="begin"/>
            </w:r>
            <w:r w:rsidR="00790DF6" w:rsidRPr="00790DF6">
              <w:rPr>
                <w:rFonts w:ascii="Arial Narrow" w:hAnsi="Arial Narrow" w:cs="Arial"/>
                <w:b/>
                <w:bCs/>
                <w:sz w:val="16"/>
                <w:szCs w:val="16"/>
              </w:rPr>
              <w:instrText xml:space="preserve"> NOTEREF _Ref141341924 \h  \* MERGEFORMAT </w:instrText>
            </w:r>
            <w:r w:rsidR="00790DF6" w:rsidRPr="00790DF6">
              <w:rPr>
                <w:rFonts w:ascii="Arial Narrow" w:hAnsi="Arial Narrow" w:cs="Arial"/>
                <w:b/>
                <w:bCs/>
                <w:sz w:val="16"/>
                <w:szCs w:val="16"/>
              </w:rPr>
            </w:r>
            <w:r w:rsidR="00790DF6" w:rsidRPr="00790DF6">
              <w:rPr>
                <w:rFonts w:ascii="Arial Narrow" w:hAnsi="Arial Narrow" w:cs="Arial"/>
                <w:b/>
                <w:bCs/>
                <w:sz w:val="16"/>
                <w:szCs w:val="16"/>
              </w:rPr>
              <w:fldChar w:fldCharType="separate"/>
            </w:r>
            <w:r w:rsidR="00790DF6" w:rsidRPr="00790DF6">
              <w:rPr>
                <w:rFonts w:ascii="Arial Narrow" w:hAnsi="Arial Narrow" w:cs="Arial"/>
                <w:b/>
                <w:bCs/>
                <w:sz w:val="16"/>
                <w:szCs w:val="16"/>
              </w:rPr>
              <w:t>6</w:t>
            </w:r>
            <w:r w:rsidR="00790DF6" w:rsidRPr="00790DF6">
              <w:rPr>
                <w:rFonts w:ascii="Arial Narrow" w:hAnsi="Arial Narrow" w:cs="Arial"/>
                <w:b/>
                <w:bCs/>
                <w:sz w:val="16"/>
                <w:szCs w:val="16"/>
              </w:rPr>
              <w:fldChar w:fldCharType="end"/>
            </w:r>
            <w:r>
              <w:rPr>
                <w:rFonts w:ascii="Arial Narrow" w:hAnsi="Arial Narrow" w:cs="Arial"/>
                <w:b/>
                <w:bCs/>
                <w:sz w:val="22"/>
                <w:szCs w:val="22"/>
              </w:rPr>
              <w:t xml:space="preserve"> </w:t>
            </w:r>
            <w:r w:rsidR="00AF4E48" w:rsidRPr="00501ECA">
              <w:rPr>
                <w:rFonts w:ascii="Arial Narrow" w:hAnsi="Arial Narrow" w:cs="Arial"/>
                <w:b/>
                <w:bCs/>
                <w:sz w:val="22"/>
                <w:szCs w:val="22"/>
              </w:rPr>
              <w:t>%</w:t>
            </w:r>
          </w:p>
        </w:tc>
      </w:tr>
      <w:tr w:rsidR="00F3113C" w:rsidRPr="00501ECA" w14:paraId="1C532C2D" w14:textId="77777777" w:rsidTr="00EB4FB2">
        <w:trPr>
          <w:gridAfter w:val="1"/>
          <w:wAfter w:w="13" w:type="dxa"/>
          <w:cantSplit/>
          <w:trHeight w:val="20"/>
          <w:jc w:val="center"/>
        </w:trPr>
        <w:tc>
          <w:tcPr>
            <w:tcW w:w="2663" w:type="dxa"/>
            <w:tcBorders>
              <w:left w:val="single" w:sz="4" w:space="0" w:color="auto"/>
            </w:tcBorders>
            <w:shd w:val="clear" w:color="auto" w:fill="BFBFBF"/>
            <w:vAlign w:val="center"/>
          </w:tcPr>
          <w:p w14:paraId="25064EC3" w14:textId="77777777" w:rsidR="0047756B" w:rsidRPr="00501ECA" w:rsidRDefault="0047756B" w:rsidP="00F3113C">
            <w:pPr>
              <w:ind w:left="-39"/>
              <w:rPr>
                <w:rFonts w:ascii="Arial Narrow" w:hAnsi="Arial Narrow" w:cs="Arial"/>
                <w:b/>
                <w:bCs/>
                <w:sz w:val="22"/>
                <w:szCs w:val="22"/>
              </w:rPr>
            </w:pPr>
            <w:r w:rsidRPr="00501ECA">
              <w:rPr>
                <w:rFonts w:ascii="Arial Narrow" w:hAnsi="Arial Narrow" w:cs="Arial"/>
                <w:b/>
                <w:bCs/>
                <w:sz w:val="22"/>
                <w:szCs w:val="22"/>
              </w:rPr>
              <w:t>BMC Total Unique Patients</w:t>
            </w:r>
          </w:p>
        </w:tc>
        <w:tc>
          <w:tcPr>
            <w:tcW w:w="806" w:type="dxa"/>
            <w:gridSpan w:val="3"/>
            <w:shd w:val="clear" w:color="auto" w:fill="BFBFBF"/>
            <w:vAlign w:val="center"/>
          </w:tcPr>
          <w:p w14:paraId="7E085618" w14:textId="77777777" w:rsidR="0047756B" w:rsidRPr="00501ECA" w:rsidRDefault="0047756B" w:rsidP="00F3113C">
            <w:pPr>
              <w:ind w:left="-106" w:right="-34"/>
              <w:jc w:val="right"/>
              <w:rPr>
                <w:rFonts w:ascii="Arial Narrow" w:hAnsi="Arial Narrow" w:cs="Arial"/>
                <w:b/>
                <w:bCs/>
                <w:sz w:val="22"/>
                <w:szCs w:val="22"/>
              </w:rPr>
            </w:pPr>
            <w:r w:rsidRPr="00501ECA">
              <w:rPr>
                <w:rFonts w:ascii="Arial Narrow" w:hAnsi="Arial Narrow" w:cs="Arial"/>
                <w:b/>
                <w:bCs/>
                <w:sz w:val="22"/>
                <w:szCs w:val="22"/>
              </w:rPr>
              <w:t>207,237</w:t>
            </w:r>
          </w:p>
        </w:tc>
        <w:tc>
          <w:tcPr>
            <w:tcW w:w="810" w:type="dxa"/>
            <w:gridSpan w:val="4"/>
            <w:shd w:val="clear" w:color="auto" w:fill="BFBFBF"/>
            <w:vAlign w:val="center"/>
          </w:tcPr>
          <w:p w14:paraId="20DBCCF5" w14:textId="77777777" w:rsidR="0047756B" w:rsidRPr="00501ECA" w:rsidRDefault="0047756B" w:rsidP="00F3113C">
            <w:pPr>
              <w:jc w:val="right"/>
              <w:rPr>
                <w:rFonts w:ascii="Arial Narrow" w:hAnsi="Arial Narrow" w:cs="Arial"/>
                <w:b/>
                <w:bCs/>
                <w:sz w:val="22"/>
                <w:szCs w:val="22"/>
              </w:rPr>
            </w:pPr>
          </w:p>
        </w:tc>
        <w:tc>
          <w:tcPr>
            <w:tcW w:w="900" w:type="dxa"/>
            <w:gridSpan w:val="3"/>
            <w:shd w:val="clear" w:color="auto" w:fill="BFBFBF"/>
            <w:vAlign w:val="center"/>
          </w:tcPr>
          <w:p w14:paraId="2B529EC2" w14:textId="77777777" w:rsidR="0047756B" w:rsidRPr="00501ECA" w:rsidRDefault="0047756B" w:rsidP="00F3113C">
            <w:pPr>
              <w:ind w:left="-104" w:right="-19"/>
              <w:jc w:val="right"/>
              <w:rPr>
                <w:rFonts w:ascii="Arial Narrow" w:hAnsi="Arial Narrow" w:cs="Arial"/>
                <w:b/>
                <w:bCs/>
                <w:sz w:val="22"/>
                <w:szCs w:val="22"/>
              </w:rPr>
            </w:pPr>
            <w:r w:rsidRPr="00501ECA">
              <w:rPr>
                <w:rFonts w:ascii="Arial Narrow" w:hAnsi="Arial Narrow" w:cs="Arial"/>
                <w:b/>
                <w:bCs/>
                <w:sz w:val="22"/>
                <w:szCs w:val="22"/>
              </w:rPr>
              <w:t>299,258</w:t>
            </w:r>
          </w:p>
        </w:tc>
        <w:tc>
          <w:tcPr>
            <w:tcW w:w="810" w:type="dxa"/>
            <w:gridSpan w:val="3"/>
            <w:shd w:val="clear" w:color="auto" w:fill="BFBFBF"/>
            <w:vAlign w:val="center"/>
          </w:tcPr>
          <w:p w14:paraId="1BA14475" w14:textId="77777777" w:rsidR="0047756B" w:rsidRPr="00501ECA" w:rsidRDefault="0047756B" w:rsidP="00F3113C">
            <w:pPr>
              <w:jc w:val="right"/>
              <w:rPr>
                <w:rFonts w:ascii="Arial Narrow" w:hAnsi="Arial Narrow" w:cs="Arial"/>
                <w:b/>
                <w:bCs/>
                <w:sz w:val="22"/>
                <w:szCs w:val="22"/>
              </w:rPr>
            </w:pPr>
          </w:p>
        </w:tc>
        <w:tc>
          <w:tcPr>
            <w:tcW w:w="900" w:type="dxa"/>
            <w:gridSpan w:val="4"/>
            <w:shd w:val="clear" w:color="auto" w:fill="BFBFBF"/>
            <w:vAlign w:val="center"/>
          </w:tcPr>
          <w:p w14:paraId="14CBF707" w14:textId="77777777" w:rsidR="0047756B" w:rsidRPr="00501ECA" w:rsidRDefault="00423719" w:rsidP="00F3113C">
            <w:pPr>
              <w:ind w:right="-43"/>
              <w:jc w:val="right"/>
              <w:rPr>
                <w:rFonts w:ascii="Arial Narrow" w:hAnsi="Arial Narrow" w:cs="Arial"/>
                <w:b/>
                <w:bCs/>
                <w:sz w:val="22"/>
                <w:szCs w:val="22"/>
              </w:rPr>
            </w:pPr>
            <w:r>
              <w:rPr>
                <w:rFonts w:ascii="Arial Narrow" w:hAnsi="Arial Narrow" w:cs="Calibri"/>
                <w:b/>
                <w:bCs/>
                <w:sz w:val="22"/>
                <w:szCs w:val="22"/>
              </w:rPr>
              <w:t>278,408</w:t>
            </w:r>
          </w:p>
        </w:tc>
        <w:tc>
          <w:tcPr>
            <w:tcW w:w="810" w:type="dxa"/>
            <w:gridSpan w:val="3"/>
            <w:shd w:val="clear" w:color="auto" w:fill="BFBFBF"/>
            <w:vAlign w:val="center"/>
          </w:tcPr>
          <w:p w14:paraId="6FD075B2" w14:textId="77777777" w:rsidR="0047756B" w:rsidRPr="00501ECA" w:rsidRDefault="0047756B" w:rsidP="00F3113C">
            <w:pPr>
              <w:jc w:val="right"/>
              <w:rPr>
                <w:rFonts w:ascii="Arial Narrow" w:hAnsi="Arial Narrow" w:cs="Arial"/>
                <w:b/>
                <w:bCs/>
                <w:sz w:val="22"/>
                <w:szCs w:val="22"/>
              </w:rPr>
            </w:pPr>
          </w:p>
        </w:tc>
        <w:tc>
          <w:tcPr>
            <w:tcW w:w="836" w:type="dxa"/>
            <w:gridSpan w:val="4"/>
            <w:shd w:val="clear" w:color="auto" w:fill="BFBFBF"/>
            <w:vAlign w:val="center"/>
          </w:tcPr>
          <w:p w14:paraId="2B4029AC" w14:textId="77777777" w:rsidR="0047756B" w:rsidRPr="00501ECA" w:rsidRDefault="006037FA" w:rsidP="00F3113C">
            <w:pPr>
              <w:ind w:right="-59"/>
              <w:jc w:val="right"/>
              <w:rPr>
                <w:rFonts w:ascii="Arial Narrow" w:hAnsi="Arial Narrow" w:cs="Arial"/>
                <w:b/>
                <w:bCs/>
                <w:sz w:val="22"/>
                <w:szCs w:val="22"/>
              </w:rPr>
            </w:pPr>
            <w:r>
              <w:rPr>
                <w:rFonts w:ascii="Arial Narrow" w:hAnsi="Arial Narrow" w:cs="Arial"/>
                <w:b/>
                <w:bCs/>
                <w:sz w:val="22"/>
                <w:szCs w:val="22"/>
              </w:rPr>
              <w:t>177,685</w:t>
            </w:r>
          </w:p>
        </w:tc>
        <w:tc>
          <w:tcPr>
            <w:tcW w:w="815" w:type="dxa"/>
            <w:gridSpan w:val="2"/>
            <w:tcBorders>
              <w:bottom w:val="single" w:sz="4" w:space="0" w:color="auto"/>
              <w:right w:val="single" w:sz="4" w:space="0" w:color="auto"/>
            </w:tcBorders>
            <w:shd w:val="clear" w:color="auto" w:fill="BFBFBF"/>
            <w:vAlign w:val="center"/>
          </w:tcPr>
          <w:p w14:paraId="578B76A3" w14:textId="77777777" w:rsidR="0047756B" w:rsidRPr="00501ECA" w:rsidRDefault="0047756B" w:rsidP="00F3113C">
            <w:pPr>
              <w:jc w:val="right"/>
              <w:rPr>
                <w:rFonts w:ascii="Arial Narrow" w:hAnsi="Arial Narrow" w:cs="Arial"/>
                <w:b/>
                <w:bCs/>
                <w:sz w:val="22"/>
                <w:szCs w:val="22"/>
              </w:rPr>
            </w:pPr>
          </w:p>
        </w:tc>
      </w:tr>
      <w:tr w:rsidR="00EB4FB2" w:rsidRPr="00501ECA" w14:paraId="4D0B467B" w14:textId="77777777" w:rsidTr="00EB4FB2">
        <w:trPr>
          <w:gridAfter w:val="1"/>
          <w:wAfter w:w="13" w:type="dxa"/>
          <w:cantSplit/>
          <w:trHeight w:val="20"/>
          <w:jc w:val="center"/>
        </w:trPr>
        <w:tc>
          <w:tcPr>
            <w:tcW w:w="2672" w:type="dxa"/>
            <w:gridSpan w:val="2"/>
            <w:tcBorders>
              <w:left w:val="single" w:sz="4" w:space="0" w:color="auto"/>
              <w:right w:val="nil"/>
            </w:tcBorders>
            <w:shd w:val="clear" w:color="auto" w:fill="D9E2F3" w:themeFill="accent1" w:themeFillTint="33"/>
            <w:vAlign w:val="center"/>
          </w:tcPr>
          <w:p w14:paraId="17673BEA" w14:textId="77777777" w:rsidR="00EB4FB2" w:rsidRPr="00501ECA" w:rsidRDefault="00EB4FB2" w:rsidP="00EB4FB2">
            <w:pPr>
              <w:ind w:left="-39"/>
              <w:rPr>
                <w:rFonts w:ascii="Arial Narrow" w:hAnsi="Arial Narrow" w:cs="Arial"/>
                <w:b/>
                <w:bCs/>
                <w:sz w:val="22"/>
                <w:szCs w:val="22"/>
              </w:rPr>
            </w:pPr>
            <w:r w:rsidRPr="00501ECA">
              <w:rPr>
                <w:rFonts w:ascii="Arial Narrow" w:hAnsi="Arial Narrow" w:cs="Arial"/>
                <w:b/>
                <w:bCs/>
                <w:sz w:val="22"/>
                <w:szCs w:val="22"/>
              </w:rPr>
              <w:t>Gender</w:t>
            </w:r>
          </w:p>
        </w:tc>
        <w:tc>
          <w:tcPr>
            <w:tcW w:w="807" w:type="dxa"/>
            <w:gridSpan w:val="3"/>
            <w:tcBorders>
              <w:left w:val="nil"/>
              <w:right w:val="nil"/>
            </w:tcBorders>
            <w:shd w:val="clear" w:color="auto" w:fill="D9E2F3"/>
            <w:vAlign w:val="center"/>
          </w:tcPr>
          <w:p w14:paraId="6E723B80" w14:textId="14D33AF1" w:rsidR="00EB4FB2" w:rsidRPr="00EB4FB2" w:rsidRDefault="00EB4FB2" w:rsidP="00EB4FB2">
            <w:pPr>
              <w:ind w:left="-39"/>
              <w:rPr>
                <w:rFonts w:ascii="Arial Narrow" w:hAnsi="Arial Narrow" w:cs="Arial"/>
                <w:color w:val="D9E2F3"/>
                <w:sz w:val="22"/>
                <w:szCs w:val="22"/>
              </w:rPr>
            </w:pPr>
            <w:r w:rsidRPr="00EB4FB2">
              <w:rPr>
                <w:rFonts w:ascii="Arial Narrow" w:hAnsi="Arial Narrow" w:cs="Arial"/>
                <w:color w:val="D9E2F3"/>
                <w:sz w:val="22"/>
                <w:szCs w:val="22"/>
              </w:rPr>
              <w:t>blank</w:t>
            </w:r>
          </w:p>
        </w:tc>
        <w:tc>
          <w:tcPr>
            <w:tcW w:w="810" w:type="dxa"/>
            <w:gridSpan w:val="4"/>
            <w:tcBorders>
              <w:left w:val="nil"/>
              <w:right w:val="nil"/>
            </w:tcBorders>
            <w:shd w:val="clear" w:color="auto" w:fill="D9E2F3" w:themeFill="accent1" w:themeFillTint="33"/>
            <w:vAlign w:val="center"/>
          </w:tcPr>
          <w:p w14:paraId="2F617FE2" w14:textId="701ECAEA"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900" w:type="dxa"/>
            <w:gridSpan w:val="3"/>
            <w:tcBorders>
              <w:left w:val="nil"/>
              <w:right w:val="nil"/>
            </w:tcBorders>
            <w:shd w:val="clear" w:color="auto" w:fill="D9E2F3" w:themeFill="accent1" w:themeFillTint="33"/>
            <w:vAlign w:val="center"/>
          </w:tcPr>
          <w:p w14:paraId="4A73C79C" w14:textId="685B6EF0"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3"/>
            <w:tcBorders>
              <w:left w:val="nil"/>
              <w:right w:val="nil"/>
            </w:tcBorders>
            <w:shd w:val="clear" w:color="auto" w:fill="D9E2F3" w:themeFill="accent1" w:themeFillTint="33"/>
            <w:vAlign w:val="center"/>
          </w:tcPr>
          <w:p w14:paraId="56BD8296" w14:textId="16BBD7D0"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900" w:type="dxa"/>
            <w:gridSpan w:val="4"/>
            <w:tcBorders>
              <w:left w:val="nil"/>
              <w:right w:val="nil"/>
            </w:tcBorders>
            <w:shd w:val="clear" w:color="auto" w:fill="D9E2F3" w:themeFill="accent1" w:themeFillTint="33"/>
            <w:vAlign w:val="center"/>
          </w:tcPr>
          <w:p w14:paraId="3F47A94E" w14:textId="3F530C3F"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3"/>
            <w:tcBorders>
              <w:left w:val="nil"/>
              <w:right w:val="nil"/>
            </w:tcBorders>
            <w:shd w:val="clear" w:color="auto" w:fill="D9E2F3" w:themeFill="accent1" w:themeFillTint="33"/>
            <w:vAlign w:val="center"/>
          </w:tcPr>
          <w:p w14:paraId="3B36F5FE" w14:textId="7009A3E0"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26" w:type="dxa"/>
            <w:gridSpan w:val="3"/>
            <w:tcBorders>
              <w:left w:val="nil"/>
              <w:right w:val="nil"/>
            </w:tcBorders>
            <w:shd w:val="clear" w:color="auto" w:fill="D9E2F3" w:themeFill="accent1" w:themeFillTint="33"/>
            <w:vAlign w:val="center"/>
          </w:tcPr>
          <w:p w14:paraId="4687F740" w14:textId="3CE0C428"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5" w:type="dxa"/>
            <w:gridSpan w:val="2"/>
            <w:tcBorders>
              <w:left w:val="nil"/>
              <w:right w:val="single" w:sz="4" w:space="0" w:color="auto"/>
            </w:tcBorders>
            <w:shd w:val="clear" w:color="auto" w:fill="D9E2F3" w:themeFill="accent1" w:themeFillTint="33"/>
            <w:vAlign w:val="center"/>
          </w:tcPr>
          <w:p w14:paraId="3DD26F79" w14:textId="15D20F12"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r>
      <w:tr w:rsidR="00744B30" w:rsidRPr="00501ECA" w14:paraId="5687494E" w14:textId="77777777" w:rsidTr="00EB4FB2">
        <w:trPr>
          <w:gridAfter w:val="1"/>
          <w:wAfter w:w="13" w:type="dxa"/>
          <w:cantSplit/>
          <w:trHeight w:val="20"/>
          <w:jc w:val="center"/>
        </w:trPr>
        <w:tc>
          <w:tcPr>
            <w:tcW w:w="2663" w:type="dxa"/>
            <w:tcBorders>
              <w:left w:val="single" w:sz="4" w:space="0" w:color="auto"/>
            </w:tcBorders>
            <w:vAlign w:val="center"/>
          </w:tcPr>
          <w:p w14:paraId="449BA823"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Female</w:t>
            </w:r>
          </w:p>
        </w:tc>
        <w:tc>
          <w:tcPr>
            <w:tcW w:w="806" w:type="dxa"/>
            <w:gridSpan w:val="3"/>
            <w:vAlign w:val="center"/>
          </w:tcPr>
          <w:p w14:paraId="228E1D2F" w14:textId="77777777" w:rsidR="0047756B" w:rsidRPr="00501ECA" w:rsidRDefault="0047756B" w:rsidP="00F3113C">
            <w:pPr>
              <w:ind w:left="-116" w:right="-24"/>
              <w:jc w:val="right"/>
              <w:rPr>
                <w:rFonts w:ascii="Arial Narrow" w:hAnsi="Arial Narrow" w:cs="Arial"/>
                <w:sz w:val="22"/>
                <w:szCs w:val="22"/>
              </w:rPr>
            </w:pPr>
            <w:r w:rsidRPr="00501ECA">
              <w:rPr>
                <w:rFonts w:ascii="Arial Narrow" w:hAnsi="Arial Narrow" w:cs="Arial"/>
                <w:sz w:val="22"/>
                <w:szCs w:val="22"/>
              </w:rPr>
              <w:t xml:space="preserve">115,932 </w:t>
            </w:r>
          </w:p>
        </w:tc>
        <w:tc>
          <w:tcPr>
            <w:tcW w:w="810" w:type="dxa"/>
            <w:gridSpan w:val="4"/>
            <w:vAlign w:val="center"/>
          </w:tcPr>
          <w:p w14:paraId="41025F14" w14:textId="77777777" w:rsidR="0047756B" w:rsidRPr="00501ECA" w:rsidRDefault="0047756B" w:rsidP="00F3113C">
            <w:pPr>
              <w:jc w:val="right"/>
              <w:rPr>
                <w:rFonts w:ascii="Arial Narrow" w:hAnsi="Arial Narrow" w:cs="Arial"/>
                <w:sz w:val="22"/>
                <w:szCs w:val="22"/>
              </w:rPr>
            </w:pPr>
            <w:r w:rsidRPr="00501ECA">
              <w:rPr>
                <w:rFonts w:ascii="Arial Narrow" w:hAnsi="Arial Narrow" w:cs="Arial"/>
                <w:sz w:val="22"/>
                <w:szCs w:val="22"/>
              </w:rPr>
              <w:t>55.9%</w:t>
            </w:r>
          </w:p>
        </w:tc>
        <w:tc>
          <w:tcPr>
            <w:tcW w:w="900" w:type="dxa"/>
            <w:gridSpan w:val="3"/>
            <w:vAlign w:val="center"/>
          </w:tcPr>
          <w:p w14:paraId="1306554A"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Arial"/>
                <w:sz w:val="22"/>
                <w:szCs w:val="22"/>
              </w:rPr>
              <w:t xml:space="preserve">164,952 </w:t>
            </w:r>
          </w:p>
        </w:tc>
        <w:tc>
          <w:tcPr>
            <w:tcW w:w="810" w:type="dxa"/>
            <w:gridSpan w:val="3"/>
            <w:vAlign w:val="center"/>
          </w:tcPr>
          <w:p w14:paraId="7502B53F" w14:textId="77777777" w:rsidR="0047756B" w:rsidRPr="00501ECA" w:rsidRDefault="0047756B" w:rsidP="00F3113C">
            <w:pPr>
              <w:jc w:val="right"/>
              <w:rPr>
                <w:rFonts w:ascii="Arial Narrow" w:hAnsi="Arial Narrow" w:cs="Arial"/>
                <w:sz w:val="22"/>
                <w:szCs w:val="22"/>
              </w:rPr>
            </w:pPr>
            <w:r w:rsidRPr="00501ECA">
              <w:rPr>
                <w:rFonts w:ascii="Arial Narrow" w:hAnsi="Arial Narrow" w:cs="Arial"/>
                <w:sz w:val="22"/>
                <w:szCs w:val="22"/>
              </w:rPr>
              <w:t>55.1%</w:t>
            </w:r>
          </w:p>
        </w:tc>
        <w:tc>
          <w:tcPr>
            <w:tcW w:w="900" w:type="dxa"/>
            <w:gridSpan w:val="4"/>
            <w:shd w:val="clear" w:color="auto" w:fill="auto"/>
            <w:vAlign w:val="center"/>
          </w:tcPr>
          <w:p w14:paraId="03F02907" w14:textId="77777777" w:rsidR="0047756B" w:rsidRPr="00B55C9C" w:rsidRDefault="00423719" w:rsidP="00F3113C">
            <w:pPr>
              <w:ind w:right="-43"/>
              <w:jc w:val="right"/>
              <w:rPr>
                <w:rFonts w:ascii="Arial Narrow" w:hAnsi="Arial Narrow" w:cs="Arial"/>
                <w:sz w:val="22"/>
                <w:szCs w:val="22"/>
              </w:rPr>
            </w:pPr>
            <w:r w:rsidRPr="00B55C9C">
              <w:rPr>
                <w:rFonts w:ascii="Arial Narrow" w:hAnsi="Arial Narrow" w:cs="Arial"/>
                <w:sz w:val="22"/>
                <w:szCs w:val="22"/>
              </w:rPr>
              <w:t>154,683</w:t>
            </w:r>
          </w:p>
        </w:tc>
        <w:tc>
          <w:tcPr>
            <w:tcW w:w="810" w:type="dxa"/>
            <w:gridSpan w:val="3"/>
            <w:shd w:val="clear" w:color="auto" w:fill="auto"/>
            <w:vAlign w:val="center"/>
          </w:tcPr>
          <w:p w14:paraId="2F629DD4" w14:textId="77777777" w:rsidR="0047756B" w:rsidRPr="00B55C9C" w:rsidRDefault="00423719" w:rsidP="00F3113C">
            <w:pPr>
              <w:jc w:val="right"/>
              <w:rPr>
                <w:rFonts w:ascii="Arial Narrow" w:hAnsi="Arial Narrow" w:cs="Arial"/>
                <w:sz w:val="22"/>
                <w:szCs w:val="22"/>
              </w:rPr>
            </w:pPr>
            <w:r w:rsidRPr="00B55C9C">
              <w:rPr>
                <w:rFonts w:ascii="Arial Narrow" w:hAnsi="Arial Narrow" w:cs="Arial"/>
                <w:sz w:val="22"/>
                <w:szCs w:val="22"/>
              </w:rPr>
              <w:t>55.6%</w:t>
            </w:r>
          </w:p>
        </w:tc>
        <w:tc>
          <w:tcPr>
            <w:tcW w:w="836" w:type="dxa"/>
            <w:gridSpan w:val="4"/>
            <w:shd w:val="clear" w:color="auto" w:fill="auto"/>
            <w:vAlign w:val="center"/>
          </w:tcPr>
          <w:p w14:paraId="754D8EE7"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102,078</w:t>
            </w:r>
          </w:p>
        </w:tc>
        <w:tc>
          <w:tcPr>
            <w:tcW w:w="815" w:type="dxa"/>
            <w:gridSpan w:val="2"/>
            <w:tcBorders>
              <w:right w:val="single" w:sz="4" w:space="0" w:color="auto"/>
            </w:tcBorders>
            <w:shd w:val="clear" w:color="auto" w:fill="auto"/>
            <w:vAlign w:val="center"/>
          </w:tcPr>
          <w:p w14:paraId="3B70194C" w14:textId="77777777" w:rsidR="0047756B" w:rsidRPr="00744B30" w:rsidRDefault="009254C0" w:rsidP="00F3113C">
            <w:pPr>
              <w:jc w:val="right"/>
              <w:rPr>
                <w:rFonts w:ascii="Arial Narrow" w:hAnsi="Arial Narrow" w:cs="Arial"/>
                <w:sz w:val="22"/>
                <w:szCs w:val="22"/>
              </w:rPr>
            </w:pPr>
            <w:r w:rsidRPr="00744B30">
              <w:rPr>
                <w:rFonts w:ascii="Arial Narrow" w:hAnsi="Arial Narrow" w:cs="Arial"/>
                <w:sz w:val="22"/>
                <w:szCs w:val="22"/>
              </w:rPr>
              <w:t>57.4%</w:t>
            </w:r>
          </w:p>
        </w:tc>
      </w:tr>
      <w:tr w:rsidR="00744B30" w:rsidRPr="00501ECA" w14:paraId="4836DA42" w14:textId="77777777" w:rsidTr="00EB4FB2">
        <w:trPr>
          <w:gridAfter w:val="1"/>
          <w:wAfter w:w="13" w:type="dxa"/>
          <w:cantSplit/>
          <w:trHeight w:val="20"/>
          <w:jc w:val="center"/>
        </w:trPr>
        <w:tc>
          <w:tcPr>
            <w:tcW w:w="2663" w:type="dxa"/>
            <w:tcBorders>
              <w:left w:val="single" w:sz="4" w:space="0" w:color="auto"/>
            </w:tcBorders>
            <w:vAlign w:val="center"/>
          </w:tcPr>
          <w:p w14:paraId="1F14273B"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Male</w:t>
            </w:r>
          </w:p>
        </w:tc>
        <w:tc>
          <w:tcPr>
            <w:tcW w:w="806" w:type="dxa"/>
            <w:gridSpan w:val="3"/>
            <w:vAlign w:val="center"/>
          </w:tcPr>
          <w:p w14:paraId="6331B981" w14:textId="77777777" w:rsidR="0047756B" w:rsidRPr="00501ECA" w:rsidRDefault="0047756B" w:rsidP="00F3113C">
            <w:pPr>
              <w:ind w:left="-116" w:right="-24"/>
              <w:jc w:val="right"/>
              <w:rPr>
                <w:rFonts w:ascii="Arial Narrow" w:hAnsi="Arial Narrow" w:cs="Arial"/>
                <w:sz w:val="22"/>
                <w:szCs w:val="22"/>
              </w:rPr>
            </w:pPr>
            <w:r w:rsidRPr="00501ECA">
              <w:rPr>
                <w:rFonts w:ascii="Arial Narrow" w:hAnsi="Arial Narrow" w:cs="Arial"/>
                <w:sz w:val="22"/>
                <w:szCs w:val="22"/>
              </w:rPr>
              <w:t xml:space="preserve">91,146 </w:t>
            </w:r>
          </w:p>
        </w:tc>
        <w:tc>
          <w:tcPr>
            <w:tcW w:w="810" w:type="dxa"/>
            <w:gridSpan w:val="4"/>
            <w:vAlign w:val="center"/>
          </w:tcPr>
          <w:p w14:paraId="05A6771D" w14:textId="77777777" w:rsidR="0047756B" w:rsidRPr="00501ECA" w:rsidRDefault="0047756B" w:rsidP="00F3113C">
            <w:pPr>
              <w:jc w:val="right"/>
              <w:rPr>
                <w:rFonts w:ascii="Arial Narrow" w:hAnsi="Arial Narrow" w:cs="Arial"/>
                <w:sz w:val="22"/>
                <w:szCs w:val="22"/>
              </w:rPr>
            </w:pPr>
            <w:r w:rsidRPr="00501ECA">
              <w:rPr>
                <w:rFonts w:ascii="Arial Narrow" w:hAnsi="Arial Narrow" w:cs="Arial"/>
                <w:sz w:val="22"/>
                <w:szCs w:val="22"/>
              </w:rPr>
              <w:t>44.0%</w:t>
            </w:r>
          </w:p>
        </w:tc>
        <w:tc>
          <w:tcPr>
            <w:tcW w:w="900" w:type="dxa"/>
            <w:gridSpan w:val="3"/>
            <w:vAlign w:val="center"/>
          </w:tcPr>
          <w:p w14:paraId="5E344091"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Arial"/>
                <w:sz w:val="22"/>
                <w:szCs w:val="22"/>
              </w:rPr>
              <w:t xml:space="preserve">134,146 </w:t>
            </w:r>
          </w:p>
        </w:tc>
        <w:tc>
          <w:tcPr>
            <w:tcW w:w="810" w:type="dxa"/>
            <w:gridSpan w:val="3"/>
            <w:vAlign w:val="center"/>
          </w:tcPr>
          <w:p w14:paraId="159DDAE3" w14:textId="77777777" w:rsidR="0047756B" w:rsidRPr="00501ECA" w:rsidRDefault="0047756B" w:rsidP="00F3113C">
            <w:pPr>
              <w:jc w:val="right"/>
              <w:rPr>
                <w:rFonts w:ascii="Arial Narrow" w:hAnsi="Arial Narrow" w:cs="Arial"/>
                <w:sz w:val="22"/>
                <w:szCs w:val="22"/>
              </w:rPr>
            </w:pPr>
            <w:r w:rsidRPr="00501ECA">
              <w:rPr>
                <w:rFonts w:ascii="Arial Narrow" w:hAnsi="Arial Narrow" w:cs="Arial"/>
                <w:sz w:val="22"/>
                <w:szCs w:val="22"/>
              </w:rPr>
              <w:t>44.8%</w:t>
            </w:r>
          </w:p>
        </w:tc>
        <w:tc>
          <w:tcPr>
            <w:tcW w:w="900" w:type="dxa"/>
            <w:gridSpan w:val="4"/>
            <w:shd w:val="clear" w:color="auto" w:fill="auto"/>
            <w:vAlign w:val="center"/>
          </w:tcPr>
          <w:p w14:paraId="63E2F2A1" w14:textId="77777777" w:rsidR="0047756B" w:rsidRPr="00B55C9C" w:rsidRDefault="00423719" w:rsidP="00F3113C">
            <w:pPr>
              <w:ind w:right="-43"/>
              <w:jc w:val="right"/>
              <w:rPr>
                <w:rFonts w:ascii="Arial Narrow" w:hAnsi="Arial Narrow" w:cs="Arial"/>
                <w:sz w:val="22"/>
                <w:szCs w:val="22"/>
              </w:rPr>
            </w:pPr>
            <w:r w:rsidRPr="00B55C9C">
              <w:rPr>
                <w:rFonts w:ascii="Arial Narrow" w:hAnsi="Arial Narrow" w:cs="Arial"/>
                <w:sz w:val="22"/>
                <w:szCs w:val="22"/>
              </w:rPr>
              <w:t>123,673</w:t>
            </w:r>
          </w:p>
        </w:tc>
        <w:tc>
          <w:tcPr>
            <w:tcW w:w="810" w:type="dxa"/>
            <w:gridSpan w:val="3"/>
            <w:shd w:val="clear" w:color="auto" w:fill="auto"/>
            <w:vAlign w:val="center"/>
          </w:tcPr>
          <w:p w14:paraId="14830539" w14:textId="77777777" w:rsidR="0047756B" w:rsidRPr="00B55C9C" w:rsidRDefault="00423719" w:rsidP="00F3113C">
            <w:pPr>
              <w:jc w:val="right"/>
              <w:rPr>
                <w:rFonts w:ascii="Arial Narrow" w:hAnsi="Arial Narrow" w:cs="Arial"/>
                <w:sz w:val="22"/>
                <w:szCs w:val="22"/>
              </w:rPr>
            </w:pPr>
            <w:r w:rsidRPr="00B55C9C">
              <w:rPr>
                <w:rFonts w:ascii="Arial Narrow" w:hAnsi="Arial Narrow" w:cs="Arial"/>
                <w:sz w:val="22"/>
                <w:szCs w:val="22"/>
              </w:rPr>
              <w:t>44.4%</w:t>
            </w:r>
          </w:p>
        </w:tc>
        <w:tc>
          <w:tcPr>
            <w:tcW w:w="836" w:type="dxa"/>
            <w:gridSpan w:val="4"/>
            <w:shd w:val="clear" w:color="auto" w:fill="auto"/>
            <w:vAlign w:val="center"/>
          </w:tcPr>
          <w:p w14:paraId="016C236B"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75,515</w:t>
            </w:r>
          </w:p>
        </w:tc>
        <w:tc>
          <w:tcPr>
            <w:tcW w:w="815" w:type="dxa"/>
            <w:gridSpan w:val="2"/>
            <w:tcBorders>
              <w:right w:val="single" w:sz="4" w:space="0" w:color="auto"/>
            </w:tcBorders>
            <w:shd w:val="clear" w:color="auto" w:fill="auto"/>
            <w:vAlign w:val="center"/>
          </w:tcPr>
          <w:p w14:paraId="2C976CD4" w14:textId="77777777" w:rsidR="0047756B" w:rsidRPr="00744B30" w:rsidRDefault="00744B30" w:rsidP="00F3113C">
            <w:pPr>
              <w:jc w:val="right"/>
              <w:rPr>
                <w:rFonts w:ascii="Arial Narrow" w:hAnsi="Arial Narrow" w:cs="Arial"/>
                <w:sz w:val="22"/>
                <w:szCs w:val="22"/>
              </w:rPr>
            </w:pPr>
            <w:r w:rsidRPr="00744B30">
              <w:rPr>
                <w:rFonts w:ascii="Arial Narrow" w:hAnsi="Arial Narrow" w:cs="Arial"/>
                <w:sz w:val="22"/>
                <w:szCs w:val="22"/>
              </w:rPr>
              <w:t>42.5%</w:t>
            </w:r>
          </w:p>
        </w:tc>
      </w:tr>
      <w:tr w:rsidR="00744B30" w:rsidRPr="00501ECA" w14:paraId="066ACFC4" w14:textId="77777777" w:rsidTr="00EB4FB2">
        <w:trPr>
          <w:gridAfter w:val="1"/>
          <w:wAfter w:w="13" w:type="dxa"/>
          <w:cantSplit/>
          <w:trHeight w:val="20"/>
          <w:jc w:val="center"/>
        </w:trPr>
        <w:tc>
          <w:tcPr>
            <w:tcW w:w="2663" w:type="dxa"/>
            <w:tcBorders>
              <w:left w:val="single" w:sz="4" w:space="0" w:color="auto"/>
            </w:tcBorders>
            <w:vAlign w:val="center"/>
          </w:tcPr>
          <w:p w14:paraId="7B5FE1C3"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Other/Unknown</w:t>
            </w:r>
          </w:p>
        </w:tc>
        <w:tc>
          <w:tcPr>
            <w:tcW w:w="806" w:type="dxa"/>
            <w:gridSpan w:val="3"/>
            <w:vAlign w:val="center"/>
          </w:tcPr>
          <w:p w14:paraId="2864FECF" w14:textId="77777777" w:rsidR="0047756B" w:rsidRPr="00501ECA" w:rsidRDefault="0047756B" w:rsidP="00F3113C">
            <w:pPr>
              <w:ind w:left="-116" w:right="-24"/>
              <w:jc w:val="right"/>
              <w:rPr>
                <w:rFonts w:ascii="Arial Narrow" w:hAnsi="Arial Narrow" w:cs="Arial"/>
                <w:sz w:val="22"/>
                <w:szCs w:val="22"/>
              </w:rPr>
            </w:pPr>
            <w:r w:rsidRPr="00501ECA">
              <w:rPr>
                <w:rFonts w:ascii="Arial Narrow" w:hAnsi="Arial Narrow" w:cs="Arial"/>
                <w:sz w:val="22"/>
                <w:szCs w:val="22"/>
              </w:rPr>
              <w:t xml:space="preserve">159 </w:t>
            </w:r>
          </w:p>
        </w:tc>
        <w:tc>
          <w:tcPr>
            <w:tcW w:w="810" w:type="dxa"/>
            <w:gridSpan w:val="4"/>
            <w:vAlign w:val="center"/>
          </w:tcPr>
          <w:p w14:paraId="45902689" w14:textId="77777777" w:rsidR="0047756B" w:rsidRPr="00501ECA" w:rsidRDefault="0047756B" w:rsidP="00F3113C">
            <w:pPr>
              <w:jc w:val="right"/>
              <w:rPr>
                <w:rFonts w:ascii="Arial Narrow" w:hAnsi="Arial Narrow" w:cs="Arial"/>
                <w:sz w:val="22"/>
                <w:szCs w:val="22"/>
              </w:rPr>
            </w:pPr>
            <w:r w:rsidRPr="00501ECA">
              <w:rPr>
                <w:rFonts w:ascii="Arial Narrow" w:hAnsi="Arial Narrow" w:cs="Arial"/>
                <w:sz w:val="22"/>
                <w:szCs w:val="22"/>
              </w:rPr>
              <w:t>0.1%</w:t>
            </w:r>
          </w:p>
        </w:tc>
        <w:tc>
          <w:tcPr>
            <w:tcW w:w="900" w:type="dxa"/>
            <w:gridSpan w:val="3"/>
            <w:vAlign w:val="center"/>
          </w:tcPr>
          <w:p w14:paraId="46233FB8"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Arial"/>
                <w:sz w:val="22"/>
                <w:szCs w:val="22"/>
              </w:rPr>
              <w:t xml:space="preserve">160 </w:t>
            </w:r>
          </w:p>
        </w:tc>
        <w:tc>
          <w:tcPr>
            <w:tcW w:w="810" w:type="dxa"/>
            <w:gridSpan w:val="3"/>
            <w:vAlign w:val="center"/>
          </w:tcPr>
          <w:p w14:paraId="5150498A" w14:textId="77777777" w:rsidR="0047756B" w:rsidRPr="00501ECA" w:rsidRDefault="0047756B" w:rsidP="00F3113C">
            <w:pPr>
              <w:jc w:val="right"/>
              <w:rPr>
                <w:rFonts w:ascii="Arial Narrow" w:hAnsi="Arial Narrow" w:cs="Arial"/>
                <w:sz w:val="22"/>
                <w:szCs w:val="22"/>
              </w:rPr>
            </w:pPr>
            <w:r w:rsidRPr="00501ECA">
              <w:rPr>
                <w:rFonts w:ascii="Arial Narrow" w:hAnsi="Arial Narrow" w:cs="Arial"/>
                <w:sz w:val="22"/>
                <w:szCs w:val="22"/>
              </w:rPr>
              <w:t>0.1%</w:t>
            </w:r>
          </w:p>
        </w:tc>
        <w:tc>
          <w:tcPr>
            <w:tcW w:w="900" w:type="dxa"/>
            <w:gridSpan w:val="4"/>
            <w:shd w:val="clear" w:color="auto" w:fill="auto"/>
            <w:vAlign w:val="center"/>
          </w:tcPr>
          <w:p w14:paraId="102208DB" w14:textId="77777777" w:rsidR="0047756B" w:rsidRPr="00B55C9C" w:rsidRDefault="00423719" w:rsidP="00F3113C">
            <w:pPr>
              <w:ind w:right="-43"/>
              <w:jc w:val="right"/>
              <w:rPr>
                <w:rFonts w:ascii="Arial Narrow" w:hAnsi="Arial Narrow" w:cs="Arial"/>
                <w:sz w:val="22"/>
                <w:szCs w:val="22"/>
              </w:rPr>
            </w:pPr>
            <w:r w:rsidRPr="00B55C9C">
              <w:rPr>
                <w:rFonts w:ascii="Arial Narrow" w:hAnsi="Arial Narrow" w:cs="Arial"/>
                <w:sz w:val="22"/>
                <w:szCs w:val="22"/>
              </w:rPr>
              <w:t>52</w:t>
            </w:r>
          </w:p>
        </w:tc>
        <w:tc>
          <w:tcPr>
            <w:tcW w:w="810" w:type="dxa"/>
            <w:gridSpan w:val="3"/>
            <w:shd w:val="clear" w:color="auto" w:fill="auto"/>
            <w:vAlign w:val="center"/>
          </w:tcPr>
          <w:p w14:paraId="04BA653F" w14:textId="77777777" w:rsidR="0047756B" w:rsidRPr="00B55C9C" w:rsidRDefault="00423719" w:rsidP="00F3113C">
            <w:pPr>
              <w:jc w:val="right"/>
              <w:rPr>
                <w:rFonts w:ascii="Arial Narrow" w:hAnsi="Arial Narrow" w:cs="Arial"/>
                <w:sz w:val="22"/>
                <w:szCs w:val="22"/>
              </w:rPr>
            </w:pPr>
            <w:r w:rsidRPr="00B55C9C">
              <w:rPr>
                <w:rFonts w:ascii="Arial Narrow" w:hAnsi="Arial Narrow" w:cs="Arial"/>
                <w:sz w:val="22"/>
                <w:szCs w:val="22"/>
              </w:rPr>
              <w:t>0.02%</w:t>
            </w:r>
          </w:p>
        </w:tc>
        <w:tc>
          <w:tcPr>
            <w:tcW w:w="836" w:type="dxa"/>
            <w:gridSpan w:val="4"/>
            <w:shd w:val="clear" w:color="auto" w:fill="auto"/>
            <w:vAlign w:val="center"/>
          </w:tcPr>
          <w:p w14:paraId="7DCAD163"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92</w:t>
            </w:r>
          </w:p>
        </w:tc>
        <w:tc>
          <w:tcPr>
            <w:tcW w:w="815" w:type="dxa"/>
            <w:gridSpan w:val="2"/>
            <w:tcBorders>
              <w:bottom w:val="single" w:sz="4" w:space="0" w:color="auto"/>
              <w:right w:val="single" w:sz="4" w:space="0" w:color="auto"/>
            </w:tcBorders>
            <w:shd w:val="clear" w:color="auto" w:fill="auto"/>
            <w:vAlign w:val="center"/>
          </w:tcPr>
          <w:p w14:paraId="68CFC94F" w14:textId="77777777" w:rsidR="0047756B" w:rsidRPr="00744B30" w:rsidRDefault="00744B30" w:rsidP="00F3113C">
            <w:pPr>
              <w:jc w:val="right"/>
              <w:rPr>
                <w:rFonts w:ascii="Arial Narrow" w:hAnsi="Arial Narrow" w:cs="Arial"/>
                <w:sz w:val="22"/>
                <w:szCs w:val="22"/>
              </w:rPr>
            </w:pPr>
            <w:r w:rsidRPr="00744B30">
              <w:rPr>
                <w:rFonts w:ascii="Arial Narrow" w:hAnsi="Arial Narrow" w:cs="Arial"/>
                <w:sz w:val="22"/>
                <w:szCs w:val="22"/>
              </w:rPr>
              <w:t>0.1%</w:t>
            </w:r>
          </w:p>
        </w:tc>
      </w:tr>
      <w:tr w:rsidR="00EB4FB2" w:rsidRPr="00501ECA" w14:paraId="0FDEBDF6" w14:textId="77777777" w:rsidTr="00EB4FB2">
        <w:trPr>
          <w:gridAfter w:val="1"/>
          <w:wAfter w:w="13" w:type="dxa"/>
          <w:cantSplit/>
          <w:trHeight w:val="20"/>
          <w:jc w:val="center"/>
        </w:trPr>
        <w:tc>
          <w:tcPr>
            <w:tcW w:w="2689" w:type="dxa"/>
            <w:gridSpan w:val="3"/>
            <w:tcBorders>
              <w:left w:val="single" w:sz="4" w:space="0" w:color="auto"/>
              <w:right w:val="nil"/>
            </w:tcBorders>
            <w:shd w:val="clear" w:color="auto" w:fill="D9E2F3" w:themeFill="accent1" w:themeFillTint="33"/>
            <w:vAlign w:val="center"/>
          </w:tcPr>
          <w:p w14:paraId="090842D2" w14:textId="77777777" w:rsidR="00EB4FB2" w:rsidRPr="00501ECA" w:rsidRDefault="00EB4FB2" w:rsidP="00EB4FB2">
            <w:pPr>
              <w:ind w:left="-39"/>
              <w:rPr>
                <w:rFonts w:ascii="Arial Narrow" w:hAnsi="Arial Narrow" w:cs="Arial"/>
                <w:b/>
                <w:bCs/>
                <w:sz w:val="22"/>
                <w:szCs w:val="22"/>
              </w:rPr>
            </w:pPr>
            <w:r w:rsidRPr="00501ECA">
              <w:rPr>
                <w:rFonts w:ascii="Arial Narrow" w:hAnsi="Arial Narrow" w:cs="Arial"/>
                <w:b/>
                <w:bCs/>
                <w:sz w:val="22"/>
                <w:szCs w:val="22"/>
              </w:rPr>
              <w:t>Age</w:t>
            </w:r>
          </w:p>
        </w:tc>
        <w:tc>
          <w:tcPr>
            <w:tcW w:w="810" w:type="dxa"/>
            <w:gridSpan w:val="3"/>
            <w:tcBorders>
              <w:left w:val="nil"/>
              <w:right w:val="nil"/>
            </w:tcBorders>
            <w:shd w:val="clear" w:color="auto" w:fill="D9E2F3" w:themeFill="accent1" w:themeFillTint="33"/>
            <w:vAlign w:val="center"/>
          </w:tcPr>
          <w:p w14:paraId="777FD9DB" w14:textId="15D6DD47"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720" w:type="dxa"/>
            <w:tcBorders>
              <w:left w:val="nil"/>
              <w:right w:val="nil"/>
            </w:tcBorders>
            <w:shd w:val="clear" w:color="auto" w:fill="D9E2F3" w:themeFill="accent1" w:themeFillTint="33"/>
            <w:vAlign w:val="center"/>
          </w:tcPr>
          <w:p w14:paraId="7ED58CFB" w14:textId="6EF3AAC2"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990" w:type="dxa"/>
            <w:gridSpan w:val="6"/>
            <w:tcBorders>
              <w:left w:val="nil"/>
              <w:right w:val="nil"/>
            </w:tcBorders>
            <w:shd w:val="clear" w:color="auto" w:fill="D9E2F3" w:themeFill="accent1" w:themeFillTint="33"/>
            <w:vAlign w:val="center"/>
          </w:tcPr>
          <w:p w14:paraId="618E8513" w14:textId="14EAB6A3"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1" w:type="dxa"/>
            <w:gridSpan w:val="3"/>
            <w:tcBorders>
              <w:left w:val="nil"/>
              <w:right w:val="nil"/>
            </w:tcBorders>
            <w:shd w:val="clear" w:color="auto" w:fill="D9E2F3" w:themeFill="accent1" w:themeFillTint="33"/>
            <w:vAlign w:val="center"/>
          </w:tcPr>
          <w:p w14:paraId="7BA2A847" w14:textId="0B6D3CE5"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900" w:type="dxa"/>
            <w:gridSpan w:val="4"/>
            <w:tcBorders>
              <w:left w:val="nil"/>
              <w:right w:val="nil"/>
            </w:tcBorders>
            <w:shd w:val="clear" w:color="auto" w:fill="D9E2F3" w:themeFill="accent1" w:themeFillTint="33"/>
            <w:vAlign w:val="center"/>
          </w:tcPr>
          <w:p w14:paraId="3394088A" w14:textId="78C5E113"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05" w:type="dxa"/>
            <w:gridSpan w:val="3"/>
            <w:tcBorders>
              <w:left w:val="nil"/>
              <w:right w:val="nil"/>
            </w:tcBorders>
            <w:shd w:val="clear" w:color="auto" w:fill="D9E2F3" w:themeFill="accent1" w:themeFillTint="33"/>
            <w:vAlign w:val="center"/>
          </w:tcPr>
          <w:p w14:paraId="5118596B" w14:textId="5A588578"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2"/>
            <w:tcBorders>
              <w:left w:val="nil"/>
              <w:right w:val="nil"/>
            </w:tcBorders>
            <w:shd w:val="clear" w:color="auto" w:fill="D9E2F3" w:themeFill="accent1" w:themeFillTint="33"/>
            <w:vAlign w:val="center"/>
          </w:tcPr>
          <w:p w14:paraId="2E2B3C0F" w14:textId="11053845"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5" w:type="dxa"/>
            <w:gridSpan w:val="2"/>
            <w:tcBorders>
              <w:left w:val="nil"/>
              <w:right w:val="single" w:sz="4" w:space="0" w:color="auto"/>
            </w:tcBorders>
            <w:shd w:val="clear" w:color="auto" w:fill="D9E2F3" w:themeFill="accent1" w:themeFillTint="33"/>
            <w:vAlign w:val="center"/>
          </w:tcPr>
          <w:p w14:paraId="4AB1538A" w14:textId="104C6338"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r>
      <w:tr w:rsidR="00744B30" w:rsidRPr="00501ECA" w14:paraId="0D14A01F" w14:textId="77777777" w:rsidTr="00EB4FB2">
        <w:trPr>
          <w:gridAfter w:val="1"/>
          <w:wAfter w:w="13" w:type="dxa"/>
          <w:cantSplit/>
          <w:trHeight w:val="20"/>
          <w:jc w:val="center"/>
        </w:trPr>
        <w:tc>
          <w:tcPr>
            <w:tcW w:w="2663" w:type="dxa"/>
            <w:tcBorders>
              <w:left w:val="single" w:sz="4" w:space="0" w:color="auto"/>
            </w:tcBorders>
            <w:vAlign w:val="center"/>
          </w:tcPr>
          <w:p w14:paraId="6F2A3E43"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0-17</w:t>
            </w:r>
          </w:p>
        </w:tc>
        <w:tc>
          <w:tcPr>
            <w:tcW w:w="806" w:type="dxa"/>
            <w:gridSpan w:val="3"/>
            <w:vAlign w:val="center"/>
          </w:tcPr>
          <w:p w14:paraId="42A37D83"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30,702 </w:t>
            </w:r>
          </w:p>
        </w:tc>
        <w:tc>
          <w:tcPr>
            <w:tcW w:w="810" w:type="dxa"/>
            <w:gridSpan w:val="4"/>
            <w:vAlign w:val="center"/>
          </w:tcPr>
          <w:p w14:paraId="1512D718"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14.8%</w:t>
            </w:r>
          </w:p>
        </w:tc>
        <w:tc>
          <w:tcPr>
            <w:tcW w:w="900" w:type="dxa"/>
            <w:gridSpan w:val="3"/>
            <w:vAlign w:val="center"/>
          </w:tcPr>
          <w:p w14:paraId="0ED278A8"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35,705 </w:t>
            </w:r>
          </w:p>
        </w:tc>
        <w:tc>
          <w:tcPr>
            <w:tcW w:w="810" w:type="dxa"/>
            <w:gridSpan w:val="3"/>
            <w:vAlign w:val="center"/>
          </w:tcPr>
          <w:p w14:paraId="3B6B7CB4"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11.9%</w:t>
            </w:r>
          </w:p>
        </w:tc>
        <w:tc>
          <w:tcPr>
            <w:tcW w:w="900" w:type="dxa"/>
            <w:gridSpan w:val="4"/>
            <w:shd w:val="clear" w:color="auto" w:fill="auto"/>
            <w:vAlign w:val="center"/>
          </w:tcPr>
          <w:p w14:paraId="259BDDA8"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40,787</w:t>
            </w:r>
          </w:p>
        </w:tc>
        <w:tc>
          <w:tcPr>
            <w:tcW w:w="810" w:type="dxa"/>
            <w:gridSpan w:val="3"/>
            <w:shd w:val="clear" w:color="auto" w:fill="auto"/>
            <w:vAlign w:val="center"/>
          </w:tcPr>
          <w:p w14:paraId="67934ED2" w14:textId="77777777" w:rsidR="0047756B" w:rsidRPr="00501ECA" w:rsidRDefault="00423719" w:rsidP="00F3113C">
            <w:pPr>
              <w:jc w:val="right"/>
              <w:rPr>
                <w:rFonts w:ascii="Arial Narrow" w:hAnsi="Arial Narrow" w:cs="Arial"/>
                <w:sz w:val="22"/>
                <w:szCs w:val="22"/>
              </w:rPr>
            </w:pPr>
            <w:r>
              <w:rPr>
                <w:rFonts w:ascii="Arial Narrow" w:hAnsi="Arial Narrow" w:cs="Arial"/>
                <w:sz w:val="22"/>
                <w:szCs w:val="22"/>
              </w:rPr>
              <w:t>14.7%</w:t>
            </w:r>
          </w:p>
        </w:tc>
        <w:tc>
          <w:tcPr>
            <w:tcW w:w="836" w:type="dxa"/>
            <w:gridSpan w:val="4"/>
            <w:shd w:val="clear" w:color="auto" w:fill="auto"/>
            <w:vAlign w:val="center"/>
          </w:tcPr>
          <w:p w14:paraId="1943B17F"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26,470</w:t>
            </w:r>
          </w:p>
        </w:tc>
        <w:tc>
          <w:tcPr>
            <w:tcW w:w="815" w:type="dxa"/>
            <w:gridSpan w:val="2"/>
            <w:tcBorders>
              <w:right w:val="single" w:sz="4" w:space="0" w:color="auto"/>
            </w:tcBorders>
            <w:shd w:val="clear" w:color="auto" w:fill="auto"/>
            <w:vAlign w:val="center"/>
          </w:tcPr>
          <w:p w14:paraId="54FD1B7E"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14.9%</w:t>
            </w:r>
          </w:p>
        </w:tc>
      </w:tr>
      <w:tr w:rsidR="00744B30" w:rsidRPr="00501ECA" w14:paraId="45387ACE" w14:textId="77777777" w:rsidTr="00EB4FB2">
        <w:trPr>
          <w:gridAfter w:val="1"/>
          <w:wAfter w:w="13" w:type="dxa"/>
          <w:cantSplit/>
          <w:trHeight w:val="20"/>
          <w:jc w:val="center"/>
        </w:trPr>
        <w:tc>
          <w:tcPr>
            <w:tcW w:w="2663" w:type="dxa"/>
            <w:tcBorders>
              <w:left w:val="single" w:sz="4" w:space="0" w:color="auto"/>
            </w:tcBorders>
            <w:vAlign w:val="center"/>
          </w:tcPr>
          <w:p w14:paraId="6B4F7597"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18-64</w:t>
            </w:r>
          </w:p>
        </w:tc>
        <w:tc>
          <w:tcPr>
            <w:tcW w:w="806" w:type="dxa"/>
            <w:gridSpan w:val="3"/>
            <w:vAlign w:val="center"/>
          </w:tcPr>
          <w:p w14:paraId="625F01C3"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145,970 </w:t>
            </w:r>
          </w:p>
        </w:tc>
        <w:tc>
          <w:tcPr>
            <w:tcW w:w="810" w:type="dxa"/>
            <w:gridSpan w:val="4"/>
            <w:vAlign w:val="center"/>
          </w:tcPr>
          <w:p w14:paraId="71D382DC"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70.4%</w:t>
            </w:r>
          </w:p>
        </w:tc>
        <w:tc>
          <w:tcPr>
            <w:tcW w:w="900" w:type="dxa"/>
            <w:gridSpan w:val="3"/>
            <w:vAlign w:val="center"/>
          </w:tcPr>
          <w:p w14:paraId="5A5016C6"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220,976 </w:t>
            </w:r>
          </w:p>
        </w:tc>
        <w:tc>
          <w:tcPr>
            <w:tcW w:w="810" w:type="dxa"/>
            <w:gridSpan w:val="3"/>
            <w:vAlign w:val="center"/>
          </w:tcPr>
          <w:p w14:paraId="4D8696A6"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73.8%</w:t>
            </w:r>
          </w:p>
        </w:tc>
        <w:tc>
          <w:tcPr>
            <w:tcW w:w="900" w:type="dxa"/>
            <w:gridSpan w:val="4"/>
            <w:shd w:val="clear" w:color="auto" w:fill="auto"/>
            <w:vAlign w:val="center"/>
          </w:tcPr>
          <w:p w14:paraId="3F4E4DA6"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198,388</w:t>
            </w:r>
          </w:p>
        </w:tc>
        <w:tc>
          <w:tcPr>
            <w:tcW w:w="810" w:type="dxa"/>
            <w:gridSpan w:val="3"/>
            <w:shd w:val="clear" w:color="auto" w:fill="auto"/>
            <w:vAlign w:val="center"/>
          </w:tcPr>
          <w:p w14:paraId="3A05AFFF" w14:textId="77777777" w:rsidR="0047756B" w:rsidRPr="00501ECA" w:rsidRDefault="00423719" w:rsidP="00F3113C">
            <w:pPr>
              <w:jc w:val="right"/>
              <w:rPr>
                <w:rFonts w:ascii="Arial Narrow" w:hAnsi="Arial Narrow" w:cs="Arial"/>
                <w:sz w:val="22"/>
                <w:szCs w:val="22"/>
              </w:rPr>
            </w:pPr>
            <w:r>
              <w:rPr>
                <w:rFonts w:ascii="Arial Narrow" w:hAnsi="Arial Narrow" w:cs="Arial"/>
                <w:sz w:val="22"/>
                <w:szCs w:val="22"/>
              </w:rPr>
              <w:t>71.3%</w:t>
            </w:r>
          </w:p>
        </w:tc>
        <w:tc>
          <w:tcPr>
            <w:tcW w:w="836" w:type="dxa"/>
            <w:gridSpan w:val="4"/>
            <w:shd w:val="clear" w:color="auto" w:fill="auto"/>
            <w:vAlign w:val="center"/>
          </w:tcPr>
          <w:p w14:paraId="073DA98C"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122,205</w:t>
            </w:r>
          </w:p>
        </w:tc>
        <w:tc>
          <w:tcPr>
            <w:tcW w:w="815" w:type="dxa"/>
            <w:gridSpan w:val="2"/>
            <w:tcBorders>
              <w:right w:val="single" w:sz="4" w:space="0" w:color="auto"/>
            </w:tcBorders>
            <w:shd w:val="clear" w:color="auto" w:fill="auto"/>
            <w:vAlign w:val="center"/>
          </w:tcPr>
          <w:p w14:paraId="639E2684"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68.8%</w:t>
            </w:r>
          </w:p>
        </w:tc>
      </w:tr>
      <w:tr w:rsidR="00744B30" w:rsidRPr="00501ECA" w14:paraId="52F0B1BE" w14:textId="77777777" w:rsidTr="00EB4FB2">
        <w:trPr>
          <w:gridAfter w:val="1"/>
          <w:wAfter w:w="13" w:type="dxa"/>
          <w:cantSplit/>
          <w:trHeight w:val="20"/>
          <w:jc w:val="center"/>
        </w:trPr>
        <w:tc>
          <w:tcPr>
            <w:tcW w:w="2663" w:type="dxa"/>
            <w:tcBorders>
              <w:left w:val="single" w:sz="4" w:space="0" w:color="auto"/>
            </w:tcBorders>
            <w:vAlign w:val="center"/>
          </w:tcPr>
          <w:p w14:paraId="22CC1D69"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65+</w:t>
            </w:r>
          </w:p>
        </w:tc>
        <w:tc>
          <w:tcPr>
            <w:tcW w:w="806" w:type="dxa"/>
            <w:gridSpan w:val="3"/>
            <w:vAlign w:val="center"/>
          </w:tcPr>
          <w:p w14:paraId="0B910031"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30,534 </w:t>
            </w:r>
          </w:p>
        </w:tc>
        <w:tc>
          <w:tcPr>
            <w:tcW w:w="810" w:type="dxa"/>
            <w:gridSpan w:val="4"/>
            <w:vAlign w:val="center"/>
          </w:tcPr>
          <w:p w14:paraId="54C1105F"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14.7%</w:t>
            </w:r>
          </w:p>
        </w:tc>
        <w:tc>
          <w:tcPr>
            <w:tcW w:w="900" w:type="dxa"/>
            <w:gridSpan w:val="3"/>
            <w:vAlign w:val="center"/>
          </w:tcPr>
          <w:p w14:paraId="0D9DEBAD"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42,548 </w:t>
            </w:r>
          </w:p>
        </w:tc>
        <w:tc>
          <w:tcPr>
            <w:tcW w:w="810" w:type="dxa"/>
            <w:gridSpan w:val="3"/>
            <w:vAlign w:val="center"/>
          </w:tcPr>
          <w:p w14:paraId="7E66F32E"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14.2%</w:t>
            </w:r>
          </w:p>
        </w:tc>
        <w:tc>
          <w:tcPr>
            <w:tcW w:w="900" w:type="dxa"/>
            <w:gridSpan w:val="4"/>
            <w:shd w:val="clear" w:color="auto" w:fill="auto"/>
            <w:vAlign w:val="center"/>
          </w:tcPr>
          <w:p w14:paraId="4E8C39C6"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39,043</w:t>
            </w:r>
          </w:p>
        </w:tc>
        <w:tc>
          <w:tcPr>
            <w:tcW w:w="810" w:type="dxa"/>
            <w:gridSpan w:val="3"/>
            <w:shd w:val="clear" w:color="auto" w:fill="auto"/>
            <w:vAlign w:val="center"/>
          </w:tcPr>
          <w:p w14:paraId="749149C0" w14:textId="77777777" w:rsidR="0047756B" w:rsidRPr="00501ECA" w:rsidRDefault="00423719" w:rsidP="00F3113C">
            <w:pPr>
              <w:jc w:val="right"/>
              <w:rPr>
                <w:rFonts w:ascii="Arial Narrow" w:hAnsi="Arial Narrow" w:cs="Arial"/>
                <w:sz w:val="22"/>
                <w:szCs w:val="22"/>
              </w:rPr>
            </w:pPr>
            <w:r>
              <w:rPr>
                <w:rFonts w:ascii="Arial Narrow" w:hAnsi="Arial Narrow" w:cs="Arial"/>
                <w:sz w:val="22"/>
                <w:szCs w:val="22"/>
              </w:rPr>
              <w:t>14.0%</w:t>
            </w:r>
          </w:p>
        </w:tc>
        <w:tc>
          <w:tcPr>
            <w:tcW w:w="836" w:type="dxa"/>
            <w:gridSpan w:val="4"/>
            <w:shd w:val="clear" w:color="auto" w:fill="auto"/>
            <w:vAlign w:val="center"/>
          </w:tcPr>
          <w:p w14:paraId="04C74F61"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28,856</w:t>
            </w:r>
          </w:p>
        </w:tc>
        <w:tc>
          <w:tcPr>
            <w:tcW w:w="815" w:type="dxa"/>
            <w:gridSpan w:val="2"/>
            <w:tcBorders>
              <w:right w:val="single" w:sz="4" w:space="0" w:color="auto"/>
            </w:tcBorders>
            <w:shd w:val="clear" w:color="auto" w:fill="auto"/>
            <w:vAlign w:val="center"/>
          </w:tcPr>
          <w:p w14:paraId="6D3CDCD4"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16.2%</w:t>
            </w:r>
          </w:p>
        </w:tc>
      </w:tr>
      <w:tr w:rsidR="00744B30" w:rsidRPr="00501ECA" w14:paraId="09739502" w14:textId="77777777" w:rsidTr="00EB4FB2">
        <w:trPr>
          <w:gridAfter w:val="1"/>
          <w:wAfter w:w="13" w:type="dxa"/>
          <w:cantSplit/>
          <w:trHeight w:val="20"/>
          <w:jc w:val="center"/>
        </w:trPr>
        <w:tc>
          <w:tcPr>
            <w:tcW w:w="2663" w:type="dxa"/>
            <w:tcBorders>
              <w:left w:val="single" w:sz="4" w:space="0" w:color="auto"/>
            </w:tcBorders>
            <w:vAlign w:val="center"/>
          </w:tcPr>
          <w:p w14:paraId="76DFA242" w14:textId="77777777" w:rsidR="004B056D" w:rsidRPr="00501ECA" w:rsidRDefault="004B056D" w:rsidP="00F3113C">
            <w:pPr>
              <w:ind w:left="-39"/>
              <w:rPr>
                <w:rFonts w:ascii="Arial Narrow" w:hAnsi="Arial Narrow" w:cs="Arial"/>
                <w:sz w:val="22"/>
                <w:szCs w:val="22"/>
              </w:rPr>
            </w:pPr>
            <w:r w:rsidRPr="00501ECA">
              <w:rPr>
                <w:rFonts w:ascii="Arial Narrow" w:hAnsi="Arial Narrow" w:cs="Arial"/>
                <w:sz w:val="22"/>
                <w:szCs w:val="22"/>
              </w:rPr>
              <w:t>Unknown</w:t>
            </w:r>
          </w:p>
        </w:tc>
        <w:tc>
          <w:tcPr>
            <w:tcW w:w="806" w:type="dxa"/>
            <w:gridSpan w:val="3"/>
            <w:vAlign w:val="center"/>
          </w:tcPr>
          <w:p w14:paraId="7C60AED1" w14:textId="77777777" w:rsidR="004B056D" w:rsidRPr="00501ECA" w:rsidRDefault="00584A9B" w:rsidP="00F3113C">
            <w:pPr>
              <w:ind w:left="-106" w:right="-34"/>
              <w:jc w:val="right"/>
              <w:rPr>
                <w:rFonts w:ascii="Arial Narrow" w:hAnsi="Arial Narrow" w:cs="Calibri"/>
                <w:sz w:val="22"/>
                <w:szCs w:val="22"/>
              </w:rPr>
            </w:pPr>
            <w:r w:rsidRPr="00501ECA">
              <w:rPr>
                <w:rFonts w:ascii="Arial Narrow" w:hAnsi="Arial Narrow" w:cs="Calibri"/>
                <w:sz w:val="22"/>
                <w:szCs w:val="22"/>
              </w:rPr>
              <w:t>31</w:t>
            </w:r>
          </w:p>
        </w:tc>
        <w:tc>
          <w:tcPr>
            <w:tcW w:w="810" w:type="dxa"/>
            <w:gridSpan w:val="4"/>
            <w:vAlign w:val="center"/>
          </w:tcPr>
          <w:p w14:paraId="241F770C" w14:textId="77777777" w:rsidR="004B056D" w:rsidRPr="00501ECA" w:rsidRDefault="00584A9B" w:rsidP="00F3113C">
            <w:pPr>
              <w:jc w:val="right"/>
              <w:rPr>
                <w:rFonts w:ascii="Arial Narrow" w:hAnsi="Arial Narrow" w:cs="Calibri"/>
                <w:sz w:val="22"/>
                <w:szCs w:val="22"/>
              </w:rPr>
            </w:pPr>
            <w:r w:rsidRPr="00501ECA">
              <w:rPr>
                <w:rFonts w:ascii="Arial Narrow" w:hAnsi="Arial Narrow" w:cs="Calibri"/>
                <w:sz w:val="22"/>
                <w:szCs w:val="22"/>
              </w:rPr>
              <w:t>0.01%</w:t>
            </w:r>
          </w:p>
        </w:tc>
        <w:tc>
          <w:tcPr>
            <w:tcW w:w="900" w:type="dxa"/>
            <w:gridSpan w:val="3"/>
            <w:vAlign w:val="center"/>
          </w:tcPr>
          <w:p w14:paraId="6626C938" w14:textId="77777777" w:rsidR="004B056D" w:rsidRPr="00501ECA" w:rsidRDefault="00584A9B" w:rsidP="00F3113C">
            <w:pPr>
              <w:ind w:right="-43"/>
              <w:jc w:val="right"/>
              <w:rPr>
                <w:rFonts w:ascii="Arial Narrow" w:hAnsi="Arial Narrow" w:cs="Calibri"/>
                <w:sz w:val="22"/>
                <w:szCs w:val="22"/>
              </w:rPr>
            </w:pPr>
            <w:r w:rsidRPr="00501ECA">
              <w:rPr>
                <w:rFonts w:ascii="Arial Narrow" w:hAnsi="Arial Narrow" w:cs="Calibri"/>
                <w:sz w:val="22"/>
                <w:szCs w:val="22"/>
              </w:rPr>
              <w:t>29</w:t>
            </w:r>
          </w:p>
        </w:tc>
        <w:tc>
          <w:tcPr>
            <w:tcW w:w="810" w:type="dxa"/>
            <w:gridSpan w:val="3"/>
            <w:vAlign w:val="center"/>
          </w:tcPr>
          <w:p w14:paraId="79025C95" w14:textId="77777777" w:rsidR="004B056D" w:rsidRPr="00501ECA" w:rsidRDefault="00584A9B" w:rsidP="00F3113C">
            <w:pPr>
              <w:jc w:val="right"/>
              <w:rPr>
                <w:rFonts w:ascii="Arial Narrow" w:hAnsi="Arial Narrow" w:cs="Calibri"/>
                <w:sz w:val="22"/>
                <w:szCs w:val="22"/>
              </w:rPr>
            </w:pPr>
            <w:r w:rsidRPr="00501ECA">
              <w:rPr>
                <w:rFonts w:ascii="Arial Narrow" w:hAnsi="Arial Narrow" w:cs="Calibri"/>
                <w:sz w:val="22"/>
                <w:szCs w:val="22"/>
              </w:rPr>
              <w:t>0.01%</w:t>
            </w:r>
          </w:p>
        </w:tc>
        <w:tc>
          <w:tcPr>
            <w:tcW w:w="900" w:type="dxa"/>
            <w:gridSpan w:val="4"/>
            <w:shd w:val="clear" w:color="auto" w:fill="auto"/>
            <w:vAlign w:val="center"/>
          </w:tcPr>
          <w:p w14:paraId="6AA6A7E7" w14:textId="77777777" w:rsidR="004B056D" w:rsidRPr="00501ECA" w:rsidRDefault="00423719" w:rsidP="00F3113C">
            <w:pPr>
              <w:ind w:right="-43"/>
              <w:jc w:val="right"/>
              <w:rPr>
                <w:rFonts w:ascii="Arial Narrow" w:hAnsi="Arial Narrow" w:cs="Arial"/>
                <w:sz w:val="22"/>
                <w:szCs w:val="22"/>
              </w:rPr>
            </w:pPr>
            <w:r>
              <w:rPr>
                <w:rFonts w:ascii="Arial Narrow" w:hAnsi="Arial Narrow" w:cs="Arial"/>
                <w:sz w:val="22"/>
                <w:szCs w:val="22"/>
              </w:rPr>
              <w:t>190</w:t>
            </w:r>
          </w:p>
        </w:tc>
        <w:tc>
          <w:tcPr>
            <w:tcW w:w="810" w:type="dxa"/>
            <w:gridSpan w:val="3"/>
            <w:shd w:val="clear" w:color="auto" w:fill="auto"/>
            <w:vAlign w:val="center"/>
          </w:tcPr>
          <w:p w14:paraId="168438CA" w14:textId="77777777" w:rsidR="004B056D" w:rsidRPr="00501ECA" w:rsidRDefault="00423719" w:rsidP="00F3113C">
            <w:pPr>
              <w:jc w:val="right"/>
              <w:rPr>
                <w:rFonts w:ascii="Arial Narrow" w:hAnsi="Arial Narrow" w:cs="Arial"/>
                <w:sz w:val="22"/>
                <w:szCs w:val="22"/>
              </w:rPr>
            </w:pPr>
            <w:r>
              <w:rPr>
                <w:rFonts w:ascii="Arial Narrow" w:hAnsi="Arial Narrow" w:cs="Arial"/>
                <w:sz w:val="22"/>
                <w:szCs w:val="22"/>
              </w:rPr>
              <w:t>0.</w:t>
            </w:r>
            <w:r w:rsidR="00B55C9C">
              <w:rPr>
                <w:rFonts w:ascii="Arial Narrow" w:hAnsi="Arial Narrow" w:cs="Arial"/>
                <w:sz w:val="22"/>
                <w:szCs w:val="22"/>
              </w:rPr>
              <w:t>1</w:t>
            </w:r>
            <w:r>
              <w:rPr>
                <w:rFonts w:ascii="Arial Narrow" w:hAnsi="Arial Narrow" w:cs="Arial"/>
                <w:sz w:val="22"/>
                <w:szCs w:val="22"/>
              </w:rPr>
              <w:t>%</w:t>
            </w:r>
          </w:p>
        </w:tc>
        <w:tc>
          <w:tcPr>
            <w:tcW w:w="836" w:type="dxa"/>
            <w:gridSpan w:val="4"/>
            <w:shd w:val="clear" w:color="auto" w:fill="auto"/>
            <w:vAlign w:val="center"/>
          </w:tcPr>
          <w:p w14:paraId="69835820" w14:textId="77777777" w:rsidR="004B056D" w:rsidRPr="00501ECA" w:rsidRDefault="009254C0" w:rsidP="00F3113C">
            <w:pPr>
              <w:ind w:right="-59"/>
              <w:jc w:val="right"/>
              <w:rPr>
                <w:rFonts w:ascii="Arial Narrow" w:hAnsi="Arial Narrow" w:cs="Arial"/>
                <w:sz w:val="22"/>
                <w:szCs w:val="22"/>
              </w:rPr>
            </w:pPr>
            <w:r>
              <w:rPr>
                <w:rFonts w:ascii="Arial Narrow" w:hAnsi="Arial Narrow" w:cs="Arial"/>
                <w:sz w:val="22"/>
                <w:szCs w:val="22"/>
              </w:rPr>
              <w:t>154</w:t>
            </w:r>
          </w:p>
        </w:tc>
        <w:tc>
          <w:tcPr>
            <w:tcW w:w="815" w:type="dxa"/>
            <w:gridSpan w:val="2"/>
            <w:tcBorders>
              <w:right w:val="single" w:sz="4" w:space="0" w:color="auto"/>
            </w:tcBorders>
            <w:shd w:val="clear" w:color="auto" w:fill="auto"/>
            <w:vAlign w:val="center"/>
          </w:tcPr>
          <w:p w14:paraId="6ED8AD0C" w14:textId="77777777" w:rsidR="004B056D" w:rsidRPr="00501ECA" w:rsidRDefault="00744B30" w:rsidP="00F3113C">
            <w:pPr>
              <w:jc w:val="right"/>
              <w:rPr>
                <w:rFonts w:ascii="Arial Narrow" w:hAnsi="Arial Narrow" w:cs="Arial"/>
                <w:sz w:val="22"/>
                <w:szCs w:val="22"/>
              </w:rPr>
            </w:pPr>
            <w:r>
              <w:rPr>
                <w:rFonts w:ascii="Arial Narrow" w:hAnsi="Arial Narrow" w:cs="Arial"/>
                <w:sz w:val="22"/>
                <w:szCs w:val="22"/>
              </w:rPr>
              <w:t>0.1%</w:t>
            </w:r>
          </w:p>
        </w:tc>
      </w:tr>
      <w:tr w:rsidR="00EB4FB2" w:rsidRPr="00501ECA" w14:paraId="468930D7" w14:textId="77777777" w:rsidTr="00EB4FB2">
        <w:trPr>
          <w:cantSplit/>
          <w:trHeight w:val="20"/>
          <w:jc w:val="center"/>
        </w:trPr>
        <w:tc>
          <w:tcPr>
            <w:tcW w:w="2689" w:type="dxa"/>
            <w:gridSpan w:val="3"/>
            <w:tcBorders>
              <w:left w:val="single" w:sz="4" w:space="0" w:color="auto"/>
              <w:right w:val="nil"/>
            </w:tcBorders>
            <w:shd w:val="clear" w:color="auto" w:fill="D9E2F3" w:themeFill="accent1" w:themeFillTint="33"/>
            <w:vAlign w:val="center"/>
          </w:tcPr>
          <w:p w14:paraId="2C3693E7" w14:textId="77777777" w:rsidR="00EB4FB2" w:rsidRPr="00501ECA" w:rsidRDefault="00EB4FB2" w:rsidP="00EB4FB2">
            <w:pPr>
              <w:ind w:left="-39"/>
              <w:rPr>
                <w:rFonts w:ascii="Arial Narrow" w:hAnsi="Arial Narrow" w:cs="Arial"/>
                <w:b/>
                <w:bCs/>
                <w:sz w:val="22"/>
                <w:szCs w:val="22"/>
              </w:rPr>
            </w:pPr>
            <w:r w:rsidRPr="00501ECA">
              <w:rPr>
                <w:rFonts w:ascii="Arial Narrow" w:hAnsi="Arial Narrow" w:cs="Arial"/>
                <w:b/>
                <w:bCs/>
                <w:sz w:val="22"/>
                <w:szCs w:val="22"/>
              </w:rPr>
              <w:t>Race/Ethnicity</w:t>
            </w:r>
            <w:r w:rsidRPr="00501ECA">
              <w:rPr>
                <w:rStyle w:val="FootnoteReference"/>
                <w:rFonts w:ascii="Arial Narrow" w:hAnsi="Arial Narrow" w:cs="Arial"/>
                <w:b/>
                <w:bCs/>
                <w:sz w:val="22"/>
                <w:szCs w:val="22"/>
              </w:rPr>
              <w:footnoteReference w:id="7"/>
            </w:r>
          </w:p>
        </w:tc>
        <w:tc>
          <w:tcPr>
            <w:tcW w:w="810" w:type="dxa"/>
            <w:gridSpan w:val="3"/>
            <w:tcBorders>
              <w:left w:val="nil"/>
              <w:right w:val="nil"/>
            </w:tcBorders>
            <w:shd w:val="clear" w:color="auto" w:fill="D9E2F3" w:themeFill="accent1" w:themeFillTint="33"/>
            <w:vAlign w:val="center"/>
          </w:tcPr>
          <w:p w14:paraId="35082EEF" w14:textId="48DBCDF1"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4"/>
            <w:tcBorders>
              <w:left w:val="nil"/>
              <w:right w:val="nil"/>
            </w:tcBorders>
            <w:shd w:val="clear" w:color="auto" w:fill="D9E2F3" w:themeFill="accent1" w:themeFillTint="33"/>
            <w:vAlign w:val="center"/>
          </w:tcPr>
          <w:p w14:paraId="15FD5F3E" w14:textId="337882FA"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70" w:type="dxa"/>
            <w:tcBorders>
              <w:left w:val="nil"/>
              <w:right w:val="nil"/>
            </w:tcBorders>
            <w:shd w:val="clear" w:color="auto" w:fill="D9E2F3" w:themeFill="accent1" w:themeFillTint="33"/>
            <w:vAlign w:val="center"/>
          </w:tcPr>
          <w:p w14:paraId="343B8DE3" w14:textId="314574EE"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41" w:type="dxa"/>
            <w:gridSpan w:val="5"/>
            <w:tcBorders>
              <w:left w:val="nil"/>
              <w:right w:val="nil"/>
            </w:tcBorders>
            <w:shd w:val="clear" w:color="auto" w:fill="D9E2F3" w:themeFill="accent1" w:themeFillTint="33"/>
            <w:vAlign w:val="center"/>
          </w:tcPr>
          <w:p w14:paraId="5C8B685D" w14:textId="50A3AC92"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900" w:type="dxa"/>
            <w:gridSpan w:val="4"/>
            <w:tcBorders>
              <w:left w:val="nil"/>
              <w:right w:val="nil"/>
            </w:tcBorders>
            <w:shd w:val="clear" w:color="auto" w:fill="D9E2F3" w:themeFill="accent1" w:themeFillTint="33"/>
            <w:vAlign w:val="center"/>
          </w:tcPr>
          <w:p w14:paraId="6BBF186D" w14:textId="32203C46"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5" w:type="dxa"/>
            <w:gridSpan w:val="4"/>
            <w:tcBorders>
              <w:left w:val="nil"/>
              <w:right w:val="nil"/>
            </w:tcBorders>
            <w:shd w:val="clear" w:color="auto" w:fill="D9E2F3" w:themeFill="accent1" w:themeFillTint="33"/>
            <w:vAlign w:val="center"/>
          </w:tcPr>
          <w:p w14:paraId="1D18FB12" w14:textId="19B51E1A"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2"/>
            <w:tcBorders>
              <w:left w:val="nil"/>
              <w:right w:val="nil"/>
            </w:tcBorders>
            <w:shd w:val="clear" w:color="auto" w:fill="D9E2F3" w:themeFill="accent1" w:themeFillTint="33"/>
            <w:vAlign w:val="center"/>
          </w:tcPr>
          <w:p w14:paraId="6264A38D" w14:textId="545088A9"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8" w:type="dxa"/>
            <w:gridSpan w:val="2"/>
            <w:tcBorders>
              <w:left w:val="nil"/>
              <w:right w:val="single" w:sz="4" w:space="0" w:color="auto"/>
            </w:tcBorders>
            <w:shd w:val="clear" w:color="auto" w:fill="D9E2F3" w:themeFill="accent1" w:themeFillTint="33"/>
            <w:vAlign w:val="center"/>
          </w:tcPr>
          <w:p w14:paraId="322813B7" w14:textId="3097A498"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r>
      <w:tr w:rsidR="00744B30" w:rsidRPr="00501ECA" w14:paraId="3BC24AE8" w14:textId="77777777" w:rsidTr="00EB4FB2">
        <w:trPr>
          <w:gridAfter w:val="1"/>
          <w:wAfter w:w="13" w:type="dxa"/>
          <w:cantSplit/>
          <w:trHeight w:val="20"/>
          <w:jc w:val="center"/>
        </w:trPr>
        <w:tc>
          <w:tcPr>
            <w:tcW w:w="2663" w:type="dxa"/>
            <w:tcBorders>
              <w:left w:val="single" w:sz="4" w:space="0" w:color="auto"/>
            </w:tcBorders>
            <w:vAlign w:val="center"/>
          </w:tcPr>
          <w:p w14:paraId="18238E63"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American Indian/Alaska Native</w:t>
            </w:r>
          </w:p>
        </w:tc>
        <w:tc>
          <w:tcPr>
            <w:tcW w:w="806" w:type="dxa"/>
            <w:gridSpan w:val="3"/>
            <w:vAlign w:val="center"/>
          </w:tcPr>
          <w:p w14:paraId="271A1D1F"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766 </w:t>
            </w:r>
          </w:p>
        </w:tc>
        <w:tc>
          <w:tcPr>
            <w:tcW w:w="810" w:type="dxa"/>
            <w:gridSpan w:val="4"/>
            <w:vAlign w:val="center"/>
          </w:tcPr>
          <w:p w14:paraId="2FDBE7BC"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0.4%</w:t>
            </w:r>
          </w:p>
        </w:tc>
        <w:tc>
          <w:tcPr>
            <w:tcW w:w="900" w:type="dxa"/>
            <w:gridSpan w:val="3"/>
            <w:vAlign w:val="center"/>
          </w:tcPr>
          <w:p w14:paraId="2255D6FD"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980 </w:t>
            </w:r>
          </w:p>
        </w:tc>
        <w:tc>
          <w:tcPr>
            <w:tcW w:w="810" w:type="dxa"/>
            <w:gridSpan w:val="3"/>
            <w:vAlign w:val="center"/>
          </w:tcPr>
          <w:p w14:paraId="52256A85"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0.3%</w:t>
            </w:r>
          </w:p>
        </w:tc>
        <w:tc>
          <w:tcPr>
            <w:tcW w:w="900" w:type="dxa"/>
            <w:gridSpan w:val="4"/>
            <w:shd w:val="clear" w:color="auto" w:fill="auto"/>
            <w:vAlign w:val="center"/>
          </w:tcPr>
          <w:p w14:paraId="00745C84"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927</w:t>
            </w:r>
          </w:p>
        </w:tc>
        <w:tc>
          <w:tcPr>
            <w:tcW w:w="810" w:type="dxa"/>
            <w:gridSpan w:val="3"/>
            <w:shd w:val="clear" w:color="auto" w:fill="auto"/>
            <w:vAlign w:val="center"/>
          </w:tcPr>
          <w:p w14:paraId="0B0DF286"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0.3</w:t>
            </w:r>
            <w:r w:rsidR="00423719">
              <w:rPr>
                <w:rFonts w:ascii="Arial Narrow" w:hAnsi="Arial Narrow" w:cs="Arial"/>
                <w:sz w:val="22"/>
                <w:szCs w:val="22"/>
              </w:rPr>
              <w:t>%</w:t>
            </w:r>
          </w:p>
        </w:tc>
        <w:tc>
          <w:tcPr>
            <w:tcW w:w="836" w:type="dxa"/>
            <w:gridSpan w:val="4"/>
            <w:shd w:val="clear" w:color="auto" w:fill="auto"/>
            <w:vAlign w:val="center"/>
          </w:tcPr>
          <w:p w14:paraId="311DA57F"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587</w:t>
            </w:r>
          </w:p>
        </w:tc>
        <w:tc>
          <w:tcPr>
            <w:tcW w:w="815" w:type="dxa"/>
            <w:gridSpan w:val="2"/>
            <w:tcBorders>
              <w:right w:val="single" w:sz="4" w:space="0" w:color="auto"/>
            </w:tcBorders>
            <w:shd w:val="clear" w:color="auto" w:fill="auto"/>
            <w:vAlign w:val="center"/>
          </w:tcPr>
          <w:p w14:paraId="5962BB8F"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0.3%</w:t>
            </w:r>
          </w:p>
        </w:tc>
      </w:tr>
      <w:tr w:rsidR="00744B30" w:rsidRPr="00501ECA" w14:paraId="72AA7599" w14:textId="77777777" w:rsidTr="00EB4FB2">
        <w:trPr>
          <w:gridAfter w:val="1"/>
          <w:wAfter w:w="13" w:type="dxa"/>
          <w:cantSplit/>
          <w:trHeight w:val="20"/>
          <w:jc w:val="center"/>
        </w:trPr>
        <w:tc>
          <w:tcPr>
            <w:tcW w:w="2663" w:type="dxa"/>
            <w:tcBorders>
              <w:left w:val="single" w:sz="4" w:space="0" w:color="auto"/>
            </w:tcBorders>
            <w:vAlign w:val="center"/>
          </w:tcPr>
          <w:p w14:paraId="27C0824C"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Asian</w:t>
            </w:r>
          </w:p>
        </w:tc>
        <w:tc>
          <w:tcPr>
            <w:tcW w:w="806" w:type="dxa"/>
            <w:gridSpan w:val="3"/>
            <w:vAlign w:val="center"/>
          </w:tcPr>
          <w:p w14:paraId="1F53532F"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9,395 </w:t>
            </w:r>
          </w:p>
        </w:tc>
        <w:tc>
          <w:tcPr>
            <w:tcW w:w="810" w:type="dxa"/>
            <w:gridSpan w:val="4"/>
            <w:vAlign w:val="center"/>
          </w:tcPr>
          <w:p w14:paraId="5AAB070B"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4.5%</w:t>
            </w:r>
          </w:p>
        </w:tc>
        <w:tc>
          <w:tcPr>
            <w:tcW w:w="900" w:type="dxa"/>
            <w:gridSpan w:val="3"/>
            <w:vAlign w:val="center"/>
          </w:tcPr>
          <w:p w14:paraId="6E3A0A15"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16,756 </w:t>
            </w:r>
          </w:p>
        </w:tc>
        <w:tc>
          <w:tcPr>
            <w:tcW w:w="810" w:type="dxa"/>
            <w:gridSpan w:val="3"/>
            <w:vAlign w:val="center"/>
          </w:tcPr>
          <w:p w14:paraId="43A1C6B5"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5.6%</w:t>
            </w:r>
          </w:p>
        </w:tc>
        <w:tc>
          <w:tcPr>
            <w:tcW w:w="900" w:type="dxa"/>
            <w:gridSpan w:val="4"/>
            <w:shd w:val="clear" w:color="auto" w:fill="auto"/>
            <w:vAlign w:val="center"/>
          </w:tcPr>
          <w:p w14:paraId="3050E9FE"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13,665</w:t>
            </w:r>
          </w:p>
        </w:tc>
        <w:tc>
          <w:tcPr>
            <w:tcW w:w="810" w:type="dxa"/>
            <w:gridSpan w:val="3"/>
            <w:shd w:val="clear" w:color="auto" w:fill="auto"/>
            <w:vAlign w:val="center"/>
          </w:tcPr>
          <w:p w14:paraId="2B2D7FC1"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4.9</w:t>
            </w:r>
            <w:r w:rsidR="00423719">
              <w:rPr>
                <w:rFonts w:ascii="Arial Narrow" w:hAnsi="Arial Narrow" w:cs="Arial"/>
                <w:sz w:val="22"/>
                <w:szCs w:val="22"/>
              </w:rPr>
              <w:t>%</w:t>
            </w:r>
          </w:p>
        </w:tc>
        <w:tc>
          <w:tcPr>
            <w:tcW w:w="836" w:type="dxa"/>
            <w:gridSpan w:val="4"/>
            <w:shd w:val="clear" w:color="auto" w:fill="auto"/>
            <w:vAlign w:val="center"/>
          </w:tcPr>
          <w:p w14:paraId="0B8AD7B9"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8,043</w:t>
            </w:r>
          </w:p>
        </w:tc>
        <w:tc>
          <w:tcPr>
            <w:tcW w:w="815" w:type="dxa"/>
            <w:gridSpan w:val="2"/>
            <w:tcBorders>
              <w:right w:val="single" w:sz="4" w:space="0" w:color="auto"/>
            </w:tcBorders>
            <w:shd w:val="clear" w:color="auto" w:fill="auto"/>
            <w:vAlign w:val="center"/>
          </w:tcPr>
          <w:p w14:paraId="6882880E"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4.5%</w:t>
            </w:r>
          </w:p>
        </w:tc>
      </w:tr>
      <w:tr w:rsidR="00744B30" w:rsidRPr="00501ECA" w14:paraId="2AD49F49" w14:textId="77777777" w:rsidTr="00EB4FB2">
        <w:trPr>
          <w:gridAfter w:val="1"/>
          <w:wAfter w:w="13" w:type="dxa"/>
          <w:cantSplit/>
          <w:trHeight w:val="20"/>
          <w:jc w:val="center"/>
        </w:trPr>
        <w:tc>
          <w:tcPr>
            <w:tcW w:w="2663" w:type="dxa"/>
            <w:tcBorders>
              <w:left w:val="single" w:sz="4" w:space="0" w:color="auto"/>
            </w:tcBorders>
            <w:vAlign w:val="center"/>
          </w:tcPr>
          <w:p w14:paraId="106E59BC"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Black/African American</w:t>
            </w:r>
          </w:p>
        </w:tc>
        <w:tc>
          <w:tcPr>
            <w:tcW w:w="806" w:type="dxa"/>
            <w:gridSpan w:val="3"/>
            <w:vAlign w:val="center"/>
          </w:tcPr>
          <w:p w14:paraId="74752B2E"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71,748 </w:t>
            </w:r>
          </w:p>
        </w:tc>
        <w:tc>
          <w:tcPr>
            <w:tcW w:w="810" w:type="dxa"/>
            <w:gridSpan w:val="4"/>
            <w:vAlign w:val="center"/>
          </w:tcPr>
          <w:p w14:paraId="4E067228"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34.6%</w:t>
            </w:r>
          </w:p>
        </w:tc>
        <w:tc>
          <w:tcPr>
            <w:tcW w:w="900" w:type="dxa"/>
            <w:gridSpan w:val="3"/>
            <w:vAlign w:val="center"/>
          </w:tcPr>
          <w:p w14:paraId="6856387A"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87,615 </w:t>
            </w:r>
          </w:p>
        </w:tc>
        <w:tc>
          <w:tcPr>
            <w:tcW w:w="810" w:type="dxa"/>
            <w:gridSpan w:val="3"/>
            <w:vAlign w:val="center"/>
          </w:tcPr>
          <w:p w14:paraId="4EC19941"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29.3%</w:t>
            </w:r>
          </w:p>
        </w:tc>
        <w:tc>
          <w:tcPr>
            <w:tcW w:w="900" w:type="dxa"/>
            <w:gridSpan w:val="4"/>
            <w:shd w:val="clear" w:color="auto" w:fill="auto"/>
            <w:vAlign w:val="center"/>
          </w:tcPr>
          <w:p w14:paraId="742132E5"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88,795</w:t>
            </w:r>
          </w:p>
        </w:tc>
        <w:tc>
          <w:tcPr>
            <w:tcW w:w="810" w:type="dxa"/>
            <w:gridSpan w:val="3"/>
            <w:shd w:val="clear" w:color="auto" w:fill="auto"/>
            <w:vAlign w:val="center"/>
          </w:tcPr>
          <w:p w14:paraId="38AA64B1"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31.9</w:t>
            </w:r>
            <w:r w:rsidR="00423719">
              <w:rPr>
                <w:rFonts w:ascii="Arial Narrow" w:hAnsi="Arial Narrow" w:cs="Arial"/>
                <w:sz w:val="22"/>
                <w:szCs w:val="22"/>
              </w:rPr>
              <w:t>%</w:t>
            </w:r>
          </w:p>
        </w:tc>
        <w:tc>
          <w:tcPr>
            <w:tcW w:w="836" w:type="dxa"/>
            <w:gridSpan w:val="4"/>
            <w:shd w:val="clear" w:color="auto" w:fill="auto"/>
            <w:vAlign w:val="center"/>
          </w:tcPr>
          <w:p w14:paraId="7BE5AA8C"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62,025</w:t>
            </w:r>
          </w:p>
        </w:tc>
        <w:tc>
          <w:tcPr>
            <w:tcW w:w="815" w:type="dxa"/>
            <w:gridSpan w:val="2"/>
            <w:tcBorders>
              <w:right w:val="single" w:sz="4" w:space="0" w:color="auto"/>
            </w:tcBorders>
            <w:shd w:val="clear" w:color="auto" w:fill="auto"/>
            <w:vAlign w:val="center"/>
          </w:tcPr>
          <w:p w14:paraId="34CCAB4E"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34.9%</w:t>
            </w:r>
          </w:p>
        </w:tc>
      </w:tr>
      <w:tr w:rsidR="00744B30" w:rsidRPr="00501ECA" w14:paraId="31B0807C" w14:textId="77777777" w:rsidTr="00EB4FB2">
        <w:trPr>
          <w:gridAfter w:val="1"/>
          <w:wAfter w:w="13" w:type="dxa"/>
          <w:cantSplit/>
          <w:trHeight w:val="20"/>
          <w:jc w:val="center"/>
        </w:trPr>
        <w:tc>
          <w:tcPr>
            <w:tcW w:w="2663" w:type="dxa"/>
            <w:tcBorders>
              <w:left w:val="single" w:sz="4" w:space="0" w:color="auto"/>
            </w:tcBorders>
            <w:vAlign w:val="center"/>
          </w:tcPr>
          <w:p w14:paraId="39EF8617"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Hispanic/Latino</w:t>
            </w:r>
          </w:p>
        </w:tc>
        <w:tc>
          <w:tcPr>
            <w:tcW w:w="806" w:type="dxa"/>
            <w:gridSpan w:val="3"/>
            <w:vAlign w:val="center"/>
          </w:tcPr>
          <w:p w14:paraId="34F800A4"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25,105 </w:t>
            </w:r>
          </w:p>
        </w:tc>
        <w:tc>
          <w:tcPr>
            <w:tcW w:w="810" w:type="dxa"/>
            <w:gridSpan w:val="4"/>
            <w:vAlign w:val="center"/>
          </w:tcPr>
          <w:p w14:paraId="293D56B7"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12.1%</w:t>
            </w:r>
          </w:p>
        </w:tc>
        <w:tc>
          <w:tcPr>
            <w:tcW w:w="900" w:type="dxa"/>
            <w:gridSpan w:val="3"/>
            <w:vAlign w:val="center"/>
          </w:tcPr>
          <w:p w14:paraId="31347ABB"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35,856 </w:t>
            </w:r>
          </w:p>
        </w:tc>
        <w:tc>
          <w:tcPr>
            <w:tcW w:w="810" w:type="dxa"/>
            <w:gridSpan w:val="3"/>
            <w:vAlign w:val="center"/>
          </w:tcPr>
          <w:p w14:paraId="45552004"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12.0%</w:t>
            </w:r>
          </w:p>
        </w:tc>
        <w:tc>
          <w:tcPr>
            <w:tcW w:w="900" w:type="dxa"/>
            <w:gridSpan w:val="4"/>
            <w:shd w:val="clear" w:color="auto" w:fill="auto"/>
            <w:vAlign w:val="center"/>
          </w:tcPr>
          <w:p w14:paraId="6DBA0940"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44,126</w:t>
            </w:r>
          </w:p>
        </w:tc>
        <w:tc>
          <w:tcPr>
            <w:tcW w:w="810" w:type="dxa"/>
            <w:gridSpan w:val="3"/>
            <w:shd w:val="clear" w:color="auto" w:fill="auto"/>
            <w:vAlign w:val="center"/>
          </w:tcPr>
          <w:p w14:paraId="1501C740"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15.8</w:t>
            </w:r>
            <w:r w:rsidR="00423719">
              <w:rPr>
                <w:rFonts w:ascii="Arial Narrow" w:hAnsi="Arial Narrow" w:cs="Arial"/>
                <w:sz w:val="22"/>
                <w:szCs w:val="22"/>
              </w:rPr>
              <w:t>%</w:t>
            </w:r>
          </w:p>
        </w:tc>
        <w:tc>
          <w:tcPr>
            <w:tcW w:w="836" w:type="dxa"/>
            <w:gridSpan w:val="4"/>
            <w:shd w:val="clear" w:color="auto" w:fill="auto"/>
            <w:vAlign w:val="center"/>
          </w:tcPr>
          <w:p w14:paraId="0045A46A"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32,947</w:t>
            </w:r>
          </w:p>
        </w:tc>
        <w:tc>
          <w:tcPr>
            <w:tcW w:w="815" w:type="dxa"/>
            <w:gridSpan w:val="2"/>
            <w:tcBorders>
              <w:right w:val="single" w:sz="4" w:space="0" w:color="auto"/>
            </w:tcBorders>
            <w:shd w:val="clear" w:color="auto" w:fill="auto"/>
            <w:vAlign w:val="center"/>
          </w:tcPr>
          <w:p w14:paraId="0AC138E6"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18.5%</w:t>
            </w:r>
          </w:p>
        </w:tc>
      </w:tr>
      <w:tr w:rsidR="00744B30" w:rsidRPr="00501ECA" w14:paraId="483976E4" w14:textId="77777777" w:rsidTr="00EB4FB2">
        <w:trPr>
          <w:gridAfter w:val="1"/>
          <w:wAfter w:w="13" w:type="dxa"/>
          <w:cantSplit/>
          <w:trHeight w:val="20"/>
          <w:jc w:val="center"/>
        </w:trPr>
        <w:tc>
          <w:tcPr>
            <w:tcW w:w="2663" w:type="dxa"/>
            <w:tcBorders>
              <w:left w:val="single" w:sz="4" w:space="0" w:color="auto"/>
            </w:tcBorders>
            <w:vAlign w:val="center"/>
          </w:tcPr>
          <w:p w14:paraId="5B3DEE5A"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 xml:space="preserve">Native Hawaiian/Pacific Islander </w:t>
            </w:r>
          </w:p>
        </w:tc>
        <w:tc>
          <w:tcPr>
            <w:tcW w:w="806" w:type="dxa"/>
            <w:gridSpan w:val="3"/>
            <w:vAlign w:val="center"/>
          </w:tcPr>
          <w:p w14:paraId="71EDD111"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384 </w:t>
            </w:r>
          </w:p>
        </w:tc>
        <w:tc>
          <w:tcPr>
            <w:tcW w:w="810" w:type="dxa"/>
            <w:gridSpan w:val="4"/>
            <w:vAlign w:val="center"/>
          </w:tcPr>
          <w:p w14:paraId="4B7A5D94"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0.2%</w:t>
            </w:r>
          </w:p>
        </w:tc>
        <w:tc>
          <w:tcPr>
            <w:tcW w:w="900" w:type="dxa"/>
            <w:gridSpan w:val="3"/>
            <w:vAlign w:val="center"/>
          </w:tcPr>
          <w:p w14:paraId="3064DFE4"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650 </w:t>
            </w:r>
          </w:p>
        </w:tc>
        <w:tc>
          <w:tcPr>
            <w:tcW w:w="810" w:type="dxa"/>
            <w:gridSpan w:val="3"/>
            <w:vAlign w:val="center"/>
          </w:tcPr>
          <w:p w14:paraId="28EE019A"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0.2%</w:t>
            </w:r>
          </w:p>
        </w:tc>
        <w:tc>
          <w:tcPr>
            <w:tcW w:w="900" w:type="dxa"/>
            <w:gridSpan w:val="4"/>
            <w:shd w:val="clear" w:color="auto" w:fill="auto"/>
            <w:vAlign w:val="center"/>
          </w:tcPr>
          <w:p w14:paraId="4DC02745"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193</w:t>
            </w:r>
          </w:p>
        </w:tc>
        <w:tc>
          <w:tcPr>
            <w:tcW w:w="810" w:type="dxa"/>
            <w:gridSpan w:val="3"/>
            <w:shd w:val="clear" w:color="auto" w:fill="auto"/>
            <w:vAlign w:val="center"/>
          </w:tcPr>
          <w:p w14:paraId="5FAF4FFD"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0.1</w:t>
            </w:r>
            <w:r w:rsidR="00423719">
              <w:rPr>
                <w:rFonts w:ascii="Arial Narrow" w:hAnsi="Arial Narrow" w:cs="Arial"/>
                <w:sz w:val="22"/>
                <w:szCs w:val="22"/>
              </w:rPr>
              <w:t>%</w:t>
            </w:r>
          </w:p>
        </w:tc>
        <w:tc>
          <w:tcPr>
            <w:tcW w:w="836" w:type="dxa"/>
            <w:gridSpan w:val="4"/>
            <w:shd w:val="clear" w:color="auto" w:fill="auto"/>
            <w:vAlign w:val="center"/>
          </w:tcPr>
          <w:p w14:paraId="639C9984"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585</w:t>
            </w:r>
          </w:p>
        </w:tc>
        <w:tc>
          <w:tcPr>
            <w:tcW w:w="815" w:type="dxa"/>
            <w:gridSpan w:val="2"/>
            <w:tcBorders>
              <w:right w:val="single" w:sz="4" w:space="0" w:color="auto"/>
            </w:tcBorders>
            <w:shd w:val="clear" w:color="auto" w:fill="auto"/>
            <w:vAlign w:val="center"/>
          </w:tcPr>
          <w:p w14:paraId="09BA396B"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0.3%</w:t>
            </w:r>
          </w:p>
        </w:tc>
      </w:tr>
      <w:tr w:rsidR="00744B30" w:rsidRPr="00501ECA" w14:paraId="46C64DFF" w14:textId="77777777" w:rsidTr="00EB4FB2">
        <w:trPr>
          <w:gridAfter w:val="1"/>
          <w:wAfter w:w="13" w:type="dxa"/>
          <w:cantSplit/>
          <w:trHeight w:val="20"/>
          <w:jc w:val="center"/>
        </w:trPr>
        <w:tc>
          <w:tcPr>
            <w:tcW w:w="2663" w:type="dxa"/>
            <w:tcBorders>
              <w:left w:val="single" w:sz="4" w:space="0" w:color="auto"/>
            </w:tcBorders>
            <w:vAlign w:val="center"/>
          </w:tcPr>
          <w:p w14:paraId="5F92EB6F"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 xml:space="preserve">White/Caucasian </w:t>
            </w:r>
          </w:p>
        </w:tc>
        <w:tc>
          <w:tcPr>
            <w:tcW w:w="806" w:type="dxa"/>
            <w:gridSpan w:val="3"/>
            <w:vAlign w:val="center"/>
          </w:tcPr>
          <w:p w14:paraId="225EDCAA"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54,311 </w:t>
            </w:r>
          </w:p>
        </w:tc>
        <w:tc>
          <w:tcPr>
            <w:tcW w:w="810" w:type="dxa"/>
            <w:gridSpan w:val="4"/>
            <w:vAlign w:val="center"/>
          </w:tcPr>
          <w:p w14:paraId="2C442958"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26.2%</w:t>
            </w:r>
          </w:p>
        </w:tc>
        <w:tc>
          <w:tcPr>
            <w:tcW w:w="900" w:type="dxa"/>
            <w:gridSpan w:val="3"/>
            <w:vAlign w:val="center"/>
          </w:tcPr>
          <w:p w14:paraId="4DF2E8AA"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92,034 </w:t>
            </w:r>
          </w:p>
        </w:tc>
        <w:tc>
          <w:tcPr>
            <w:tcW w:w="810" w:type="dxa"/>
            <w:gridSpan w:val="3"/>
            <w:vAlign w:val="center"/>
          </w:tcPr>
          <w:p w14:paraId="7AD49779"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30.8%</w:t>
            </w:r>
          </w:p>
        </w:tc>
        <w:tc>
          <w:tcPr>
            <w:tcW w:w="900" w:type="dxa"/>
            <w:gridSpan w:val="4"/>
            <w:shd w:val="clear" w:color="auto" w:fill="auto"/>
            <w:vAlign w:val="center"/>
          </w:tcPr>
          <w:p w14:paraId="48C3F55E"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69,672</w:t>
            </w:r>
          </w:p>
        </w:tc>
        <w:tc>
          <w:tcPr>
            <w:tcW w:w="810" w:type="dxa"/>
            <w:gridSpan w:val="3"/>
            <w:shd w:val="clear" w:color="auto" w:fill="auto"/>
            <w:vAlign w:val="center"/>
          </w:tcPr>
          <w:p w14:paraId="20A8ED18"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25.0</w:t>
            </w:r>
            <w:r w:rsidR="00423719">
              <w:rPr>
                <w:rFonts w:ascii="Arial Narrow" w:hAnsi="Arial Narrow" w:cs="Arial"/>
                <w:sz w:val="22"/>
                <w:szCs w:val="22"/>
              </w:rPr>
              <w:t>%</w:t>
            </w:r>
          </w:p>
        </w:tc>
        <w:tc>
          <w:tcPr>
            <w:tcW w:w="836" w:type="dxa"/>
            <w:gridSpan w:val="4"/>
            <w:shd w:val="clear" w:color="auto" w:fill="auto"/>
            <w:vAlign w:val="center"/>
          </w:tcPr>
          <w:p w14:paraId="0B9C724F"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42,869</w:t>
            </w:r>
          </w:p>
        </w:tc>
        <w:tc>
          <w:tcPr>
            <w:tcW w:w="815" w:type="dxa"/>
            <w:gridSpan w:val="2"/>
            <w:tcBorders>
              <w:right w:val="single" w:sz="4" w:space="0" w:color="auto"/>
            </w:tcBorders>
            <w:shd w:val="clear" w:color="auto" w:fill="auto"/>
            <w:vAlign w:val="center"/>
          </w:tcPr>
          <w:p w14:paraId="0BDA0A35"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24.1%</w:t>
            </w:r>
          </w:p>
        </w:tc>
      </w:tr>
      <w:tr w:rsidR="00744B30" w:rsidRPr="00501ECA" w14:paraId="7070CF16" w14:textId="77777777" w:rsidTr="00EB4FB2">
        <w:trPr>
          <w:gridAfter w:val="1"/>
          <w:wAfter w:w="13" w:type="dxa"/>
          <w:cantSplit/>
          <w:trHeight w:val="20"/>
          <w:jc w:val="center"/>
        </w:trPr>
        <w:tc>
          <w:tcPr>
            <w:tcW w:w="2663" w:type="dxa"/>
            <w:tcBorders>
              <w:left w:val="single" w:sz="4" w:space="0" w:color="auto"/>
            </w:tcBorders>
            <w:vAlign w:val="center"/>
          </w:tcPr>
          <w:p w14:paraId="40AB1910" w14:textId="77777777" w:rsidR="0047756B" w:rsidRPr="00501ECA" w:rsidRDefault="0047756B" w:rsidP="00F3113C">
            <w:pPr>
              <w:ind w:left="-39" w:right="-70"/>
              <w:rPr>
                <w:rFonts w:ascii="Arial Narrow" w:hAnsi="Arial Narrow" w:cs="Arial"/>
                <w:sz w:val="22"/>
                <w:szCs w:val="22"/>
              </w:rPr>
            </w:pPr>
            <w:r w:rsidRPr="00501ECA">
              <w:rPr>
                <w:rFonts w:ascii="Arial Narrow" w:hAnsi="Arial Narrow" w:cs="Arial"/>
                <w:sz w:val="22"/>
                <w:szCs w:val="22"/>
              </w:rPr>
              <w:t>Other</w:t>
            </w:r>
            <w:r w:rsidRPr="00501ECA">
              <w:rPr>
                <w:rStyle w:val="FootnoteReference"/>
                <w:rFonts w:ascii="Arial Narrow" w:hAnsi="Arial Narrow" w:cs="Arial"/>
                <w:sz w:val="22"/>
                <w:szCs w:val="22"/>
              </w:rPr>
              <w:footnoteReference w:id="8"/>
            </w:r>
          </w:p>
        </w:tc>
        <w:tc>
          <w:tcPr>
            <w:tcW w:w="806" w:type="dxa"/>
            <w:gridSpan w:val="3"/>
            <w:vAlign w:val="center"/>
          </w:tcPr>
          <w:p w14:paraId="7EED4417"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45,528 </w:t>
            </w:r>
          </w:p>
        </w:tc>
        <w:tc>
          <w:tcPr>
            <w:tcW w:w="810" w:type="dxa"/>
            <w:gridSpan w:val="4"/>
            <w:vAlign w:val="center"/>
          </w:tcPr>
          <w:p w14:paraId="6F5A18EB"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22.0%</w:t>
            </w:r>
          </w:p>
        </w:tc>
        <w:tc>
          <w:tcPr>
            <w:tcW w:w="900" w:type="dxa"/>
            <w:gridSpan w:val="3"/>
            <w:vAlign w:val="center"/>
          </w:tcPr>
          <w:p w14:paraId="6E7AE53B"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65,367 </w:t>
            </w:r>
          </w:p>
        </w:tc>
        <w:tc>
          <w:tcPr>
            <w:tcW w:w="810" w:type="dxa"/>
            <w:gridSpan w:val="3"/>
            <w:vAlign w:val="center"/>
          </w:tcPr>
          <w:p w14:paraId="7BB8FDFE"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21.8%</w:t>
            </w:r>
          </w:p>
        </w:tc>
        <w:tc>
          <w:tcPr>
            <w:tcW w:w="900" w:type="dxa"/>
            <w:gridSpan w:val="4"/>
            <w:shd w:val="clear" w:color="auto" w:fill="auto"/>
            <w:vAlign w:val="center"/>
          </w:tcPr>
          <w:p w14:paraId="02F4F954"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61,030</w:t>
            </w:r>
          </w:p>
        </w:tc>
        <w:tc>
          <w:tcPr>
            <w:tcW w:w="810" w:type="dxa"/>
            <w:gridSpan w:val="3"/>
            <w:shd w:val="clear" w:color="auto" w:fill="auto"/>
            <w:vAlign w:val="center"/>
          </w:tcPr>
          <w:p w14:paraId="0B0DCF54"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21.9</w:t>
            </w:r>
            <w:r w:rsidR="00423719">
              <w:rPr>
                <w:rFonts w:ascii="Arial Narrow" w:hAnsi="Arial Narrow" w:cs="Arial"/>
                <w:sz w:val="22"/>
                <w:szCs w:val="22"/>
              </w:rPr>
              <w:t>%</w:t>
            </w:r>
          </w:p>
        </w:tc>
        <w:tc>
          <w:tcPr>
            <w:tcW w:w="836" w:type="dxa"/>
            <w:gridSpan w:val="4"/>
            <w:shd w:val="clear" w:color="auto" w:fill="auto"/>
            <w:vAlign w:val="center"/>
          </w:tcPr>
          <w:p w14:paraId="2BD78BC2"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30,629</w:t>
            </w:r>
          </w:p>
        </w:tc>
        <w:tc>
          <w:tcPr>
            <w:tcW w:w="815" w:type="dxa"/>
            <w:gridSpan w:val="2"/>
            <w:tcBorders>
              <w:right w:val="single" w:sz="4" w:space="0" w:color="auto"/>
            </w:tcBorders>
            <w:shd w:val="clear" w:color="auto" w:fill="auto"/>
            <w:vAlign w:val="center"/>
          </w:tcPr>
          <w:p w14:paraId="07194B77"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17.2%</w:t>
            </w:r>
          </w:p>
        </w:tc>
      </w:tr>
      <w:tr w:rsidR="00EB4FB2" w:rsidRPr="00501ECA" w14:paraId="58F4B954" w14:textId="77777777" w:rsidTr="00EB4FB2">
        <w:trPr>
          <w:cantSplit/>
          <w:trHeight w:val="20"/>
          <w:jc w:val="center"/>
        </w:trPr>
        <w:tc>
          <w:tcPr>
            <w:tcW w:w="2689" w:type="dxa"/>
            <w:gridSpan w:val="3"/>
            <w:tcBorders>
              <w:left w:val="single" w:sz="4" w:space="0" w:color="auto"/>
              <w:right w:val="nil"/>
            </w:tcBorders>
            <w:shd w:val="clear" w:color="auto" w:fill="D9E2F3" w:themeFill="accent1" w:themeFillTint="33"/>
            <w:vAlign w:val="center"/>
          </w:tcPr>
          <w:p w14:paraId="71ACD5C0" w14:textId="77777777" w:rsidR="00EB4FB2" w:rsidRPr="00501ECA" w:rsidRDefault="00EB4FB2" w:rsidP="00EB4FB2">
            <w:pPr>
              <w:ind w:left="-39"/>
              <w:rPr>
                <w:rFonts w:ascii="Arial Narrow" w:hAnsi="Arial Narrow" w:cs="Arial"/>
                <w:b/>
                <w:bCs/>
                <w:sz w:val="22"/>
                <w:szCs w:val="22"/>
              </w:rPr>
            </w:pPr>
            <w:r w:rsidRPr="00501ECA">
              <w:rPr>
                <w:rFonts w:ascii="Arial Narrow" w:hAnsi="Arial Narrow" w:cs="Arial"/>
                <w:b/>
                <w:bCs/>
                <w:sz w:val="22"/>
                <w:szCs w:val="22"/>
              </w:rPr>
              <w:t>Geographic Origin</w:t>
            </w:r>
            <w:r w:rsidRPr="00501ECA">
              <w:rPr>
                <w:rStyle w:val="FootnoteReference"/>
                <w:rFonts w:ascii="Arial Narrow" w:hAnsi="Arial Narrow" w:cs="Arial"/>
                <w:b/>
                <w:bCs/>
                <w:sz w:val="22"/>
                <w:szCs w:val="22"/>
              </w:rPr>
              <w:footnoteReference w:id="9"/>
            </w:r>
          </w:p>
        </w:tc>
        <w:tc>
          <w:tcPr>
            <w:tcW w:w="810" w:type="dxa"/>
            <w:gridSpan w:val="3"/>
            <w:tcBorders>
              <w:left w:val="nil"/>
              <w:right w:val="nil"/>
            </w:tcBorders>
            <w:shd w:val="clear" w:color="auto" w:fill="D9E2F3" w:themeFill="accent1" w:themeFillTint="33"/>
            <w:vAlign w:val="center"/>
          </w:tcPr>
          <w:p w14:paraId="70CF98FA" w14:textId="00A28622"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4"/>
            <w:tcBorders>
              <w:left w:val="nil"/>
              <w:right w:val="nil"/>
            </w:tcBorders>
            <w:shd w:val="clear" w:color="auto" w:fill="D9E2F3" w:themeFill="accent1" w:themeFillTint="33"/>
            <w:vAlign w:val="center"/>
          </w:tcPr>
          <w:p w14:paraId="672C8FC7" w14:textId="76007255"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70" w:type="dxa"/>
            <w:tcBorders>
              <w:left w:val="nil"/>
              <w:right w:val="nil"/>
            </w:tcBorders>
            <w:shd w:val="clear" w:color="auto" w:fill="D9E2F3" w:themeFill="accent1" w:themeFillTint="33"/>
            <w:vAlign w:val="center"/>
          </w:tcPr>
          <w:p w14:paraId="3394A0EE" w14:textId="0A2F18A0"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70" w:type="dxa"/>
            <w:gridSpan w:val="6"/>
            <w:tcBorders>
              <w:left w:val="nil"/>
              <w:right w:val="nil"/>
            </w:tcBorders>
            <w:shd w:val="clear" w:color="auto" w:fill="D9E2F3" w:themeFill="accent1" w:themeFillTint="33"/>
            <w:vAlign w:val="center"/>
          </w:tcPr>
          <w:p w14:paraId="6D8725B0" w14:textId="4BD066CD"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71" w:type="dxa"/>
            <w:gridSpan w:val="3"/>
            <w:tcBorders>
              <w:left w:val="nil"/>
              <w:right w:val="nil"/>
            </w:tcBorders>
            <w:shd w:val="clear" w:color="auto" w:fill="D9E2F3" w:themeFill="accent1" w:themeFillTint="33"/>
            <w:vAlign w:val="center"/>
          </w:tcPr>
          <w:p w14:paraId="67EEA9EB" w14:textId="1504948D"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5" w:type="dxa"/>
            <w:gridSpan w:val="4"/>
            <w:tcBorders>
              <w:left w:val="nil"/>
              <w:right w:val="nil"/>
            </w:tcBorders>
            <w:shd w:val="clear" w:color="auto" w:fill="D9E2F3" w:themeFill="accent1" w:themeFillTint="33"/>
            <w:vAlign w:val="center"/>
          </w:tcPr>
          <w:p w14:paraId="49F985F2" w14:textId="6BC3A309"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0" w:type="dxa"/>
            <w:gridSpan w:val="2"/>
            <w:tcBorders>
              <w:left w:val="nil"/>
              <w:right w:val="nil"/>
            </w:tcBorders>
            <w:shd w:val="clear" w:color="auto" w:fill="D9E2F3" w:themeFill="accent1" w:themeFillTint="33"/>
            <w:vAlign w:val="center"/>
          </w:tcPr>
          <w:p w14:paraId="04946C22" w14:textId="4B528ADA"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c>
          <w:tcPr>
            <w:tcW w:w="818" w:type="dxa"/>
            <w:gridSpan w:val="2"/>
            <w:tcBorders>
              <w:left w:val="nil"/>
              <w:right w:val="single" w:sz="4" w:space="0" w:color="auto"/>
            </w:tcBorders>
            <w:shd w:val="clear" w:color="auto" w:fill="D9E2F3" w:themeFill="accent1" w:themeFillTint="33"/>
            <w:vAlign w:val="center"/>
          </w:tcPr>
          <w:p w14:paraId="32C55FB0" w14:textId="38A5AD54" w:rsidR="00EB4FB2" w:rsidRPr="00501ECA" w:rsidRDefault="00EB4FB2" w:rsidP="00EB4FB2">
            <w:pPr>
              <w:ind w:left="-39"/>
              <w:rPr>
                <w:rFonts w:ascii="Arial Narrow" w:hAnsi="Arial Narrow" w:cs="Arial"/>
                <w:b/>
                <w:bCs/>
                <w:sz w:val="22"/>
                <w:szCs w:val="22"/>
              </w:rPr>
            </w:pPr>
            <w:r w:rsidRPr="00EB4FB2">
              <w:rPr>
                <w:rFonts w:ascii="Arial Narrow" w:hAnsi="Arial Narrow" w:cs="Arial"/>
                <w:color w:val="D9E2F3"/>
                <w:sz w:val="22"/>
                <w:szCs w:val="22"/>
              </w:rPr>
              <w:t>blank</w:t>
            </w:r>
          </w:p>
        </w:tc>
      </w:tr>
      <w:tr w:rsidR="00744B30" w:rsidRPr="00501ECA" w14:paraId="74267F0B" w14:textId="77777777" w:rsidTr="00EB4FB2">
        <w:trPr>
          <w:gridAfter w:val="1"/>
          <w:wAfter w:w="13" w:type="dxa"/>
          <w:cantSplit/>
          <w:trHeight w:val="20"/>
          <w:jc w:val="center"/>
        </w:trPr>
        <w:tc>
          <w:tcPr>
            <w:tcW w:w="2663" w:type="dxa"/>
            <w:tcBorders>
              <w:left w:val="single" w:sz="4" w:space="0" w:color="auto"/>
            </w:tcBorders>
            <w:vAlign w:val="center"/>
          </w:tcPr>
          <w:p w14:paraId="3F76B5EA"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 xml:space="preserve">Dorchester </w:t>
            </w:r>
          </w:p>
        </w:tc>
        <w:tc>
          <w:tcPr>
            <w:tcW w:w="806" w:type="dxa"/>
            <w:gridSpan w:val="3"/>
            <w:vAlign w:val="center"/>
          </w:tcPr>
          <w:p w14:paraId="482DA926"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38,661 </w:t>
            </w:r>
          </w:p>
        </w:tc>
        <w:tc>
          <w:tcPr>
            <w:tcW w:w="810" w:type="dxa"/>
            <w:gridSpan w:val="4"/>
            <w:vAlign w:val="center"/>
          </w:tcPr>
          <w:p w14:paraId="1ABEFA2A"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18.7%</w:t>
            </w:r>
          </w:p>
        </w:tc>
        <w:tc>
          <w:tcPr>
            <w:tcW w:w="900" w:type="dxa"/>
            <w:gridSpan w:val="3"/>
            <w:vAlign w:val="center"/>
          </w:tcPr>
          <w:p w14:paraId="2B8FCB31"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50,673 </w:t>
            </w:r>
          </w:p>
        </w:tc>
        <w:tc>
          <w:tcPr>
            <w:tcW w:w="810" w:type="dxa"/>
            <w:gridSpan w:val="3"/>
            <w:vAlign w:val="center"/>
          </w:tcPr>
          <w:p w14:paraId="4672D78A"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16.9%</w:t>
            </w:r>
          </w:p>
        </w:tc>
        <w:tc>
          <w:tcPr>
            <w:tcW w:w="900" w:type="dxa"/>
            <w:gridSpan w:val="4"/>
            <w:shd w:val="clear" w:color="auto" w:fill="auto"/>
            <w:vAlign w:val="center"/>
          </w:tcPr>
          <w:p w14:paraId="3EC3A093"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51,985</w:t>
            </w:r>
          </w:p>
        </w:tc>
        <w:tc>
          <w:tcPr>
            <w:tcW w:w="810" w:type="dxa"/>
            <w:gridSpan w:val="3"/>
            <w:shd w:val="clear" w:color="auto" w:fill="auto"/>
            <w:vAlign w:val="center"/>
          </w:tcPr>
          <w:p w14:paraId="71F40044"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18.7</w:t>
            </w:r>
            <w:r w:rsidR="00423719">
              <w:rPr>
                <w:rFonts w:ascii="Arial Narrow" w:hAnsi="Arial Narrow" w:cs="Arial"/>
                <w:sz w:val="22"/>
                <w:szCs w:val="22"/>
              </w:rPr>
              <w:t>%</w:t>
            </w:r>
          </w:p>
        </w:tc>
        <w:tc>
          <w:tcPr>
            <w:tcW w:w="836" w:type="dxa"/>
            <w:gridSpan w:val="4"/>
            <w:shd w:val="clear" w:color="auto" w:fill="auto"/>
            <w:vAlign w:val="center"/>
          </w:tcPr>
          <w:p w14:paraId="38BB1AE1"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32,933</w:t>
            </w:r>
          </w:p>
        </w:tc>
        <w:tc>
          <w:tcPr>
            <w:tcW w:w="815" w:type="dxa"/>
            <w:gridSpan w:val="2"/>
            <w:tcBorders>
              <w:right w:val="single" w:sz="4" w:space="0" w:color="auto"/>
            </w:tcBorders>
            <w:shd w:val="clear" w:color="auto" w:fill="auto"/>
            <w:vAlign w:val="center"/>
          </w:tcPr>
          <w:p w14:paraId="7D02EC0C"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18.5%</w:t>
            </w:r>
          </w:p>
        </w:tc>
      </w:tr>
      <w:tr w:rsidR="00744B30" w:rsidRPr="00501ECA" w14:paraId="42E0EAF7" w14:textId="77777777" w:rsidTr="00EB4FB2">
        <w:trPr>
          <w:gridAfter w:val="1"/>
          <w:wAfter w:w="13" w:type="dxa"/>
          <w:cantSplit/>
          <w:trHeight w:val="20"/>
          <w:jc w:val="center"/>
        </w:trPr>
        <w:tc>
          <w:tcPr>
            <w:tcW w:w="2663" w:type="dxa"/>
            <w:tcBorders>
              <w:left w:val="single" w:sz="4" w:space="0" w:color="auto"/>
            </w:tcBorders>
            <w:vAlign w:val="center"/>
          </w:tcPr>
          <w:p w14:paraId="03E4BE6A"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Boston</w:t>
            </w:r>
          </w:p>
        </w:tc>
        <w:tc>
          <w:tcPr>
            <w:tcW w:w="806" w:type="dxa"/>
            <w:gridSpan w:val="3"/>
            <w:vAlign w:val="center"/>
          </w:tcPr>
          <w:p w14:paraId="79698DE5"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28,539 </w:t>
            </w:r>
          </w:p>
        </w:tc>
        <w:tc>
          <w:tcPr>
            <w:tcW w:w="810" w:type="dxa"/>
            <w:gridSpan w:val="4"/>
            <w:vAlign w:val="center"/>
          </w:tcPr>
          <w:p w14:paraId="61757C88"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13.8%</w:t>
            </w:r>
          </w:p>
        </w:tc>
        <w:tc>
          <w:tcPr>
            <w:tcW w:w="900" w:type="dxa"/>
            <w:gridSpan w:val="3"/>
            <w:vAlign w:val="center"/>
          </w:tcPr>
          <w:p w14:paraId="73374E70"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47,193 </w:t>
            </w:r>
          </w:p>
        </w:tc>
        <w:tc>
          <w:tcPr>
            <w:tcW w:w="810" w:type="dxa"/>
            <w:gridSpan w:val="3"/>
            <w:vAlign w:val="center"/>
          </w:tcPr>
          <w:p w14:paraId="2BC90125"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15.8%</w:t>
            </w:r>
          </w:p>
        </w:tc>
        <w:tc>
          <w:tcPr>
            <w:tcW w:w="900" w:type="dxa"/>
            <w:gridSpan w:val="4"/>
            <w:shd w:val="clear" w:color="auto" w:fill="auto"/>
            <w:vAlign w:val="center"/>
          </w:tcPr>
          <w:p w14:paraId="593DB5FE"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43,486</w:t>
            </w:r>
          </w:p>
        </w:tc>
        <w:tc>
          <w:tcPr>
            <w:tcW w:w="810" w:type="dxa"/>
            <w:gridSpan w:val="3"/>
            <w:shd w:val="clear" w:color="auto" w:fill="auto"/>
            <w:vAlign w:val="center"/>
          </w:tcPr>
          <w:p w14:paraId="2F7BAB0A"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15.6</w:t>
            </w:r>
            <w:r w:rsidR="00423719">
              <w:rPr>
                <w:rFonts w:ascii="Arial Narrow" w:hAnsi="Arial Narrow" w:cs="Arial"/>
                <w:sz w:val="22"/>
                <w:szCs w:val="22"/>
              </w:rPr>
              <w:t>%</w:t>
            </w:r>
          </w:p>
        </w:tc>
        <w:tc>
          <w:tcPr>
            <w:tcW w:w="836" w:type="dxa"/>
            <w:gridSpan w:val="4"/>
            <w:shd w:val="clear" w:color="auto" w:fill="auto"/>
            <w:vAlign w:val="center"/>
          </w:tcPr>
          <w:p w14:paraId="365D6956"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25,938</w:t>
            </w:r>
          </w:p>
        </w:tc>
        <w:tc>
          <w:tcPr>
            <w:tcW w:w="815" w:type="dxa"/>
            <w:gridSpan w:val="2"/>
            <w:tcBorders>
              <w:right w:val="single" w:sz="4" w:space="0" w:color="auto"/>
            </w:tcBorders>
            <w:shd w:val="clear" w:color="auto" w:fill="auto"/>
            <w:vAlign w:val="center"/>
          </w:tcPr>
          <w:p w14:paraId="389EE5C1"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14.6%</w:t>
            </w:r>
          </w:p>
        </w:tc>
      </w:tr>
      <w:tr w:rsidR="00744B30" w:rsidRPr="00501ECA" w14:paraId="621A9015" w14:textId="77777777" w:rsidTr="00EB4FB2">
        <w:trPr>
          <w:gridAfter w:val="1"/>
          <w:wAfter w:w="13" w:type="dxa"/>
          <w:cantSplit/>
          <w:trHeight w:val="20"/>
          <w:jc w:val="center"/>
        </w:trPr>
        <w:tc>
          <w:tcPr>
            <w:tcW w:w="2663" w:type="dxa"/>
            <w:tcBorders>
              <w:left w:val="single" w:sz="4" w:space="0" w:color="auto"/>
            </w:tcBorders>
            <w:vAlign w:val="center"/>
          </w:tcPr>
          <w:p w14:paraId="49A2D501"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Roxbury</w:t>
            </w:r>
          </w:p>
        </w:tc>
        <w:tc>
          <w:tcPr>
            <w:tcW w:w="806" w:type="dxa"/>
            <w:gridSpan w:val="3"/>
            <w:vAlign w:val="center"/>
          </w:tcPr>
          <w:p w14:paraId="06D267F3"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11,990 </w:t>
            </w:r>
          </w:p>
        </w:tc>
        <w:tc>
          <w:tcPr>
            <w:tcW w:w="810" w:type="dxa"/>
            <w:gridSpan w:val="4"/>
            <w:vAlign w:val="center"/>
          </w:tcPr>
          <w:p w14:paraId="50EA8DEC"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5.8%</w:t>
            </w:r>
          </w:p>
        </w:tc>
        <w:tc>
          <w:tcPr>
            <w:tcW w:w="900" w:type="dxa"/>
            <w:gridSpan w:val="3"/>
            <w:vAlign w:val="center"/>
          </w:tcPr>
          <w:p w14:paraId="51537CDC"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14,882 </w:t>
            </w:r>
          </w:p>
        </w:tc>
        <w:tc>
          <w:tcPr>
            <w:tcW w:w="810" w:type="dxa"/>
            <w:gridSpan w:val="3"/>
            <w:vAlign w:val="center"/>
          </w:tcPr>
          <w:p w14:paraId="0AE9F3DE"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5.0%</w:t>
            </w:r>
          </w:p>
        </w:tc>
        <w:tc>
          <w:tcPr>
            <w:tcW w:w="900" w:type="dxa"/>
            <w:gridSpan w:val="4"/>
            <w:shd w:val="clear" w:color="auto" w:fill="auto"/>
            <w:vAlign w:val="center"/>
          </w:tcPr>
          <w:p w14:paraId="4C3D4D5C"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12,745</w:t>
            </w:r>
          </w:p>
        </w:tc>
        <w:tc>
          <w:tcPr>
            <w:tcW w:w="810" w:type="dxa"/>
            <w:gridSpan w:val="3"/>
            <w:shd w:val="clear" w:color="auto" w:fill="auto"/>
            <w:vAlign w:val="center"/>
          </w:tcPr>
          <w:p w14:paraId="66CDA7B9"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4.6</w:t>
            </w:r>
            <w:r w:rsidR="00423719">
              <w:rPr>
                <w:rFonts w:ascii="Arial Narrow" w:hAnsi="Arial Narrow" w:cs="Arial"/>
                <w:sz w:val="22"/>
                <w:szCs w:val="22"/>
              </w:rPr>
              <w:t>%</w:t>
            </w:r>
          </w:p>
        </w:tc>
        <w:tc>
          <w:tcPr>
            <w:tcW w:w="836" w:type="dxa"/>
            <w:gridSpan w:val="4"/>
            <w:shd w:val="clear" w:color="auto" w:fill="auto"/>
            <w:vAlign w:val="center"/>
          </w:tcPr>
          <w:p w14:paraId="7AA85439"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8,368</w:t>
            </w:r>
          </w:p>
        </w:tc>
        <w:tc>
          <w:tcPr>
            <w:tcW w:w="815" w:type="dxa"/>
            <w:gridSpan w:val="2"/>
            <w:tcBorders>
              <w:right w:val="single" w:sz="4" w:space="0" w:color="auto"/>
            </w:tcBorders>
            <w:shd w:val="clear" w:color="auto" w:fill="auto"/>
            <w:vAlign w:val="center"/>
          </w:tcPr>
          <w:p w14:paraId="26B3FDC1"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4.7%</w:t>
            </w:r>
          </w:p>
        </w:tc>
      </w:tr>
      <w:tr w:rsidR="00744B30" w:rsidRPr="00501ECA" w14:paraId="60CDDB8A" w14:textId="77777777" w:rsidTr="00EB4FB2">
        <w:trPr>
          <w:gridAfter w:val="1"/>
          <w:wAfter w:w="13" w:type="dxa"/>
          <w:cantSplit/>
          <w:trHeight w:val="20"/>
          <w:jc w:val="center"/>
        </w:trPr>
        <w:tc>
          <w:tcPr>
            <w:tcW w:w="2663" w:type="dxa"/>
            <w:tcBorders>
              <w:left w:val="single" w:sz="4" w:space="0" w:color="auto"/>
            </w:tcBorders>
            <w:vAlign w:val="center"/>
          </w:tcPr>
          <w:p w14:paraId="30164D99"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 xml:space="preserve">Brockton </w:t>
            </w:r>
          </w:p>
        </w:tc>
        <w:tc>
          <w:tcPr>
            <w:tcW w:w="806" w:type="dxa"/>
            <w:gridSpan w:val="3"/>
            <w:vAlign w:val="center"/>
          </w:tcPr>
          <w:p w14:paraId="62ABA37F"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8,035 </w:t>
            </w:r>
          </w:p>
        </w:tc>
        <w:tc>
          <w:tcPr>
            <w:tcW w:w="810" w:type="dxa"/>
            <w:gridSpan w:val="4"/>
            <w:vAlign w:val="center"/>
          </w:tcPr>
          <w:p w14:paraId="6DAC32D3"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3.9%</w:t>
            </w:r>
          </w:p>
        </w:tc>
        <w:tc>
          <w:tcPr>
            <w:tcW w:w="900" w:type="dxa"/>
            <w:gridSpan w:val="3"/>
            <w:vAlign w:val="center"/>
          </w:tcPr>
          <w:p w14:paraId="0226B3E1"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9,239 </w:t>
            </w:r>
          </w:p>
        </w:tc>
        <w:tc>
          <w:tcPr>
            <w:tcW w:w="810" w:type="dxa"/>
            <w:gridSpan w:val="3"/>
            <w:vAlign w:val="center"/>
          </w:tcPr>
          <w:p w14:paraId="21CF6F85"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3.1%</w:t>
            </w:r>
          </w:p>
        </w:tc>
        <w:tc>
          <w:tcPr>
            <w:tcW w:w="900" w:type="dxa"/>
            <w:gridSpan w:val="4"/>
            <w:shd w:val="clear" w:color="auto" w:fill="auto"/>
            <w:vAlign w:val="center"/>
          </w:tcPr>
          <w:p w14:paraId="2DF5FE50"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9,716</w:t>
            </w:r>
          </w:p>
        </w:tc>
        <w:tc>
          <w:tcPr>
            <w:tcW w:w="810" w:type="dxa"/>
            <w:gridSpan w:val="3"/>
            <w:shd w:val="clear" w:color="auto" w:fill="auto"/>
            <w:vAlign w:val="center"/>
          </w:tcPr>
          <w:p w14:paraId="512A07FF"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3.5</w:t>
            </w:r>
            <w:r w:rsidR="00423719">
              <w:rPr>
                <w:rFonts w:ascii="Arial Narrow" w:hAnsi="Arial Narrow" w:cs="Arial"/>
                <w:sz w:val="22"/>
                <w:szCs w:val="22"/>
              </w:rPr>
              <w:t>%</w:t>
            </w:r>
          </w:p>
        </w:tc>
        <w:tc>
          <w:tcPr>
            <w:tcW w:w="836" w:type="dxa"/>
            <w:gridSpan w:val="4"/>
            <w:shd w:val="clear" w:color="auto" w:fill="auto"/>
            <w:vAlign w:val="center"/>
          </w:tcPr>
          <w:p w14:paraId="54819FAC"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6,986</w:t>
            </w:r>
          </w:p>
        </w:tc>
        <w:tc>
          <w:tcPr>
            <w:tcW w:w="815" w:type="dxa"/>
            <w:gridSpan w:val="2"/>
            <w:tcBorders>
              <w:right w:val="single" w:sz="4" w:space="0" w:color="auto"/>
            </w:tcBorders>
            <w:shd w:val="clear" w:color="auto" w:fill="auto"/>
            <w:vAlign w:val="center"/>
          </w:tcPr>
          <w:p w14:paraId="0BD761C1"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3.9%</w:t>
            </w:r>
          </w:p>
        </w:tc>
      </w:tr>
      <w:tr w:rsidR="00744B30" w:rsidRPr="00501ECA" w14:paraId="429B8BE3" w14:textId="77777777" w:rsidTr="00EB4FB2">
        <w:trPr>
          <w:gridAfter w:val="1"/>
          <w:wAfter w:w="13" w:type="dxa"/>
          <w:cantSplit/>
          <w:trHeight w:val="20"/>
          <w:jc w:val="center"/>
        </w:trPr>
        <w:tc>
          <w:tcPr>
            <w:tcW w:w="2663" w:type="dxa"/>
            <w:tcBorders>
              <w:left w:val="single" w:sz="4" w:space="0" w:color="auto"/>
            </w:tcBorders>
            <w:vAlign w:val="center"/>
          </w:tcPr>
          <w:p w14:paraId="546C2056"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 xml:space="preserve">Mattapan </w:t>
            </w:r>
          </w:p>
        </w:tc>
        <w:tc>
          <w:tcPr>
            <w:tcW w:w="806" w:type="dxa"/>
            <w:gridSpan w:val="3"/>
            <w:vAlign w:val="center"/>
          </w:tcPr>
          <w:p w14:paraId="53216FF6"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6,909 </w:t>
            </w:r>
          </w:p>
        </w:tc>
        <w:tc>
          <w:tcPr>
            <w:tcW w:w="810" w:type="dxa"/>
            <w:gridSpan w:val="4"/>
            <w:vAlign w:val="center"/>
          </w:tcPr>
          <w:p w14:paraId="44D11FB6"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3.3%</w:t>
            </w:r>
          </w:p>
        </w:tc>
        <w:tc>
          <w:tcPr>
            <w:tcW w:w="900" w:type="dxa"/>
            <w:gridSpan w:val="3"/>
            <w:vAlign w:val="center"/>
          </w:tcPr>
          <w:p w14:paraId="25BA5FD0"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9,139 </w:t>
            </w:r>
          </w:p>
        </w:tc>
        <w:tc>
          <w:tcPr>
            <w:tcW w:w="810" w:type="dxa"/>
            <w:gridSpan w:val="3"/>
            <w:vAlign w:val="center"/>
          </w:tcPr>
          <w:p w14:paraId="79FA681B"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3.1%</w:t>
            </w:r>
          </w:p>
        </w:tc>
        <w:tc>
          <w:tcPr>
            <w:tcW w:w="900" w:type="dxa"/>
            <w:gridSpan w:val="4"/>
            <w:shd w:val="clear" w:color="auto" w:fill="auto"/>
            <w:vAlign w:val="center"/>
          </w:tcPr>
          <w:p w14:paraId="1678C0D5"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9,773</w:t>
            </w:r>
          </w:p>
        </w:tc>
        <w:tc>
          <w:tcPr>
            <w:tcW w:w="810" w:type="dxa"/>
            <w:gridSpan w:val="3"/>
            <w:shd w:val="clear" w:color="auto" w:fill="auto"/>
            <w:vAlign w:val="center"/>
          </w:tcPr>
          <w:p w14:paraId="318A69F2"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3.5</w:t>
            </w:r>
            <w:r w:rsidR="00423719">
              <w:rPr>
                <w:rFonts w:ascii="Arial Narrow" w:hAnsi="Arial Narrow" w:cs="Arial"/>
                <w:sz w:val="22"/>
                <w:szCs w:val="22"/>
              </w:rPr>
              <w:t>%</w:t>
            </w:r>
          </w:p>
        </w:tc>
        <w:tc>
          <w:tcPr>
            <w:tcW w:w="836" w:type="dxa"/>
            <w:gridSpan w:val="4"/>
            <w:shd w:val="clear" w:color="auto" w:fill="auto"/>
            <w:vAlign w:val="center"/>
          </w:tcPr>
          <w:p w14:paraId="260F3618"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6,068</w:t>
            </w:r>
          </w:p>
        </w:tc>
        <w:tc>
          <w:tcPr>
            <w:tcW w:w="815" w:type="dxa"/>
            <w:gridSpan w:val="2"/>
            <w:tcBorders>
              <w:right w:val="single" w:sz="4" w:space="0" w:color="auto"/>
            </w:tcBorders>
            <w:shd w:val="clear" w:color="auto" w:fill="auto"/>
            <w:vAlign w:val="center"/>
          </w:tcPr>
          <w:p w14:paraId="309AEDA4"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3.4%</w:t>
            </w:r>
          </w:p>
        </w:tc>
      </w:tr>
      <w:tr w:rsidR="00744B30" w:rsidRPr="00501ECA" w14:paraId="4101DDA0" w14:textId="77777777" w:rsidTr="00EB4FB2">
        <w:trPr>
          <w:gridAfter w:val="1"/>
          <w:wAfter w:w="13" w:type="dxa"/>
          <w:cantSplit/>
          <w:trHeight w:val="20"/>
          <w:jc w:val="center"/>
        </w:trPr>
        <w:tc>
          <w:tcPr>
            <w:tcW w:w="2663" w:type="dxa"/>
            <w:tcBorders>
              <w:left w:val="single" w:sz="4" w:space="0" w:color="auto"/>
            </w:tcBorders>
            <w:vAlign w:val="center"/>
          </w:tcPr>
          <w:p w14:paraId="64525F1A"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 xml:space="preserve">Hyde Park </w:t>
            </w:r>
          </w:p>
        </w:tc>
        <w:tc>
          <w:tcPr>
            <w:tcW w:w="806" w:type="dxa"/>
            <w:gridSpan w:val="3"/>
            <w:vAlign w:val="center"/>
          </w:tcPr>
          <w:p w14:paraId="471747E7"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6,293 </w:t>
            </w:r>
          </w:p>
        </w:tc>
        <w:tc>
          <w:tcPr>
            <w:tcW w:w="810" w:type="dxa"/>
            <w:gridSpan w:val="4"/>
            <w:vAlign w:val="center"/>
          </w:tcPr>
          <w:p w14:paraId="632E527D"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3.0%</w:t>
            </w:r>
          </w:p>
        </w:tc>
        <w:tc>
          <w:tcPr>
            <w:tcW w:w="900" w:type="dxa"/>
            <w:gridSpan w:val="3"/>
            <w:vAlign w:val="center"/>
          </w:tcPr>
          <w:p w14:paraId="031F82FE"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9,730 </w:t>
            </w:r>
          </w:p>
        </w:tc>
        <w:tc>
          <w:tcPr>
            <w:tcW w:w="810" w:type="dxa"/>
            <w:gridSpan w:val="3"/>
            <w:vAlign w:val="center"/>
          </w:tcPr>
          <w:p w14:paraId="6AF10E3B"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3.3%</w:t>
            </w:r>
          </w:p>
        </w:tc>
        <w:tc>
          <w:tcPr>
            <w:tcW w:w="900" w:type="dxa"/>
            <w:gridSpan w:val="4"/>
            <w:shd w:val="clear" w:color="auto" w:fill="auto"/>
            <w:vAlign w:val="center"/>
          </w:tcPr>
          <w:p w14:paraId="3CBBE3F9"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8,904</w:t>
            </w:r>
          </w:p>
        </w:tc>
        <w:tc>
          <w:tcPr>
            <w:tcW w:w="810" w:type="dxa"/>
            <w:gridSpan w:val="3"/>
            <w:shd w:val="clear" w:color="auto" w:fill="auto"/>
            <w:vAlign w:val="center"/>
          </w:tcPr>
          <w:p w14:paraId="0F259FA7"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3.2</w:t>
            </w:r>
            <w:r w:rsidR="00423719">
              <w:rPr>
                <w:rFonts w:ascii="Arial Narrow" w:hAnsi="Arial Narrow" w:cs="Arial"/>
                <w:sz w:val="22"/>
                <w:szCs w:val="22"/>
              </w:rPr>
              <w:t>%</w:t>
            </w:r>
          </w:p>
        </w:tc>
        <w:tc>
          <w:tcPr>
            <w:tcW w:w="836" w:type="dxa"/>
            <w:gridSpan w:val="4"/>
            <w:shd w:val="clear" w:color="auto" w:fill="auto"/>
            <w:vAlign w:val="center"/>
          </w:tcPr>
          <w:p w14:paraId="316A7521"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5,475</w:t>
            </w:r>
          </w:p>
        </w:tc>
        <w:tc>
          <w:tcPr>
            <w:tcW w:w="815" w:type="dxa"/>
            <w:gridSpan w:val="2"/>
            <w:tcBorders>
              <w:right w:val="single" w:sz="4" w:space="0" w:color="auto"/>
            </w:tcBorders>
            <w:shd w:val="clear" w:color="auto" w:fill="auto"/>
            <w:vAlign w:val="center"/>
          </w:tcPr>
          <w:p w14:paraId="5C1C33F3"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3.1%</w:t>
            </w:r>
          </w:p>
        </w:tc>
      </w:tr>
      <w:tr w:rsidR="00744B30" w:rsidRPr="00501ECA" w14:paraId="0B6A3AF2" w14:textId="77777777" w:rsidTr="00EB4FB2">
        <w:trPr>
          <w:gridAfter w:val="1"/>
          <w:wAfter w:w="13" w:type="dxa"/>
          <w:cantSplit/>
          <w:trHeight w:val="20"/>
          <w:jc w:val="center"/>
        </w:trPr>
        <w:tc>
          <w:tcPr>
            <w:tcW w:w="2663" w:type="dxa"/>
            <w:tcBorders>
              <w:left w:val="single" w:sz="4" w:space="0" w:color="auto"/>
            </w:tcBorders>
            <w:vAlign w:val="center"/>
          </w:tcPr>
          <w:p w14:paraId="7FA00FA0"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 xml:space="preserve">Revere </w:t>
            </w:r>
          </w:p>
        </w:tc>
        <w:tc>
          <w:tcPr>
            <w:tcW w:w="806" w:type="dxa"/>
            <w:gridSpan w:val="3"/>
            <w:vAlign w:val="center"/>
          </w:tcPr>
          <w:p w14:paraId="3A84586C"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5,984 </w:t>
            </w:r>
          </w:p>
        </w:tc>
        <w:tc>
          <w:tcPr>
            <w:tcW w:w="810" w:type="dxa"/>
            <w:gridSpan w:val="4"/>
            <w:vAlign w:val="center"/>
          </w:tcPr>
          <w:p w14:paraId="02410546"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2.9%</w:t>
            </w:r>
          </w:p>
        </w:tc>
        <w:tc>
          <w:tcPr>
            <w:tcW w:w="900" w:type="dxa"/>
            <w:gridSpan w:val="3"/>
            <w:vAlign w:val="center"/>
          </w:tcPr>
          <w:p w14:paraId="13740056"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6,794 </w:t>
            </w:r>
          </w:p>
        </w:tc>
        <w:tc>
          <w:tcPr>
            <w:tcW w:w="810" w:type="dxa"/>
            <w:gridSpan w:val="3"/>
            <w:vAlign w:val="center"/>
          </w:tcPr>
          <w:p w14:paraId="643D95AB"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2.3%</w:t>
            </w:r>
          </w:p>
        </w:tc>
        <w:tc>
          <w:tcPr>
            <w:tcW w:w="900" w:type="dxa"/>
            <w:gridSpan w:val="4"/>
            <w:shd w:val="clear" w:color="auto" w:fill="auto"/>
            <w:vAlign w:val="center"/>
          </w:tcPr>
          <w:p w14:paraId="29A3BB55"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7,494</w:t>
            </w:r>
          </w:p>
        </w:tc>
        <w:tc>
          <w:tcPr>
            <w:tcW w:w="810" w:type="dxa"/>
            <w:gridSpan w:val="3"/>
            <w:shd w:val="clear" w:color="auto" w:fill="auto"/>
            <w:vAlign w:val="center"/>
          </w:tcPr>
          <w:p w14:paraId="0956692D"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2.7</w:t>
            </w:r>
            <w:r w:rsidR="00423719">
              <w:rPr>
                <w:rFonts w:ascii="Arial Narrow" w:hAnsi="Arial Narrow" w:cs="Arial"/>
                <w:sz w:val="22"/>
                <w:szCs w:val="22"/>
              </w:rPr>
              <w:t>%</w:t>
            </w:r>
          </w:p>
        </w:tc>
        <w:tc>
          <w:tcPr>
            <w:tcW w:w="836" w:type="dxa"/>
            <w:gridSpan w:val="4"/>
            <w:shd w:val="clear" w:color="auto" w:fill="auto"/>
            <w:vAlign w:val="center"/>
          </w:tcPr>
          <w:p w14:paraId="530D86CA"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5,251</w:t>
            </w:r>
          </w:p>
        </w:tc>
        <w:tc>
          <w:tcPr>
            <w:tcW w:w="815" w:type="dxa"/>
            <w:gridSpan w:val="2"/>
            <w:tcBorders>
              <w:right w:val="single" w:sz="4" w:space="0" w:color="auto"/>
            </w:tcBorders>
            <w:shd w:val="clear" w:color="auto" w:fill="auto"/>
            <w:vAlign w:val="center"/>
          </w:tcPr>
          <w:p w14:paraId="48F8CA00"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3.0%</w:t>
            </w:r>
          </w:p>
        </w:tc>
      </w:tr>
      <w:tr w:rsidR="00744B30" w:rsidRPr="00501ECA" w14:paraId="51846DAF" w14:textId="77777777" w:rsidTr="00EB4FB2">
        <w:trPr>
          <w:gridAfter w:val="1"/>
          <w:wAfter w:w="13" w:type="dxa"/>
          <w:cantSplit/>
          <w:trHeight w:val="20"/>
          <w:jc w:val="center"/>
        </w:trPr>
        <w:tc>
          <w:tcPr>
            <w:tcW w:w="2663" w:type="dxa"/>
            <w:tcBorders>
              <w:left w:val="single" w:sz="4" w:space="0" w:color="auto"/>
            </w:tcBorders>
            <w:vAlign w:val="center"/>
          </w:tcPr>
          <w:p w14:paraId="0563FA55"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Quincy</w:t>
            </w:r>
          </w:p>
        </w:tc>
        <w:tc>
          <w:tcPr>
            <w:tcW w:w="806" w:type="dxa"/>
            <w:gridSpan w:val="3"/>
            <w:vAlign w:val="center"/>
          </w:tcPr>
          <w:p w14:paraId="67874CFE"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5,673 </w:t>
            </w:r>
          </w:p>
        </w:tc>
        <w:tc>
          <w:tcPr>
            <w:tcW w:w="810" w:type="dxa"/>
            <w:gridSpan w:val="4"/>
            <w:vAlign w:val="center"/>
          </w:tcPr>
          <w:p w14:paraId="4CA19C5E"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2.7%</w:t>
            </w:r>
          </w:p>
        </w:tc>
        <w:tc>
          <w:tcPr>
            <w:tcW w:w="900" w:type="dxa"/>
            <w:gridSpan w:val="3"/>
            <w:vAlign w:val="center"/>
          </w:tcPr>
          <w:p w14:paraId="6EF891CB"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7,759 </w:t>
            </w:r>
          </w:p>
        </w:tc>
        <w:tc>
          <w:tcPr>
            <w:tcW w:w="810" w:type="dxa"/>
            <w:gridSpan w:val="3"/>
            <w:vAlign w:val="center"/>
          </w:tcPr>
          <w:p w14:paraId="50FE1C2B"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2.6%</w:t>
            </w:r>
          </w:p>
        </w:tc>
        <w:tc>
          <w:tcPr>
            <w:tcW w:w="900" w:type="dxa"/>
            <w:gridSpan w:val="4"/>
            <w:shd w:val="clear" w:color="auto" w:fill="auto"/>
            <w:vAlign w:val="center"/>
          </w:tcPr>
          <w:p w14:paraId="3F8B8E8A"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7,700</w:t>
            </w:r>
          </w:p>
        </w:tc>
        <w:tc>
          <w:tcPr>
            <w:tcW w:w="810" w:type="dxa"/>
            <w:gridSpan w:val="3"/>
            <w:shd w:val="clear" w:color="auto" w:fill="auto"/>
            <w:vAlign w:val="center"/>
          </w:tcPr>
          <w:p w14:paraId="67E813B4"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2.8</w:t>
            </w:r>
            <w:r w:rsidR="00423719">
              <w:rPr>
                <w:rFonts w:ascii="Arial Narrow" w:hAnsi="Arial Narrow" w:cs="Arial"/>
                <w:sz w:val="22"/>
                <w:szCs w:val="22"/>
              </w:rPr>
              <w:t>%</w:t>
            </w:r>
          </w:p>
        </w:tc>
        <w:tc>
          <w:tcPr>
            <w:tcW w:w="836" w:type="dxa"/>
            <w:gridSpan w:val="4"/>
            <w:shd w:val="clear" w:color="auto" w:fill="auto"/>
            <w:vAlign w:val="center"/>
          </w:tcPr>
          <w:p w14:paraId="4D48DCD9"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4,949</w:t>
            </w:r>
          </w:p>
        </w:tc>
        <w:tc>
          <w:tcPr>
            <w:tcW w:w="815" w:type="dxa"/>
            <w:gridSpan w:val="2"/>
            <w:tcBorders>
              <w:right w:val="single" w:sz="4" w:space="0" w:color="auto"/>
            </w:tcBorders>
            <w:shd w:val="clear" w:color="auto" w:fill="auto"/>
            <w:vAlign w:val="center"/>
          </w:tcPr>
          <w:p w14:paraId="7F4D3F5A"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2.8%</w:t>
            </w:r>
          </w:p>
        </w:tc>
      </w:tr>
      <w:tr w:rsidR="00744B30" w:rsidRPr="00501ECA" w14:paraId="1E49B7C8" w14:textId="77777777" w:rsidTr="00EB4FB2">
        <w:trPr>
          <w:gridAfter w:val="1"/>
          <w:wAfter w:w="13" w:type="dxa"/>
          <w:cantSplit/>
          <w:trHeight w:val="20"/>
          <w:jc w:val="center"/>
        </w:trPr>
        <w:tc>
          <w:tcPr>
            <w:tcW w:w="2663" w:type="dxa"/>
            <w:tcBorders>
              <w:left w:val="single" w:sz="4" w:space="0" w:color="auto"/>
            </w:tcBorders>
            <w:vAlign w:val="center"/>
          </w:tcPr>
          <w:p w14:paraId="6070B481"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Chelsea</w:t>
            </w:r>
          </w:p>
        </w:tc>
        <w:tc>
          <w:tcPr>
            <w:tcW w:w="806" w:type="dxa"/>
            <w:gridSpan w:val="3"/>
            <w:vAlign w:val="center"/>
          </w:tcPr>
          <w:p w14:paraId="5EC9A236"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4,875 </w:t>
            </w:r>
          </w:p>
        </w:tc>
        <w:tc>
          <w:tcPr>
            <w:tcW w:w="810" w:type="dxa"/>
            <w:gridSpan w:val="4"/>
            <w:vAlign w:val="center"/>
          </w:tcPr>
          <w:p w14:paraId="7860DA4A"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2.4%</w:t>
            </w:r>
          </w:p>
        </w:tc>
        <w:tc>
          <w:tcPr>
            <w:tcW w:w="900" w:type="dxa"/>
            <w:gridSpan w:val="3"/>
            <w:vAlign w:val="center"/>
          </w:tcPr>
          <w:p w14:paraId="36A33F92"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5,259 </w:t>
            </w:r>
          </w:p>
        </w:tc>
        <w:tc>
          <w:tcPr>
            <w:tcW w:w="810" w:type="dxa"/>
            <w:gridSpan w:val="3"/>
            <w:vAlign w:val="center"/>
          </w:tcPr>
          <w:p w14:paraId="2FCA9317"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1.8%</w:t>
            </w:r>
          </w:p>
        </w:tc>
        <w:tc>
          <w:tcPr>
            <w:tcW w:w="900" w:type="dxa"/>
            <w:gridSpan w:val="4"/>
            <w:shd w:val="clear" w:color="auto" w:fill="auto"/>
            <w:vAlign w:val="center"/>
          </w:tcPr>
          <w:p w14:paraId="0979A509"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5,806</w:t>
            </w:r>
          </w:p>
        </w:tc>
        <w:tc>
          <w:tcPr>
            <w:tcW w:w="810" w:type="dxa"/>
            <w:gridSpan w:val="3"/>
            <w:shd w:val="clear" w:color="auto" w:fill="auto"/>
            <w:vAlign w:val="center"/>
          </w:tcPr>
          <w:p w14:paraId="1ABD0F48"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2.1</w:t>
            </w:r>
            <w:r w:rsidR="00423719">
              <w:rPr>
                <w:rFonts w:ascii="Arial Narrow" w:hAnsi="Arial Narrow" w:cs="Arial"/>
                <w:sz w:val="22"/>
                <w:szCs w:val="22"/>
              </w:rPr>
              <w:t>%</w:t>
            </w:r>
          </w:p>
        </w:tc>
        <w:tc>
          <w:tcPr>
            <w:tcW w:w="836" w:type="dxa"/>
            <w:gridSpan w:val="4"/>
            <w:shd w:val="clear" w:color="auto" w:fill="auto"/>
            <w:vAlign w:val="center"/>
          </w:tcPr>
          <w:p w14:paraId="61FFFBCB"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4,077</w:t>
            </w:r>
          </w:p>
        </w:tc>
        <w:tc>
          <w:tcPr>
            <w:tcW w:w="815" w:type="dxa"/>
            <w:gridSpan w:val="2"/>
            <w:tcBorders>
              <w:right w:val="single" w:sz="4" w:space="0" w:color="auto"/>
            </w:tcBorders>
            <w:shd w:val="clear" w:color="auto" w:fill="auto"/>
            <w:vAlign w:val="center"/>
          </w:tcPr>
          <w:p w14:paraId="346B9541"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2.3%</w:t>
            </w:r>
          </w:p>
        </w:tc>
      </w:tr>
      <w:tr w:rsidR="00744B30" w:rsidRPr="00501ECA" w14:paraId="59A8C4E1" w14:textId="77777777" w:rsidTr="00EB4FB2">
        <w:trPr>
          <w:gridAfter w:val="1"/>
          <w:wAfter w:w="13" w:type="dxa"/>
          <w:cantSplit/>
          <w:trHeight w:val="20"/>
          <w:jc w:val="center"/>
        </w:trPr>
        <w:tc>
          <w:tcPr>
            <w:tcW w:w="2663" w:type="dxa"/>
            <w:tcBorders>
              <w:left w:val="single" w:sz="4" w:space="0" w:color="auto"/>
            </w:tcBorders>
            <w:vAlign w:val="center"/>
          </w:tcPr>
          <w:p w14:paraId="0D1C2CFB"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lastRenderedPageBreak/>
              <w:t xml:space="preserve">Lynn </w:t>
            </w:r>
          </w:p>
        </w:tc>
        <w:tc>
          <w:tcPr>
            <w:tcW w:w="806" w:type="dxa"/>
            <w:gridSpan w:val="3"/>
            <w:vAlign w:val="center"/>
          </w:tcPr>
          <w:p w14:paraId="0CF64AF0"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4,775 </w:t>
            </w:r>
          </w:p>
        </w:tc>
        <w:tc>
          <w:tcPr>
            <w:tcW w:w="810" w:type="dxa"/>
            <w:gridSpan w:val="4"/>
            <w:vAlign w:val="center"/>
          </w:tcPr>
          <w:p w14:paraId="5FA5A40A"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2.3%</w:t>
            </w:r>
          </w:p>
        </w:tc>
        <w:tc>
          <w:tcPr>
            <w:tcW w:w="900" w:type="dxa"/>
            <w:gridSpan w:val="3"/>
            <w:vAlign w:val="center"/>
          </w:tcPr>
          <w:p w14:paraId="7092FF14"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5,081 </w:t>
            </w:r>
          </w:p>
        </w:tc>
        <w:tc>
          <w:tcPr>
            <w:tcW w:w="810" w:type="dxa"/>
            <w:gridSpan w:val="3"/>
            <w:vAlign w:val="center"/>
          </w:tcPr>
          <w:p w14:paraId="52508E3D"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1.7%</w:t>
            </w:r>
          </w:p>
        </w:tc>
        <w:tc>
          <w:tcPr>
            <w:tcW w:w="900" w:type="dxa"/>
            <w:gridSpan w:val="4"/>
            <w:shd w:val="clear" w:color="auto" w:fill="auto"/>
            <w:vAlign w:val="center"/>
          </w:tcPr>
          <w:p w14:paraId="776D8A41"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5,848</w:t>
            </w:r>
          </w:p>
        </w:tc>
        <w:tc>
          <w:tcPr>
            <w:tcW w:w="810" w:type="dxa"/>
            <w:gridSpan w:val="3"/>
            <w:shd w:val="clear" w:color="auto" w:fill="auto"/>
            <w:vAlign w:val="center"/>
          </w:tcPr>
          <w:p w14:paraId="405DE67C"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2.1</w:t>
            </w:r>
            <w:r w:rsidR="00423719">
              <w:rPr>
                <w:rFonts w:ascii="Arial Narrow" w:hAnsi="Arial Narrow" w:cs="Arial"/>
                <w:sz w:val="22"/>
                <w:szCs w:val="22"/>
              </w:rPr>
              <w:t>%</w:t>
            </w:r>
          </w:p>
        </w:tc>
        <w:tc>
          <w:tcPr>
            <w:tcW w:w="836" w:type="dxa"/>
            <w:gridSpan w:val="4"/>
            <w:shd w:val="clear" w:color="auto" w:fill="auto"/>
            <w:vAlign w:val="center"/>
          </w:tcPr>
          <w:p w14:paraId="6D5FFB16"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4,030</w:t>
            </w:r>
          </w:p>
        </w:tc>
        <w:tc>
          <w:tcPr>
            <w:tcW w:w="815" w:type="dxa"/>
            <w:gridSpan w:val="2"/>
            <w:tcBorders>
              <w:right w:val="single" w:sz="4" w:space="0" w:color="auto"/>
            </w:tcBorders>
            <w:shd w:val="clear" w:color="auto" w:fill="auto"/>
            <w:vAlign w:val="center"/>
          </w:tcPr>
          <w:p w14:paraId="1630653E"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2.3%</w:t>
            </w:r>
          </w:p>
        </w:tc>
      </w:tr>
      <w:tr w:rsidR="00744B30" w:rsidRPr="00501ECA" w14:paraId="5F8197A1" w14:textId="77777777" w:rsidTr="00EB4FB2">
        <w:trPr>
          <w:gridAfter w:val="1"/>
          <w:wAfter w:w="13" w:type="dxa"/>
          <w:cantSplit/>
          <w:trHeight w:val="20"/>
          <w:jc w:val="center"/>
        </w:trPr>
        <w:tc>
          <w:tcPr>
            <w:tcW w:w="2663" w:type="dxa"/>
            <w:tcBorders>
              <w:left w:val="single" w:sz="4" w:space="0" w:color="auto"/>
              <w:bottom w:val="single" w:sz="4" w:space="0" w:color="auto"/>
            </w:tcBorders>
            <w:vAlign w:val="center"/>
          </w:tcPr>
          <w:p w14:paraId="3A95BEE9"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sz w:val="22"/>
                <w:szCs w:val="22"/>
              </w:rPr>
              <w:t>All Other</w:t>
            </w:r>
          </w:p>
        </w:tc>
        <w:tc>
          <w:tcPr>
            <w:tcW w:w="806" w:type="dxa"/>
            <w:gridSpan w:val="3"/>
            <w:tcBorders>
              <w:bottom w:val="single" w:sz="4" w:space="0" w:color="auto"/>
            </w:tcBorders>
            <w:vAlign w:val="center"/>
          </w:tcPr>
          <w:p w14:paraId="1DC9BBF3" w14:textId="77777777" w:rsidR="0047756B" w:rsidRPr="00501ECA" w:rsidRDefault="0047756B" w:rsidP="00F3113C">
            <w:pPr>
              <w:ind w:left="-106" w:right="-34"/>
              <w:jc w:val="right"/>
              <w:rPr>
                <w:rFonts w:ascii="Arial Narrow" w:hAnsi="Arial Narrow" w:cs="Arial"/>
                <w:sz w:val="22"/>
                <w:szCs w:val="22"/>
              </w:rPr>
            </w:pPr>
            <w:r w:rsidRPr="00501ECA">
              <w:rPr>
                <w:rFonts w:ascii="Arial Narrow" w:hAnsi="Arial Narrow" w:cs="Calibri"/>
                <w:sz w:val="22"/>
                <w:szCs w:val="22"/>
              </w:rPr>
              <w:t xml:space="preserve">85,503 </w:t>
            </w:r>
          </w:p>
        </w:tc>
        <w:tc>
          <w:tcPr>
            <w:tcW w:w="810" w:type="dxa"/>
            <w:gridSpan w:val="4"/>
            <w:tcBorders>
              <w:bottom w:val="single" w:sz="4" w:space="0" w:color="auto"/>
            </w:tcBorders>
            <w:vAlign w:val="center"/>
          </w:tcPr>
          <w:p w14:paraId="5F3C21CE"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41.3%</w:t>
            </w:r>
          </w:p>
        </w:tc>
        <w:tc>
          <w:tcPr>
            <w:tcW w:w="900" w:type="dxa"/>
            <w:gridSpan w:val="3"/>
            <w:tcBorders>
              <w:bottom w:val="single" w:sz="4" w:space="0" w:color="auto"/>
            </w:tcBorders>
            <w:vAlign w:val="center"/>
          </w:tcPr>
          <w:p w14:paraId="20E9D572" w14:textId="77777777" w:rsidR="0047756B" w:rsidRPr="00501ECA" w:rsidRDefault="0047756B" w:rsidP="00F3113C">
            <w:pPr>
              <w:ind w:right="-43"/>
              <w:jc w:val="right"/>
              <w:rPr>
                <w:rFonts w:ascii="Arial Narrow" w:hAnsi="Arial Narrow" w:cs="Arial"/>
                <w:sz w:val="22"/>
                <w:szCs w:val="22"/>
              </w:rPr>
            </w:pPr>
            <w:r w:rsidRPr="00501ECA">
              <w:rPr>
                <w:rFonts w:ascii="Arial Narrow" w:hAnsi="Arial Narrow" w:cs="Calibri"/>
                <w:sz w:val="22"/>
                <w:szCs w:val="22"/>
              </w:rPr>
              <w:t xml:space="preserve">133,509 </w:t>
            </w:r>
          </w:p>
        </w:tc>
        <w:tc>
          <w:tcPr>
            <w:tcW w:w="810" w:type="dxa"/>
            <w:gridSpan w:val="3"/>
            <w:tcBorders>
              <w:bottom w:val="single" w:sz="4" w:space="0" w:color="auto"/>
            </w:tcBorders>
            <w:vAlign w:val="center"/>
          </w:tcPr>
          <w:p w14:paraId="45AE48AF" w14:textId="77777777" w:rsidR="0047756B" w:rsidRPr="00501ECA" w:rsidRDefault="0047756B" w:rsidP="00F3113C">
            <w:pPr>
              <w:jc w:val="right"/>
              <w:rPr>
                <w:rFonts w:ascii="Arial Narrow" w:hAnsi="Arial Narrow" w:cs="Arial"/>
                <w:sz w:val="22"/>
                <w:szCs w:val="22"/>
              </w:rPr>
            </w:pPr>
            <w:r w:rsidRPr="00501ECA">
              <w:rPr>
                <w:rFonts w:ascii="Arial Narrow" w:hAnsi="Arial Narrow" w:cs="Calibri"/>
                <w:sz w:val="22"/>
                <w:szCs w:val="22"/>
              </w:rPr>
              <w:t>44.6%</w:t>
            </w:r>
          </w:p>
        </w:tc>
        <w:tc>
          <w:tcPr>
            <w:tcW w:w="900" w:type="dxa"/>
            <w:gridSpan w:val="4"/>
            <w:tcBorders>
              <w:bottom w:val="single" w:sz="4" w:space="0" w:color="auto"/>
            </w:tcBorders>
            <w:shd w:val="clear" w:color="auto" w:fill="auto"/>
            <w:vAlign w:val="center"/>
          </w:tcPr>
          <w:p w14:paraId="4A274C59" w14:textId="77777777" w:rsidR="0047756B" w:rsidRPr="00501ECA" w:rsidRDefault="00423719" w:rsidP="00F3113C">
            <w:pPr>
              <w:ind w:right="-43"/>
              <w:jc w:val="right"/>
              <w:rPr>
                <w:rFonts w:ascii="Arial Narrow" w:hAnsi="Arial Narrow" w:cs="Arial"/>
                <w:sz w:val="22"/>
                <w:szCs w:val="22"/>
              </w:rPr>
            </w:pPr>
            <w:r>
              <w:rPr>
                <w:rFonts w:ascii="Arial Narrow" w:hAnsi="Arial Narrow" w:cs="Arial"/>
                <w:sz w:val="22"/>
                <w:szCs w:val="22"/>
              </w:rPr>
              <w:t>114,951</w:t>
            </w:r>
          </w:p>
        </w:tc>
        <w:tc>
          <w:tcPr>
            <w:tcW w:w="810" w:type="dxa"/>
            <w:gridSpan w:val="3"/>
            <w:tcBorders>
              <w:bottom w:val="single" w:sz="4" w:space="0" w:color="auto"/>
            </w:tcBorders>
            <w:shd w:val="clear" w:color="auto" w:fill="auto"/>
            <w:vAlign w:val="center"/>
          </w:tcPr>
          <w:p w14:paraId="60A8C5F3" w14:textId="77777777" w:rsidR="0047756B" w:rsidRPr="00501ECA" w:rsidRDefault="00B55C9C" w:rsidP="00F3113C">
            <w:pPr>
              <w:jc w:val="right"/>
              <w:rPr>
                <w:rFonts w:ascii="Arial Narrow" w:hAnsi="Arial Narrow" w:cs="Arial"/>
                <w:sz w:val="22"/>
                <w:szCs w:val="22"/>
              </w:rPr>
            </w:pPr>
            <w:r>
              <w:rPr>
                <w:rFonts w:ascii="Arial Narrow" w:hAnsi="Arial Narrow" w:cs="Arial"/>
                <w:sz w:val="22"/>
                <w:szCs w:val="22"/>
              </w:rPr>
              <w:t>41.3</w:t>
            </w:r>
            <w:r w:rsidR="00423719">
              <w:rPr>
                <w:rFonts w:ascii="Arial Narrow" w:hAnsi="Arial Narrow" w:cs="Arial"/>
                <w:sz w:val="22"/>
                <w:szCs w:val="22"/>
              </w:rPr>
              <w:t>%</w:t>
            </w:r>
          </w:p>
        </w:tc>
        <w:tc>
          <w:tcPr>
            <w:tcW w:w="836" w:type="dxa"/>
            <w:gridSpan w:val="4"/>
            <w:tcBorders>
              <w:bottom w:val="single" w:sz="4" w:space="0" w:color="auto"/>
            </w:tcBorders>
            <w:shd w:val="clear" w:color="auto" w:fill="auto"/>
            <w:vAlign w:val="center"/>
          </w:tcPr>
          <w:p w14:paraId="45BEF064" w14:textId="77777777" w:rsidR="0047756B" w:rsidRPr="00501ECA" w:rsidRDefault="009254C0" w:rsidP="00F3113C">
            <w:pPr>
              <w:ind w:right="-59"/>
              <w:jc w:val="right"/>
              <w:rPr>
                <w:rFonts w:ascii="Arial Narrow" w:hAnsi="Arial Narrow" w:cs="Arial"/>
                <w:sz w:val="22"/>
                <w:szCs w:val="22"/>
              </w:rPr>
            </w:pPr>
            <w:r>
              <w:rPr>
                <w:rFonts w:ascii="Arial Narrow" w:hAnsi="Arial Narrow" w:cs="Arial"/>
                <w:sz w:val="22"/>
                <w:szCs w:val="22"/>
              </w:rPr>
              <w:t>73,610</w:t>
            </w:r>
          </w:p>
        </w:tc>
        <w:tc>
          <w:tcPr>
            <w:tcW w:w="815" w:type="dxa"/>
            <w:gridSpan w:val="2"/>
            <w:tcBorders>
              <w:bottom w:val="single" w:sz="4" w:space="0" w:color="auto"/>
              <w:right w:val="single" w:sz="4" w:space="0" w:color="auto"/>
            </w:tcBorders>
            <w:shd w:val="clear" w:color="auto" w:fill="auto"/>
            <w:vAlign w:val="center"/>
          </w:tcPr>
          <w:p w14:paraId="4919027F" w14:textId="77777777" w:rsidR="0047756B" w:rsidRPr="00501ECA" w:rsidRDefault="00744B30" w:rsidP="00F3113C">
            <w:pPr>
              <w:jc w:val="right"/>
              <w:rPr>
                <w:rFonts w:ascii="Arial Narrow" w:hAnsi="Arial Narrow" w:cs="Arial"/>
                <w:sz w:val="22"/>
                <w:szCs w:val="22"/>
              </w:rPr>
            </w:pPr>
            <w:r>
              <w:rPr>
                <w:rFonts w:ascii="Arial Narrow" w:hAnsi="Arial Narrow" w:cs="Arial"/>
                <w:sz w:val="22"/>
                <w:szCs w:val="22"/>
              </w:rPr>
              <w:t>41.4%</w:t>
            </w:r>
          </w:p>
        </w:tc>
      </w:tr>
      <w:tr w:rsidR="00F3113C" w:rsidRPr="00501ECA" w14:paraId="490EAAED" w14:textId="77777777" w:rsidTr="00EB4FB2">
        <w:trPr>
          <w:gridAfter w:val="1"/>
          <w:wAfter w:w="13" w:type="dxa"/>
          <w:cantSplit/>
          <w:trHeight w:val="20"/>
          <w:jc w:val="center"/>
        </w:trPr>
        <w:tc>
          <w:tcPr>
            <w:tcW w:w="2663" w:type="dxa"/>
            <w:tcBorders>
              <w:left w:val="single" w:sz="4" w:space="0" w:color="auto"/>
              <w:bottom w:val="single" w:sz="4" w:space="0" w:color="auto"/>
            </w:tcBorders>
            <w:shd w:val="clear" w:color="auto" w:fill="BFBFBF"/>
            <w:vAlign w:val="center"/>
          </w:tcPr>
          <w:p w14:paraId="09A2DEFF" w14:textId="77777777" w:rsidR="0047756B" w:rsidRPr="00501ECA" w:rsidRDefault="0047756B" w:rsidP="00F3113C">
            <w:pPr>
              <w:ind w:left="-39"/>
              <w:rPr>
                <w:rFonts w:ascii="Arial Narrow" w:hAnsi="Arial Narrow" w:cs="Arial"/>
                <w:sz w:val="22"/>
                <w:szCs w:val="22"/>
              </w:rPr>
            </w:pPr>
            <w:r w:rsidRPr="00501ECA">
              <w:rPr>
                <w:rFonts w:ascii="Arial Narrow" w:hAnsi="Arial Narrow" w:cs="Arial"/>
                <w:b/>
                <w:bCs/>
                <w:sz w:val="22"/>
                <w:szCs w:val="22"/>
              </w:rPr>
              <w:t>BMC Total Patient Visits</w:t>
            </w:r>
          </w:p>
        </w:tc>
        <w:tc>
          <w:tcPr>
            <w:tcW w:w="806" w:type="dxa"/>
            <w:gridSpan w:val="3"/>
            <w:tcBorders>
              <w:bottom w:val="single" w:sz="4" w:space="0" w:color="auto"/>
            </w:tcBorders>
            <w:shd w:val="clear" w:color="auto" w:fill="BFBFBF"/>
            <w:vAlign w:val="center"/>
          </w:tcPr>
          <w:p w14:paraId="48519881" w14:textId="77777777" w:rsidR="0047756B" w:rsidRPr="00501ECA" w:rsidRDefault="0047756B" w:rsidP="00F3113C">
            <w:pPr>
              <w:ind w:left="-106" w:right="-34" w:firstLine="20"/>
              <w:jc w:val="right"/>
              <w:rPr>
                <w:rFonts w:ascii="Arial Narrow" w:hAnsi="Arial Narrow" w:cs="Calibri"/>
                <w:b/>
                <w:bCs/>
                <w:sz w:val="22"/>
                <w:szCs w:val="22"/>
              </w:rPr>
            </w:pPr>
            <w:r w:rsidRPr="00501ECA">
              <w:rPr>
                <w:rFonts w:ascii="Arial Narrow" w:hAnsi="Arial Narrow" w:cs="Calibri"/>
                <w:b/>
                <w:bCs/>
                <w:sz w:val="22"/>
                <w:szCs w:val="22"/>
              </w:rPr>
              <w:t>977,488</w:t>
            </w:r>
          </w:p>
        </w:tc>
        <w:tc>
          <w:tcPr>
            <w:tcW w:w="810" w:type="dxa"/>
            <w:gridSpan w:val="4"/>
            <w:tcBorders>
              <w:bottom w:val="single" w:sz="4" w:space="0" w:color="auto"/>
            </w:tcBorders>
            <w:shd w:val="clear" w:color="auto" w:fill="BFBFBF"/>
            <w:vAlign w:val="center"/>
          </w:tcPr>
          <w:p w14:paraId="7D546BB8" w14:textId="77777777" w:rsidR="0047756B" w:rsidRPr="00501ECA" w:rsidRDefault="0047756B" w:rsidP="00F3113C">
            <w:pPr>
              <w:jc w:val="right"/>
              <w:rPr>
                <w:rFonts w:ascii="Arial Narrow" w:hAnsi="Arial Narrow" w:cs="Calibri"/>
                <w:sz w:val="22"/>
                <w:szCs w:val="22"/>
              </w:rPr>
            </w:pPr>
          </w:p>
        </w:tc>
        <w:tc>
          <w:tcPr>
            <w:tcW w:w="900" w:type="dxa"/>
            <w:gridSpan w:val="3"/>
            <w:tcBorders>
              <w:bottom w:val="single" w:sz="4" w:space="0" w:color="auto"/>
            </w:tcBorders>
            <w:shd w:val="clear" w:color="auto" w:fill="BFBFBF"/>
            <w:vAlign w:val="center"/>
          </w:tcPr>
          <w:p w14:paraId="2AB57066" w14:textId="77777777" w:rsidR="0047756B" w:rsidRPr="00501ECA" w:rsidRDefault="0047756B" w:rsidP="00F3113C">
            <w:pPr>
              <w:ind w:left="-160" w:right="-43"/>
              <w:jc w:val="right"/>
              <w:rPr>
                <w:rFonts w:ascii="Arial Narrow" w:hAnsi="Arial Narrow" w:cs="Calibri"/>
                <w:b/>
                <w:bCs/>
                <w:sz w:val="22"/>
                <w:szCs w:val="22"/>
              </w:rPr>
            </w:pPr>
            <w:r w:rsidRPr="00501ECA">
              <w:rPr>
                <w:rFonts w:ascii="Arial Narrow" w:hAnsi="Arial Narrow" w:cs="Calibri"/>
                <w:b/>
                <w:bCs/>
                <w:sz w:val="22"/>
                <w:szCs w:val="22"/>
              </w:rPr>
              <w:t>1,378,548</w:t>
            </w:r>
          </w:p>
        </w:tc>
        <w:tc>
          <w:tcPr>
            <w:tcW w:w="810" w:type="dxa"/>
            <w:gridSpan w:val="3"/>
            <w:tcBorders>
              <w:bottom w:val="single" w:sz="4" w:space="0" w:color="auto"/>
            </w:tcBorders>
            <w:shd w:val="clear" w:color="auto" w:fill="BFBFBF"/>
            <w:vAlign w:val="center"/>
          </w:tcPr>
          <w:p w14:paraId="0DA5CAF4" w14:textId="77777777" w:rsidR="0047756B" w:rsidRPr="00501ECA" w:rsidRDefault="0047756B" w:rsidP="00F3113C">
            <w:pPr>
              <w:jc w:val="right"/>
              <w:rPr>
                <w:rFonts w:ascii="Arial Narrow" w:hAnsi="Arial Narrow" w:cs="Calibri"/>
                <w:sz w:val="22"/>
                <w:szCs w:val="22"/>
              </w:rPr>
            </w:pPr>
          </w:p>
        </w:tc>
        <w:tc>
          <w:tcPr>
            <w:tcW w:w="900" w:type="dxa"/>
            <w:gridSpan w:val="4"/>
            <w:tcBorders>
              <w:bottom w:val="single" w:sz="4" w:space="0" w:color="auto"/>
            </w:tcBorders>
            <w:shd w:val="clear" w:color="auto" w:fill="BFBFBF"/>
            <w:vAlign w:val="center"/>
          </w:tcPr>
          <w:p w14:paraId="2C67BA93" w14:textId="77777777" w:rsidR="0047756B" w:rsidRPr="00501ECA" w:rsidRDefault="00423719" w:rsidP="00F3113C">
            <w:pPr>
              <w:ind w:left="-100" w:right="-43"/>
              <w:jc w:val="right"/>
              <w:rPr>
                <w:rFonts w:ascii="Arial Narrow" w:hAnsi="Arial Narrow" w:cs="Calibri"/>
                <w:b/>
                <w:bCs/>
                <w:sz w:val="22"/>
                <w:szCs w:val="22"/>
              </w:rPr>
            </w:pPr>
            <w:r>
              <w:rPr>
                <w:rFonts w:ascii="Arial Narrow" w:hAnsi="Arial Narrow" w:cs="Calibri"/>
                <w:b/>
                <w:bCs/>
                <w:sz w:val="22"/>
                <w:szCs w:val="22"/>
              </w:rPr>
              <w:t>1,223,890</w:t>
            </w:r>
          </w:p>
        </w:tc>
        <w:tc>
          <w:tcPr>
            <w:tcW w:w="810" w:type="dxa"/>
            <w:gridSpan w:val="3"/>
            <w:tcBorders>
              <w:bottom w:val="single" w:sz="4" w:space="0" w:color="auto"/>
            </w:tcBorders>
            <w:shd w:val="clear" w:color="auto" w:fill="BFBFBF"/>
            <w:vAlign w:val="center"/>
          </w:tcPr>
          <w:p w14:paraId="226D5B44" w14:textId="77777777" w:rsidR="0047756B" w:rsidRPr="00501ECA" w:rsidRDefault="0047756B" w:rsidP="00F3113C">
            <w:pPr>
              <w:jc w:val="right"/>
              <w:rPr>
                <w:rFonts w:ascii="Arial Narrow" w:hAnsi="Arial Narrow" w:cs="Calibri"/>
                <w:sz w:val="22"/>
                <w:szCs w:val="22"/>
              </w:rPr>
            </w:pPr>
          </w:p>
        </w:tc>
        <w:tc>
          <w:tcPr>
            <w:tcW w:w="836" w:type="dxa"/>
            <w:gridSpan w:val="4"/>
            <w:tcBorders>
              <w:bottom w:val="single" w:sz="4" w:space="0" w:color="auto"/>
            </w:tcBorders>
            <w:shd w:val="clear" w:color="auto" w:fill="BFBFBF"/>
            <w:vAlign w:val="center"/>
          </w:tcPr>
          <w:p w14:paraId="58530C94" w14:textId="77777777" w:rsidR="0047756B" w:rsidRPr="00501ECA" w:rsidRDefault="009254C0" w:rsidP="00F3113C">
            <w:pPr>
              <w:ind w:left="-160" w:right="-59"/>
              <w:jc w:val="right"/>
              <w:rPr>
                <w:rFonts w:ascii="Arial Narrow" w:hAnsi="Arial Narrow" w:cs="Calibri"/>
                <w:b/>
                <w:bCs/>
                <w:sz w:val="22"/>
                <w:szCs w:val="22"/>
              </w:rPr>
            </w:pPr>
            <w:r>
              <w:rPr>
                <w:rFonts w:ascii="Arial Narrow" w:hAnsi="Arial Narrow" w:cs="Calibri"/>
                <w:b/>
                <w:bCs/>
                <w:sz w:val="22"/>
                <w:szCs w:val="22"/>
              </w:rPr>
              <w:t>579,737</w:t>
            </w:r>
          </w:p>
        </w:tc>
        <w:tc>
          <w:tcPr>
            <w:tcW w:w="815" w:type="dxa"/>
            <w:gridSpan w:val="2"/>
            <w:tcBorders>
              <w:bottom w:val="single" w:sz="4" w:space="0" w:color="auto"/>
              <w:right w:val="single" w:sz="4" w:space="0" w:color="auto"/>
            </w:tcBorders>
            <w:shd w:val="clear" w:color="auto" w:fill="BFBFBF"/>
            <w:vAlign w:val="center"/>
          </w:tcPr>
          <w:p w14:paraId="0516718C" w14:textId="77777777" w:rsidR="0047756B" w:rsidRPr="00501ECA" w:rsidRDefault="0047756B" w:rsidP="00F3113C">
            <w:pPr>
              <w:jc w:val="right"/>
              <w:rPr>
                <w:rFonts w:ascii="Arial Narrow" w:hAnsi="Arial Narrow" w:cs="Calibri"/>
                <w:sz w:val="22"/>
                <w:szCs w:val="22"/>
              </w:rPr>
            </w:pPr>
          </w:p>
        </w:tc>
      </w:tr>
    </w:tbl>
    <w:p w14:paraId="52C0203C" w14:textId="77777777" w:rsidR="00954125" w:rsidRPr="00E06CAE" w:rsidRDefault="00954125" w:rsidP="00E6464C">
      <w:pPr>
        <w:pStyle w:val="NormalWeb"/>
        <w:spacing w:before="0" w:beforeAutospacing="0" w:after="0" w:afterAutospacing="0"/>
        <w:jc w:val="both"/>
        <w:rPr>
          <w:rFonts w:ascii="Arial" w:hAnsi="Arial" w:cs="Arial"/>
          <w:sz w:val="22"/>
          <w:szCs w:val="22"/>
          <w:u w:val="single"/>
        </w:rPr>
      </w:pPr>
    </w:p>
    <w:p w14:paraId="5B1BCA88" w14:textId="382FBCC9" w:rsidR="006A6681" w:rsidRPr="00E06CAE" w:rsidRDefault="004F425B" w:rsidP="00E06CAE">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 xml:space="preserve">In addition to the demographics outlined in Table 1, the payer mix for BMC’s patient panel for the last three </w:t>
      </w:r>
      <w:r w:rsidR="0058553D" w:rsidRPr="00E06CAE">
        <w:rPr>
          <w:rFonts w:ascii="Arial" w:hAnsi="Arial" w:cs="Arial"/>
          <w:sz w:val="22"/>
          <w:szCs w:val="22"/>
        </w:rPr>
        <w:t>fiscal year</w:t>
      </w:r>
      <w:r w:rsidR="00F278A4" w:rsidRPr="00E06CAE">
        <w:rPr>
          <w:rFonts w:ascii="Arial" w:hAnsi="Arial" w:cs="Arial"/>
          <w:sz w:val="22"/>
          <w:szCs w:val="22"/>
        </w:rPr>
        <w:t>s</w:t>
      </w:r>
      <w:r w:rsidR="00836A70" w:rsidRPr="00E06CAE">
        <w:rPr>
          <w:rFonts w:ascii="Arial" w:hAnsi="Arial" w:cs="Arial"/>
          <w:sz w:val="22"/>
          <w:szCs w:val="22"/>
        </w:rPr>
        <w:t xml:space="preserve"> is outlined in Table 2</w:t>
      </w:r>
      <w:r w:rsidRPr="00E06CAE">
        <w:rPr>
          <w:rFonts w:ascii="Arial" w:hAnsi="Arial" w:cs="Arial"/>
          <w:sz w:val="22"/>
          <w:szCs w:val="22"/>
        </w:rPr>
        <w:t xml:space="preserve">. </w:t>
      </w:r>
      <w:r w:rsidR="007B24DE" w:rsidRPr="00E06CAE">
        <w:rPr>
          <w:rFonts w:ascii="Arial" w:hAnsi="Arial" w:cs="Arial"/>
          <w:sz w:val="22"/>
          <w:szCs w:val="22"/>
        </w:rPr>
        <w:t xml:space="preserve">As shown in the table, the percentage of </w:t>
      </w:r>
      <w:r w:rsidR="005816F3" w:rsidRPr="00E06CAE">
        <w:rPr>
          <w:rFonts w:ascii="Arial" w:hAnsi="Arial" w:cs="Arial"/>
          <w:sz w:val="22"/>
          <w:szCs w:val="22"/>
        </w:rPr>
        <w:t xml:space="preserve">BMC’s primary care lives covered </w:t>
      </w:r>
      <w:r w:rsidR="00402113" w:rsidRPr="00E06CAE">
        <w:rPr>
          <w:rFonts w:ascii="Arial" w:hAnsi="Arial" w:cs="Arial"/>
          <w:sz w:val="22"/>
          <w:szCs w:val="22"/>
        </w:rPr>
        <w:t>by</w:t>
      </w:r>
      <w:r w:rsidR="005816F3" w:rsidRPr="00E06CAE">
        <w:rPr>
          <w:rFonts w:ascii="Arial" w:hAnsi="Arial" w:cs="Arial"/>
          <w:sz w:val="22"/>
          <w:szCs w:val="22"/>
        </w:rPr>
        <w:t xml:space="preserve"> alternative payer mix (“APM”) and ACO contracts is </w:t>
      </w:r>
      <w:r w:rsidR="00FF6EFB" w:rsidRPr="00E06CAE">
        <w:rPr>
          <w:rFonts w:ascii="Arial" w:hAnsi="Arial" w:cs="Arial"/>
          <w:sz w:val="22"/>
          <w:szCs w:val="22"/>
        </w:rPr>
        <w:t>29</w:t>
      </w:r>
      <w:r w:rsidR="005816F3" w:rsidRPr="00E06CAE">
        <w:rPr>
          <w:rFonts w:ascii="Arial" w:hAnsi="Arial" w:cs="Arial"/>
          <w:sz w:val="22"/>
          <w:szCs w:val="22"/>
        </w:rPr>
        <w:t>%, based on FY2</w:t>
      </w:r>
      <w:r w:rsidR="003A0FCC" w:rsidRPr="00E06CAE">
        <w:rPr>
          <w:rFonts w:ascii="Arial" w:hAnsi="Arial" w:cs="Arial"/>
          <w:sz w:val="22"/>
          <w:szCs w:val="22"/>
        </w:rPr>
        <w:t>2</w:t>
      </w:r>
      <w:r w:rsidR="005816F3" w:rsidRPr="00E06CAE">
        <w:rPr>
          <w:rFonts w:ascii="Arial" w:hAnsi="Arial" w:cs="Arial"/>
          <w:sz w:val="22"/>
          <w:szCs w:val="22"/>
        </w:rPr>
        <w:t xml:space="preserve"> data. </w:t>
      </w:r>
      <w:r w:rsidR="005B6067" w:rsidRPr="00E06CAE">
        <w:rPr>
          <w:rFonts w:ascii="Arial" w:hAnsi="Arial" w:cs="Arial"/>
          <w:sz w:val="22"/>
          <w:szCs w:val="22"/>
        </w:rPr>
        <w:t>The table also shows that</w:t>
      </w:r>
      <w:r w:rsidR="005816F3" w:rsidRPr="00E06CAE">
        <w:rPr>
          <w:rFonts w:ascii="Arial" w:hAnsi="Arial" w:cs="Arial"/>
          <w:sz w:val="22"/>
          <w:szCs w:val="22"/>
        </w:rPr>
        <w:t xml:space="preserve"> the </w:t>
      </w:r>
      <w:r w:rsidR="00C1204F" w:rsidRPr="00E06CAE">
        <w:rPr>
          <w:rFonts w:ascii="Arial" w:hAnsi="Arial" w:cs="Arial"/>
          <w:sz w:val="22"/>
          <w:szCs w:val="22"/>
        </w:rPr>
        <w:t>largest portion</w:t>
      </w:r>
      <w:r w:rsidR="005816F3" w:rsidRPr="00E06CAE">
        <w:rPr>
          <w:rFonts w:ascii="Arial" w:hAnsi="Arial" w:cs="Arial"/>
          <w:sz w:val="22"/>
          <w:szCs w:val="22"/>
        </w:rPr>
        <w:t xml:space="preserve"> of BMC’s patients receive insurance coverage through a public payer</w:t>
      </w:r>
      <w:r w:rsidR="00C1204F" w:rsidRPr="00E06CAE">
        <w:rPr>
          <w:rFonts w:ascii="Arial" w:hAnsi="Arial" w:cs="Arial"/>
          <w:sz w:val="22"/>
          <w:szCs w:val="22"/>
        </w:rPr>
        <w:t>;</w:t>
      </w:r>
      <w:r w:rsidR="005816F3" w:rsidRPr="00E06CAE">
        <w:rPr>
          <w:rFonts w:ascii="Arial" w:hAnsi="Arial" w:cs="Arial"/>
          <w:sz w:val="22"/>
          <w:szCs w:val="22"/>
        </w:rPr>
        <w:t xml:space="preserve"> </w:t>
      </w:r>
      <w:r w:rsidR="00C1204F" w:rsidRPr="00E06CAE">
        <w:rPr>
          <w:rFonts w:ascii="Arial" w:hAnsi="Arial" w:cs="Arial"/>
          <w:sz w:val="22"/>
          <w:szCs w:val="22"/>
        </w:rPr>
        <w:t>i</w:t>
      </w:r>
      <w:r w:rsidR="005816F3" w:rsidRPr="00E06CAE">
        <w:rPr>
          <w:rFonts w:ascii="Arial" w:hAnsi="Arial" w:cs="Arial"/>
          <w:sz w:val="22"/>
          <w:szCs w:val="22"/>
        </w:rPr>
        <w:t>n FY2</w:t>
      </w:r>
      <w:r w:rsidR="00FE56B2" w:rsidRPr="00E06CAE">
        <w:rPr>
          <w:rFonts w:ascii="Arial" w:hAnsi="Arial" w:cs="Arial"/>
          <w:sz w:val="22"/>
          <w:szCs w:val="22"/>
        </w:rPr>
        <w:t>2</w:t>
      </w:r>
      <w:r w:rsidR="007B24DE" w:rsidRPr="00E06CAE">
        <w:rPr>
          <w:rFonts w:ascii="Arial" w:hAnsi="Arial" w:cs="Arial"/>
          <w:sz w:val="22"/>
          <w:szCs w:val="22"/>
        </w:rPr>
        <w:t xml:space="preserve">, </w:t>
      </w:r>
      <w:r w:rsidR="00F95C06" w:rsidRPr="00B420F1">
        <w:rPr>
          <w:rFonts w:ascii="Arial" w:hAnsi="Arial" w:cs="Arial"/>
          <w:sz w:val="22"/>
          <w:szCs w:val="22"/>
        </w:rPr>
        <w:t xml:space="preserve">BMC’s public payer mix included </w:t>
      </w:r>
      <w:r w:rsidR="00367D28" w:rsidRPr="00B420F1">
        <w:rPr>
          <w:rFonts w:ascii="Arial" w:hAnsi="Arial" w:cs="Arial"/>
          <w:sz w:val="22"/>
          <w:szCs w:val="22"/>
        </w:rPr>
        <w:t>nearly</w:t>
      </w:r>
      <w:r w:rsidR="00C93A41" w:rsidRPr="00B420F1">
        <w:rPr>
          <w:rFonts w:ascii="Arial" w:hAnsi="Arial" w:cs="Arial"/>
          <w:sz w:val="22"/>
          <w:szCs w:val="22"/>
        </w:rPr>
        <w:t xml:space="preserve"> 5</w:t>
      </w:r>
      <w:r w:rsidR="00367D28" w:rsidRPr="00B420F1">
        <w:rPr>
          <w:rFonts w:ascii="Arial" w:hAnsi="Arial" w:cs="Arial"/>
          <w:sz w:val="22"/>
          <w:szCs w:val="22"/>
        </w:rPr>
        <w:t>5</w:t>
      </w:r>
      <w:r w:rsidR="00C93A41" w:rsidRPr="00B420F1">
        <w:rPr>
          <w:rFonts w:ascii="Arial" w:hAnsi="Arial" w:cs="Arial"/>
          <w:sz w:val="22"/>
          <w:szCs w:val="22"/>
        </w:rPr>
        <w:t xml:space="preserve">% of all patients. </w:t>
      </w:r>
      <w:r w:rsidR="00F95C06" w:rsidRPr="00B420F1">
        <w:rPr>
          <w:rFonts w:ascii="Arial" w:hAnsi="Arial" w:cs="Arial"/>
          <w:sz w:val="22"/>
          <w:szCs w:val="22"/>
        </w:rPr>
        <w:t xml:space="preserve">Additionally, commercially insured patients represented </w:t>
      </w:r>
      <w:r w:rsidR="00FF6EFB" w:rsidRPr="00B420F1">
        <w:rPr>
          <w:rFonts w:ascii="Arial" w:hAnsi="Arial" w:cs="Arial"/>
          <w:sz w:val="22"/>
          <w:szCs w:val="22"/>
        </w:rPr>
        <w:t>33.9</w:t>
      </w:r>
      <w:r w:rsidR="00F95C06" w:rsidRPr="00B420F1">
        <w:rPr>
          <w:rFonts w:ascii="Arial" w:hAnsi="Arial" w:cs="Arial"/>
          <w:sz w:val="22"/>
          <w:szCs w:val="22"/>
        </w:rPr>
        <w:t xml:space="preserve">% of </w:t>
      </w:r>
      <w:r w:rsidR="00C93A41" w:rsidRPr="00B420F1">
        <w:rPr>
          <w:rFonts w:ascii="Arial" w:hAnsi="Arial" w:cs="Arial"/>
          <w:sz w:val="22"/>
          <w:szCs w:val="22"/>
        </w:rPr>
        <w:t>BMC</w:t>
      </w:r>
      <w:r w:rsidR="00F95C06" w:rsidRPr="00B420F1">
        <w:rPr>
          <w:rFonts w:ascii="Arial" w:hAnsi="Arial" w:cs="Arial"/>
          <w:sz w:val="22"/>
          <w:szCs w:val="22"/>
        </w:rPr>
        <w:t>’s patient panel</w:t>
      </w:r>
      <w:r w:rsidR="00C93A41" w:rsidRPr="00B420F1">
        <w:rPr>
          <w:rFonts w:ascii="Arial" w:hAnsi="Arial" w:cs="Arial"/>
          <w:sz w:val="22"/>
          <w:szCs w:val="22"/>
        </w:rPr>
        <w:t xml:space="preserve"> and free care and </w:t>
      </w:r>
      <w:r w:rsidR="001E74A5" w:rsidRPr="00B420F1">
        <w:rPr>
          <w:rFonts w:ascii="Arial" w:hAnsi="Arial" w:cs="Arial"/>
          <w:sz w:val="22"/>
          <w:szCs w:val="22"/>
        </w:rPr>
        <w:t>health safety net (“HSN”)</w:t>
      </w:r>
      <w:r w:rsidR="00C93A41" w:rsidRPr="00B420F1">
        <w:rPr>
          <w:rFonts w:ascii="Arial" w:hAnsi="Arial" w:cs="Arial"/>
          <w:sz w:val="22"/>
          <w:szCs w:val="22"/>
        </w:rPr>
        <w:t xml:space="preserve"> patients represented 2.</w:t>
      </w:r>
      <w:r w:rsidR="00FF6EFB" w:rsidRPr="00B420F1">
        <w:rPr>
          <w:rFonts w:ascii="Arial" w:hAnsi="Arial" w:cs="Arial"/>
          <w:sz w:val="22"/>
          <w:szCs w:val="22"/>
        </w:rPr>
        <w:t>3</w:t>
      </w:r>
      <w:r w:rsidR="00C93A41" w:rsidRPr="00B420F1">
        <w:rPr>
          <w:rFonts w:ascii="Arial" w:hAnsi="Arial" w:cs="Arial"/>
          <w:sz w:val="22"/>
          <w:szCs w:val="22"/>
        </w:rPr>
        <w:t>%</w:t>
      </w:r>
      <w:r w:rsidR="00F95C06" w:rsidRPr="00B420F1">
        <w:rPr>
          <w:rFonts w:ascii="Arial" w:hAnsi="Arial" w:cs="Arial"/>
          <w:sz w:val="22"/>
          <w:szCs w:val="22"/>
        </w:rPr>
        <w:t xml:space="preserve">. </w:t>
      </w:r>
      <w:r w:rsidR="00D81874" w:rsidRPr="00B420F1">
        <w:rPr>
          <w:rFonts w:ascii="Arial" w:hAnsi="Arial" w:cs="Arial"/>
          <w:sz w:val="22"/>
          <w:szCs w:val="22"/>
        </w:rPr>
        <w:t>Remaining</w:t>
      </w:r>
      <w:r w:rsidR="00F95C06" w:rsidRPr="00B420F1">
        <w:rPr>
          <w:rFonts w:ascii="Arial" w:hAnsi="Arial" w:cs="Arial"/>
          <w:sz w:val="22"/>
          <w:szCs w:val="22"/>
        </w:rPr>
        <w:t xml:space="preserve"> patients (</w:t>
      </w:r>
      <w:r w:rsidR="00FF6EFB" w:rsidRPr="00B420F1">
        <w:rPr>
          <w:rFonts w:ascii="Arial" w:hAnsi="Arial" w:cs="Arial"/>
          <w:sz w:val="22"/>
          <w:szCs w:val="22"/>
        </w:rPr>
        <w:t>9.1</w:t>
      </w:r>
      <w:r w:rsidR="00F95C06" w:rsidRPr="00B420F1">
        <w:rPr>
          <w:rFonts w:ascii="Arial" w:hAnsi="Arial" w:cs="Arial"/>
          <w:sz w:val="22"/>
          <w:szCs w:val="22"/>
        </w:rPr>
        <w:t>%) were covered by some other form of insurance.</w:t>
      </w:r>
    </w:p>
    <w:p w14:paraId="636B77DF" w14:textId="209B5B74" w:rsidR="00402113" w:rsidRPr="00E06CAE" w:rsidRDefault="00EF4756" w:rsidP="00EF4756">
      <w:pPr>
        <w:pStyle w:val="NormalWeb"/>
        <w:shd w:val="clear" w:color="auto" w:fill="3964B1"/>
        <w:spacing w:before="0" w:beforeAutospacing="0" w:after="0" w:afterAutospacing="0"/>
        <w:jc w:val="center"/>
        <w:rPr>
          <w:rFonts w:ascii="Arial" w:hAnsi="Arial" w:cs="Arial"/>
          <w:sz w:val="22"/>
          <w:szCs w:val="22"/>
        </w:rPr>
      </w:pPr>
      <w:r w:rsidRPr="00501ECA">
        <w:rPr>
          <w:rFonts w:ascii="Arial Narrow" w:hAnsi="Arial Narrow" w:cs="Arial"/>
          <w:b/>
          <w:bCs/>
          <w:color w:val="FFFFFF"/>
          <w:sz w:val="22"/>
          <w:szCs w:val="22"/>
        </w:rPr>
        <w:t>Table 2: BMC APM/ACO and Payer Mix Percentages</w:t>
      </w:r>
    </w:p>
    <w:tbl>
      <w:tblPr>
        <w:tblStyle w:val="TableGrid"/>
        <w:tblW w:w="9265" w:type="dxa"/>
        <w:jc w:val="center"/>
        <w:tblLook w:val="04A0" w:firstRow="1" w:lastRow="0" w:firstColumn="1" w:lastColumn="0" w:noHBand="0" w:noVBand="1"/>
      </w:tblPr>
      <w:tblGrid>
        <w:gridCol w:w="3071"/>
        <w:gridCol w:w="1548"/>
        <w:gridCol w:w="1549"/>
        <w:gridCol w:w="1548"/>
        <w:gridCol w:w="1549"/>
      </w:tblGrid>
      <w:tr w:rsidR="00E8351E" w:rsidRPr="00501ECA" w14:paraId="4F0EAF4D" w14:textId="77777777" w:rsidTr="00CC43E0">
        <w:trPr>
          <w:trHeight w:val="20"/>
          <w:jc w:val="center"/>
        </w:trPr>
        <w:tc>
          <w:tcPr>
            <w:tcW w:w="3071" w:type="dxa"/>
            <w:tcBorders>
              <w:top w:val="single" w:sz="4" w:space="0" w:color="auto"/>
              <w:left w:val="single" w:sz="4" w:space="0" w:color="auto"/>
            </w:tcBorders>
            <w:shd w:val="clear" w:color="auto" w:fill="8DA9DB"/>
          </w:tcPr>
          <w:p w14:paraId="5766D1D1" w14:textId="77777777" w:rsidR="00E8351E" w:rsidRPr="00501ECA" w:rsidRDefault="00E8351E" w:rsidP="00963E14">
            <w:pPr>
              <w:rPr>
                <w:rFonts w:ascii="Arial Narrow" w:hAnsi="Arial Narrow" w:cs="Arial"/>
                <w:b/>
                <w:bCs/>
                <w:sz w:val="22"/>
                <w:szCs w:val="22"/>
              </w:rPr>
            </w:pPr>
          </w:p>
        </w:tc>
        <w:tc>
          <w:tcPr>
            <w:tcW w:w="1548" w:type="dxa"/>
            <w:tcBorders>
              <w:top w:val="single" w:sz="4" w:space="0" w:color="auto"/>
              <w:bottom w:val="single" w:sz="4" w:space="0" w:color="auto"/>
            </w:tcBorders>
            <w:shd w:val="clear" w:color="auto" w:fill="8DA9DB"/>
          </w:tcPr>
          <w:p w14:paraId="1E8C274E" w14:textId="77777777" w:rsidR="00E8351E" w:rsidRPr="00501ECA" w:rsidRDefault="00E8351E" w:rsidP="00F3113C">
            <w:pPr>
              <w:jc w:val="center"/>
              <w:rPr>
                <w:rFonts w:ascii="Arial Narrow" w:hAnsi="Arial Narrow" w:cs="Arial"/>
                <w:b/>
                <w:bCs/>
                <w:sz w:val="22"/>
                <w:szCs w:val="22"/>
              </w:rPr>
            </w:pPr>
            <w:r w:rsidRPr="00501ECA">
              <w:rPr>
                <w:rFonts w:ascii="Arial Narrow" w:hAnsi="Arial Narrow" w:cs="Arial"/>
                <w:b/>
                <w:bCs/>
                <w:sz w:val="22"/>
                <w:szCs w:val="22"/>
              </w:rPr>
              <w:t>FY</w:t>
            </w:r>
            <w:r w:rsidR="001E74A5" w:rsidRPr="00501ECA">
              <w:rPr>
                <w:rFonts w:ascii="Arial Narrow" w:hAnsi="Arial Narrow" w:cs="Arial"/>
                <w:b/>
                <w:bCs/>
                <w:sz w:val="22"/>
                <w:szCs w:val="22"/>
              </w:rPr>
              <w:t>20</w:t>
            </w:r>
          </w:p>
        </w:tc>
        <w:tc>
          <w:tcPr>
            <w:tcW w:w="1549" w:type="dxa"/>
            <w:tcBorders>
              <w:top w:val="single" w:sz="4" w:space="0" w:color="auto"/>
              <w:bottom w:val="single" w:sz="4" w:space="0" w:color="auto"/>
            </w:tcBorders>
            <w:shd w:val="clear" w:color="auto" w:fill="8DA9DB"/>
          </w:tcPr>
          <w:p w14:paraId="01CC8FCA" w14:textId="77777777" w:rsidR="00E8351E" w:rsidRPr="00501ECA" w:rsidRDefault="00E8351E" w:rsidP="00F3113C">
            <w:pPr>
              <w:jc w:val="center"/>
              <w:rPr>
                <w:rFonts w:ascii="Arial Narrow" w:hAnsi="Arial Narrow" w:cs="Arial"/>
                <w:b/>
                <w:bCs/>
                <w:sz w:val="22"/>
                <w:szCs w:val="22"/>
              </w:rPr>
            </w:pPr>
            <w:r w:rsidRPr="00501ECA">
              <w:rPr>
                <w:rFonts w:ascii="Arial Narrow" w:hAnsi="Arial Narrow" w:cs="Arial"/>
                <w:b/>
                <w:bCs/>
                <w:sz w:val="22"/>
                <w:szCs w:val="22"/>
              </w:rPr>
              <w:t>FY2</w:t>
            </w:r>
            <w:r w:rsidR="001E74A5" w:rsidRPr="00501ECA">
              <w:rPr>
                <w:rFonts w:ascii="Arial Narrow" w:hAnsi="Arial Narrow" w:cs="Arial"/>
                <w:b/>
                <w:bCs/>
                <w:sz w:val="22"/>
                <w:szCs w:val="22"/>
              </w:rPr>
              <w:t>1</w:t>
            </w:r>
          </w:p>
        </w:tc>
        <w:tc>
          <w:tcPr>
            <w:tcW w:w="1548" w:type="dxa"/>
            <w:tcBorders>
              <w:top w:val="single" w:sz="4" w:space="0" w:color="auto"/>
              <w:bottom w:val="single" w:sz="4" w:space="0" w:color="auto"/>
            </w:tcBorders>
            <w:shd w:val="clear" w:color="auto" w:fill="8DA9DB"/>
          </w:tcPr>
          <w:p w14:paraId="1FB4F18E" w14:textId="77777777" w:rsidR="00E8351E" w:rsidRPr="00501ECA" w:rsidRDefault="00E8351E" w:rsidP="00F3113C">
            <w:pPr>
              <w:jc w:val="center"/>
              <w:rPr>
                <w:rFonts w:ascii="Arial Narrow" w:hAnsi="Arial Narrow" w:cs="Arial"/>
                <w:b/>
                <w:bCs/>
                <w:sz w:val="22"/>
                <w:szCs w:val="22"/>
              </w:rPr>
            </w:pPr>
            <w:r w:rsidRPr="00501ECA">
              <w:rPr>
                <w:rFonts w:ascii="Arial Narrow" w:hAnsi="Arial Narrow" w:cs="Arial"/>
                <w:b/>
                <w:bCs/>
                <w:sz w:val="22"/>
                <w:szCs w:val="22"/>
              </w:rPr>
              <w:t>FY2</w:t>
            </w:r>
            <w:r w:rsidR="001E74A5" w:rsidRPr="00501ECA">
              <w:rPr>
                <w:rFonts w:ascii="Arial Narrow" w:hAnsi="Arial Narrow" w:cs="Arial"/>
                <w:b/>
                <w:bCs/>
                <w:sz w:val="22"/>
                <w:szCs w:val="22"/>
              </w:rPr>
              <w:t>2</w:t>
            </w:r>
          </w:p>
        </w:tc>
        <w:tc>
          <w:tcPr>
            <w:tcW w:w="1549" w:type="dxa"/>
            <w:tcBorders>
              <w:top w:val="single" w:sz="4" w:space="0" w:color="auto"/>
              <w:bottom w:val="single" w:sz="4" w:space="0" w:color="auto"/>
              <w:right w:val="single" w:sz="4" w:space="0" w:color="auto"/>
            </w:tcBorders>
            <w:shd w:val="clear" w:color="auto" w:fill="8DA9DB"/>
          </w:tcPr>
          <w:p w14:paraId="7BA39EC4" w14:textId="77777777" w:rsidR="00E8351E" w:rsidRPr="00501ECA" w:rsidRDefault="00E8351E" w:rsidP="00F3113C">
            <w:pPr>
              <w:jc w:val="center"/>
              <w:rPr>
                <w:rFonts w:ascii="Arial Narrow" w:hAnsi="Arial Narrow" w:cs="Arial"/>
                <w:b/>
                <w:bCs/>
                <w:sz w:val="22"/>
                <w:szCs w:val="22"/>
              </w:rPr>
            </w:pPr>
            <w:r w:rsidRPr="00501ECA">
              <w:rPr>
                <w:rFonts w:ascii="Arial Narrow" w:hAnsi="Arial Narrow" w:cs="Arial"/>
                <w:b/>
                <w:bCs/>
                <w:sz w:val="22"/>
                <w:szCs w:val="22"/>
              </w:rPr>
              <w:t>FY2</w:t>
            </w:r>
            <w:r w:rsidR="00FE56B2" w:rsidRPr="00501ECA">
              <w:rPr>
                <w:rFonts w:ascii="Arial Narrow" w:hAnsi="Arial Narrow" w:cs="Arial"/>
                <w:b/>
                <w:bCs/>
                <w:sz w:val="22"/>
                <w:szCs w:val="22"/>
              </w:rPr>
              <w:t>3</w:t>
            </w:r>
            <w:r w:rsidRPr="00501ECA">
              <w:rPr>
                <w:rFonts w:ascii="Arial Narrow" w:hAnsi="Arial Narrow" w:cs="Arial"/>
                <w:b/>
                <w:bCs/>
                <w:sz w:val="22"/>
                <w:szCs w:val="22"/>
              </w:rPr>
              <w:t xml:space="preserve"> YTD</w:t>
            </w:r>
            <w:r w:rsidR="00A875DA" w:rsidRPr="00501ECA">
              <w:rPr>
                <w:rStyle w:val="FootnoteReference"/>
                <w:rFonts w:ascii="Arial Narrow" w:hAnsi="Arial Narrow" w:cs="Arial"/>
                <w:b/>
                <w:bCs/>
                <w:sz w:val="22"/>
                <w:szCs w:val="22"/>
              </w:rPr>
              <w:footnoteReference w:id="10"/>
            </w:r>
          </w:p>
        </w:tc>
      </w:tr>
      <w:tr w:rsidR="00CC43E0" w:rsidRPr="00501ECA" w14:paraId="0D9F4DCA" w14:textId="77777777" w:rsidTr="00825726">
        <w:trPr>
          <w:trHeight w:val="20"/>
          <w:jc w:val="center"/>
        </w:trPr>
        <w:tc>
          <w:tcPr>
            <w:tcW w:w="3071" w:type="dxa"/>
            <w:tcBorders>
              <w:left w:val="single" w:sz="4" w:space="0" w:color="auto"/>
              <w:right w:val="nil"/>
            </w:tcBorders>
            <w:shd w:val="clear" w:color="auto" w:fill="D9E2F3" w:themeFill="accent1" w:themeFillTint="33"/>
            <w:noWrap/>
          </w:tcPr>
          <w:p w14:paraId="3A12BA91" w14:textId="77777777" w:rsidR="00CC43E0" w:rsidRPr="00CC43E0" w:rsidRDefault="00CC43E0" w:rsidP="00CC43E0">
            <w:pPr>
              <w:rPr>
                <w:rFonts w:ascii="Arial Narrow" w:hAnsi="Arial Narrow" w:cs="Arial"/>
                <w:b/>
                <w:bCs/>
                <w:sz w:val="18"/>
                <w:szCs w:val="18"/>
              </w:rPr>
            </w:pPr>
            <w:r w:rsidRPr="00CC43E0">
              <w:rPr>
                <w:rFonts w:ascii="Arial Narrow" w:hAnsi="Arial Narrow" w:cs="Arial"/>
                <w:b/>
                <w:bCs/>
                <w:sz w:val="18"/>
                <w:szCs w:val="18"/>
              </w:rPr>
              <w:t>APM Contract Percentages (for any system-affiliated Primary Care Physicians)</w:t>
            </w:r>
          </w:p>
        </w:tc>
        <w:tc>
          <w:tcPr>
            <w:tcW w:w="1548" w:type="dxa"/>
            <w:tcBorders>
              <w:left w:val="nil"/>
              <w:right w:val="nil"/>
            </w:tcBorders>
            <w:shd w:val="clear" w:color="auto" w:fill="D9E2F3" w:themeFill="accent1" w:themeFillTint="33"/>
            <w:noWrap/>
          </w:tcPr>
          <w:p w14:paraId="7B8C2C22" w14:textId="1E315B28" w:rsidR="00CC43E0" w:rsidRPr="00CC43E0" w:rsidRDefault="00CC43E0" w:rsidP="00CC43E0">
            <w:pPr>
              <w:rPr>
                <w:rFonts w:ascii="Arial Narrow" w:hAnsi="Arial Narrow" w:cs="Arial"/>
                <w:sz w:val="22"/>
                <w:szCs w:val="22"/>
              </w:rPr>
            </w:pPr>
            <w:r w:rsidRPr="00F06815">
              <w:rPr>
                <w:rFonts w:ascii="Arial Narrow" w:hAnsi="Arial Narrow" w:cs="Arial"/>
                <w:color w:val="D9E2F3"/>
                <w:sz w:val="22"/>
                <w:szCs w:val="22"/>
              </w:rPr>
              <w:t>Blank</w:t>
            </w:r>
          </w:p>
        </w:tc>
        <w:tc>
          <w:tcPr>
            <w:tcW w:w="1549" w:type="dxa"/>
            <w:tcBorders>
              <w:left w:val="nil"/>
              <w:right w:val="nil"/>
            </w:tcBorders>
            <w:shd w:val="clear" w:color="auto" w:fill="D9E2F3" w:themeFill="accent1" w:themeFillTint="33"/>
            <w:noWrap/>
          </w:tcPr>
          <w:p w14:paraId="4B85FDED" w14:textId="5335E576" w:rsidR="00CC43E0" w:rsidRPr="00501ECA" w:rsidRDefault="00CC43E0" w:rsidP="00CC43E0">
            <w:pPr>
              <w:rPr>
                <w:rFonts w:ascii="Arial Narrow" w:hAnsi="Arial Narrow" w:cs="Arial"/>
                <w:b/>
                <w:bCs/>
                <w:sz w:val="22"/>
                <w:szCs w:val="22"/>
              </w:rPr>
            </w:pPr>
            <w:r w:rsidRPr="00F06815">
              <w:rPr>
                <w:rFonts w:ascii="Arial Narrow" w:hAnsi="Arial Narrow" w:cs="Arial"/>
                <w:color w:val="D9E2F3"/>
                <w:sz w:val="22"/>
                <w:szCs w:val="22"/>
              </w:rPr>
              <w:t>blank</w:t>
            </w:r>
          </w:p>
        </w:tc>
        <w:tc>
          <w:tcPr>
            <w:tcW w:w="1548" w:type="dxa"/>
            <w:tcBorders>
              <w:left w:val="nil"/>
              <w:right w:val="nil"/>
            </w:tcBorders>
            <w:shd w:val="clear" w:color="auto" w:fill="D9E2F3" w:themeFill="accent1" w:themeFillTint="33"/>
            <w:noWrap/>
          </w:tcPr>
          <w:p w14:paraId="6E6B4463" w14:textId="55B0B43C" w:rsidR="00CC43E0" w:rsidRPr="00501ECA" w:rsidRDefault="00CC43E0" w:rsidP="00CC43E0">
            <w:pPr>
              <w:rPr>
                <w:rFonts w:ascii="Arial Narrow" w:hAnsi="Arial Narrow" w:cs="Arial"/>
                <w:b/>
                <w:bCs/>
                <w:sz w:val="22"/>
                <w:szCs w:val="22"/>
              </w:rPr>
            </w:pPr>
            <w:r w:rsidRPr="00F06815">
              <w:rPr>
                <w:rFonts w:ascii="Arial Narrow" w:hAnsi="Arial Narrow" w:cs="Arial"/>
                <w:color w:val="D9E2F3"/>
                <w:sz w:val="22"/>
                <w:szCs w:val="22"/>
              </w:rPr>
              <w:t>blank</w:t>
            </w:r>
          </w:p>
        </w:tc>
        <w:tc>
          <w:tcPr>
            <w:tcW w:w="1549" w:type="dxa"/>
            <w:tcBorders>
              <w:left w:val="nil"/>
              <w:right w:val="single" w:sz="4" w:space="0" w:color="auto"/>
            </w:tcBorders>
            <w:shd w:val="clear" w:color="auto" w:fill="D9E2F3" w:themeFill="accent1" w:themeFillTint="33"/>
            <w:noWrap/>
          </w:tcPr>
          <w:p w14:paraId="0167FE9C" w14:textId="76FF4FDD" w:rsidR="00CC43E0" w:rsidRPr="00501ECA" w:rsidRDefault="00CC43E0" w:rsidP="00CC43E0">
            <w:pPr>
              <w:rPr>
                <w:rFonts w:ascii="Arial Narrow" w:hAnsi="Arial Narrow" w:cs="Arial"/>
                <w:b/>
                <w:bCs/>
                <w:sz w:val="22"/>
                <w:szCs w:val="22"/>
              </w:rPr>
            </w:pPr>
            <w:r w:rsidRPr="00F06815">
              <w:rPr>
                <w:rFonts w:ascii="Arial Narrow" w:hAnsi="Arial Narrow" w:cs="Arial"/>
                <w:color w:val="D9E2F3"/>
                <w:sz w:val="22"/>
                <w:szCs w:val="22"/>
              </w:rPr>
              <w:t>blank</w:t>
            </w:r>
          </w:p>
        </w:tc>
      </w:tr>
      <w:tr w:rsidR="001E74A5" w:rsidRPr="00501ECA" w14:paraId="3C70FF9D" w14:textId="77777777" w:rsidTr="00E06CAE">
        <w:trPr>
          <w:trHeight w:val="20"/>
          <w:jc w:val="center"/>
        </w:trPr>
        <w:tc>
          <w:tcPr>
            <w:tcW w:w="3071" w:type="dxa"/>
            <w:tcBorders>
              <w:left w:val="single" w:sz="4" w:space="0" w:color="auto"/>
            </w:tcBorders>
          </w:tcPr>
          <w:p w14:paraId="3377EAD1"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APM and ACO Contracts</w:t>
            </w:r>
          </w:p>
        </w:tc>
        <w:tc>
          <w:tcPr>
            <w:tcW w:w="1548" w:type="dxa"/>
          </w:tcPr>
          <w:p w14:paraId="1A782E41"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26.2%</w:t>
            </w:r>
          </w:p>
        </w:tc>
        <w:tc>
          <w:tcPr>
            <w:tcW w:w="1549" w:type="dxa"/>
          </w:tcPr>
          <w:p w14:paraId="0F93390A"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23.2%</w:t>
            </w:r>
          </w:p>
        </w:tc>
        <w:tc>
          <w:tcPr>
            <w:tcW w:w="1548" w:type="dxa"/>
            <w:shd w:val="clear" w:color="auto" w:fill="auto"/>
          </w:tcPr>
          <w:p w14:paraId="1DFFE00E"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29.0</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7C4349BE"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32.7</w:t>
            </w:r>
            <w:r w:rsidR="001E74A5" w:rsidRPr="00501ECA">
              <w:rPr>
                <w:rFonts w:ascii="Arial Narrow" w:hAnsi="Arial Narrow" w:cs="Arial"/>
                <w:sz w:val="22"/>
                <w:szCs w:val="22"/>
              </w:rPr>
              <w:t>%</w:t>
            </w:r>
          </w:p>
        </w:tc>
      </w:tr>
      <w:tr w:rsidR="001E74A5" w:rsidRPr="00501ECA" w14:paraId="25066A1D" w14:textId="77777777" w:rsidTr="00CC43E0">
        <w:trPr>
          <w:trHeight w:val="20"/>
          <w:jc w:val="center"/>
        </w:trPr>
        <w:tc>
          <w:tcPr>
            <w:tcW w:w="3071" w:type="dxa"/>
            <w:tcBorders>
              <w:left w:val="single" w:sz="4" w:space="0" w:color="auto"/>
            </w:tcBorders>
          </w:tcPr>
          <w:p w14:paraId="560AF663"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Non-APM and Non-ACO Contracts</w:t>
            </w:r>
          </w:p>
        </w:tc>
        <w:tc>
          <w:tcPr>
            <w:tcW w:w="1548" w:type="dxa"/>
            <w:tcBorders>
              <w:bottom w:val="single" w:sz="4" w:space="0" w:color="auto"/>
            </w:tcBorders>
          </w:tcPr>
          <w:p w14:paraId="7D9B1152"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73.8%</w:t>
            </w:r>
          </w:p>
        </w:tc>
        <w:tc>
          <w:tcPr>
            <w:tcW w:w="1549" w:type="dxa"/>
            <w:tcBorders>
              <w:bottom w:val="single" w:sz="4" w:space="0" w:color="auto"/>
            </w:tcBorders>
          </w:tcPr>
          <w:p w14:paraId="40F4836E"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76.8%</w:t>
            </w:r>
          </w:p>
        </w:tc>
        <w:tc>
          <w:tcPr>
            <w:tcW w:w="1548" w:type="dxa"/>
            <w:tcBorders>
              <w:bottom w:val="single" w:sz="4" w:space="0" w:color="auto"/>
            </w:tcBorders>
            <w:shd w:val="clear" w:color="auto" w:fill="auto"/>
          </w:tcPr>
          <w:p w14:paraId="7F62EA8C"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71.0</w:t>
            </w:r>
            <w:r w:rsidR="001E74A5" w:rsidRPr="00501ECA">
              <w:rPr>
                <w:rFonts w:ascii="Arial Narrow" w:hAnsi="Arial Narrow" w:cs="Arial"/>
                <w:sz w:val="22"/>
                <w:szCs w:val="22"/>
              </w:rPr>
              <w:t>%</w:t>
            </w:r>
          </w:p>
        </w:tc>
        <w:tc>
          <w:tcPr>
            <w:tcW w:w="1549" w:type="dxa"/>
            <w:tcBorders>
              <w:bottom w:val="single" w:sz="4" w:space="0" w:color="auto"/>
              <w:right w:val="single" w:sz="4" w:space="0" w:color="auto"/>
            </w:tcBorders>
            <w:shd w:val="clear" w:color="auto" w:fill="auto"/>
          </w:tcPr>
          <w:p w14:paraId="10CD0A07"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67.3</w:t>
            </w:r>
            <w:r w:rsidR="001E74A5" w:rsidRPr="00501ECA">
              <w:rPr>
                <w:rFonts w:ascii="Arial Narrow" w:hAnsi="Arial Narrow" w:cs="Arial"/>
                <w:sz w:val="22"/>
                <w:szCs w:val="22"/>
              </w:rPr>
              <w:t>%</w:t>
            </w:r>
          </w:p>
        </w:tc>
      </w:tr>
      <w:tr w:rsidR="00CC43E0" w:rsidRPr="00501ECA" w14:paraId="5EA4DFFD" w14:textId="77777777" w:rsidTr="00CC43E0">
        <w:trPr>
          <w:trHeight w:val="20"/>
          <w:jc w:val="center"/>
        </w:trPr>
        <w:tc>
          <w:tcPr>
            <w:tcW w:w="3071" w:type="dxa"/>
            <w:tcBorders>
              <w:left w:val="single" w:sz="4" w:space="0" w:color="auto"/>
              <w:right w:val="nil"/>
            </w:tcBorders>
            <w:shd w:val="clear" w:color="auto" w:fill="D9E2F3" w:themeFill="accent1" w:themeFillTint="33"/>
          </w:tcPr>
          <w:p w14:paraId="60765C3C" w14:textId="77777777" w:rsidR="00CC43E0" w:rsidRPr="00501ECA" w:rsidRDefault="00CC43E0" w:rsidP="00CC43E0">
            <w:pPr>
              <w:rPr>
                <w:rFonts w:ascii="Arial Narrow" w:hAnsi="Arial Narrow" w:cs="Arial"/>
                <w:b/>
                <w:bCs/>
                <w:sz w:val="22"/>
                <w:szCs w:val="22"/>
              </w:rPr>
            </w:pPr>
            <w:r w:rsidRPr="00501ECA">
              <w:rPr>
                <w:rFonts w:ascii="Arial Narrow" w:hAnsi="Arial Narrow" w:cs="Arial"/>
                <w:b/>
                <w:bCs/>
                <w:sz w:val="22"/>
                <w:szCs w:val="22"/>
              </w:rPr>
              <w:t>Payer Mix Percentages</w:t>
            </w:r>
          </w:p>
        </w:tc>
        <w:tc>
          <w:tcPr>
            <w:tcW w:w="1548" w:type="dxa"/>
            <w:tcBorders>
              <w:left w:val="nil"/>
              <w:right w:val="nil"/>
            </w:tcBorders>
            <w:shd w:val="clear" w:color="auto" w:fill="D9E2F3" w:themeFill="accent1" w:themeFillTint="33"/>
          </w:tcPr>
          <w:p w14:paraId="37BD4FC6" w14:textId="5EF4C7AF" w:rsidR="00CC43E0" w:rsidRPr="00501ECA" w:rsidRDefault="00CC43E0" w:rsidP="00CC43E0">
            <w:pPr>
              <w:rPr>
                <w:rFonts w:ascii="Arial Narrow" w:hAnsi="Arial Narrow" w:cs="Arial"/>
                <w:b/>
                <w:bCs/>
                <w:sz w:val="22"/>
                <w:szCs w:val="22"/>
              </w:rPr>
            </w:pPr>
            <w:r w:rsidRPr="00512CCF">
              <w:rPr>
                <w:rFonts w:ascii="Arial Narrow" w:hAnsi="Arial Narrow" w:cs="Arial"/>
                <w:color w:val="D9E2F3"/>
                <w:sz w:val="22"/>
                <w:szCs w:val="22"/>
              </w:rPr>
              <w:t>blank</w:t>
            </w:r>
          </w:p>
        </w:tc>
        <w:tc>
          <w:tcPr>
            <w:tcW w:w="1549" w:type="dxa"/>
            <w:tcBorders>
              <w:left w:val="nil"/>
              <w:right w:val="nil"/>
            </w:tcBorders>
            <w:shd w:val="clear" w:color="auto" w:fill="D9E2F3" w:themeFill="accent1" w:themeFillTint="33"/>
          </w:tcPr>
          <w:p w14:paraId="74AA40EF" w14:textId="6F9D641B" w:rsidR="00CC43E0" w:rsidRPr="00501ECA" w:rsidRDefault="00CC43E0" w:rsidP="00CC43E0">
            <w:pPr>
              <w:rPr>
                <w:rFonts w:ascii="Arial Narrow" w:hAnsi="Arial Narrow" w:cs="Arial"/>
                <w:b/>
                <w:bCs/>
                <w:sz w:val="22"/>
                <w:szCs w:val="22"/>
              </w:rPr>
            </w:pPr>
            <w:r w:rsidRPr="00512CCF">
              <w:rPr>
                <w:rFonts w:ascii="Arial Narrow" w:hAnsi="Arial Narrow" w:cs="Arial"/>
                <w:color w:val="D9E2F3"/>
                <w:sz w:val="22"/>
                <w:szCs w:val="22"/>
              </w:rPr>
              <w:t>blank</w:t>
            </w:r>
          </w:p>
        </w:tc>
        <w:tc>
          <w:tcPr>
            <w:tcW w:w="1548" w:type="dxa"/>
            <w:tcBorders>
              <w:left w:val="nil"/>
              <w:right w:val="nil"/>
            </w:tcBorders>
            <w:shd w:val="clear" w:color="auto" w:fill="D9E2F3" w:themeFill="accent1" w:themeFillTint="33"/>
          </w:tcPr>
          <w:p w14:paraId="428A0124" w14:textId="0416505B" w:rsidR="00CC43E0" w:rsidRPr="00501ECA" w:rsidRDefault="00CC43E0" w:rsidP="00CC43E0">
            <w:pPr>
              <w:rPr>
                <w:rFonts w:ascii="Arial Narrow" w:hAnsi="Arial Narrow" w:cs="Arial"/>
                <w:b/>
                <w:bCs/>
                <w:sz w:val="22"/>
                <w:szCs w:val="22"/>
              </w:rPr>
            </w:pPr>
            <w:r w:rsidRPr="00512CCF">
              <w:rPr>
                <w:rFonts w:ascii="Arial Narrow" w:hAnsi="Arial Narrow" w:cs="Arial"/>
                <w:color w:val="D9E2F3"/>
                <w:sz w:val="22"/>
                <w:szCs w:val="22"/>
              </w:rPr>
              <w:t>blank</w:t>
            </w:r>
          </w:p>
        </w:tc>
        <w:tc>
          <w:tcPr>
            <w:tcW w:w="1549" w:type="dxa"/>
            <w:tcBorders>
              <w:left w:val="nil"/>
              <w:right w:val="single" w:sz="4" w:space="0" w:color="auto"/>
            </w:tcBorders>
            <w:shd w:val="clear" w:color="auto" w:fill="D9E2F3" w:themeFill="accent1" w:themeFillTint="33"/>
          </w:tcPr>
          <w:p w14:paraId="02219D86" w14:textId="67155FF0" w:rsidR="00CC43E0" w:rsidRPr="00501ECA" w:rsidRDefault="00CC43E0" w:rsidP="00CC43E0">
            <w:pPr>
              <w:rPr>
                <w:rFonts w:ascii="Arial Narrow" w:hAnsi="Arial Narrow" w:cs="Arial"/>
                <w:b/>
                <w:bCs/>
                <w:sz w:val="22"/>
                <w:szCs w:val="22"/>
              </w:rPr>
            </w:pPr>
            <w:r w:rsidRPr="00512CCF">
              <w:rPr>
                <w:rFonts w:ascii="Arial Narrow" w:hAnsi="Arial Narrow" w:cs="Arial"/>
                <w:color w:val="D9E2F3"/>
                <w:sz w:val="22"/>
                <w:szCs w:val="22"/>
              </w:rPr>
              <w:t>blank</w:t>
            </w:r>
          </w:p>
        </w:tc>
      </w:tr>
      <w:tr w:rsidR="001E74A5" w:rsidRPr="00501ECA" w14:paraId="7771E44F" w14:textId="77777777" w:rsidTr="00E06CAE">
        <w:trPr>
          <w:trHeight w:val="20"/>
          <w:jc w:val="center"/>
        </w:trPr>
        <w:tc>
          <w:tcPr>
            <w:tcW w:w="3071" w:type="dxa"/>
            <w:tcBorders>
              <w:left w:val="single" w:sz="4" w:space="0" w:color="auto"/>
            </w:tcBorders>
          </w:tcPr>
          <w:p w14:paraId="7631E399"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Commercial</w:t>
            </w:r>
            <w:r w:rsidRPr="00501ECA">
              <w:rPr>
                <w:rStyle w:val="FootnoteReference"/>
                <w:rFonts w:ascii="Arial Narrow" w:hAnsi="Arial Narrow" w:cs="Arial"/>
                <w:sz w:val="22"/>
                <w:szCs w:val="22"/>
              </w:rPr>
              <w:footnoteReference w:id="11"/>
            </w:r>
          </w:p>
        </w:tc>
        <w:tc>
          <w:tcPr>
            <w:tcW w:w="1548" w:type="dxa"/>
          </w:tcPr>
          <w:p w14:paraId="72F54AA2"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34.5%</w:t>
            </w:r>
          </w:p>
        </w:tc>
        <w:tc>
          <w:tcPr>
            <w:tcW w:w="1549" w:type="dxa"/>
          </w:tcPr>
          <w:p w14:paraId="473D11FA"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40.6%</w:t>
            </w:r>
          </w:p>
        </w:tc>
        <w:tc>
          <w:tcPr>
            <w:tcW w:w="1548" w:type="dxa"/>
            <w:shd w:val="clear" w:color="auto" w:fill="auto"/>
          </w:tcPr>
          <w:p w14:paraId="0CE777AB"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33.9</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26E6986A"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29.4</w:t>
            </w:r>
            <w:r w:rsidR="001E74A5" w:rsidRPr="00501ECA">
              <w:rPr>
                <w:rFonts w:ascii="Arial Narrow" w:hAnsi="Arial Narrow" w:cs="Arial"/>
                <w:sz w:val="22"/>
                <w:szCs w:val="22"/>
              </w:rPr>
              <w:t>%</w:t>
            </w:r>
          </w:p>
        </w:tc>
      </w:tr>
      <w:tr w:rsidR="001E74A5" w:rsidRPr="00501ECA" w14:paraId="6760AAE1" w14:textId="77777777" w:rsidTr="00E06CAE">
        <w:trPr>
          <w:trHeight w:val="20"/>
          <w:jc w:val="center"/>
        </w:trPr>
        <w:tc>
          <w:tcPr>
            <w:tcW w:w="3071" w:type="dxa"/>
            <w:tcBorders>
              <w:left w:val="single" w:sz="4" w:space="0" w:color="auto"/>
            </w:tcBorders>
          </w:tcPr>
          <w:p w14:paraId="6750A7AD" w14:textId="77777777" w:rsidR="001E74A5" w:rsidRPr="00501ECA" w:rsidRDefault="001E74A5" w:rsidP="00F3113C">
            <w:pPr>
              <w:rPr>
                <w:rFonts w:ascii="Arial Narrow" w:hAnsi="Arial Narrow" w:cs="Arial"/>
                <w:i/>
                <w:iCs/>
                <w:sz w:val="22"/>
                <w:szCs w:val="22"/>
              </w:rPr>
            </w:pPr>
            <w:r w:rsidRPr="00501ECA">
              <w:rPr>
                <w:rFonts w:ascii="Arial Narrow" w:hAnsi="Arial Narrow" w:cs="Arial"/>
                <w:i/>
                <w:iCs/>
                <w:sz w:val="22"/>
                <w:szCs w:val="22"/>
              </w:rPr>
              <w:t xml:space="preserve">     HMO/POS</w:t>
            </w:r>
          </w:p>
        </w:tc>
        <w:tc>
          <w:tcPr>
            <w:tcW w:w="1548" w:type="dxa"/>
          </w:tcPr>
          <w:p w14:paraId="1C3D9727" w14:textId="77777777" w:rsidR="001E74A5" w:rsidRPr="00501ECA" w:rsidRDefault="001E74A5" w:rsidP="00F3113C">
            <w:pPr>
              <w:ind w:right="144"/>
              <w:jc w:val="right"/>
              <w:rPr>
                <w:rFonts w:ascii="Arial Narrow" w:hAnsi="Arial Narrow" w:cs="Arial"/>
                <w:i/>
                <w:iCs/>
                <w:sz w:val="22"/>
                <w:szCs w:val="22"/>
              </w:rPr>
            </w:pPr>
            <w:r w:rsidRPr="00501ECA">
              <w:rPr>
                <w:rFonts w:ascii="Arial Narrow" w:hAnsi="Arial Narrow" w:cs="Arial"/>
                <w:i/>
                <w:iCs/>
                <w:sz w:val="22"/>
                <w:szCs w:val="22"/>
              </w:rPr>
              <w:t>10.4%</w:t>
            </w:r>
          </w:p>
        </w:tc>
        <w:tc>
          <w:tcPr>
            <w:tcW w:w="1549" w:type="dxa"/>
          </w:tcPr>
          <w:p w14:paraId="01DC7DF3" w14:textId="77777777" w:rsidR="001E74A5" w:rsidRPr="00501ECA" w:rsidRDefault="001E74A5" w:rsidP="00F3113C">
            <w:pPr>
              <w:ind w:right="144"/>
              <w:jc w:val="right"/>
              <w:rPr>
                <w:rFonts w:ascii="Arial Narrow" w:hAnsi="Arial Narrow" w:cs="Arial"/>
                <w:i/>
                <w:iCs/>
                <w:sz w:val="22"/>
                <w:szCs w:val="22"/>
              </w:rPr>
            </w:pPr>
            <w:r w:rsidRPr="00501ECA">
              <w:rPr>
                <w:rFonts w:ascii="Arial Narrow" w:hAnsi="Arial Narrow" w:cs="Arial"/>
                <w:i/>
                <w:iCs/>
                <w:sz w:val="22"/>
                <w:szCs w:val="22"/>
              </w:rPr>
              <w:t>13.9%</w:t>
            </w:r>
          </w:p>
        </w:tc>
        <w:tc>
          <w:tcPr>
            <w:tcW w:w="1548" w:type="dxa"/>
            <w:shd w:val="clear" w:color="auto" w:fill="auto"/>
          </w:tcPr>
          <w:p w14:paraId="02D89166" w14:textId="77777777" w:rsidR="001E74A5" w:rsidRPr="00501ECA" w:rsidRDefault="006C766E" w:rsidP="00F3113C">
            <w:pPr>
              <w:ind w:right="144"/>
              <w:jc w:val="right"/>
              <w:rPr>
                <w:rFonts w:ascii="Arial Narrow" w:hAnsi="Arial Narrow" w:cs="Arial"/>
                <w:i/>
                <w:iCs/>
                <w:sz w:val="22"/>
                <w:szCs w:val="22"/>
              </w:rPr>
            </w:pPr>
            <w:r>
              <w:rPr>
                <w:rFonts w:ascii="Arial Narrow" w:hAnsi="Arial Narrow" w:cs="Arial"/>
                <w:i/>
                <w:iCs/>
                <w:sz w:val="22"/>
                <w:szCs w:val="22"/>
              </w:rPr>
              <w:t>11.4</w:t>
            </w:r>
            <w:r w:rsidR="001E74A5" w:rsidRPr="00501ECA">
              <w:rPr>
                <w:rFonts w:ascii="Arial Narrow" w:hAnsi="Arial Narrow" w:cs="Arial"/>
                <w:i/>
                <w:iCs/>
                <w:sz w:val="22"/>
                <w:szCs w:val="22"/>
              </w:rPr>
              <w:t>%</w:t>
            </w:r>
          </w:p>
        </w:tc>
        <w:tc>
          <w:tcPr>
            <w:tcW w:w="1549" w:type="dxa"/>
            <w:tcBorders>
              <w:right w:val="single" w:sz="4" w:space="0" w:color="auto"/>
            </w:tcBorders>
            <w:shd w:val="clear" w:color="auto" w:fill="auto"/>
          </w:tcPr>
          <w:p w14:paraId="494E996C" w14:textId="77777777" w:rsidR="001E74A5" w:rsidRPr="00501ECA" w:rsidRDefault="006C766E" w:rsidP="00F3113C">
            <w:pPr>
              <w:ind w:right="144"/>
              <w:jc w:val="right"/>
              <w:rPr>
                <w:rFonts w:ascii="Arial Narrow" w:hAnsi="Arial Narrow" w:cs="Arial"/>
                <w:i/>
                <w:iCs/>
                <w:sz w:val="22"/>
                <w:szCs w:val="22"/>
              </w:rPr>
            </w:pPr>
            <w:r>
              <w:rPr>
                <w:rFonts w:ascii="Arial Narrow" w:hAnsi="Arial Narrow" w:cs="Arial"/>
                <w:i/>
                <w:iCs/>
                <w:sz w:val="22"/>
                <w:szCs w:val="22"/>
              </w:rPr>
              <w:t>9.4</w:t>
            </w:r>
            <w:r w:rsidR="001E74A5" w:rsidRPr="00501ECA">
              <w:rPr>
                <w:rFonts w:ascii="Arial Narrow" w:hAnsi="Arial Narrow" w:cs="Arial"/>
                <w:i/>
                <w:iCs/>
                <w:sz w:val="22"/>
                <w:szCs w:val="22"/>
              </w:rPr>
              <w:t>%</w:t>
            </w:r>
          </w:p>
        </w:tc>
      </w:tr>
      <w:tr w:rsidR="001E74A5" w:rsidRPr="00501ECA" w14:paraId="5899C68A" w14:textId="77777777" w:rsidTr="00E06CAE">
        <w:trPr>
          <w:trHeight w:val="20"/>
          <w:jc w:val="center"/>
        </w:trPr>
        <w:tc>
          <w:tcPr>
            <w:tcW w:w="3071" w:type="dxa"/>
            <w:tcBorders>
              <w:left w:val="single" w:sz="4" w:space="0" w:color="auto"/>
            </w:tcBorders>
          </w:tcPr>
          <w:p w14:paraId="02886C75" w14:textId="77777777" w:rsidR="001E74A5" w:rsidRPr="00501ECA" w:rsidRDefault="001E74A5" w:rsidP="00F3113C">
            <w:pPr>
              <w:rPr>
                <w:rFonts w:ascii="Arial Narrow" w:hAnsi="Arial Narrow" w:cs="Arial"/>
                <w:i/>
                <w:iCs/>
                <w:sz w:val="22"/>
                <w:szCs w:val="22"/>
              </w:rPr>
            </w:pPr>
            <w:r w:rsidRPr="00501ECA">
              <w:rPr>
                <w:rFonts w:ascii="Arial Narrow" w:hAnsi="Arial Narrow" w:cs="Arial"/>
                <w:i/>
                <w:iCs/>
                <w:sz w:val="22"/>
                <w:szCs w:val="22"/>
              </w:rPr>
              <w:t xml:space="preserve">     PPO</w:t>
            </w:r>
          </w:p>
        </w:tc>
        <w:tc>
          <w:tcPr>
            <w:tcW w:w="1548" w:type="dxa"/>
          </w:tcPr>
          <w:p w14:paraId="46B57B80" w14:textId="77777777" w:rsidR="001E74A5" w:rsidRPr="00501ECA" w:rsidRDefault="001E74A5" w:rsidP="00F3113C">
            <w:pPr>
              <w:ind w:right="144"/>
              <w:jc w:val="right"/>
              <w:rPr>
                <w:rFonts w:ascii="Arial Narrow" w:hAnsi="Arial Narrow" w:cs="Arial"/>
                <w:i/>
                <w:iCs/>
                <w:sz w:val="22"/>
                <w:szCs w:val="22"/>
              </w:rPr>
            </w:pPr>
            <w:r w:rsidRPr="00501ECA">
              <w:rPr>
                <w:rFonts w:ascii="Arial Narrow" w:hAnsi="Arial Narrow" w:cs="Arial"/>
                <w:i/>
                <w:iCs/>
                <w:sz w:val="22"/>
                <w:szCs w:val="22"/>
              </w:rPr>
              <w:t>8.8%</w:t>
            </w:r>
          </w:p>
        </w:tc>
        <w:tc>
          <w:tcPr>
            <w:tcW w:w="1549" w:type="dxa"/>
          </w:tcPr>
          <w:p w14:paraId="3B4FC3C8" w14:textId="77777777" w:rsidR="001E74A5" w:rsidRPr="00501ECA" w:rsidRDefault="001E74A5" w:rsidP="00F3113C">
            <w:pPr>
              <w:ind w:right="144"/>
              <w:jc w:val="right"/>
              <w:rPr>
                <w:rFonts w:ascii="Arial Narrow" w:hAnsi="Arial Narrow" w:cs="Arial"/>
                <w:i/>
                <w:iCs/>
                <w:sz w:val="22"/>
                <w:szCs w:val="22"/>
              </w:rPr>
            </w:pPr>
            <w:r w:rsidRPr="00501ECA">
              <w:rPr>
                <w:rFonts w:ascii="Arial Narrow" w:hAnsi="Arial Narrow" w:cs="Arial"/>
                <w:i/>
                <w:iCs/>
                <w:sz w:val="22"/>
                <w:szCs w:val="22"/>
              </w:rPr>
              <w:t>11.6%</w:t>
            </w:r>
          </w:p>
        </w:tc>
        <w:tc>
          <w:tcPr>
            <w:tcW w:w="1548" w:type="dxa"/>
            <w:shd w:val="clear" w:color="auto" w:fill="auto"/>
          </w:tcPr>
          <w:p w14:paraId="7E1697CF" w14:textId="77777777" w:rsidR="001E74A5" w:rsidRPr="00501ECA" w:rsidRDefault="006C766E" w:rsidP="00F3113C">
            <w:pPr>
              <w:ind w:right="144"/>
              <w:jc w:val="right"/>
              <w:rPr>
                <w:rFonts w:ascii="Arial Narrow" w:hAnsi="Arial Narrow" w:cs="Arial"/>
                <w:i/>
                <w:iCs/>
                <w:sz w:val="22"/>
                <w:szCs w:val="22"/>
              </w:rPr>
            </w:pPr>
            <w:r>
              <w:rPr>
                <w:rFonts w:ascii="Arial Narrow" w:hAnsi="Arial Narrow" w:cs="Arial"/>
                <w:i/>
                <w:iCs/>
                <w:sz w:val="22"/>
                <w:szCs w:val="22"/>
              </w:rPr>
              <w:t>9.3</w:t>
            </w:r>
            <w:r w:rsidR="001E74A5" w:rsidRPr="00501ECA">
              <w:rPr>
                <w:rFonts w:ascii="Arial Narrow" w:hAnsi="Arial Narrow" w:cs="Arial"/>
                <w:i/>
                <w:iCs/>
                <w:sz w:val="22"/>
                <w:szCs w:val="22"/>
              </w:rPr>
              <w:t>%</w:t>
            </w:r>
          </w:p>
        </w:tc>
        <w:tc>
          <w:tcPr>
            <w:tcW w:w="1549" w:type="dxa"/>
            <w:tcBorders>
              <w:right w:val="single" w:sz="4" w:space="0" w:color="auto"/>
            </w:tcBorders>
            <w:shd w:val="clear" w:color="auto" w:fill="auto"/>
          </w:tcPr>
          <w:p w14:paraId="43CADD54" w14:textId="77777777" w:rsidR="001E74A5" w:rsidRPr="00501ECA" w:rsidRDefault="006C766E" w:rsidP="00F3113C">
            <w:pPr>
              <w:ind w:right="144"/>
              <w:jc w:val="right"/>
              <w:rPr>
                <w:rFonts w:ascii="Arial Narrow" w:hAnsi="Arial Narrow" w:cs="Arial"/>
                <w:i/>
                <w:iCs/>
                <w:sz w:val="22"/>
                <w:szCs w:val="22"/>
              </w:rPr>
            </w:pPr>
            <w:r>
              <w:rPr>
                <w:rFonts w:ascii="Arial Narrow" w:hAnsi="Arial Narrow" w:cs="Arial"/>
                <w:i/>
                <w:iCs/>
                <w:sz w:val="22"/>
                <w:szCs w:val="22"/>
              </w:rPr>
              <w:t>8.1</w:t>
            </w:r>
            <w:r w:rsidR="001E74A5" w:rsidRPr="00501ECA">
              <w:rPr>
                <w:rFonts w:ascii="Arial Narrow" w:hAnsi="Arial Narrow" w:cs="Arial"/>
                <w:i/>
                <w:iCs/>
                <w:sz w:val="22"/>
                <w:szCs w:val="22"/>
              </w:rPr>
              <w:t>%</w:t>
            </w:r>
          </w:p>
        </w:tc>
      </w:tr>
      <w:tr w:rsidR="001E74A5" w:rsidRPr="00501ECA" w14:paraId="27FE0D30" w14:textId="77777777" w:rsidTr="00E06CAE">
        <w:trPr>
          <w:trHeight w:val="20"/>
          <w:jc w:val="center"/>
        </w:trPr>
        <w:tc>
          <w:tcPr>
            <w:tcW w:w="3071" w:type="dxa"/>
            <w:tcBorders>
              <w:left w:val="single" w:sz="4" w:space="0" w:color="auto"/>
            </w:tcBorders>
          </w:tcPr>
          <w:p w14:paraId="1E6292F9" w14:textId="77777777" w:rsidR="001E74A5" w:rsidRPr="00501ECA" w:rsidRDefault="001E74A5" w:rsidP="00F3113C">
            <w:pPr>
              <w:rPr>
                <w:rFonts w:ascii="Arial Narrow" w:hAnsi="Arial Narrow" w:cs="Arial"/>
                <w:i/>
                <w:iCs/>
                <w:sz w:val="22"/>
                <w:szCs w:val="22"/>
              </w:rPr>
            </w:pPr>
            <w:r w:rsidRPr="00501ECA">
              <w:rPr>
                <w:rFonts w:ascii="Arial Narrow" w:hAnsi="Arial Narrow" w:cs="Arial"/>
                <w:i/>
                <w:iCs/>
                <w:sz w:val="22"/>
                <w:szCs w:val="22"/>
              </w:rPr>
              <w:t xml:space="preserve">     Other</w:t>
            </w:r>
            <w:r w:rsidRPr="00501ECA">
              <w:rPr>
                <w:rStyle w:val="FootnoteReference"/>
                <w:rFonts w:ascii="Arial Narrow" w:hAnsi="Arial Narrow" w:cs="Arial"/>
                <w:i/>
                <w:iCs/>
                <w:sz w:val="22"/>
                <w:szCs w:val="22"/>
              </w:rPr>
              <w:footnoteReference w:id="12"/>
            </w:r>
          </w:p>
        </w:tc>
        <w:tc>
          <w:tcPr>
            <w:tcW w:w="1548" w:type="dxa"/>
          </w:tcPr>
          <w:p w14:paraId="46AD1114" w14:textId="77777777" w:rsidR="001E74A5" w:rsidRPr="00501ECA" w:rsidRDefault="001E74A5" w:rsidP="00F3113C">
            <w:pPr>
              <w:ind w:right="144"/>
              <w:jc w:val="right"/>
              <w:rPr>
                <w:rFonts w:ascii="Arial Narrow" w:hAnsi="Arial Narrow" w:cs="Arial"/>
                <w:i/>
                <w:iCs/>
                <w:sz w:val="22"/>
                <w:szCs w:val="22"/>
              </w:rPr>
            </w:pPr>
            <w:r w:rsidRPr="00501ECA">
              <w:rPr>
                <w:rFonts w:ascii="Arial Narrow" w:hAnsi="Arial Narrow" w:cs="Arial"/>
                <w:i/>
                <w:iCs/>
                <w:sz w:val="22"/>
                <w:szCs w:val="22"/>
              </w:rPr>
              <w:t>15.3%</w:t>
            </w:r>
          </w:p>
        </w:tc>
        <w:tc>
          <w:tcPr>
            <w:tcW w:w="1549" w:type="dxa"/>
          </w:tcPr>
          <w:p w14:paraId="78751610" w14:textId="77777777" w:rsidR="001E74A5" w:rsidRPr="00501ECA" w:rsidRDefault="001E74A5" w:rsidP="00F3113C">
            <w:pPr>
              <w:ind w:right="144"/>
              <w:jc w:val="right"/>
              <w:rPr>
                <w:rFonts w:ascii="Arial Narrow" w:hAnsi="Arial Narrow" w:cs="Arial"/>
                <w:i/>
                <w:iCs/>
                <w:sz w:val="22"/>
                <w:szCs w:val="22"/>
              </w:rPr>
            </w:pPr>
            <w:r w:rsidRPr="00501ECA">
              <w:rPr>
                <w:rFonts w:ascii="Arial Narrow" w:hAnsi="Arial Narrow" w:cs="Arial"/>
                <w:i/>
                <w:iCs/>
                <w:sz w:val="22"/>
                <w:szCs w:val="22"/>
              </w:rPr>
              <w:t>15.1%</w:t>
            </w:r>
          </w:p>
        </w:tc>
        <w:tc>
          <w:tcPr>
            <w:tcW w:w="1548" w:type="dxa"/>
            <w:shd w:val="clear" w:color="auto" w:fill="auto"/>
          </w:tcPr>
          <w:p w14:paraId="3EDC4FEF" w14:textId="77777777" w:rsidR="001E74A5" w:rsidRPr="00501ECA" w:rsidRDefault="006C766E" w:rsidP="00F3113C">
            <w:pPr>
              <w:ind w:right="144"/>
              <w:jc w:val="right"/>
              <w:rPr>
                <w:rFonts w:ascii="Arial Narrow" w:hAnsi="Arial Narrow" w:cs="Arial"/>
                <w:i/>
                <w:iCs/>
                <w:sz w:val="22"/>
                <w:szCs w:val="22"/>
              </w:rPr>
            </w:pPr>
            <w:r>
              <w:rPr>
                <w:rFonts w:ascii="Arial Narrow" w:hAnsi="Arial Narrow" w:cs="Arial"/>
                <w:i/>
                <w:iCs/>
                <w:sz w:val="22"/>
                <w:szCs w:val="22"/>
              </w:rPr>
              <w:t>13.1</w:t>
            </w:r>
            <w:r w:rsidR="001E74A5" w:rsidRPr="00501ECA">
              <w:rPr>
                <w:rFonts w:ascii="Arial Narrow" w:hAnsi="Arial Narrow" w:cs="Arial"/>
                <w:i/>
                <w:iCs/>
                <w:sz w:val="22"/>
                <w:szCs w:val="22"/>
              </w:rPr>
              <w:t>%</w:t>
            </w:r>
          </w:p>
        </w:tc>
        <w:tc>
          <w:tcPr>
            <w:tcW w:w="1549" w:type="dxa"/>
            <w:tcBorders>
              <w:right w:val="single" w:sz="4" w:space="0" w:color="auto"/>
            </w:tcBorders>
            <w:shd w:val="clear" w:color="auto" w:fill="auto"/>
          </w:tcPr>
          <w:p w14:paraId="24F361DC" w14:textId="77777777" w:rsidR="001E74A5" w:rsidRPr="00501ECA" w:rsidRDefault="006C766E" w:rsidP="00F3113C">
            <w:pPr>
              <w:ind w:right="144"/>
              <w:jc w:val="right"/>
              <w:rPr>
                <w:rFonts w:ascii="Arial Narrow" w:hAnsi="Arial Narrow" w:cs="Arial"/>
                <w:i/>
                <w:iCs/>
                <w:sz w:val="22"/>
                <w:szCs w:val="22"/>
              </w:rPr>
            </w:pPr>
            <w:r>
              <w:rPr>
                <w:rFonts w:ascii="Arial Narrow" w:hAnsi="Arial Narrow" w:cs="Arial"/>
                <w:i/>
                <w:iCs/>
                <w:sz w:val="22"/>
                <w:szCs w:val="22"/>
              </w:rPr>
              <w:t>11.9</w:t>
            </w:r>
            <w:r w:rsidR="001E74A5" w:rsidRPr="00501ECA">
              <w:rPr>
                <w:rFonts w:ascii="Arial Narrow" w:hAnsi="Arial Narrow" w:cs="Arial"/>
                <w:i/>
                <w:iCs/>
                <w:sz w:val="22"/>
                <w:szCs w:val="22"/>
              </w:rPr>
              <w:t>%</w:t>
            </w:r>
          </w:p>
        </w:tc>
      </w:tr>
      <w:tr w:rsidR="001E74A5" w:rsidRPr="00501ECA" w14:paraId="763C261E" w14:textId="77777777" w:rsidTr="00E06CAE">
        <w:trPr>
          <w:trHeight w:val="20"/>
          <w:jc w:val="center"/>
        </w:trPr>
        <w:tc>
          <w:tcPr>
            <w:tcW w:w="3071" w:type="dxa"/>
            <w:tcBorders>
              <w:left w:val="single" w:sz="4" w:space="0" w:color="auto"/>
            </w:tcBorders>
          </w:tcPr>
          <w:p w14:paraId="584CC33A"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MassHealth</w:t>
            </w:r>
          </w:p>
        </w:tc>
        <w:tc>
          <w:tcPr>
            <w:tcW w:w="1548" w:type="dxa"/>
          </w:tcPr>
          <w:p w14:paraId="13EA6B47"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13.6%</w:t>
            </w:r>
          </w:p>
        </w:tc>
        <w:tc>
          <w:tcPr>
            <w:tcW w:w="1549" w:type="dxa"/>
          </w:tcPr>
          <w:p w14:paraId="23224927"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10.9%</w:t>
            </w:r>
          </w:p>
        </w:tc>
        <w:tc>
          <w:tcPr>
            <w:tcW w:w="1548" w:type="dxa"/>
            <w:shd w:val="clear" w:color="auto" w:fill="auto"/>
          </w:tcPr>
          <w:p w14:paraId="755D2625"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13.5</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118D5680"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15.5</w:t>
            </w:r>
            <w:r w:rsidR="001E74A5" w:rsidRPr="00501ECA">
              <w:rPr>
                <w:rFonts w:ascii="Arial Narrow" w:hAnsi="Arial Narrow" w:cs="Arial"/>
                <w:sz w:val="22"/>
                <w:szCs w:val="22"/>
              </w:rPr>
              <w:t>%</w:t>
            </w:r>
          </w:p>
        </w:tc>
      </w:tr>
      <w:tr w:rsidR="001E74A5" w:rsidRPr="00501ECA" w14:paraId="56812487" w14:textId="77777777" w:rsidTr="00E06CAE">
        <w:trPr>
          <w:trHeight w:val="20"/>
          <w:jc w:val="center"/>
        </w:trPr>
        <w:tc>
          <w:tcPr>
            <w:tcW w:w="3071" w:type="dxa"/>
            <w:tcBorders>
              <w:left w:val="single" w:sz="4" w:space="0" w:color="auto"/>
            </w:tcBorders>
          </w:tcPr>
          <w:p w14:paraId="7C8F40E2"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Managed Medicaid</w:t>
            </w:r>
          </w:p>
        </w:tc>
        <w:tc>
          <w:tcPr>
            <w:tcW w:w="1548" w:type="dxa"/>
          </w:tcPr>
          <w:p w14:paraId="1EB92533"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28.3%</w:t>
            </w:r>
          </w:p>
        </w:tc>
        <w:tc>
          <w:tcPr>
            <w:tcW w:w="1549" w:type="dxa"/>
          </w:tcPr>
          <w:p w14:paraId="3FD4DC2F"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24.6%</w:t>
            </w:r>
          </w:p>
        </w:tc>
        <w:tc>
          <w:tcPr>
            <w:tcW w:w="1548" w:type="dxa"/>
            <w:shd w:val="clear" w:color="auto" w:fill="auto"/>
          </w:tcPr>
          <w:p w14:paraId="640FDBED"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27.8</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4F74FFAB"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32.5</w:t>
            </w:r>
            <w:r w:rsidR="001E74A5" w:rsidRPr="00501ECA">
              <w:rPr>
                <w:rFonts w:ascii="Arial Narrow" w:hAnsi="Arial Narrow" w:cs="Arial"/>
                <w:sz w:val="22"/>
                <w:szCs w:val="22"/>
              </w:rPr>
              <w:t>%</w:t>
            </w:r>
          </w:p>
        </w:tc>
      </w:tr>
      <w:tr w:rsidR="001E74A5" w:rsidRPr="00501ECA" w14:paraId="173AF5C3" w14:textId="77777777" w:rsidTr="00E06CAE">
        <w:trPr>
          <w:trHeight w:val="20"/>
          <w:jc w:val="center"/>
        </w:trPr>
        <w:tc>
          <w:tcPr>
            <w:tcW w:w="3071" w:type="dxa"/>
            <w:tcBorders>
              <w:left w:val="single" w:sz="4" w:space="0" w:color="auto"/>
            </w:tcBorders>
          </w:tcPr>
          <w:p w14:paraId="33632DFA"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Commercial Medicare</w:t>
            </w:r>
          </w:p>
        </w:tc>
        <w:tc>
          <w:tcPr>
            <w:tcW w:w="1548" w:type="dxa"/>
          </w:tcPr>
          <w:p w14:paraId="7EE7AEFA"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6.5%</w:t>
            </w:r>
          </w:p>
        </w:tc>
        <w:tc>
          <w:tcPr>
            <w:tcW w:w="1549" w:type="dxa"/>
          </w:tcPr>
          <w:p w14:paraId="1930A0E3"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6.1%</w:t>
            </w:r>
          </w:p>
        </w:tc>
        <w:tc>
          <w:tcPr>
            <w:tcW w:w="1548" w:type="dxa"/>
            <w:shd w:val="clear" w:color="auto" w:fill="auto"/>
          </w:tcPr>
          <w:p w14:paraId="7998E5E0"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6.5</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79B7B22A"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8.7</w:t>
            </w:r>
            <w:r w:rsidR="001E74A5" w:rsidRPr="00501ECA">
              <w:rPr>
                <w:rFonts w:ascii="Arial Narrow" w:hAnsi="Arial Narrow" w:cs="Arial"/>
                <w:sz w:val="22"/>
                <w:szCs w:val="22"/>
              </w:rPr>
              <w:t>%</w:t>
            </w:r>
          </w:p>
        </w:tc>
      </w:tr>
      <w:tr w:rsidR="001E74A5" w:rsidRPr="00501ECA" w14:paraId="1B0C244C" w14:textId="77777777" w:rsidTr="00E06CAE">
        <w:trPr>
          <w:trHeight w:val="20"/>
          <w:jc w:val="center"/>
        </w:trPr>
        <w:tc>
          <w:tcPr>
            <w:tcW w:w="3071" w:type="dxa"/>
            <w:tcBorders>
              <w:left w:val="single" w:sz="4" w:space="0" w:color="auto"/>
            </w:tcBorders>
          </w:tcPr>
          <w:p w14:paraId="4BF30119"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Medicare Fee-for-Service</w:t>
            </w:r>
          </w:p>
        </w:tc>
        <w:tc>
          <w:tcPr>
            <w:tcW w:w="1548" w:type="dxa"/>
          </w:tcPr>
          <w:p w14:paraId="447DEBF5"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9.3%</w:t>
            </w:r>
          </w:p>
        </w:tc>
        <w:tc>
          <w:tcPr>
            <w:tcW w:w="1549" w:type="dxa"/>
          </w:tcPr>
          <w:p w14:paraId="2DD1E19C"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7.8%</w:t>
            </w:r>
          </w:p>
        </w:tc>
        <w:tc>
          <w:tcPr>
            <w:tcW w:w="1548" w:type="dxa"/>
            <w:shd w:val="clear" w:color="auto" w:fill="auto"/>
          </w:tcPr>
          <w:p w14:paraId="67C8DBB6"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6.9</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1FA1BE3E"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7.3</w:t>
            </w:r>
            <w:r w:rsidR="001E74A5" w:rsidRPr="00501ECA">
              <w:rPr>
                <w:rFonts w:ascii="Arial Narrow" w:hAnsi="Arial Narrow" w:cs="Arial"/>
                <w:sz w:val="22"/>
                <w:szCs w:val="22"/>
              </w:rPr>
              <w:t>%</w:t>
            </w:r>
          </w:p>
        </w:tc>
      </w:tr>
      <w:tr w:rsidR="001E74A5" w:rsidRPr="00501ECA" w14:paraId="5F2EEED1" w14:textId="77777777" w:rsidTr="00E06CAE">
        <w:trPr>
          <w:trHeight w:val="20"/>
          <w:jc w:val="center"/>
        </w:trPr>
        <w:tc>
          <w:tcPr>
            <w:tcW w:w="3071" w:type="dxa"/>
            <w:tcBorders>
              <w:left w:val="single" w:sz="4" w:space="0" w:color="auto"/>
            </w:tcBorders>
          </w:tcPr>
          <w:p w14:paraId="3BD92DEF"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Free Care/HSN</w:t>
            </w:r>
          </w:p>
        </w:tc>
        <w:tc>
          <w:tcPr>
            <w:tcW w:w="1548" w:type="dxa"/>
          </w:tcPr>
          <w:p w14:paraId="15C3F7C1"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4.4%</w:t>
            </w:r>
          </w:p>
        </w:tc>
        <w:tc>
          <w:tcPr>
            <w:tcW w:w="1549" w:type="dxa"/>
          </w:tcPr>
          <w:p w14:paraId="1A0456FF"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2.7%</w:t>
            </w:r>
          </w:p>
        </w:tc>
        <w:tc>
          <w:tcPr>
            <w:tcW w:w="1548" w:type="dxa"/>
            <w:shd w:val="clear" w:color="auto" w:fill="auto"/>
          </w:tcPr>
          <w:p w14:paraId="338A2ABC"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2.3</w:t>
            </w:r>
            <w:r w:rsidR="001E74A5" w:rsidRPr="00501ECA">
              <w:rPr>
                <w:rFonts w:ascii="Arial Narrow" w:hAnsi="Arial Narrow" w:cs="Arial"/>
                <w:sz w:val="22"/>
                <w:szCs w:val="22"/>
              </w:rPr>
              <w:t>%</w:t>
            </w:r>
          </w:p>
        </w:tc>
        <w:tc>
          <w:tcPr>
            <w:tcW w:w="1549" w:type="dxa"/>
            <w:tcBorders>
              <w:right w:val="single" w:sz="4" w:space="0" w:color="auto"/>
            </w:tcBorders>
            <w:shd w:val="clear" w:color="auto" w:fill="auto"/>
          </w:tcPr>
          <w:p w14:paraId="56964DAE"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1.7</w:t>
            </w:r>
            <w:r w:rsidR="001E74A5" w:rsidRPr="00501ECA">
              <w:rPr>
                <w:rFonts w:ascii="Arial Narrow" w:hAnsi="Arial Narrow" w:cs="Arial"/>
                <w:sz w:val="22"/>
                <w:szCs w:val="22"/>
              </w:rPr>
              <w:t>%</w:t>
            </w:r>
          </w:p>
        </w:tc>
      </w:tr>
      <w:tr w:rsidR="001E74A5" w:rsidRPr="00501ECA" w14:paraId="21D54B7B" w14:textId="77777777" w:rsidTr="009A1A72">
        <w:trPr>
          <w:trHeight w:val="20"/>
          <w:jc w:val="center"/>
        </w:trPr>
        <w:tc>
          <w:tcPr>
            <w:tcW w:w="3071" w:type="dxa"/>
            <w:tcBorders>
              <w:left w:val="single" w:sz="4" w:space="0" w:color="auto"/>
              <w:bottom w:val="single" w:sz="4" w:space="0" w:color="auto"/>
            </w:tcBorders>
          </w:tcPr>
          <w:p w14:paraId="268CA344" w14:textId="77777777" w:rsidR="001E74A5" w:rsidRPr="00501ECA" w:rsidRDefault="001E74A5" w:rsidP="00F3113C">
            <w:pPr>
              <w:rPr>
                <w:rFonts w:ascii="Arial Narrow" w:hAnsi="Arial Narrow" w:cs="Arial"/>
                <w:sz w:val="22"/>
                <w:szCs w:val="22"/>
              </w:rPr>
            </w:pPr>
            <w:r w:rsidRPr="00501ECA">
              <w:rPr>
                <w:rFonts w:ascii="Arial Narrow" w:hAnsi="Arial Narrow" w:cs="Arial"/>
                <w:sz w:val="22"/>
                <w:szCs w:val="22"/>
              </w:rPr>
              <w:t>All Other</w:t>
            </w:r>
            <w:r w:rsidRPr="00501ECA">
              <w:rPr>
                <w:rStyle w:val="FootnoteReference"/>
                <w:rFonts w:ascii="Arial Narrow" w:hAnsi="Arial Narrow" w:cs="Arial"/>
                <w:sz w:val="22"/>
                <w:szCs w:val="22"/>
              </w:rPr>
              <w:footnoteReference w:id="13"/>
            </w:r>
          </w:p>
        </w:tc>
        <w:tc>
          <w:tcPr>
            <w:tcW w:w="1548" w:type="dxa"/>
            <w:tcBorders>
              <w:bottom w:val="single" w:sz="4" w:space="0" w:color="auto"/>
            </w:tcBorders>
          </w:tcPr>
          <w:p w14:paraId="7C602B49"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3.4%</w:t>
            </w:r>
          </w:p>
        </w:tc>
        <w:tc>
          <w:tcPr>
            <w:tcW w:w="1549" w:type="dxa"/>
            <w:tcBorders>
              <w:bottom w:val="single" w:sz="4" w:space="0" w:color="auto"/>
            </w:tcBorders>
          </w:tcPr>
          <w:p w14:paraId="10698995" w14:textId="77777777" w:rsidR="001E74A5" w:rsidRPr="00501ECA" w:rsidRDefault="001E74A5" w:rsidP="00F3113C">
            <w:pPr>
              <w:jc w:val="center"/>
              <w:rPr>
                <w:rFonts w:ascii="Arial Narrow" w:hAnsi="Arial Narrow" w:cs="Arial"/>
                <w:sz w:val="22"/>
                <w:szCs w:val="22"/>
              </w:rPr>
            </w:pPr>
            <w:r w:rsidRPr="00501ECA">
              <w:rPr>
                <w:rFonts w:ascii="Arial Narrow" w:hAnsi="Arial Narrow" w:cs="Arial"/>
                <w:sz w:val="22"/>
                <w:szCs w:val="22"/>
              </w:rPr>
              <w:t>7.4%</w:t>
            </w:r>
          </w:p>
        </w:tc>
        <w:tc>
          <w:tcPr>
            <w:tcW w:w="1548" w:type="dxa"/>
            <w:tcBorders>
              <w:bottom w:val="single" w:sz="4" w:space="0" w:color="auto"/>
            </w:tcBorders>
            <w:shd w:val="clear" w:color="auto" w:fill="auto"/>
          </w:tcPr>
          <w:p w14:paraId="3BCFC88F"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9.1</w:t>
            </w:r>
            <w:r w:rsidR="001E74A5" w:rsidRPr="00501ECA">
              <w:rPr>
                <w:rFonts w:ascii="Arial Narrow" w:hAnsi="Arial Narrow" w:cs="Arial"/>
                <w:sz w:val="22"/>
                <w:szCs w:val="22"/>
              </w:rPr>
              <w:t>%</w:t>
            </w:r>
          </w:p>
        </w:tc>
        <w:tc>
          <w:tcPr>
            <w:tcW w:w="1549" w:type="dxa"/>
            <w:tcBorders>
              <w:bottom w:val="single" w:sz="4" w:space="0" w:color="auto"/>
              <w:right w:val="single" w:sz="4" w:space="0" w:color="auto"/>
            </w:tcBorders>
            <w:shd w:val="clear" w:color="auto" w:fill="auto"/>
          </w:tcPr>
          <w:p w14:paraId="2D4DEEF7" w14:textId="77777777" w:rsidR="001E74A5" w:rsidRPr="00501ECA" w:rsidRDefault="006C766E" w:rsidP="00F3113C">
            <w:pPr>
              <w:jc w:val="center"/>
              <w:rPr>
                <w:rFonts w:ascii="Arial Narrow" w:hAnsi="Arial Narrow" w:cs="Arial"/>
                <w:sz w:val="22"/>
                <w:szCs w:val="22"/>
              </w:rPr>
            </w:pPr>
            <w:r>
              <w:rPr>
                <w:rFonts w:ascii="Arial Narrow" w:hAnsi="Arial Narrow" w:cs="Arial"/>
                <w:sz w:val="22"/>
                <w:szCs w:val="22"/>
              </w:rPr>
              <w:t>4.9</w:t>
            </w:r>
            <w:r w:rsidR="001E74A5" w:rsidRPr="00501ECA">
              <w:rPr>
                <w:rFonts w:ascii="Arial Narrow" w:hAnsi="Arial Narrow" w:cs="Arial"/>
                <w:sz w:val="22"/>
                <w:szCs w:val="22"/>
              </w:rPr>
              <w:t>%</w:t>
            </w:r>
          </w:p>
        </w:tc>
      </w:tr>
    </w:tbl>
    <w:p w14:paraId="0EBD67AE" w14:textId="77777777" w:rsidR="00E8351E" w:rsidRPr="00E06CAE" w:rsidRDefault="00E8351E" w:rsidP="0011254C">
      <w:pPr>
        <w:pStyle w:val="NormalWeb"/>
        <w:spacing w:before="0" w:beforeAutospacing="0" w:after="0" w:afterAutospacing="0"/>
        <w:jc w:val="both"/>
        <w:rPr>
          <w:rFonts w:ascii="Arial" w:hAnsi="Arial" w:cs="Arial"/>
          <w:sz w:val="22"/>
          <w:szCs w:val="22"/>
          <w:u w:val="single"/>
        </w:rPr>
      </w:pPr>
    </w:p>
    <w:p w14:paraId="133F4851" w14:textId="77777777" w:rsidR="009F76F1" w:rsidRPr="00E06CAE" w:rsidRDefault="001E74A5">
      <w:pPr>
        <w:pStyle w:val="NormalWeb"/>
        <w:numPr>
          <w:ilvl w:val="2"/>
          <w:numId w:val="3"/>
        </w:numPr>
        <w:spacing w:before="0" w:beforeAutospacing="0" w:after="0" w:afterAutospacing="0"/>
        <w:ind w:left="720"/>
        <w:jc w:val="both"/>
        <w:rPr>
          <w:rFonts w:ascii="Arial" w:hAnsi="Arial" w:cs="Arial"/>
          <w:sz w:val="22"/>
          <w:szCs w:val="22"/>
          <w:u w:val="single"/>
        </w:rPr>
      </w:pPr>
      <w:r w:rsidRPr="00E06CAE">
        <w:rPr>
          <w:rFonts w:ascii="Arial" w:hAnsi="Arial" w:cs="Arial"/>
          <w:sz w:val="22"/>
          <w:szCs w:val="22"/>
          <w:u w:val="single"/>
        </w:rPr>
        <w:t xml:space="preserve">MRI </w:t>
      </w:r>
      <w:r w:rsidR="009F76F1" w:rsidRPr="00E06CAE">
        <w:rPr>
          <w:rFonts w:ascii="Arial" w:hAnsi="Arial" w:cs="Arial"/>
          <w:sz w:val="22"/>
          <w:szCs w:val="22"/>
          <w:u w:val="single"/>
        </w:rPr>
        <w:t>Patient Panel</w:t>
      </w:r>
    </w:p>
    <w:p w14:paraId="7DC6178D" w14:textId="77777777" w:rsidR="00ED172C" w:rsidRPr="00E06CAE" w:rsidRDefault="00ED172C" w:rsidP="00ED172C">
      <w:pPr>
        <w:rPr>
          <w:rFonts w:ascii="Arial" w:hAnsi="Arial" w:cs="Arial"/>
          <w:sz w:val="22"/>
          <w:szCs w:val="22"/>
          <w:u w:val="single"/>
        </w:rPr>
      </w:pPr>
    </w:p>
    <w:p w14:paraId="33826B0B" w14:textId="77777777" w:rsidR="00646420" w:rsidRPr="00E06CAE" w:rsidRDefault="00646420" w:rsidP="00646420">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 xml:space="preserve">The Proposed Project will increase access to </w:t>
      </w:r>
      <w:r w:rsidR="001E74A5" w:rsidRPr="00E06CAE">
        <w:rPr>
          <w:rFonts w:ascii="Arial" w:hAnsi="Arial" w:cs="Arial"/>
          <w:sz w:val="22"/>
          <w:szCs w:val="22"/>
        </w:rPr>
        <w:t>MRI services</w:t>
      </w:r>
      <w:r w:rsidR="00685CD8" w:rsidRPr="00E06CAE">
        <w:rPr>
          <w:rFonts w:ascii="Arial" w:hAnsi="Arial" w:cs="Arial"/>
          <w:sz w:val="22"/>
          <w:szCs w:val="22"/>
        </w:rPr>
        <w:t xml:space="preserve"> through the addition of one (1) additional </w:t>
      </w:r>
      <w:r w:rsidR="00403D5D">
        <w:rPr>
          <w:rFonts w:ascii="Arial" w:hAnsi="Arial" w:cs="Arial"/>
          <w:sz w:val="22"/>
          <w:szCs w:val="22"/>
        </w:rPr>
        <w:t>1.5</w:t>
      </w:r>
      <w:r w:rsidR="00CA727A" w:rsidRPr="00E06CAE">
        <w:rPr>
          <w:rFonts w:ascii="Arial" w:hAnsi="Arial" w:cs="Arial"/>
          <w:sz w:val="22"/>
          <w:szCs w:val="22"/>
        </w:rPr>
        <w:t xml:space="preserve">T </w:t>
      </w:r>
      <w:r w:rsidR="00362D96" w:rsidRPr="00E06CAE">
        <w:rPr>
          <w:rFonts w:ascii="Arial" w:hAnsi="Arial" w:cs="Arial"/>
          <w:sz w:val="22"/>
          <w:szCs w:val="22"/>
        </w:rPr>
        <w:t>MRI unit at BMC’s main hospital campus</w:t>
      </w:r>
      <w:r w:rsidRPr="00E06CAE">
        <w:rPr>
          <w:rFonts w:ascii="Arial" w:hAnsi="Arial" w:cs="Arial"/>
          <w:sz w:val="22"/>
          <w:szCs w:val="22"/>
        </w:rPr>
        <w:t xml:space="preserve">. Accordingly, in addition to reviewing the demographic data for the Hospital overall, the Applicant also conducted a focused review of its patient panel’s historical </w:t>
      </w:r>
      <w:r w:rsidR="00685CD8" w:rsidRPr="00E06CAE">
        <w:rPr>
          <w:rFonts w:ascii="Arial" w:hAnsi="Arial" w:cs="Arial"/>
          <w:sz w:val="22"/>
          <w:szCs w:val="22"/>
        </w:rPr>
        <w:t>MRI</w:t>
      </w:r>
      <w:r w:rsidRPr="00E06CAE">
        <w:rPr>
          <w:rFonts w:ascii="Arial" w:hAnsi="Arial" w:cs="Arial"/>
          <w:sz w:val="22"/>
          <w:szCs w:val="22"/>
        </w:rPr>
        <w:t xml:space="preserve"> demographic profile to determine the need for the Proposed Project. </w:t>
      </w:r>
    </w:p>
    <w:p w14:paraId="2D515159" w14:textId="77777777" w:rsidR="00646420" w:rsidRPr="00E06CAE" w:rsidRDefault="00646420" w:rsidP="00C63013">
      <w:pPr>
        <w:pStyle w:val="NormalWeb"/>
        <w:spacing w:before="0" w:beforeAutospacing="0" w:after="0" w:afterAutospacing="0"/>
        <w:jc w:val="both"/>
        <w:rPr>
          <w:rFonts w:ascii="Arial" w:hAnsi="Arial" w:cs="Arial"/>
          <w:sz w:val="22"/>
          <w:szCs w:val="22"/>
        </w:rPr>
      </w:pPr>
    </w:p>
    <w:p w14:paraId="23AAA0B2" w14:textId="77777777" w:rsidR="009F7379" w:rsidRPr="006A1124" w:rsidRDefault="00656218" w:rsidP="005816F3">
      <w:pPr>
        <w:pStyle w:val="NormalWeb"/>
        <w:spacing w:before="0" w:beforeAutospacing="0" w:after="0" w:afterAutospacing="0"/>
        <w:jc w:val="both"/>
        <w:rPr>
          <w:rFonts w:ascii="Arial" w:hAnsi="Arial" w:cs="Arial"/>
          <w:sz w:val="22"/>
          <w:szCs w:val="22"/>
        </w:rPr>
      </w:pPr>
      <w:r w:rsidRPr="00EB3ACF">
        <w:rPr>
          <w:rFonts w:ascii="Arial" w:hAnsi="Arial" w:cs="Arial"/>
          <w:sz w:val="22"/>
          <w:szCs w:val="22"/>
        </w:rPr>
        <w:lastRenderedPageBreak/>
        <w:t>T</w:t>
      </w:r>
      <w:r w:rsidR="00CB48B3" w:rsidRPr="00EB3ACF">
        <w:rPr>
          <w:rFonts w:ascii="Arial" w:hAnsi="Arial" w:cs="Arial"/>
          <w:sz w:val="22"/>
          <w:szCs w:val="22"/>
        </w:rPr>
        <w:t xml:space="preserve">he demographic profile outlined in Table 3 below </w:t>
      </w:r>
      <w:r w:rsidR="002007F6" w:rsidRPr="00EB3ACF">
        <w:rPr>
          <w:rFonts w:ascii="Arial" w:hAnsi="Arial" w:cs="Arial"/>
          <w:sz w:val="22"/>
          <w:szCs w:val="22"/>
        </w:rPr>
        <w:t>illustrate</w:t>
      </w:r>
      <w:r w:rsidR="008B0AF0" w:rsidRPr="00EB3ACF">
        <w:rPr>
          <w:rFonts w:ascii="Arial" w:hAnsi="Arial" w:cs="Arial"/>
          <w:sz w:val="22"/>
          <w:szCs w:val="22"/>
        </w:rPr>
        <w:t>s</w:t>
      </w:r>
      <w:r w:rsidR="00BA2D75" w:rsidRPr="00EB3ACF">
        <w:rPr>
          <w:rFonts w:ascii="Arial" w:hAnsi="Arial" w:cs="Arial"/>
          <w:sz w:val="22"/>
          <w:szCs w:val="22"/>
        </w:rPr>
        <w:t xml:space="preserve"> that </w:t>
      </w:r>
      <w:r w:rsidR="005816F3" w:rsidRPr="00EB3ACF">
        <w:rPr>
          <w:rFonts w:ascii="Arial" w:hAnsi="Arial" w:cs="Arial"/>
          <w:sz w:val="22"/>
          <w:szCs w:val="22"/>
        </w:rPr>
        <w:t xml:space="preserve">BMC’s </w:t>
      </w:r>
      <w:r w:rsidR="00B52FB3" w:rsidRPr="00EB3ACF">
        <w:rPr>
          <w:rFonts w:ascii="Arial" w:hAnsi="Arial" w:cs="Arial"/>
          <w:sz w:val="22"/>
          <w:szCs w:val="22"/>
        </w:rPr>
        <w:t>MRI</w:t>
      </w:r>
      <w:r w:rsidR="00520363" w:rsidRPr="00EB3ACF">
        <w:rPr>
          <w:rFonts w:ascii="Arial" w:hAnsi="Arial" w:cs="Arial"/>
          <w:sz w:val="22"/>
          <w:szCs w:val="22"/>
        </w:rPr>
        <w:t xml:space="preserve"> </w:t>
      </w:r>
      <w:r w:rsidR="00B52FB3" w:rsidRPr="00EB3ACF">
        <w:rPr>
          <w:rFonts w:ascii="Arial" w:hAnsi="Arial" w:cs="Arial"/>
          <w:sz w:val="22"/>
          <w:szCs w:val="22"/>
        </w:rPr>
        <w:t xml:space="preserve">patient </w:t>
      </w:r>
      <w:r w:rsidR="005816F3" w:rsidRPr="00EB3ACF">
        <w:rPr>
          <w:rFonts w:ascii="Arial" w:hAnsi="Arial" w:cs="Arial"/>
          <w:sz w:val="22"/>
          <w:szCs w:val="22"/>
        </w:rPr>
        <w:t xml:space="preserve">panel </w:t>
      </w:r>
      <w:r w:rsidR="00B52FB3" w:rsidRPr="00EB3ACF">
        <w:rPr>
          <w:rFonts w:ascii="Arial" w:hAnsi="Arial" w:cs="Arial"/>
          <w:sz w:val="22"/>
          <w:szCs w:val="22"/>
        </w:rPr>
        <w:t>is</w:t>
      </w:r>
      <w:r w:rsidR="005816F3" w:rsidRPr="00EB3ACF">
        <w:rPr>
          <w:rFonts w:ascii="Arial" w:hAnsi="Arial" w:cs="Arial"/>
          <w:sz w:val="22"/>
          <w:szCs w:val="22"/>
        </w:rPr>
        <w:t xml:space="preserve"> largely reflective of the Hospital</w:t>
      </w:r>
      <w:r w:rsidR="002007F6" w:rsidRPr="00EB3ACF">
        <w:rPr>
          <w:rFonts w:ascii="Arial" w:hAnsi="Arial" w:cs="Arial"/>
          <w:sz w:val="22"/>
          <w:szCs w:val="22"/>
        </w:rPr>
        <w:t>’s panel</w:t>
      </w:r>
      <w:r w:rsidR="005816F3" w:rsidRPr="00EB3ACF">
        <w:rPr>
          <w:rFonts w:ascii="Arial" w:hAnsi="Arial" w:cs="Arial"/>
          <w:sz w:val="22"/>
          <w:szCs w:val="22"/>
        </w:rPr>
        <w:t xml:space="preserve"> overall</w:t>
      </w:r>
      <w:r w:rsidR="00DD3AA5" w:rsidRPr="00EB3ACF">
        <w:rPr>
          <w:rFonts w:ascii="Arial" w:hAnsi="Arial" w:cs="Arial"/>
          <w:sz w:val="22"/>
          <w:szCs w:val="22"/>
        </w:rPr>
        <w:t xml:space="preserve"> in terms of gender, age, race/ethnicity, </w:t>
      </w:r>
      <w:r w:rsidR="008B0AF0" w:rsidRPr="00EB3ACF">
        <w:rPr>
          <w:rFonts w:ascii="Arial" w:hAnsi="Arial" w:cs="Arial"/>
          <w:sz w:val="22"/>
          <w:szCs w:val="22"/>
        </w:rPr>
        <w:t xml:space="preserve">and </w:t>
      </w:r>
      <w:r w:rsidR="00DD3AA5" w:rsidRPr="00EB3ACF">
        <w:rPr>
          <w:rFonts w:ascii="Arial" w:hAnsi="Arial" w:cs="Arial"/>
          <w:sz w:val="22"/>
          <w:szCs w:val="22"/>
        </w:rPr>
        <w:t>geographic origin</w:t>
      </w:r>
      <w:r w:rsidR="005816F3" w:rsidRPr="00EB3ACF">
        <w:rPr>
          <w:rFonts w:ascii="Arial" w:hAnsi="Arial" w:cs="Arial"/>
          <w:sz w:val="22"/>
          <w:szCs w:val="22"/>
        </w:rPr>
        <w:t xml:space="preserve">. </w:t>
      </w:r>
      <w:r w:rsidR="007345A7" w:rsidRPr="006A1124">
        <w:rPr>
          <w:rFonts w:ascii="Arial" w:hAnsi="Arial" w:cs="Arial"/>
          <w:sz w:val="22"/>
          <w:szCs w:val="22"/>
        </w:rPr>
        <w:t xml:space="preserve">As outlined in Table </w:t>
      </w:r>
      <w:r w:rsidR="00520363" w:rsidRPr="006A1124">
        <w:rPr>
          <w:rFonts w:ascii="Arial" w:hAnsi="Arial" w:cs="Arial"/>
          <w:sz w:val="22"/>
          <w:szCs w:val="22"/>
        </w:rPr>
        <w:t>3</w:t>
      </w:r>
      <w:r w:rsidR="007345A7" w:rsidRPr="006A1124">
        <w:rPr>
          <w:rFonts w:ascii="Arial" w:hAnsi="Arial" w:cs="Arial"/>
          <w:sz w:val="22"/>
          <w:szCs w:val="22"/>
        </w:rPr>
        <w:t>, i</w:t>
      </w:r>
      <w:r w:rsidR="005816F3" w:rsidRPr="006A1124">
        <w:rPr>
          <w:rFonts w:ascii="Arial" w:hAnsi="Arial" w:cs="Arial"/>
          <w:sz w:val="22"/>
          <w:szCs w:val="22"/>
        </w:rPr>
        <w:t>n FY</w:t>
      </w:r>
      <w:r w:rsidR="00F278A4" w:rsidRPr="006A1124">
        <w:rPr>
          <w:rFonts w:ascii="Arial" w:hAnsi="Arial" w:cs="Arial"/>
          <w:sz w:val="22"/>
          <w:szCs w:val="22"/>
        </w:rPr>
        <w:t>2</w:t>
      </w:r>
      <w:r w:rsidR="00B52FB3" w:rsidRPr="006A1124">
        <w:rPr>
          <w:rFonts w:ascii="Arial" w:hAnsi="Arial" w:cs="Arial"/>
          <w:sz w:val="22"/>
          <w:szCs w:val="22"/>
        </w:rPr>
        <w:t>2</w:t>
      </w:r>
      <w:r w:rsidR="009F7379" w:rsidRPr="006A1124">
        <w:rPr>
          <w:rFonts w:ascii="Arial" w:hAnsi="Arial" w:cs="Arial"/>
          <w:sz w:val="22"/>
          <w:szCs w:val="22"/>
        </w:rPr>
        <w:t>:</w:t>
      </w:r>
    </w:p>
    <w:p w14:paraId="63E38C93" w14:textId="77777777" w:rsidR="00612736" w:rsidRPr="00AF21CE" w:rsidRDefault="00D03C4A" w:rsidP="00D23FDE">
      <w:pPr>
        <w:pStyle w:val="NormalWeb"/>
        <w:numPr>
          <w:ilvl w:val="0"/>
          <w:numId w:val="30"/>
        </w:numPr>
        <w:spacing w:before="0" w:beforeAutospacing="0" w:after="0" w:afterAutospacing="0"/>
        <w:jc w:val="both"/>
        <w:rPr>
          <w:rFonts w:ascii="Arial" w:hAnsi="Arial" w:cs="Arial"/>
          <w:sz w:val="22"/>
          <w:szCs w:val="22"/>
        </w:rPr>
      </w:pPr>
      <w:r w:rsidRPr="006A1124">
        <w:rPr>
          <w:rFonts w:ascii="Arial" w:hAnsi="Arial" w:cs="Arial"/>
          <w:sz w:val="22"/>
          <w:szCs w:val="22"/>
        </w:rPr>
        <w:t>6</w:t>
      </w:r>
      <w:r w:rsidR="00D23FDE">
        <w:rPr>
          <w:rFonts w:ascii="Arial" w:hAnsi="Arial" w:cs="Arial"/>
          <w:sz w:val="22"/>
          <w:szCs w:val="22"/>
        </w:rPr>
        <w:t>0</w:t>
      </w:r>
      <w:r w:rsidR="005816F3" w:rsidRPr="006A1124">
        <w:rPr>
          <w:rFonts w:ascii="Arial" w:hAnsi="Arial" w:cs="Arial"/>
          <w:sz w:val="22"/>
          <w:szCs w:val="22"/>
        </w:rPr>
        <w:t xml:space="preserve">% </w:t>
      </w:r>
      <w:r w:rsidR="005816F3" w:rsidRPr="00AF21CE">
        <w:rPr>
          <w:rFonts w:ascii="Arial" w:hAnsi="Arial" w:cs="Arial"/>
          <w:sz w:val="22"/>
          <w:szCs w:val="22"/>
        </w:rPr>
        <w:t xml:space="preserve">of </w:t>
      </w:r>
      <w:r w:rsidR="007345A7" w:rsidRPr="00AF21CE">
        <w:rPr>
          <w:rFonts w:ascii="Arial" w:hAnsi="Arial" w:cs="Arial"/>
          <w:sz w:val="22"/>
          <w:szCs w:val="22"/>
        </w:rPr>
        <w:t xml:space="preserve">the Hospital’s </w:t>
      </w:r>
      <w:r w:rsidR="00B52FB3" w:rsidRPr="00AF21CE">
        <w:rPr>
          <w:rFonts w:ascii="Arial" w:hAnsi="Arial" w:cs="Arial"/>
          <w:sz w:val="22"/>
          <w:szCs w:val="22"/>
        </w:rPr>
        <w:t>MRI</w:t>
      </w:r>
      <w:r w:rsidR="00B60325" w:rsidRPr="00AF21CE">
        <w:rPr>
          <w:rFonts w:ascii="Arial" w:hAnsi="Arial" w:cs="Arial"/>
          <w:sz w:val="22"/>
          <w:szCs w:val="22"/>
        </w:rPr>
        <w:t xml:space="preserve"> </w:t>
      </w:r>
      <w:r w:rsidR="005816F3" w:rsidRPr="00AF21CE">
        <w:rPr>
          <w:rFonts w:ascii="Arial" w:hAnsi="Arial" w:cs="Arial"/>
          <w:sz w:val="22"/>
          <w:szCs w:val="22"/>
        </w:rPr>
        <w:t xml:space="preserve">patients were female and </w:t>
      </w:r>
      <w:r w:rsidRPr="00AF21CE">
        <w:rPr>
          <w:rFonts w:ascii="Arial" w:hAnsi="Arial" w:cs="Arial"/>
          <w:sz w:val="22"/>
          <w:szCs w:val="22"/>
        </w:rPr>
        <w:t>40</w:t>
      </w:r>
      <w:r w:rsidR="005816F3" w:rsidRPr="00AF21CE">
        <w:rPr>
          <w:rFonts w:ascii="Arial" w:hAnsi="Arial" w:cs="Arial"/>
          <w:sz w:val="22"/>
          <w:szCs w:val="22"/>
        </w:rPr>
        <w:t>% were male</w:t>
      </w:r>
      <w:r w:rsidR="00E200CA" w:rsidRPr="00AF21CE">
        <w:rPr>
          <w:rFonts w:ascii="Arial" w:hAnsi="Arial" w:cs="Arial"/>
          <w:sz w:val="22"/>
          <w:szCs w:val="22"/>
        </w:rPr>
        <w:t>;</w:t>
      </w:r>
    </w:p>
    <w:p w14:paraId="2B94E149" w14:textId="77777777" w:rsidR="00612736" w:rsidRPr="00AF21CE" w:rsidRDefault="001230D6">
      <w:pPr>
        <w:pStyle w:val="NormalWeb"/>
        <w:numPr>
          <w:ilvl w:val="0"/>
          <w:numId w:val="30"/>
        </w:numPr>
        <w:spacing w:before="0" w:beforeAutospacing="0" w:after="0" w:afterAutospacing="0"/>
        <w:jc w:val="both"/>
        <w:rPr>
          <w:rFonts w:ascii="Arial" w:hAnsi="Arial" w:cs="Arial"/>
          <w:sz w:val="22"/>
          <w:szCs w:val="22"/>
        </w:rPr>
      </w:pPr>
      <w:r w:rsidRPr="00AF21CE">
        <w:rPr>
          <w:rFonts w:ascii="Arial" w:hAnsi="Arial" w:cs="Arial"/>
          <w:sz w:val="22"/>
          <w:szCs w:val="22"/>
        </w:rPr>
        <w:t>The majority (72.</w:t>
      </w:r>
      <w:r w:rsidR="00AF4A39" w:rsidRPr="00AF21CE">
        <w:rPr>
          <w:rFonts w:ascii="Arial" w:hAnsi="Arial" w:cs="Arial"/>
          <w:sz w:val="22"/>
          <w:szCs w:val="22"/>
        </w:rPr>
        <w:t>5</w:t>
      </w:r>
      <w:r w:rsidRPr="00AF21CE">
        <w:rPr>
          <w:rFonts w:ascii="Arial" w:hAnsi="Arial" w:cs="Arial"/>
          <w:sz w:val="22"/>
          <w:szCs w:val="22"/>
        </w:rPr>
        <w:t xml:space="preserve">%) of </w:t>
      </w:r>
      <w:r w:rsidR="0089601D" w:rsidRPr="00AF21CE">
        <w:rPr>
          <w:rFonts w:ascii="Arial" w:hAnsi="Arial" w:cs="Arial"/>
          <w:sz w:val="22"/>
          <w:szCs w:val="22"/>
        </w:rPr>
        <w:t xml:space="preserve">BMC’s </w:t>
      </w:r>
      <w:r w:rsidRPr="00AF21CE">
        <w:rPr>
          <w:rFonts w:ascii="Arial" w:hAnsi="Arial" w:cs="Arial"/>
          <w:sz w:val="22"/>
          <w:szCs w:val="22"/>
        </w:rPr>
        <w:t>MRI patients were ages 18-64, followed by a substantial percent</w:t>
      </w:r>
      <w:r w:rsidR="0089601D" w:rsidRPr="00AF21CE">
        <w:rPr>
          <w:rFonts w:ascii="Arial" w:hAnsi="Arial" w:cs="Arial"/>
          <w:sz w:val="22"/>
          <w:szCs w:val="22"/>
        </w:rPr>
        <w:t>age</w:t>
      </w:r>
      <w:r w:rsidRPr="00AF21CE">
        <w:rPr>
          <w:rFonts w:ascii="Arial" w:hAnsi="Arial" w:cs="Arial"/>
          <w:sz w:val="22"/>
          <w:szCs w:val="22"/>
        </w:rPr>
        <w:t xml:space="preserve"> of patients ages 65+ (2</w:t>
      </w:r>
      <w:r w:rsidR="00AF21CE" w:rsidRPr="00AF21CE">
        <w:rPr>
          <w:rFonts w:ascii="Arial" w:hAnsi="Arial" w:cs="Arial"/>
          <w:sz w:val="22"/>
          <w:szCs w:val="22"/>
        </w:rPr>
        <w:t>4.5</w:t>
      </w:r>
      <w:r w:rsidRPr="00AF21CE">
        <w:rPr>
          <w:rFonts w:ascii="Arial" w:hAnsi="Arial" w:cs="Arial"/>
          <w:sz w:val="22"/>
          <w:szCs w:val="22"/>
        </w:rPr>
        <w:t>%), and a subsequently smaller percentage of patients ages 0-17 (</w:t>
      </w:r>
      <w:r w:rsidR="00AF4A39" w:rsidRPr="00AF21CE">
        <w:rPr>
          <w:rFonts w:ascii="Arial" w:hAnsi="Arial" w:cs="Arial"/>
          <w:sz w:val="22"/>
          <w:szCs w:val="22"/>
        </w:rPr>
        <w:t>3</w:t>
      </w:r>
      <w:r w:rsidR="00AF21CE" w:rsidRPr="00AF21CE">
        <w:rPr>
          <w:rFonts w:ascii="Arial" w:hAnsi="Arial" w:cs="Arial"/>
          <w:sz w:val="22"/>
          <w:szCs w:val="22"/>
        </w:rPr>
        <w:t>.0</w:t>
      </w:r>
      <w:r w:rsidRPr="00AF21CE">
        <w:rPr>
          <w:rFonts w:ascii="Arial" w:hAnsi="Arial" w:cs="Arial"/>
          <w:sz w:val="22"/>
          <w:szCs w:val="22"/>
        </w:rPr>
        <w:t>%)</w:t>
      </w:r>
      <w:r w:rsidR="0089601D" w:rsidRPr="00AF21CE">
        <w:rPr>
          <w:rFonts w:ascii="Arial" w:hAnsi="Arial" w:cs="Arial"/>
          <w:sz w:val="22"/>
          <w:szCs w:val="22"/>
        </w:rPr>
        <w:t>;</w:t>
      </w:r>
    </w:p>
    <w:p w14:paraId="099366FE" w14:textId="77777777" w:rsidR="00724780" w:rsidRPr="006A1124" w:rsidRDefault="00A664D1">
      <w:pPr>
        <w:pStyle w:val="NormalWeb"/>
        <w:numPr>
          <w:ilvl w:val="0"/>
          <w:numId w:val="30"/>
        </w:numPr>
        <w:spacing w:before="0" w:beforeAutospacing="0" w:after="0" w:afterAutospacing="0"/>
        <w:jc w:val="both"/>
        <w:rPr>
          <w:rFonts w:ascii="Arial" w:hAnsi="Arial" w:cs="Arial"/>
          <w:sz w:val="22"/>
          <w:szCs w:val="22"/>
        </w:rPr>
      </w:pPr>
      <w:r w:rsidRPr="00AF21CE">
        <w:rPr>
          <w:rFonts w:ascii="Arial" w:hAnsi="Arial" w:cs="Arial"/>
          <w:sz w:val="22"/>
          <w:szCs w:val="22"/>
        </w:rPr>
        <w:t xml:space="preserve">With respect to race and ethnicity, the data which are self-reported by patients provide that BMC’s </w:t>
      </w:r>
      <w:r w:rsidR="00995D19" w:rsidRPr="00AF21CE">
        <w:rPr>
          <w:rFonts w:ascii="Arial" w:hAnsi="Arial" w:cs="Arial"/>
          <w:sz w:val="22"/>
          <w:szCs w:val="22"/>
        </w:rPr>
        <w:t>MRI patient panel</w:t>
      </w:r>
      <w:r w:rsidRPr="006A1124">
        <w:rPr>
          <w:rFonts w:ascii="Arial" w:hAnsi="Arial" w:cs="Arial"/>
          <w:sz w:val="22"/>
          <w:szCs w:val="22"/>
        </w:rPr>
        <w:t xml:space="preserve"> </w:t>
      </w:r>
      <w:r w:rsidR="00995D19" w:rsidRPr="006A1124">
        <w:rPr>
          <w:rFonts w:ascii="Arial" w:hAnsi="Arial" w:cs="Arial"/>
          <w:sz w:val="22"/>
          <w:szCs w:val="22"/>
        </w:rPr>
        <w:t>is</w:t>
      </w:r>
      <w:r w:rsidRPr="006A1124">
        <w:rPr>
          <w:rFonts w:ascii="Arial" w:hAnsi="Arial" w:cs="Arial"/>
          <w:sz w:val="22"/>
          <w:szCs w:val="22"/>
        </w:rPr>
        <w:t xml:space="preserve"> reflective of the Hospital’s commitment to provide equitable care to a diverse patient population. As outlined in Table </w:t>
      </w:r>
      <w:r w:rsidR="0088585E" w:rsidRPr="006A1124">
        <w:rPr>
          <w:rFonts w:ascii="Arial" w:hAnsi="Arial" w:cs="Arial"/>
          <w:sz w:val="22"/>
          <w:szCs w:val="22"/>
        </w:rPr>
        <w:t>3</w:t>
      </w:r>
      <w:r w:rsidRPr="006A1124">
        <w:rPr>
          <w:rFonts w:ascii="Arial" w:hAnsi="Arial" w:cs="Arial"/>
          <w:sz w:val="22"/>
          <w:szCs w:val="22"/>
        </w:rPr>
        <w:t>, in FY2</w:t>
      </w:r>
      <w:r w:rsidR="0088585E" w:rsidRPr="006A1124">
        <w:rPr>
          <w:rFonts w:ascii="Arial" w:hAnsi="Arial" w:cs="Arial"/>
          <w:sz w:val="22"/>
          <w:szCs w:val="22"/>
        </w:rPr>
        <w:t>2</w:t>
      </w:r>
      <w:r w:rsidRPr="006A1124">
        <w:rPr>
          <w:rFonts w:ascii="Arial" w:hAnsi="Arial" w:cs="Arial"/>
          <w:sz w:val="22"/>
          <w:szCs w:val="22"/>
        </w:rPr>
        <w:t xml:space="preserve">, </w:t>
      </w:r>
      <w:r w:rsidR="00995D19" w:rsidRPr="006A1124">
        <w:rPr>
          <w:rFonts w:ascii="Arial" w:hAnsi="Arial" w:cs="Arial"/>
          <w:sz w:val="22"/>
          <w:szCs w:val="22"/>
        </w:rPr>
        <w:t>MRI</w:t>
      </w:r>
      <w:r w:rsidRPr="006A1124">
        <w:rPr>
          <w:rFonts w:ascii="Arial" w:hAnsi="Arial" w:cs="Arial"/>
          <w:sz w:val="22"/>
          <w:szCs w:val="22"/>
        </w:rPr>
        <w:t xml:space="preserve"> patients self-identified as follows: 3</w:t>
      </w:r>
      <w:r w:rsidR="008253C2" w:rsidRPr="006A1124">
        <w:rPr>
          <w:rFonts w:ascii="Arial" w:hAnsi="Arial" w:cs="Arial"/>
          <w:sz w:val="22"/>
          <w:szCs w:val="22"/>
        </w:rPr>
        <w:t>4.9</w:t>
      </w:r>
      <w:r w:rsidRPr="006A1124">
        <w:rPr>
          <w:rFonts w:ascii="Arial" w:hAnsi="Arial" w:cs="Arial"/>
          <w:sz w:val="22"/>
          <w:szCs w:val="22"/>
        </w:rPr>
        <w:t xml:space="preserve">% as Black/African American, </w:t>
      </w:r>
      <w:r w:rsidR="008253C2" w:rsidRPr="006A1124">
        <w:rPr>
          <w:rFonts w:ascii="Arial" w:hAnsi="Arial" w:cs="Arial"/>
          <w:sz w:val="22"/>
          <w:szCs w:val="22"/>
        </w:rPr>
        <w:t>25.4</w:t>
      </w:r>
      <w:r w:rsidRPr="006A1124">
        <w:rPr>
          <w:rFonts w:ascii="Arial" w:hAnsi="Arial" w:cs="Arial"/>
          <w:sz w:val="22"/>
          <w:szCs w:val="22"/>
        </w:rPr>
        <w:t xml:space="preserve">% as White/Caucasian, </w:t>
      </w:r>
      <w:r w:rsidR="008253C2" w:rsidRPr="006A1124">
        <w:rPr>
          <w:rFonts w:ascii="Arial" w:hAnsi="Arial" w:cs="Arial"/>
          <w:sz w:val="22"/>
          <w:szCs w:val="22"/>
        </w:rPr>
        <w:t>2</w:t>
      </w:r>
      <w:r w:rsidR="00A46AEE" w:rsidRPr="006A1124">
        <w:rPr>
          <w:rFonts w:ascii="Arial" w:hAnsi="Arial" w:cs="Arial"/>
          <w:sz w:val="22"/>
          <w:szCs w:val="22"/>
        </w:rPr>
        <w:t>1</w:t>
      </w:r>
      <w:r w:rsidRPr="006A1124">
        <w:rPr>
          <w:rFonts w:ascii="Arial" w:hAnsi="Arial" w:cs="Arial"/>
          <w:sz w:val="22"/>
          <w:szCs w:val="22"/>
        </w:rPr>
        <w:t>% as Hispanic/Latino, 4.</w:t>
      </w:r>
      <w:r w:rsidR="008253C2" w:rsidRPr="006A1124">
        <w:rPr>
          <w:rFonts w:ascii="Arial" w:hAnsi="Arial" w:cs="Arial"/>
          <w:sz w:val="22"/>
          <w:szCs w:val="22"/>
        </w:rPr>
        <w:t>4</w:t>
      </w:r>
      <w:r w:rsidRPr="006A1124">
        <w:rPr>
          <w:rFonts w:ascii="Arial" w:hAnsi="Arial" w:cs="Arial"/>
          <w:sz w:val="22"/>
          <w:szCs w:val="22"/>
        </w:rPr>
        <w:t xml:space="preserve">% as Asian, 0.3% as American Indian/Alaska Native, </w:t>
      </w:r>
      <w:r w:rsidR="008253C2" w:rsidRPr="006A1124">
        <w:rPr>
          <w:rFonts w:ascii="Arial" w:hAnsi="Arial" w:cs="Arial"/>
          <w:sz w:val="22"/>
          <w:szCs w:val="22"/>
        </w:rPr>
        <w:t>0.</w:t>
      </w:r>
      <w:r w:rsidR="00A46AEE" w:rsidRPr="006A1124">
        <w:rPr>
          <w:rFonts w:ascii="Arial" w:hAnsi="Arial" w:cs="Arial"/>
          <w:sz w:val="22"/>
          <w:szCs w:val="22"/>
        </w:rPr>
        <w:t>3</w:t>
      </w:r>
      <w:r w:rsidR="008253C2" w:rsidRPr="006A1124">
        <w:rPr>
          <w:rFonts w:ascii="Arial" w:hAnsi="Arial" w:cs="Arial"/>
          <w:sz w:val="22"/>
          <w:szCs w:val="22"/>
        </w:rPr>
        <w:t xml:space="preserve">% as Native Hawaiian/Pacific Islander, </w:t>
      </w:r>
      <w:r w:rsidRPr="006A1124">
        <w:rPr>
          <w:rFonts w:ascii="Arial" w:hAnsi="Arial" w:cs="Arial"/>
          <w:sz w:val="22"/>
          <w:szCs w:val="22"/>
        </w:rPr>
        <w:t xml:space="preserve">and </w:t>
      </w:r>
      <w:r w:rsidR="008253C2" w:rsidRPr="006A1124">
        <w:rPr>
          <w:rFonts w:ascii="Arial" w:hAnsi="Arial" w:cs="Arial"/>
          <w:sz w:val="22"/>
          <w:szCs w:val="22"/>
        </w:rPr>
        <w:t>13.</w:t>
      </w:r>
      <w:r w:rsidR="001D2162" w:rsidRPr="006A1124">
        <w:rPr>
          <w:rFonts w:ascii="Arial" w:hAnsi="Arial" w:cs="Arial"/>
          <w:sz w:val="22"/>
          <w:szCs w:val="22"/>
        </w:rPr>
        <w:t>7</w:t>
      </w:r>
      <w:r w:rsidRPr="006A1124">
        <w:rPr>
          <w:rFonts w:ascii="Arial" w:hAnsi="Arial" w:cs="Arial"/>
          <w:sz w:val="22"/>
          <w:szCs w:val="22"/>
        </w:rPr>
        <w:t>% as Other or declined to respond</w:t>
      </w:r>
      <w:r w:rsidR="004825A8" w:rsidRPr="006A1124">
        <w:rPr>
          <w:rFonts w:ascii="Arial" w:hAnsi="Arial" w:cs="Arial"/>
          <w:sz w:val="22"/>
          <w:szCs w:val="22"/>
        </w:rPr>
        <w:t>;</w:t>
      </w:r>
      <w:r w:rsidR="00915DD7" w:rsidRPr="006A1124">
        <w:rPr>
          <w:rFonts w:ascii="Arial" w:hAnsi="Arial" w:cs="Arial"/>
          <w:sz w:val="22"/>
          <w:szCs w:val="22"/>
        </w:rPr>
        <w:t xml:space="preserve"> and</w:t>
      </w:r>
    </w:p>
    <w:p w14:paraId="76E2DDF6" w14:textId="77777777" w:rsidR="004825A8" w:rsidRPr="001D2162" w:rsidRDefault="006A2B78">
      <w:pPr>
        <w:pStyle w:val="NormalWeb"/>
        <w:numPr>
          <w:ilvl w:val="0"/>
          <w:numId w:val="30"/>
        </w:numPr>
        <w:spacing w:before="0" w:beforeAutospacing="0" w:after="0" w:afterAutospacing="0"/>
        <w:jc w:val="both"/>
        <w:rPr>
          <w:rFonts w:ascii="Arial" w:hAnsi="Arial" w:cs="Arial"/>
          <w:sz w:val="22"/>
          <w:szCs w:val="22"/>
        </w:rPr>
      </w:pPr>
      <w:r w:rsidRPr="006A1124">
        <w:rPr>
          <w:rFonts w:ascii="Arial" w:hAnsi="Arial" w:cs="Arial"/>
          <w:sz w:val="22"/>
          <w:szCs w:val="22"/>
        </w:rPr>
        <w:t>G</w:t>
      </w:r>
      <w:r w:rsidR="004825A8" w:rsidRPr="006A1124">
        <w:rPr>
          <w:rFonts w:ascii="Arial" w:hAnsi="Arial" w:cs="Arial"/>
          <w:sz w:val="22"/>
          <w:szCs w:val="22"/>
        </w:rPr>
        <w:t xml:space="preserve">eographic origin demographics indicate that BMC’s </w:t>
      </w:r>
      <w:r w:rsidR="00915DD7" w:rsidRPr="006A1124">
        <w:rPr>
          <w:rFonts w:ascii="Arial" w:hAnsi="Arial" w:cs="Arial"/>
          <w:sz w:val="22"/>
          <w:szCs w:val="22"/>
        </w:rPr>
        <w:t>MRI</w:t>
      </w:r>
      <w:r w:rsidR="004825A8" w:rsidRPr="006A1124">
        <w:rPr>
          <w:rFonts w:ascii="Arial" w:hAnsi="Arial" w:cs="Arial"/>
          <w:sz w:val="22"/>
          <w:szCs w:val="22"/>
        </w:rPr>
        <w:t xml:space="preserve"> patients mainly reside in the Boston/Greater Boston area, similar</w:t>
      </w:r>
      <w:r w:rsidR="004825A8" w:rsidRPr="001D2162">
        <w:rPr>
          <w:rFonts w:ascii="Arial" w:hAnsi="Arial" w:cs="Arial"/>
          <w:sz w:val="22"/>
          <w:szCs w:val="22"/>
        </w:rPr>
        <w:t xml:space="preserve"> to the Hospital’s panel overall</w:t>
      </w:r>
      <w:r w:rsidR="00724780" w:rsidRPr="001D2162">
        <w:rPr>
          <w:rFonts w:ascii="Arial" w:hAnsi="Arial" w:cs="Arial"/>
          <w:sz w:val="22"/>
          <w:szCs w:val="22"/>
        </w:rPr>
        <w:t>.</w:t>
      </w:r>
    </w:p>
    <w:p w14:paraId="786A0F57" w14:textId="3D4210E1" w:rsidR="007345A7" w:rsidRPr="00E06CAE" w:rsidRDefault="004653F7" w:rsidP="004653F7">
      <w:pPr>
        <w:pStyle w:val="NormalWeb"/>
        <w:shd w:val="clear" w:color="auto" w:fill="3964B1"/>
        <w:spacing w:before="0" w:beforeAutospacing="0" w:after="0" w:afterAutospacing="0"/>
        <w:jc w:val="center"/>
        <w:rPr>
          <w:rFonts w:ascii="Arial" w:hAnsi="Arial" w:cs="Arial"/>
          <w:sz w:val="22"/>
          <w:szCs w:val="22"/>
        </w:rPr>
      </w:pPr>
      <w:r w:rsidRPr="004653F7">
        <w:rPr>
          <w:rFonts w:ascii="Arial Narrow" w:hAnsi="Arial Narrow" w:cs="Arial"/>
          <w:b/>
          <w:bCs/>
          <w:color w:val="FFFFFF"/>
          <w:sz w:val="22"/>
          <w:szCs w:val="22"/>
          <w:shd w:val="clear" w:color="auto" w:fill="3964B1"/>
        </w:rPr>
        <w:t>Table 3: BMC MRI Patient Panel Demographics</w:t>
      </w:r>
    </w:p>
    <w:tbl>
      <w:tblPr>
        <w:tblStyle w:val="TableGrid"/>
        <w:tblW w:w="9263" w:type="dxa"/>
        <w:jc w:val="center"/>
        <w:tblLook w:val="04A0" w:firstRow="1" w:lastRow="0" w:firstColumn="1" w:lastColumn="0" w:noHBand="0" w:noVBand="1"/>
      </w:tblPr>
      <w:tblGrid>
        <w:gridCol w:w="2997"/>
        <w:gridCol w:w="792"/>
        <w:gridCol w:w="777"/>
        <w:gridCol w:w="793"/>
        <w:gridCol w:w="777"/>
        <w:gridCol w:w="792"/>
        <w:gridCol w:w="778"/>
        <w:gridCol w:w="780"/>
        <w:gridCol w:w="777"/>
      </w:tblGrid>
      <w:tr w:rsidR="00F162FC" w:rsidRPr="00AC4247" w14:paraId="5412A133" w14:textId="77777777" w:rsidTr="00290CD0">
        <w:trPr>
          <w:cantSplit/>
          <w:trHeight w:val="20"/>
          <w:tblHeader/>
          <w:jc w:val="center"/>
        </w:trPr>
        <w:tc>
          <w:tcPr>
            <w:tcW w:w="2997" w:type="dxa"/>
            <w:tcBorders>
              <w:left w:val="single" w:sz="4" w:space="0" w:color="auto"/>
              <w:bottom w:val="single" w:sz="4" w:space="0" w:color="auto"/>
            </w:tcBorders>
            <w:shd w:val="clear" w:color="auto" w:fill="8DA9DB"/>
          </w:tcPr>
          <w:p w14:paraId="7E293B32" w14:textId="77777777" w:rsidR="005E67A0" w:rsidRPr="00AC4247" w:rsidRDefault="005E67A0" w:rsidP="00963E14">
            <w:pPr>
              <w:rPr>
                <w:rFonts w:ascii="Arial Narrow" w:hAnsi="Arial Narrow" w:cs="Arial"/>
                <w:b/>
                <w:bCs/>
                <w:sz w:val="22"/>
                <w:szCs w:val="22"/>
              </w:rPr>
            </w:pPr>
            <w:bookmarkStart w:id="3" w:name="_Hlk138852296"/>
          </w:p>
        </w:tc>
        <w:tc>
          <w:tcPr>
            <w:tcW w:w="792" w:type="dxa"/>
            <w:tcBorders>
              <w:bottom w:val="single" w:sz="4" w:space="0" w:color="auto"/>
            </w:tcBorders>
            <w:shd w:val="clear" w:color="auto" w:fill="8DA9DB"/>
          </w:tcPr>
          <w:p w14:paraId="0ED0ED4B" w14:textId="051DB866" w:rsidR="005E67A0" w:rsidRPr="00AC4247" w:rsidRDefault="003F28F2" w:rsidP="00963E14">
            <w:pPr>
              <w:jc w:val="center"/>
              <w:rPr>
                <w:rFonts w:ascii="Arial Narrow" w:hAnsi="Arial Narrow" w:cs="Arial"/>
                <w:b/>
                <w:bCs/>
                <w:sz w:val="22"/>
                <w:szCs w:val="22"/>
              </w:rPr>
            </w:pPr>
            <w:r>
              <w:rPr>
                <w:rFonts w:ascii="Arial Narrow" w:hAnsi="Arial Narrow" w:cs="Arial"/>
                <w:b/>
                <w:bCs/>
                <w:sz w:val="22"/>
                <w:szCs w:val="22"/>
              </w:rPr>
              <w:t xml:space="preserve">FY20 </w:t>
            </w:r>
            <w:r w:rsidR="005E67A0" w:rsidRPr="00AC4247">
              <w:rPr>
                <w:rFonts w:ascii="Arial Narrow" w:hAnsi="Arial Narrow" w:cs="Arial"/>
                <w:b/>
                <w:bCs/>
                <w:sz w:val="22"/>
                <w:szCs w:val="22"/>
              </w:rPr>
              <w:t>Count</w:t>
            </w:r>
          </w:p>
        </w:tc>
        <w:tc>
          <w:tcPr>
            <w:tcW w:w="777" w:type="dxa"/>
            <w:tcBorders>
              <w:bottom w:val="single" w:sz="4" w:space="0" w:color="auto"/>
            </w:tcBorders>
            <w:shd w:val="clear" w:color="auto" w:fill="8DA9DB"/>
          </w:tcPr>
          <w:p w14:paraId="002C211B" w14:textId="6F2FE676" w:rsidR="005E67A0" w:rsidRPr="00AC4247" w:rsidRDefault="003F28F2" w:rsidP="00963E14">
            <w:pPr>
              <w:jc w:val="center"/>
              <w:rPr>
                <w:rFonts w:ascii="Arial Narrow" w:hAnsi="Arial Narrow" w:cs="Arial"/>
                <w:b/>
                <w:bCs/>
                <w:sz w:val="22"/>
                <w:szCs w:val="22"/>
              </w:rPr>
            </w:pPr>
            <w:r>
              <w:rPr>
                <w:rFonts w:ascii="Arial Narrow" w:hAnsi="Arial Narrow" w:cs="Arial"/>
                <w:b/>
                <w:bCs/>
                <w:sz w:val="22"/>
                <w:szCs w:val="22"/>
              </w:rPr>
              <w:t xml:space="preserve">FY20 </w:t>
            </w:r>
            <w:r w:rsidR="005E67A0" w:rsidRPr="00AC4247">
              <w:rPr>
                <w:rFonts w:ascii="Arial Narrow" w:hAnsi="Arial Narrow" w:cs="Arial"/>
                <w:b/>
                <w:bCs/>
                <w:sz w:val="22"/>
                <w:szCs w:val="22"/>
              </w:rPr>
              <w:t>%</w:t>
            </w:r>
          </w:p>
        </w:tc>
        <w:tc>
          <w:tcPr>
            <w:tcW w:w="793" w:type="dxa"/>
            <w:tcBorders>
              <w:bottom w:val="single" w:sz="4" w:space="0" w:color="auto"/>
            </w:tcBorders>
            <w:shd w:val="clear" w:color="auto" w:fill="8DA9DB"/>
          </w:tcPr>
          <w:p w14:paraId="37FEA788" w14:textId="46211612" w:rsidR="005E67A0" w:rsidRPr="00AC4247" w:rsidRDefault="003F28F2" w:rsidP="00963E14">
            <w:pPr>
              <w:jc w:val="center"/>
              <w:rPr>
                <w:rFonts w:ascii="Arial Narrow" w:hAnsi="Arial Narrow" w:cs="Arial"/>
                <w:b/>
                <w:bCs/>
                <w:sz w:val="22"/>
                <w:szCs w:val="22"/>
              </w:rPr>
            </w:pPr>
            <w:r>
              <w:rPr>
                <w:rFonts w:ascii="Arial Narrow" w:hAnsi="Arial Narrow" w:cs="Arial"/>
                <w:b/>
                <w:bCs/>
                <w:sz w:val="22"/>
                <w:szCs w:val="22"/>
              </w:rPr>
              <w:t xml:space="preserve">FY21 </w:t>
            </w:r>
            <w:r w:rsidR="005E67A0" w:rsidRPr="00AC4247">
              <w:rPr>
                <w:rFonts w:ascii="Arial Narrow" w:hAnsi="Arial Narrow" w:cs="Arial"/>
                <w:b/>
                <w:bCs/>
                <w:sz w:val="22"/>
                <w:szCs w:val="22"/>
              </w:rPr>
              <w:t>Count</w:t>
            </w:r>
          </w:p>
        </w:tc>
        <w:tc>
          <w:tcPr>
            <w:tcW w:w="777" w:type="dxa"/>
            <w:tcBorders>
              <w:bottom w:val="single" w:sz="4" w:space="0" w:color="auto"/>
            </w:tcBorders>
            <w:shd w:val="clear" w:color="auto" w:fill="8DA9DB"/>
          </w:tcPr>
          <w:p w14:paraId="3F6DD204" w14:textId="1FA2C219" w:rsidR="005E67A0" w:rsidRPr="00AC4247" w:rsidRDefault="003F28F2" w:rsidP="00963E14">
            <w:pPr>
              <w:jc w:val="center"/>
              <w:rPr>
                <w:rFonts w:ascii="Arial Narrow" w:hAnsi="Arial Narrow" w:cs="Arial"/>
                <w:b/>
                <w:bCs/>
                <w:sz w:val="22"/>
                <w:szCs w:val="22"/>
              </w:rPr>
            </w:pPr>
            <w:r>
              <w:rPr>
                <w:rFonts w:ascii="Arial Narrow" w:hAnsi="Arial Narrow" w:cs="Arial"/>
                <w:b/>
                <w:bCs/>
                <w:sz w:val="22"/>
                <w:szCs w:val="22"/>
              </w:rPr>
              <w:t xml:space="preserve">FY21 </w:t>
            </w:r>
            <w:r w:rsidR="005E67A0" w:rsidRPr="00AC4247">
              <w:rPr>
                <w:rFonts w:ascii="Arial Narrow" w:hAnsi="Arial Narrow" w:cs="Arial"/>
                <w:b/>
                <w:bCs/>
                <w:sz w:val="22"/>
                <w:szCs w:val="22"/>
              </w:rPr>
              <w:t>%</w:t>
            </w:r>
          </w:p>
        </w:tc>
        <w:tc>
          <w:tcPr>
            <w:tcW w:w="792" w:type="dxa"/>
            <w:tcBorders>
              <w:bottom w:val="single" w:sz="4" w:space="0" w:color="auto"/>
            </w:tcBorders>
            <w:shd w:val="clear" w:color="auto" w:fill="8DA9DB"/>
          </w:tcPr>
          <w:p w14:paraId="731EC1DC" w14:textId="7F814EAE" w:rsidR="005E67A0" w:rsidRPr="00AC4247" w:rsidRDefault="003F28F2" w:rsidP="00963E14">
            <w:pPr>
              <w:jc w:val="center"/>
              <w:rPr>
                <w:rFonts w:ascii="Arial Narrow" w:hAnsi="Arial Narrow" w:cs="Arial"/>
                <w:b/>
                <w:bCs/>
                <w:sz w:val="22"/>
                <w:szCs w:val="22"/>
              </w:rPr>
            </w:pPr>
            <w:r>
              <w:rPr>
                <w:rFonts w:ascii="Arial Narrow" w:hAnsi="Arial Narrow" w:cs="Arial"/>
                <w:b/>
                <w:bCs/>
                <w:sz w:val="22"/>
                <w:szCs w:val="22"/>
              </w:rPr>
              <w:t xml:space="preserve">FY22 </w:t>
            </w:r>
            <w:r w:rsidR="005E67A0" w:rsidRPr="00AC4247">
              <w:rPr>
                <w:rFonts w:ascii="Arial Narrow" w:hAnsi="Arial Narrow" w:cs="Arial"/>
                <w:b/>
                <w:bCs/>
                <w:sz w:val="22"/>
                <w:szCs w:val="22"/>
              </w:rPr>
              <w:t>Count</w:t>
            </w:r>
          </w:p>
        </w:tc>
        <w:tc>
          <w:tcPr>
            <w:tcW w:w="778" w:type="dxa"/>
            <w:tcBorders>
              <w:bottom w:val="single" w:sz="4" w:space="0" w:color="auto"/>
            </w:tcBorders>
            <w:shd w:val="clear" w:color="auto" w:fill="8DA9DB"/>
          </w:tcPr>
          <w:p w14:paraId="7E001007" w14:textId="5E199085" w:rsidR="005E67A0" w:rsidRPr="00AC4247" w:rsidRDefault="003F28F2" w:rsidP="00963E14">
            <w:pPr>
              <w:jc w:val="center"/>
              <w:rPr>
                <w:rFonts w:ascii="Arial Narrow" w:hAnsi="Arial Narrow" w:cs="Arial"/>
                <w:b/>
                <w:bCs/>
                <w:sz w:val="22"/>
                <w:szCs w:val="22"/>
              </w:rPr>
            </w:pPr>
            <w:r>
              <w:rPr>
                <w:rFonts w:ascii="Arial Narrow" w:hAnsi="Arial Narrow" w:cs="Arial"/>
                <w:b/>
                <w:bCs/>
                <w:sz w:val="22"/>
                <w:szCs w:val="22"/>
              </w:rPr>
              <w:t xml:space="preserve">FY22 </w:t>
            </w:r>
            <w:r w:rsidR="005E67A0" w:rsidRPr="00AC4247">
              <w:rPr>
                <w:rFonts w:ascii="Arial Narrow" w:hAnsi="Arial Narrow" w:cs="Arial"/>
                <w:b/>
                <w:bCs/>
                <w:sz w:val="22"/>
                <w:szCs w:val="22"/>
              </w:rPr>
              <w:t>%</w:t>
            </w:r>
          </w:p>
        </w:tc>
        <w:tc>
          <w:tcPr>
            <w:tcW w:w="780" w:type="dxa"/>
            <w:tcBorders>
              <w:bottom w:val="single" w:sz="4" w:space="0" w:color="auto"/>
            </w:tcBorders>
            <w:shd w:val="clear" w:color="auto" w:fill="8DA9DB"/>
          </w:tcPr>
          <w:p w14:paraId="6373C72A" w14:textId="623EAEE4" w:rsidR="005E67A0" w:rsidRPr="00AC4247" w:rsidRDefault="003F28F2" w:rsidP="00963E14">
            <w:pPr>
              <w:jc w:val="center"/>
              <w:rPr>
                <w:rFonts w:ascii="Arial Narrow" w:hAnsi="Arial Narrow" w:cs="Arial"/>
                <w:b/>
                <w:bCs/>
                <w:sz w:val="22"/>
                <w:szCs w:val="22"/>
              </w:rPr>
            </w:pPr>
            <w:r w:rsidRPr="00AC4247">
              <w:rPr>
                <w:rFonts w:ascii="Arial Narrow" w:hAnsi="Arial Narrow" w:cs="Arial"/>
                <w:b/>
                <w:bCs/>
                <w:color w:val="000000"/>
                <w:sz w:val="22"/>
                <w:szCs w:val="22"/>
              </w:rPr>
              <w:t>FY23 YTD</w:t>
            </w:r>
            <w:bookmarkStart w:id="4" w:name="_Ref141344552"/>
            <w:r w:rsidRPr="00AC4247">
              <w:rPr>
                <w:rStyle w:val="FootnoteReference"/>
                <w:rFonts w:ascii="Arial Narrow" w:hAnsi="Arial Narrow" w:cs="Arial"/>
                <w:b/>
                <w:bCs/>
                <w:color w:val="000000"/>
                <w:sz w:val="22"/>
                <w:szCs w:val="22"/>
              </w:rPr>
              <w:footnoteReference w:id="14"/>
            </w:r>
            <w:bookmarkEnd w:id="4"/>
            <w:r>
              <w:rPr>
                <w:rFonts w:ascii="Arial Narrow" w:hAnsi="Arial Narrow" w:cs="Arial"/>
                <w:b/>
                <w:bCs/>
                <w:color w:val="000000"/>
                <w:sz w:val="22"/>
                <w:szCs w:val="22"/>
              </w:rPr>
              <w:t xml:space="preserve"> </w:t>
            </w:r>
            <w:r w:rsidR="005E67A0" w:rsidRPr="00AC4247">
              <w:rPr>
                <w:rFonts w:ascii="Arial Narrow" w:hAnsi="Arial Narrow" w:cs="Arial"/>
                <w:b/>
                <w:bCs/>
                <w:sz w:val="22"/>
                <w:szCs w:val="22"/>
              </w:rPr>
              <w:t>Count</w:t>
            </w:r>
          </w:p>
        </w:tc>
        <w:tc>
          <w:tcPr>
            <w:tcW w:w="777" w:type="dxa"/>
            <w:tcBorders>
              <w:bottom w:val="single" w:sz="4" w:space="0" w:color="auto"/>
              <w:right w:val="single" w:sz="4" w:space="0" w:color="auto"/>
            </w:tcBorders>
            <w:shd w:val="clear" w:color="auto" w:fill="8DA9DB"/>
          </w:tcPr>
          <w:p w14:paraId="6BAC8261" w14:textId="1C522149" w:rsidR="005E67A0" w:rsidRPr="00AC4247" w:rsidRDefault="00561142" w:rsidP="00963E14">
            <w:pPr>
              <w:jc w:val="center"/>
              <w:rPr>
                <w:rFonts w:ascii="Arial Narrow" w:hAnsi="Arial Narrow" w:cs="Arial"/>
                <w:b/>
                <w:bCs/>
                <w:sz w:val="22"/>
                <w:szCs w:val="22"/>
              </w:rPr>
            </w:pPr>
            <w:r w:rsidRPr="00AC4247">
              <w:rPr>
                <w:rFonts w:ascii="Arial Narrow" w:hAnsi="Arial Narrow" w:cs="Arial"/>
                <w:b/>
                <w:bCs/>
                <w:color w:val="000000"/>
                <w:sz w:val="22"/>
                <w:szCs w:val="22"/>
              </w:rPr>
              <w:t>FY23 YTD</w:t>
            </w:r>
            <w:r w:rsidRPr="00561142">
              <w:rPr>
                <w:rFonts w:ascii="Arial Narrow" w:hAnsi="Arial Narrow" w:cs="Arial"/>
                <w:b/>
                <w:bCs/>
                <w:color w:val="000000"/>
                <w:sz w:val="12"/>
                <w:szCs w:val="12"/>
              </w:rPr>
              <w:fldChar w:fldCharType="begin"/>
            </w:r>
            <w:r w:rsidRPr="00561142">
              <w:rPr>
                <w:rFonts w:ascii="Arial Narrow" w:hAnsi="Arial Narrow" w:cs="Arial"/>
                <w:b/>
                <w:bCs/>
                <w:color w:val="000000"/>
                <w:sz w:val="12"/>
                <w:szCs w:val="12"/>
              </w:rPr>
              <w:instrText xml:space="preserve"> NOTEREF _Ref141344552 \h  \* MERGEFORMAT </w:instrText>
            </w:r>
            <w:r w:rsidRPr="00561142">
              <w:rPr>
                <w:rFonts w:ascii="Arial Narrow" w:hAnsi="Arial Narrow" w:cs="Arial"/>
                <w:b/>
                <w:bCs/>
                <w:color w:val="000000"/>
                <w:sz w:val="12"/>
                <w:szCs w:val="12"/>
              </w:rPr>
            </w:r>
            <w:r w:rsidRPr="00561142">
              <w:rPr>
                <w:rFonts w:ascii="Arial Narrow" w:hAnsi="Arial Narrow" w:cs="Arial"/>
                <w:b/>
                <w:bCs/>
                <w:color w:val="000000"/>
                <w:sz w:val="12"/>
                <w:szCs w:val="12"/>
              </w:rPr>
              <w:fldChar w:fldCharType="separate"/>
            </w:r>
            <w:r w:rsidRPr="00561142">
              <w:rPr>
                <w:rFonts w:ascii="Arial Narrow" w:hAnsi="Arial Narrow" w:cs="Arial"/>
                <w:b/>
                <w:bCs/>
                <w:color w:val="000000"/>
                <w:sz w:val="12"/>
                <w:szCs w:val="12"/>
              </w:rPr>
              <w:t>14</w:t>
            </w:r>
            <w:r w:rsidRPr="00561142">
              <w:rPr>
                <w:rFonts w:ascii="Arial Narrow" w:hAnsi="Arial Narrow" w:cs="Arial"/>
                <w:b/>
                <w:bCs/>
                <w:color w:val="000000"/>
                <w:sz w:val="12"/>
                <w:szCs w:val="12"/>
              </w:rPr>
              <w:fldChar w:fldCharType="end"/>
            </w:r>
            <w:r w:rsidRPr="00AC4247">
              <w:rPr>
                <w:rFonts w:ascii="Arial Narrow" w:hAnsi="Arial Narrow" w:cs="Arial"/>
                <w:b/>
                <w:bCs/>
                <w:sz w:val="22"/>
                <w:szCs w:val="22"/>
              </w:rPr>
              <w:t xml:space="preserve"> </w:t>
            </w:r>
            <w:r w:rsidR="005E67A0" w:rsidRPr="00AC4247">
              <w:rPr>
                <w:rFonts w:ascii="Arial Narrow" w:hAnsi="Arial Narrow" w:cs="Arial"/>
                <w:b/>
                <w:bCs/>
                <w:sz w:val="22"/>
                <w:szCs w:val="22"/>
              </w:rPr>
              <w:t>%</w:t>
            </w:r>
          </w:p>
        </w:tc>
      </w:tr>
      <w:tr w:rsidR="00F162FC" w:rsidRPr="00AC4247" w14:paraId="46FF6C54" w14:textId="77777777" w:rsidTr="00290CD0">
        <w:trPr>
          <w:cantSplit/>
          <w:trHeight w:val="20"/>
          <w:jc w:val="center"/>
        </w:trPr>
        <w:tc>
          <w:tcPr>
            <w:tcW w:w="2997" w:type="dxa"/>
            <w:tcBorders>
              <w:top w:val="single" w:sz="4" w:space="0" w:color="auto"/>
              <w:left w:val="single" w:sz="4" w:space="0" w:color="auto"/>
            </w:tcBorders>
            <w:shd w:val="clear" w:color="auto" w:fill="BFBFBF"/>
          </w:tcPr>
          <w:p w14:paraId="69BEF2F9" w14:textId="77777777" w:rsidR="005E67A0" w:rsidRPr="00AC4247" w:rsidRDefault="005E67A0" w:rsidP="00963E14">
            <w:pPr>
              <w:rPr>
                <w:rFonts w:ascii="Arial Narrow" w:hAnsi="Arial Narrow" w:cs="Arial"/>
                <w:sz w:val="22"/>
                <w:szCs w:val="22"/>
              </w:rPr>
            </w:pPr>
            <w:r w:rsidRPr="00AC4247">
              <w:rPr>
                <w:rFonts w:ascii="Arial Narrow" w:hAnsi="Arial Narrow" w:cs="Arial"/>
                <w:b/>
                <w:bCs/>
                <w:sz w:val="22"/>
                <w:szCs w:val="22"/>
              </w:rPr>
              <w:t>Total Unique M</w:t>
            </w:r>
            <w:r w:rsidR="00A875DA" w:rsidRPr="00AC4247">
              <w:rPr>
                <w:rFonts w:ascii="Arial Narrow" w:hAnsi="Arial Narrow" w:cs="Arial"/>
                <w:b/>
                <w:bCs/>
                <w:sz w:val="22"/>
                <w:szCs w:val="22"/>
              </w:rPr>
              <w:t>RI</w:t>
            </w:r>
            <w:r w:rsidRPr="00AC4247">
              <w:rPr>
                <w:rFonts w:ascii="Arial Narrow" w:hAnsi="Arial Narrow" w:cs="Arial"/>
                <w:b/>
                <w:bCs/>
                <w:sz w:val="22"/>
                <w:szCs w:val="22"/>
              </w:rPr>
              <w:t xml:space="preserve"> Patients</w:t>
            </w:r>
          </w:p>
        </w:tc>
        <w:tc>
          <w:tcPr>
            <w:tcW w:w="792" w:type="dxa"/>
            <w:tcBorders>
              <w:top w:val="single" w:sz="4" w:space="0" w:color="auto"/>
              <w:bottom w:val="single" w:sz="4" w:space="0" w:color="auto"/>
            </w:tcBorders>
            <w:shd w:val="clear" w:color="auto" w:fill="BFBFBF"/>
          </w:tcPr>
          <w:p w14:paraId="5D7C254E" w14:textId="77777777" w:rsidR="005E67A0" w:rsidRPr="00905A8C" w:rsidRDefault="00D03C4A" w:rsidP="00963E14">
            <w:pPr>
              <w:jc w:val="right"/>
              <w:rPr>
                <w:rFonts w:ascii="Arial Narrow" w:hAnsi="Arial Narrow" w:cs="Arial"/>
                <w:b/>
                <w:bCs/>
                <w:sz w:val="22"/>
                <w:szCs w:val="22"/>
              </w:rPr>
            </w:pPr>
            <w:r w:rsidRPr="00905A8C">
              <w:rPr>
                <w:rFonts w:ascii="Arial Narrow" w:hAnsi="Arial Narrow" w:cs="Arial"/>
                <w:b/>
                <w:bCs/>
                <w:sz w:val="22"/>
                <w:szCs w:val="22"/>
              </w:rPr>
              <w:t>12,020</w:t>
            </w:r>
          </w:p>
        </w:tc>
        <w:tc>
          <w:tcPr>
            <w:tcW w:w="777" w:type="dxa"/>
            <w:tcBorders>
              <w:top w:val="single" w:sz="4" w:space="0" w:color="auto"/>
              <w:bottom w:val="single" w:sz="4" w:space="0" w:color="auto"/>
            </w:tcBorders>
            <w:shd w:val="clear" w:color="auto" w:fill="BFBFBF"/>
          </w:tcPr>
          <w:p w14:paraId="7EAFFBEC" w14:textId="77777777" w:rsidR="005E67A0" w:rsidRPr="00905A8C" w:rsidRDefault="005E67A0" w:rsidP="00963E14">
            <w:pPr>
              <w:jc w:val="right"/>
              <w:rPr>
                <w:rFonts w:ascii="Arial Narrow" w:hAnsi="Arial Narrow" w:cs="Arial"/>
                <w:b/>
                <w:bCs/>
                <w:sz w:val="22"/>
                <w:szCs w:val="22"/>
              </w:rPr>
            </w:pPr>
          </w:p>
        </w:tc>
        <w:tc>
          <w:tcPr>
            <w:tcW w:w="793" w:type="dxa"/>
            <w:tcBorders>
              <w:top w:val="single" w:sz="4" w:space="0" w:color="auto"/>
              <w:bottom w:val="single" w:sz="4" w:space="0" w:color="auto"/>
            </w:tcBorders>
            <w:shd w:val="clear" w:color="auto" w:fill="BFBFBF"/>
          </w:tcPr>
          <w:p w14:paraId="40607DBA" w14:textId="77777777" w:rsidR="005E67A0" w:rsidRPr="00905A8C" w:rsidRDefault="00D03C4A" w:rsidP="00963E14">
            <w:pPr>
              <w:jc w:val="right"/>
              <w:rPr>
                <w:rFonts w:ascii="Arial Narrow" w:hAnsi="Arial Narrow" w:cs="Arial"/>
                <w:b/>
                <w:bCs/>
                <w:sz w:val="22"/>
                <w:szCs w:val="22"/>
              </w:rPr>
            </w:pPr>
            <w:r w:rsidRPr="00905A8C">
              <w:rPr>
                <w:rFonts w:ascii="Arial Narrow" w:hAnsi="Arial Narrow" w:cs="Arial"/>
                <w:b/>
                <w:bCs/>
                <w:sz w:val="22"/>
                <w:szCs w:val="22"/>
              </w:rPr>
              <w:t>14,817</w:t>
            </w:r>
          </w:p>
        </w:tc>
        <w:tc>
          <w:tcPr>
            <w:tcW w:w="777" w:type="dxa"/>
            <w:tcBorders>
              <w:top w:val="single" w:sz="4" w:space="0" w:color="auto"/>
              <w:bottom w:val="single" w:sz="4" w:space="0" w:color="auto"/>
            </w:tcBorders>
            <w:shd w:val="clear" w:color="auto" w:fill="BFBFBF"/>
          </w:tcPr>
          <w:p w14:paraId="50C41F1D" w14:textId="77777777" w:rsidR="005E67A0" w:rsidRPr="00905A8C" w:rsidRDefault="005E67A0" w:rsidP="00963E14">
            <w:pPr>
              <w:jc w:val="right"/>
              <w:rPr>
                <w:rFonts w:ascii="Arial Narrow" w:hAnsi="Arial Narrow" w:cs="Arial"/>
                <w:b/>
                <w:bCs/>
                <w:sz w:val="22"/>
                <w:szCs w:val="22"/>
              </w:rPr>
            </w:pPr>
          </w:p>
        </w:tc>
        <w:tc>
          <w:tcPr>
            <w:tcW w:w="792" w:type="dxa"/>
            <w:tcBorders>
              <w:top w:val="single" w:sz="4" w:space="0" w:color="auto"/>
              <w:bottom w:val="single" w:sz="4" w:space="0" w:color="auto"/>
            </w:tcBorders>
            <w:shd w:val="clear" w:color="auto" w:fill="BFBFBF"/>
          </w:tcPr>
          <w:p w14:paraId="0EEA6D83" w14:textId="77777777" w:rsidR="005E67A0" w:rsidRPr="00905A8C" w:rsidRDefault="00D03C4A" w:rsidP="00963E14">
            <w:pPr>
              <w:jc w:val="right"/>
              <w:rPr>
                <w:rFonts w:ascii="Arial Narrow" w:hAnsi="Arial Narrow" w:cs="Arial"/>
                <w:b/>
                <w:bCs/>
                <w:sz w:val="22"/>
                <w:szCs w:val="22"/>
              </w:rPr>
            </w:pPr>
            <w:r w:rsidRPr="00905A8C">
              <w:rPr>
                <w:rFonts w:ascii="Arial Narrow" w:hAnsi="Arial Narrow" w:cs="Arial"/>
                <w:b/>
                <w:bCs/>
                <w:sz w:val="22"/>
                <w:szCs w:val="22"/>
              </w:rPr>
              <w:t>15,4</w:t>
            </w:r>
            <w:r w:rsidR="00B46902" w:rsidRPr="00905A8C">
              <w:rPr>
                <w:rFonts w:ascii="Arial Narrow" w:hAnsi="Arial Narrow" w:cs="Arial"/>
                <w:b/>
                <w:bCs/>
                <w:sz w:val="22"/>
                <w:szCs w:val="22"/>
              </w:rPr>
              <w:t>49</w:t>
            </w:r>
          </w:p>
        </w:tc>
        <w:tc>
          <w:tcPr>
            <w:tcW w:w="778" w:type="dxa"/>
            <w:tcBorders>
              <w:top w:val="single" w:sz="4" w:space="0" w:color="auto"/>
              <w:bottom w:val="single" w:sz="4" w:space="0" w:color="auto"/>
            </w:tcBorders>
            <w:shd w:val="clear" w:color="auto" w:fill="BFBFBF"/>
          </w:tcPr>
          <w:p w14:paraId="5277E320" w14:textId="77777777" w:rsidR="005E67A0" w:rsidRPr="00905A8C" w:rsidRDefault="005E67A0" w:rsidP="00963E14">
            <w:pPr>
              <w:jc w:val="right"/>
              <w:rPr>
                <w:rFonts w:ascii="Arial Narrow" w:hAnsi="Arial Narrow" w:cs="Arial"/>
                <w:b/>
                <w:bCs/>
                <w:sz w:val="22"/>
                <w:szCs w:val="22"/>
              </w:rPr>
            </w:pPr>
          </w:p>
        </w:tc>
        <w:tc>
          <w:tcPr>
            <w:tcW w:w="780" w:type="dxa"/>
            <w:tcBorders>
              <w:top w:val="single" w:sz="4" w:space="0" w:color="auto"/>
              <w:bottom w:val="single" w:sz="4" w:space="0" w:color="auto"/>
            </w:tcBorders>
            <w:shd w:val="clear" w:color="auto" w:fill="BFBFBF"/>
          </w:tcPr>
          <w:p w14:paraId="5C5126BA" w14:textId="77777777" w:rsidR="005E67A0" w:rsidRPr="00905A8C" w:rsidRDefault="00D03C4A" w:rsidP="00963E14">
            <w:pPr>
              <w:jc w:val="right"/>
              <w:rPr>
                <w:rFonts w:ascii="Arial Narrow" w:hAnsi="Arial Narrow" w:cs="Arial"/>
                <w:b/>
                <w:bCs/>
                <w:sz w:val="22"/>
                <w:szCs w:val="22"/>
              </w:rPr>
            </w:pPr>
            <w:r w:rsidRPr="00905A8C">
              <w:rPr>
                <w:rFonts w:ascii="Arial Narrow" w:hAnsi="Arial Narrow" w:cs="Arial"/>
                <w:b/>
                <w:bCs/>
                <w:sz w:val="22"/>
                <w:szCs w:val="22"/>
              </w:rPr>
              <w:t>8,99</w:t>
            </w:r>
            <w:r w:rsidR="001C75E6" w:rsidRPr="00905A8C">
              <w:rPr>
                <w:rFonts w:ascii="Arial Narrow" w:hAnsi="Arial Narrow" w:cs="Arial"/>
                <w:b/>
                <w:bCs/>
                <w:sz w:val="22"/>
                <w:szCs w:val="22"/>
              </w:rPr>
              <w:t>1</w:t>
            </w:r>
          </w:p>
        </w:tc>
        <w:tc>
          <w:tcPr>
            <w:tcW w:w="777" w:type="dxa"/>
            <w:tcBorders>
              <w:top w:val="single" w:sz="4" w:space="0" w:color="auto"/>
              <w:bottom w:val="single" w:sz="4" w:space="0" w:color="auto"/>
              <w:right w:val="single" w:sz="4" w:space="0" w:color="auto"/>
            </w:tcBorders>
            <w:shd w:val="clear" w:color="auto" w:fill="BFBFBF"/>
          </w:tcPr>
          <w:p w14:paraId="3047A130" w14:textId="77777777" w:rsidR="005E67A0" w:rsidRPr="00905A8C" w:rsidRDefault="005E67A0" w:rsidP="00963E14">
            <w:pPr>
              <w:jc w:val="right"/>
              <w:rPr>
                <w:rFonts w:ascii="Arial Narrow" w:hAnsi="Arial Narrow" w:cs="Arial"/>
                <w:b/>
                <w:bCs/>
                <w:sz w:val="22"/>
                <w:szCs w:val="22"/>
              </w:rPr>
            </w:pPr>
          </w:p>
        </w:tc>
      </w:tr>
      <w:tr w:rsidR="00290CD0" w:rsidRPr="00AC4247" w14:paraId="1F73AE68" w14:textId="77777777" w:rsidTr="00290CD0">
        <w:trPr>
          <w:cantSplit/>
          <w:trHeight w:val="20"/>
          <w:jc w:val="center"/>
        </w:trPr>
        <w:tc>
          <w:tcPr>
            <w:tcW w:w="2997" w:type="dxa"/>
            <w:tcBorders>
              <w:left w:val="single" w:sz="4" w:space="0" w:color="auto"/>
              <w:right w:val="nil"/>
            </w:tcBorders>
            <w:shd w:val="clear" w:color="auto" w:fill="D9E2F3" w:themeFill="accent1" w:themeFillTint="33"/>
          </w:tcPr>
          <w:p w14:paraId="3CA6CD99" w14:textId="77777777" w:rsidR="00290CD0" w:rsidRPr="00905A8C" w:rsidRDefault="00290CD0" w:rsidP="00290CD0">
            <w:pPr>
              <w:rPr>
                <w:rFonts w:ascii="Arial Narrow" w:hAnsi="Arial Narrow" w:cs="Arial"/>
                <w:b/>
                <w:bCs/>
                <w:sz w:val="22"/>
                <w:szCs w:val="22"/>
              </w:rPr>
            </w:pPr>
            <w:r w:rsidRPr="00905A8C">
              <w:rPr>
                <w:rFonts w:ascii="Arial Narrow" w:hAnsi="Arial Narrow" w:cs="Arial"/>
                <w:b/>
                <w:bCs/>
                <w:sz w:val="22"/>
                <w:szCs w:val="22"/>
              </w:rPr>
              <w:t>Gender</w:t>
            </w:r>
          </w:p>
        </w:tc>
        <w:tc>
          <w:tcPr>
            <w:tcW w:w="792" w:type="dxa"/>
            <w:tcBorders>
              <w:left w:val="nil"/>
              <w:right w:val="nil"/>
            </w:tcBorders>
            <w:shd w:val="clear" w:color="auto" w:fill="D9E2F3" w:themeFill="accent1" w:themeFillTint="33"/>
          </w:tcPr>
          <w:p w14:paraId="662A3AF3" w14:textId="244EEFF8" w:rsidR="00290CD0" w:rsidRPr="00290CD0" w:rsidRDefault="00290CD0" w:rsidP="00290CD0">
            <w:pPr>
              <w:rPr>
                <w:rFonts w:ascii="Arial Narrow" w:hAnsi="Arial Narrow" w:cs="Arial"/>
                <w:sz w:val="22"/>
                <w:szCs w:val="22"/>
              </w:rPr>
            </w:pPr>
            <w:r w:rsidRPr="00290CD0">
              <w:rPr>
                <w:rFonts w:ascii="Arial Narrow" w:hAnsi="Arial Narrow" w:cs="Arial"/>
                <w:color w:val="D9E2F3"/>
                <w:sz w:val="22"/>
                <w:szCs w:val="22"/>
              </w:rPr>
              <w:t>blank</w:t>
            </w:r>
          </w:p>
        </w:tc>
        <w:tc>
          <w:tcPr>
            <w:tcW w:w="777" w:type="dxa"/>
            <w:tcBorders>
              <w:left w:val="nil"/>
              <w:right w:val="nil"/>
            </w:tcBorders>
            <w:shd w:val="clear" w:color="auto" w:fill="D9E2F3" w:themeFill="accent1" w:themeFillTint="33"/>
          </w:tcPr>
          <w:p w14:paraId="7D246A58" w14:textId="6269E589"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c>
          <w:tcPr>
            <w:tcW w:w="793" w:type="dxa"/>
            <w:tcBorders>
              <w:left w:val="nil"/>
              <w:right w:val="nil"/>
            </w:tcBorders>
            <w:shd w:val="clear" w:color="auto" w:fill="D9E2F3" w:themeFill="accent1" w:themeFillTint="33"/>
          </w:tcPr>
          <w:p w14:paraId="7910ABA6" w14:textId="139794EF"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c>
          <w:tcPr>
            <w:tcW w:w="777" w:type="dxa"/>
            <w:tcBorders>
              <w:left w:val="nil"/>
              <w:right w:val="nil"/>
            </w:tcBorders>
            <w:shd w:val="clear" w:color="auto" w:fill="D9E2F3" w:themeFill="accent1" w:themeFillTint="33"/>
          </w:tcPr>
          <w:p w14:paraId="0F95FEE9" w14:textId="39395856"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c>
          <w:tcPr>
            <w:tcW w:w="792" w:type="dxa"/>
            <w:tcBorders>
              <w:left w:val="nil"/>
              <w:right w:val="nil"/>
            </w:tcBorders>
            <w:shd w:val="clear" w:color="auto" w:fill="D9E2F3" w:themeFill="accent1" w:themeFillTint="33"/>
          </w:tcPr>
          <w:p w14:paraId="0860F103" w14:textId="67FEA7F7"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c>
          <w:tcPr>
            <w:tcW w:w="778" w:type="dxa"/>
            <w:tcBorders>
              <w:left w:val="nil"/>
              <w:right w:val="nil"/>
            </w:tcBorders>
            <w:shd w:val="clear" w:color="auto" w:fill="D9E2F3" w:themeFill="accent1" w:themeFillTint="33"/>
          </w:tcPr>
          <w:p w14:paraId="0A0AB4B1" w14:textId="2F7EAEEF"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c>
          <w:tcPr>
            <w:tcW w:w="780" w:type="dxa"/>
            <w:tcBorders>
              <w:left w:val="nil"/>
              <w:right w:val="nil"/>
            </w:tcBorders>
            <w:shd w:val="clear" w:color="auto" w:fill="D9E2F3" w:themeFill="accent1" w:themeFillTint="33"/>
          </w:tcPr>
          <w:p w14:paraId="57C2B168" w14:textId="2A09D87F"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c>
          <w:tcPr>
            <w:tcW w:w="777" w:type="dxa"/>
            <w:tcBorders>
              <w:left w:val="nil"/>
              <w:right w:val="single" w:sz="4" w:space="0" w:color="auto"/>
            </w:tcBorders>
            <w:shd w:val="clear" w:color="auto" w:fill="D9E2F3" w:themeFill="accent1" w:themeFillTint="33"/>
          </w:tcPr>
          <w:p w14:paraId="4FEBADB4" w14:textId="56C35986" w:rsidR="00290CD0" w:rsidRPr="00905A8C" w:rsidRDefault="00290CD0" w:rsidP="00290CD0">
            <w:pPr>
              <w:rPr>
                <w:rFonts w:ascii="Arial Narrow" w:hAnsi="Arial Narrow" w:cs="Arial"/>
                <w:b/>
                <w:bCs/>
                <w:sz w:val="22"/>
                <w:szCs w:val="22"/>
              </w:rPr>
            </w:pPr>
            <w:r w:rsidRPr="00224476">
              <w:rPr>
                <w:rFonts w:ascii="Arial Narrow" w:hAnsi="Arial Narrow" w:cs="Arial"/>
                <w:color w:val="D9E2F3"/>
                <w:sz w:val="22"/>
                <w:szCs w:val="22"/>
              </w:rPr>
              <w:t>blank</w:t>
            </w:r>
          </w:p>
        </w:tc>
      </w:tr>
      <w:tr w:rsidR="00E81809" w:rsidRPr="00AC4247" w14:paraId="706A0536" w14:textId="77777777" w:rsidTr="00290CD0">
        <w:trPr>
          <w:cantSplit/>
          <w:trHeight w:val="20"/>
          <w:jc w:val="center"/>
        </w:trPr>
        <w:tc>
          <w:tcPr>
            <w:tcW w:w="2997" w:type="dxa"/>
            <w:tcBorders>
              <w:left w:val="single" w:sz="4" w:space="0" w:color="auto"/>
            </w:tcBorders>
          </w:tcPr>
          <w:p w14:paraId="33F6815B" w14:textId="77777777" w:rsidR="004B03FB" w:rsidRPr="00AC4247" w:rsidRDefault="004B03FB" w:rsidP="004B03FB">
            <w:pPr>
              <w:rPr>
                <w:rFonts w:ascii="Arial Narrow" w:hAnsi="Arial Narrow" w:cs="Arial"/>
                <w:sz w:val="22"/>
                <w:szCs w:val="22"/>
              </w:rPr>
            </w:pPr>
            <w:r w:rsidRPr="00AC4247">
              <w:rPr>
                <w:rFonts w:ascii="Arial Narrow" w:hAnsi="Arial Narrow" w:cs="Arial"/>
                <w:sz w:val="22"/>
                <w:szCs w:val="22"/>
              </w:rPr>
              <w:t>Female</w:t>
            </w:r>
          </w:p>
        </w:tc>
        <w:tc>
          <w:tcPr>
            <w:tcW w:w="792" w:type="dxa"/>
            <w:shd w:val="clear" w:color="auto" w:fill="auto"/>
          </w:tcPr>
          <w:p w14:paraId="12CD5508"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6,944</w:t>
            </w:r>
          </w:p>
        </w:tc>
        <w:tc>
          <w:tcPr>
            <w:tcW w:w="777" w:type="dxa"/>
            <w:shd w:val="clear" w:color="auto" w:fill="auto"/>
          </w:tcPr>
          <w:p w14:paraId="6A43C6A1"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57.8%</w:t>
            </w:r>
          </w:p>
        </w:tc>
        <w:tc>
          <w:tcPr>
            <w:tcW w:w="793" w:type="dxa"/>
            <w:shd w:val="clear" w:color="auto" w:fill="auto"/>
          </w:tcPr>
          <w:p w14:paraId="45280D91"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8,829</w:t>
            </w:r>
          </w:p>
        </w:tc>
        <w:tc>
          <w:tcPr>
            <w:tcW w:w="777" w:type="dxa"/>
            <w:shd w:val="clear" w:color="auto" w:fill="auto"/>
          </w:tcPr>
          <w:p w14:paraId="2C9D4FEA"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59.6%</w:t>
            </w:r>
          </w:p>
        </w:tc>
        <w:tc>
          <w:tcPr>
            <w:tcW w:w="792" w:type="dxa"/>
            <w:shd w:val="clear" w:color="auto" w:fill="auto"/>
          </w:tcPr>
          <w:p w14:paraId="2A0F8E7D"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9,2</w:t>
            </w:r>
            <w:r w:rsidR="002E7755" w:rsidRPr="00905A8C">
              <w:rPr>
                <w:rFonts w:ascii="Arial Narrow" w:hAnsi="Arial Narrow" w:cs="Arial"/>
                <w:sz w:val="22"/>
                <w:szCs w:val="22"/>
              </w:rPr>
              <w:t>76</w:t>
            </w:r>
          </w:p>
        </w:tc>
        <w:tc>
          <w:tcPr>
            <w:tcW w:w="778" w:type="dxa"/>
            <w:shd w:val="clear" w:color="auto" w:fill="auto"/>
          </w:tcPr>
          <w:p w14:paraId="31DA1A04"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60.0%</w:t>
            </w:r>
          </w:p>
        </w:tc>
        <w:tc>
          <w:tcPr>
            <w:tcW w:w="780" w:type="dxa"/>
            <w:shd w:val="clear" w:color="auto" w:fill="auto"/>
          </w:tcPr>
          <w:p w14:paraId="1724E5AB"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5,47</w:t>
            </w:r>
            <w:r w:rsidR="001C75E6" w:rsidRPr="00905A8C">
              <w:rPr>
                <w:rFonts w:ascii="Arial Narrow" w:hAnsi="Arial Narrow" w:cs="Arial"/>
                <w:sz w:val="22"/>
                <w:szCs w:val="22"/>
              </w:rPr>
              <w:t>0</w:t>
            </w:r>
          </w:p>
        </w:tc>
        <w:tc>
          <w:tcPr>
            <w:tcW w:w="777" w:type="dxa"/>
            <w:tcBorders>
              <w:right w:val="single" w:sz="4" w:space="0" w:color="auto"/>
            </w:tcBorders>
            <w:shd w:val="clear" w:color="auto" w:fill="auto"/>
          </w:tcPr>
          <w:p w14:paraId="7D8B9F45"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60.8%</w:t>
            </w:r>
          </w:p>
        </w:tc>
      </w:tr>
      <w:tr w:rsidR="00E81809" w:rsidRPr="00AC4247" w14:paraId="50543017" w14:textId="77777777" w:rsidTr="00290CD0">
        <w:trPr>
          <w:cantSplit/>
          <w:trHeight w:val="20"/>
          <w:jc w:val="center"/>
        </w:trPr>
        <w:tc>
          <w:tcPr>
            <w:tcW w:w="2997" w:type="dxa"/>
            <w:tcBorders>
              <w:left w:val="single" w:sz="4" w:space="0" w:color="auto"/>
            </w:tcBorders>
          </w:tcPr>
          <w:p w14:paraId="2E56DF3B" w14:textId="77777777" w:rsidR="004B03FB" w:rsidRPr="00AC4247" w:rsidRDefault="004B03FB" w:rsidP="004B03FB">
            <w:pPr>
              <w:rPr>
                <w:rFonts w:ascii="Arial Narrow" w:hAnsi="Arial Narrow" w:cs="Arial"/>
                <w:sz w:val="22"/>
                <w:szCs w:val="22"/>
              </w:rPr>
            </w:pPr>
            <w:r w:rsidRPr="009B55C2">
              <w:rPr>
                <w:rFonts w:ascii="Arial Narrow" w:hAnsi="Arial Narrow" w:cs="Arial"/>
                <w:sz w:val="22"/>
                <w:szCs w:val="22"/>
              </w:rPr>
              <w:t>Male</w:t>
            </w:r>
            <w:r w:rsidR="00D03C4A" w:rsidRPr="009B55C2">
              <w:rPr>
                <w:rFonts w:ascii="Arial Narrow" w:hAnsi="Arial Narrow" w:cs="Arial"/>
                <w:sz w:val="22"/>
                <w:szCs w:val="22"/>
              </w:rPr>
              <w:t>/Other/Unknown</w:t>
            </w:r>
            <w:r w:rsidR="009B55C2" w:rsidRPr="009B55C2">
              <w:rPr>
                <w:rStyle w:val="FootnoteReference"/>
                <w:rFonts w:ascii="Arial Narrow" w:hAnsi="Arial Narrow" w:cs="Arial"/>
                <w:sz w:val="22"/>
                <w:szCs w:val="22"/>
              </w:rPr>
              <w:footnoteReference w:id="15"/>
            </w:r>
          </w:p>
        </w:tc>
        <w:tc>
          <w:tcPr>
            <w:tcW w:w="792" w:type="dxa"/>
            <w:tcBorders>
              <w:bottom w:val="single" w:sz="4" w:space="0" w:color="auto"/>
            </w:tcBorders>
            <w:shd w:val="clear" w:color="auto" w:fill="auto"/>
          </w:tcPr>
          <w:p w14:paraId="55BEA297"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5,076</w:t>
            </w:r>
          </w:p>
        </w:tc>
        <w:tc>
          <w:tcPr>
            <w:tcW w:w="777" w:type="dxa"/>
            <w:tcBorders>
              <w:bottom w:val="single" w:sz="4" w:space="0" w:color="auto"/>
            </w:tcBorders>
            <w:shd w:val="clear" w:color="auto" w:fill="auto"/>
          </w:tcPr>
          <w:p w14:paraId="0D7051A0"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42.2%</w:t>
            </w:r>
          </w:p>
        </w:tc>
        <w:tc>
          <w:tcPr>
            <w:tcW w:w="793" w:type="dxa"/>
            <w:tcBorders>
              <w:bottom w:val="single" w:sz="4" w:space="0" w:color="auto"/>
            </w:tcBorders>
            <w:shd w:val="clear" w:color="auto" w:fill="auto"/>
          </w:tcPr>
          <w:p w14:paraId="28F827A4"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5,988</w:t>
            </w:r>
          </w:p>
        </w:tc>
        <w:tc>
          <w:tcPr>
            <w:tcW w:w="777" w:type="dxa"/>
            <w:tcBorders>
              <w:bottom w:val="single" w:sz="4" w:space="0" w:color="auto"/>
            </w:tcBorders>
            <w:shd w:val="clear" w:color="auto" w:fill="auto"/>
          </w:tcPr>
          <w:p w14:paraId="5315811D"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40.4%</w:t>
            </w:r>
          </w:p>
        </w:tc>
        <w:tc>
          <w:tcPr>
            <w:tcW w:w="792" w:type="dxa"/>
            <w:tcBorders>
              <w:bottom w:val="single" w:sz="4" w:space="0" w:color="auto"/>
            </w:tcBorders>
            <w:shd w:val="clear" w:color="auto" w:fill="auto"/>
          </w:tcPr>
          <w:p w14:paraId="7B071AC3"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6,1</w:t>
            </w:r>
            <w:r w:rsidR="002E7755" w:rsidRPr="00905A8C">
              <w:rPr>
                <w:rFonts w:ascii="Arial Narrow" w:hAnsi="Arial Narrow" w:cs="Arial"/>
                <w:sz w:val="22"/>
                <w:szCs w:val="22"/>
              </w:rPr>
              <w:t>73</w:t>
            </w:r>
          </w:p>
        </w:tc>
        <w:tc>
          <w:tcPr>
            <w:tcW w:w="778" w:type="dxa"/>
            <w:tcBorders>
              <w:bottom w:val="single" w:sz="4" w:space="0" w:color="auto"/>
            </w:tcBorders>
            <w:shd w:val="clear" w:color="auto" w:fill="auto"/>
          </w:tcPr>
          <w:p w14:paraId="5A9A93E3"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40.0%</w:t>
            </w:r>
          </w:p>
        </w:tc>
        <w:tc>
          <w:tcPr>
            <w:tcW w:w="780" w:type="dxa"/>
            <w:tcBorders>
              <w:bottom w:val="single" w:sz="4" w:space="0" w:color="auto"/>
            </w:tcBorders>
            <w:shd w:val="clear" w:color="auto" w:fill="auto"/>
          </w:tcPr>
          <w:p w14:paraId="77285EC7"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3,521</w:t>
            </w:r>
          </w:p>
        </w:tc>
        <w:tc>
          <w:tcPr>
            <w:tcW w:w="777" w:type="dxa"/>
            <w:tcBorders>
              <w:bottom w:val="single" w:sz="4" w:space="0" w:color="auto"/>
              <w:right w:val="single" w:sz="4" w:space="0" w:color="auto"/>
            </w:tcBorders>
            <w:shd w:val="clear" w:color="auto" w:fill="auto"/>
          </w:tcPr>
          <w:p w14:paraId="62C8E709" w14:textId="77777777" w:rsidR="004B03FB" w:rsidRPr="00905A8C" w:rsidRDefault="00D03C4A" w:rsidP="004B03FB">
            <w:pPr>
              <w:jc w:val="right"/>
              <w:rPr>
                <w:rFonts w:ascii="Arial Narrow" w:hAnsi="Arial Narrow" w:cs="Arial"/>
                <w:sz w:val="22"/>
                <w:szCs w:val="22"/>
              </w:rPr>
            </w:pPr>
            <w:r w:rsidRPr="00905A8C">
              <w:rPr>
                <w:rFonts w:ascii="Arial Narrow" w:hAnsi="Arial Narrow" w:cs="Arial"/>
                <w:sz w:val="22"/>
                <w:szCs w:val="22"/>
              </w:rPr>
              <w:t>39.2%</w:t>
            </w:r>
          </w:p>
        </w:tc>
      </w:tr>
      <w:tr w:rsidR="00C30631" w:rsidRPr="00AC4247" w14:paraId="6702229E" w14:textId="77777777" w:rsidTr="00290CD0">
        <w:trPr>
          <w:cantSplit/>
          <w:trHeight w:val="20"/>
          <w:jc w:val="center"/>
        </w:trPr>
        <w:tc>
          <w:tcPr>
            <w:tcW w:w="2997" w:type="dxa"/>
            <w:tcBorders>
              <w:left w:val="single" w:sz="4" w:space="0" w:color="auto"/>
              <w:right w:val="nil"/>
            </w:tcBorders>
            <w:shd w:val="clear" w:color="auto" w:fill="D9E2F3" w:themeFill="accent1" w:themeFillTint="33"/>
          </w:tcPr>
          <w:p w14:paraId="24EEFE12" w14:textId="77777777" w:rsidR="005C20AE" w:rsidRPr="00905A8C" w:rsidRDefault="005C20AE" w:rsidP="00F95069">
            <w:pPr>
              <w:rPr>
                <w:rFonts w:ascii="Arial Narrow" w:hAnsi="Arial Narrow" w:cs="Arial"/>
                <w:sz w:val="22"/>
                <w:szCs w:val="22"/>
              </w:rPr>
            </w:pPr>
            <w:r w:rsidRPr="00905A8C">
              <w:rPr>
                <w:rFonts w:ascii="Arial Narrow" w:hAnsi="Arial Narrow" w:cs="Arial"/>
                <w:b/>
                <w:bCs/>
                <w:sz w:val="22"/>
                <w:szCs w:val="22"/>
              </w:rPr>
              <w:t>Age</w:t>
            </w:r>
          </w:p>
        </w:tc>
        <w:tc>
          <w:tcPr>
            <w:tcW w:w="792" w:type="dxa"/>
            <w:tcBorders>
              <w:left w:val="nil"/>
              <w:right w:val="nil"/>
            </w:tcBorders>
            <w:shd w:val="clear" w:color="auto" w:fill="D9E2F3" w:themeFill="accent1" w:themeFillTint="33"/>
          </w:tcPr>
          <w:p w14:paraId="7F95AF3C" w14:textId="77777777" w:rsidR="005C20AE" w:rsidRPr="00905A8C" w:rsidRDefault="005C20AE" w:rsidP="00F95069">
            <w:pPr>
              <w:rPr>
                <w:rFonts w:ascii="Arial Narrow" w:hAnsi="Arial Narrow" w:cs="Arial"/>
                <w:sz w:val="22"/>
                <w:szCs w:val="22"/>
              </w:rPr>
            </w:pPr>
          </w:p>
        </w:tc>
        <w:tc>
          <w:tcPr>
            <w:tcW w:w="777" w:type="dxa"/>
            <w:tcBorders>
              <w:left w:val="nil"/>
              <w:right w:val="nil"/>
            </w:tcBorders>
            <w:shd w:val="clear" w:color="auto" w:fill="D9E2F3" w:themeFill="accent1" w:themeFillTint="33"/>
          </w:tcPr>
          <w:p w14:paraId="2C708191" w14:textId="77777777" w:rsidR="005C20AE" w:rsidRPr="00905A8C" w:rsidRDefault="005C20AE" w:rsidP="00F95069">
            <w:pPr>
              <w:rPr>
                <w:rFonts w:ascii="Arial Narrow" w:hAnsi="Arial Narrow" w:cs="Arial"/>
                <w:sz w:val="22"/>
                <w:szCs w:val="22"/>
              </w:rPr>
            </w:pPr>
          </w:p>
        </w:tc>
        <w:tc>
          <w:tcPr>
            <w:tcW w:w="793" w:type="dxa"/>
            <w:tcBorders>
              <w:left w:val="nil"/>
              <w:right w:val="nil"/>
            </w:tcBorders>
            <w:shd w:val="clear" w:color="auto" w:fill="D9E2F3" w:themeFill="accent1" w:themeFillTint="33"/>
          </w:tcPr>
          <w:p w14:paraId="73275963" w14:textId="77777777" w:rsidR="005C20AE" w:rsidRPr="00905A8C" w:rsidRDefault="005C20AE" w:rsidP="00F95069">
            <w:pPr>
              <w:rPr>
                <w:rFonts w:ascii="Arial Narrow" w:hAnsi="Arial Narrow" w:cs="Arial"/>
                <w:sz w:val="22"/>
                <w:szCs w:val="22"/>
              </w:rPr>
            </w:pPr>
          </w:p>
        </w:tc>
        <w:tc>
          <w:tcPr>
            <w:tcW w:w="777" w:type="dxa"/>
            <w:tcBorders>
              <w:left w:val="nil"/>
              <w:right w:val="nil"/>
            </w:tcBorders>
            <w:shd w:val="clear" w:color="auto" w:fill="D9E2F3" w:themeFill="accent1" w:themeFillTint="33"/>
          </w:tcPr>
          <w:p w14:paraId="479D1045" w14:textId="77777777" w:rsidR="005C20AE" w:rsidRPr="00905A8C" w:rsidRDefault="005C20AE" w:rsidP="00F95069">
            <w:pPr>
              <w:rPr>
                <w:rFonts w:ascii="Arial Narrow" w:hAnsi="Arial Narrow" w:cs="Arial"/>
                <w:sz w:val="22"/>
                <w:szCs w:val="22"/>
              </w:rPr>
            </w:pPr>
          </w:p>
        </w:tc>
        <w:tc>
          <w:tcPr>
            <w:tcW w:w="792" w:type="dxa"/>
            <w:tcBorders>
              <w:left w:val="nil"/>
              <w:right w:val="nil"/>
            </w:tcBorders>
            <w:shd w:val="clear" w:color="auto" w:fill="D9E2F3" w:themeFill="accent1" w:themeFillTint="33"/>
          </w:tcPr>
          <w:p w14:paraId="6F85F0B8" w14:textId="77777777" w:rsidR="005C20AE" w:rsidRPr="00905A8C" w:rsidRDefault="005C20AE" w:rsidP="00F95069">
            <w:pPr>
              <w:rPr>
                <w:rFonts w:ascii="Arial Narrow" w:hAnsi="Arial Narrow" w:cs="Arial"/>
                <w:sz w:val="22"/>
                <w:szCs w:val="22"/>
              </w:rPr>
            </w:pPr>
          </w:p>
        </w:tc>
        <w:tc>
          <w:tcPr>
            <w:tcW w:w="778" w:type="dxa"/>
            <w:tcBorders>
              <w:left w:val="nil"/>
              <w:right w:val="nil"/>
            </w:tcBorders>
            <w:shd w:val="clear" w:color="auto" w:fill="D9E2F3" w:themeFill="accent1" w:themeFillTint="33"/>
          </w:tcPr>
          <w:p w14:paraId="0070B1E4" w14:textId="77777777" w:rsidR="005C20AE" w:rsidRPr="00905A8C" w:rsidRDefault="005C20AE" w:rsidP="00F95069">
            <w:pPr>
              <w:rPr>
                <w:rFonts w:ascii="Arial Narrow" w:hAnsi="Arial Narrow" w:cs="Arial"/>
                <w:sz w:val="22"/>
                <w:szCs w:val="22"/>
              </w:rPr>
            </w:pPr>
          </w:p>
        </w:tc>
        <w:tc>
          <w:tcPr>
            <w:tcW w:w="780" w:type="dxa"/>
            <w:tcBorders>
              <w:left w:val="nil"/>
              <w:right w:val="nil"/>
            </w:tcBorders>
            <w:shd w:val="clear" w:color="auto" w:fill="D9E2F3" w:themeFill="accent1" w:themeFillTint="33"/>
          </w:tcPr>
          <w:p w14:paraId="7E6532CB" w14:textId="77777777" w:rsidR="005C20AE" w:rsidRPr="00905A8C" w:rsidRDefault="005C20AE" w:rsidP="00F95069">
            <w:pPr>
              <w:rPr>
                <w:rFonts w:ascii="Arial Narrow" w:hAnsi="Arial Narrow" w:cs="Arial"/>
                <w:sz w:val="22"/>
                <w:szCs w:val="22"/>
              </w:rPr>
            </w:pPr>
          </w:p>
        </w:tc>
        <w:tc>
          <w:tcPr>
            <w:tcW w:w="777" w:type="dxa"/>
            <w:tcBorders>
              <w:left w:val="nil"/>
              <w:right w:val="single" w:sz="4" w:space="0" w:color="auto"/>
            </w:tcBorders>
            <w:shd w:val="clear" w:color="auto" w:fill="D9E2F3" w:themeFill="accent1" w:themeFillTint="33"/>
          </w:tcPr>
          <w:p w14:paraId="48C5CACE" w14:textId="3493CB67" w:rsidR="005C20AE" w:rsidRPr="00905A8C" w:rsidRDefault="005C20AE" w:rsidP="00F95069">
            <w:pPr>
              <w:rPr>
                <w:rFonts w:ascii="Arial Narrow" w:hAnsi="Arial Narrow" w:cs="Arial"/>
                <w:sz w:val="22"/>
                <w:szCs w:val="22"/>
              </w:rPr>
            </w:pPr>
          </w:p>
        </w:tc>
      </w:tr>
      <w:tr w:rsidR="00E81809" w:rsidRPr="00AC4247" w14:paraId="21339BD1" w14:textId="77777777" w:rsidTr="00290CD0">
        <w:trPr>
          <w:cantSplit/>
          <w:trHeight w:val="20"/>
          <w:jc w:val="center"/>
        </w:trPr>
        <w:tc>
          <w:tcPr>
            <w:tcW w:w="2997" w:type="dxa"/>
            <w:tcBorders>
              <w:left w:val="single" w:sz="4" w:space="0" w:color="auto"/>
            </w:tcBorders>
          </w:tcPr>
          <w:p w14:paraId="57F6E2CF" w14:textId="77777777" w:rsidR="00772863" w:rsidRPr="00AC4247" w:rsidRDefault="00772863" w:rsidP="00772863">
            <w:pPr>
              <w:rPr>
                <w:rFonts w:ascii="Arial Narrow" w:hAnsi="Arial Narrow" w:cs="Arial"/>
                <w:sz w:val="22"/>
                <w:szCs w:val="22"/>
              </w:rPr>
            </w:pPr>
            <w:r w:rsidRPr="00AC4247">
              <w:rPr>
                <w:rFonts w:ascii="Arial Narrow" w:hAnsi="Arial Narrow" w:cs="Arial"/>
                <w:sz w:val="22"/>
                <w:szCs w:val="22"/>
              </w:rPr>
              <w:t>0-17</w:t>
            </w:r>
          </w:p>
        </w:tc>
        <w:tc>
          <w:tcPr>
            <w:tcW w:w="792" w:type="dxa"/>
            <w:shd w:val="clear" w:color="auto" w:fill="auto"/>
          </w:tcPr>
          <w:p w14:paraId="3568101E"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448</w:t>
            </w:r>
          </w:p>
        </w:tc>
        <w:tc>
          <w:tcPr>
            <w:tcW w:w="777" w:type="dxa"/>
            <w:shd w:val="clear" w:color="auto" w:fill="auto"/>
          </w:tcPr>
          <w:p w14:paraId="743F1E78" w14:textId="77777777" w:rsidR="00772863" w:rsidRPr="00905A8C" w:rsidRDefault="00152935" w:rsidP="00772863">
            <w:pPr>
              <w:jc w:val="right"/>
              <w:rPr>
                <w:rFonts w:ascii="Arial Narrow" w:hAnsi="Arial Narrow" w:cs="Arial"/>
                <w:sz w:val="22"/>
                <w:szCs w:val="22"/>
              </w:rPr>
            </w:pPr>
            <w:r w:rsidRPr="00905A8C">
              <w:rPr>
                <w:rFonts w:ascii="Arial Narrow" w:hAnsi="Arial Narrow" w:cs="Arial"/>
                <w:sz w:val="22"/>
                <w:szCs w:val="22"/>
              </w:rPr>
              <w:t>3.7</w:t>
            </w:r>
            <w:r w:rsidR="00772863" w:rsidRPr="00905A8C">
              <w:rPr>
                <w:rFonts w:ascii="Arial Narrow" w:hAnsi="Arial Narrow" w:cs="Arial"/>
                <w:sz w:val="22"/>
                <w:szCs w:val="22"/>
              </w:rPr>
              <w:t>%</w:t>
            </w:r>
          </w:p>
        </w:tc>
        <w:tc>
          <w:tcPr>
            <w:tcW w:w="793" w:type="dxa"/>
            <w:shd w:val="clear" w:color="auto" w:fill="auto"/>
          </w:tcPr>
          <w:p w14:paraId="3480DE0D"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439</w:t>
            </w:r>
          </w:p>
        </w:tc>
        <w:tc>
          <w:tcPr>
            <w:tcW w:w="777" w:type="dxa"/>
            <w:shd w:val="clear" w:color="auto" w:fill="auto"/>
          </w:tcPr>
          <w:p w14:paraId="4ED36752" w14:textId="77777777" w:rsidR="00772863" w:rsidRPr="00905A8C" w:rsidRDefault="00A869C6" w:rsidP="00772863">
            <w:pPr>
              <w:jc w:val="right"/>
              <w:rPr>
                <w:rFonts w:ascii="Arial Narrow" w:hAnsi="Arial Narrow" w:cs="Arial"/>
                <w:sz w:val="22"/>
                <w:szCs w:val="22"/>
              </w:rPr>
            </w:pPr>
            <w:r w:rsidRPr="00905A8C">
              <w:rPr>
                <w:rFonts w:ascii="Arial Narrow" w:hAnsi="Arial Narrow" w:cs="Arial"/>
                <w:sz w:val="22"/>
                <w:szCs w:val="22"/>
              </w:rPr>
              <w:t>3.0</w:t>
            </w:r>
            <w:r w:rsidR="00772863" w:rsidRPr="00905A8C">
              <w:rPr>
                <w:rFonts w:ascii="Arial Narrow" w:hAnsi="Arial Narrow" w:cs="Arial"/>
                <w:sz w:val="22"/>
                <w:szCs w:val="22"/>
              </w:rPr>
              <w:t>%</w:t>
            </w:r>
          </w:p>
        </w:tc>
        <w:tc>
          <w:tcPr>
            <w:tcW w:w="792" w:type="dxa"/>
            <w:shd w:val="clear" w:color="auto" w:fill="auto"/>
          </w:tcPr>
          <w:p w14:paraId="1F2FA363"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456</w:t>
            </w:r>
          </w:p>
        </w:tc>
        <w:tc>
          <w:tcPr>
            <w:tcW w:w="778" w:type="dxa"/>
            <w:shd w:val="clear" w:color="auto" w:fill="auto"/>
          </w:tcPr>
          <w:p w14:paraId="019BC457" w14:textId="77777777" w:rsidR="00772863" w:rsidRPr="00905A8C" w:rsidRDefault="00BD3DB5" w:rsidP="00772863">
            <w:pPr>
              <w:jc w:val="right"/>
              <w:rPr>
                <w:rFonts w:ascii="Arial Narrow" w:hAnsi="Arial Narrow" w:cs="Arial"/>
                <w:sz w:val="22"/>
                <w:szCs w:val="22"/>
              </w:rPr>
            </w:pPr>
            <w:r w:rsidRPr="00905A8C">
              <w:rPr>
                <w:rFonts w:ascii="Arial Narrow" w:hAnsi="Arial Narrow" w:cs="Arial"/>
                <w:sz w:val="22"/>
                <w:szCs w:val="22"/>
              </w:rPr>
              <w:t>3.0</w:t>
            </w:r>
            <w:r w:rsidR="00772863" w:rsidRPr="00905A8C">
              <w:rPr>
                <w:rFonts w:ascii="Arial Narrow" w:hAnsi="Arial Narrow" w:cs="Arial"/>
                <w:sz w:val="22"/>
                <w:szCs w:val="22"/>
              </w:rPr>
              <w:t>%</w:t>
            </w:r>
          </w:p>
        </w:tc>
        <w:tc>
          <w:tcPr>
            <w:tcW w:w="780" w:type="dxa"/>
            <w:shd w:val="clear" w:color="auto" w:fill="auto"/>
          </w:tcPr>
          <w:p w14:paraId="4FC7F9FF"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27</w:t>
            </w:r>
            <w:r w:rsidR="001C75E6" w:rsidRPr="00905A8C">
              <w:rPr>
                <w:rFonts w:ascii="Arial Narrow" w:hAnsi="Arial Narrow" w:cs="Arial"/>
                <w:sz w:val="22"/>
                <w:szCs w:val="22"/>
              </w:rPr>
              <w:t>8</w:t>
            </w:r>
          </w:p>
        </w:tc>
        <w:tc>
          <w:tcPr>
            <w:tcW w:w="777" w:type="dxa"/>
            <w:tcBorders>
              <w:right w:val="single" w:sz="4" w:space="0" w:color="auto"/>
            </w:tcBorders>
            <w:shd w:val="clear" w:color="auto" w:fill="auto"/>
          </w:tcPr>
          <w:p w14:paraId="45CE94E9" w14:textId="77777777" w:rsidR="00772863" w:rsidRPr="00905A8C" w:rsidRDefault="00025308" w:rsidP="00772863">
            <w:pPr>
              <w:jc w:val="right"/>
              <w:rPr>
                <w:rFonts w:ascii="Arial Narrow" w:hAnsi="Arial Narrow" w:cs="Arial"/>
                <w:sz w:val="22"/>
                <w:szCs w:val="22"/>
              </w:rPr>
            </w:pPr>
            <w:r w:rsidRPr="00905A8C">
              <w:rPr>
                <w:rFonts w:ascii="Arial Narrow" w:hAnsi="Arial Narrow" w:cs="Arial"/>
                <w:sz w:val="22"/>
                <w:szCs w:val="22"/>
              </w:rPr>
              <w:t>3.1</w:t>
            </w:r>
            <w:r w:rsidR="00772863" w:rsidRPr="00905A8C">
              <w:rPr>
                <w:rFonts w:ascii="Arial Narrow" w:hAnsi="Arial Narrow" w:cs="Arial"/>
                <w:sz w:val="22"/>
                <w:szCs w:val="22"/>
              </w:rPr>
              <w:t>%</w:t>
            </w:r>
          </w:p>
        </w:tc>
      </w:tr>
      <w:tr w:rsidR="00E81809" w:rsidRPr="00AC4247" w14:paraId="14B3AD49" w14:textId="77777777" w:rsidTr="00290CD0">
        <w:trPr>
          <w:cantSplit/>
          <w:trHeight w:val="20"/>
          <w:jc w:val="center"/>
        </w:trPr>
        <w:tc>
          <w:tcPr>
            <w:tcW w:w="2997" w:type="dxa"/>
            <w:tcBorders>
              <w:left w:val="single" w:sz="4" w:space="0" w:color="auto"/>
            </w:tcBorders>
          </w:tcPr>
          <w:p w14:paraId="53ED6D5A" w14:textId="77777777" w:rsidR="00772863" w:rsidRPr="00AC4247" w:rsidRDefault="00772863" w:rsidP="00772863">
            <w:pPr>
              <w:rPr>
                <w:rFonts w:ascii="Arial Narrow" w:hAnsi="Arial Narrow" w:cs="Arial"/>
                <w:sz w:val="22"/>
                <w:szCs w:val="22"/>
              </w:rPr>
            </w:pPr>
            <w:r w:rsidRPr="00AC4247">
              <w:rPr>
                <w:rFonts w:ascii="Arial Narrow" w:hAnsi="Arial Narrow" w:cs="Arial"/>
                <w:sz w:val="22"/>
                <w:szCs w:val="22"/>
              </w:rPr>
              <w:t>18-64</w:t>
            </w:r>
          </w:p>
        </w:tc>
        <w:tc>
          <w:tcPr>
            <w:tcW w:w="792" w:type="dxa"/>
            <w:shd w:val="clear" w:color="auto" w:fill="auto"/>
          </w:tcPr>
          <w:p w14:paraId="5688FA06"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8,913</w:t>
            </w:r>
          </w:p>
        </w:tc>
        <w:tc>
          <w:tcPr>
            <w:tcW w:w="777" w:type="dxa"/>
            <w:shd w:val="clear" w:color="auto" w:fill="auto"/>
          </w:tcPr>
          <w:p w14:paraId="5FEC9A56" w14:textId="77777777" w:rsidR="00772863" w:rsidRPr="00905A8C" w:rsidRDefault="00152935" w:rsidP="00772863">
            <w:pPr>
              <w:jc w:val="right"/>
              <w:rPr>
                <w:rFonts w:ascii="Arial Narrow" w:hAnsi="Arial Narrow" w:cs="Arial"/>
                <w:sz w:val="22"/>
                <w:szCs w:val="22"/>
              </w:rPr>
            </w:pPr>
            <w:r w:rsidRPr="00905A8C">
              <w:rPr>
                <w:rFonts w:ascii="Arial Narrow" w:hAnsi="Arial Narrow" w:cs="Arial"/>
                <w:sz w:val="22"/>
                <w:szCs w:val="22"/>
              </w:rPr>
              <w:t>74.2</w:t>
            </w:r>
            <w:r w:rsidR="00772863" w:rsidRPr="00905A8C">
              <w:rPr>
                <w:rFonts w:ascii="Arial Narrow" w:hAnsi="Arial Narrow" w:cs="Arial"/>
                <w:sz w:val="22"/>
                <w:szCs w:val="22"/>
              </w:rPr>
              <w:t>%</w:t>
            </w:r>
          </w:p>
        </w:tc>
        <w:tc>
          <w:tcPr>
            <w:tcW w:w="793" w:type="dxa"/>
            <w:shd w:val="clear" w:color="auto" w:fill="auto"/>
          </w:tcPr>
          <w:p w14:paraId="12E9AD23"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11,079</w:t>
            </w:r>
          </w:p>
        </w:tc>
        <w:tc>
          <w:tcPr>
            <w:tcW w:w="777" w:type="dxa"/>
            <w:shd w:val="clear" w:color="auto" w:fill="auto"/>
          </w:tcPr>
          <w:p w14:paraId="29A3CDAA" w14:textId="77777777" w:rsidR="00772863" w:rsidRPr="00905A8C" w:rsidRDefault="00A869C6" w:rsidP="00772863">
            <w:pPr>
              <w:jc w:val="right"/>
              <w:rPr>
                <w:rFonts w:ascii="Arial Narrow" w:hAnsi="Arial Narrow" w:cs="Arial"/>
                <w:sz w:val="22"/>
                <w:szCs w:val="22"/>
              </w:rPr>
            </w:pPr>
            <w:r w:rsidRPr="00905A8C">
              <w:rPr>
                <w:rFonts w:ascii="Arial Narrow" w:hAnsi="Arial Narrow" w:cs="Arial"/>
                <w:sz w:val="22"/>
                <w:szCs w:val="22"/>
              </w:rPr>
              <w:t>74.8</w:t>
            </w:r>
            <w:r w:rsidR="00772863" w:rsidRPr="00905A8C">
              <w:rPr>
                <w:rFonts w:ascii="Arial Narrow" w:hAnsi="Arial Narrow" w:cs="Arial"/>
                <w:sz w:val="22"/>
                <w:szCs w:val="22"/>
              </w:rPr>
              <w:t>%</w:t>
            </w:r>
          </w:p>
        </w:tc>
        <w:tc>
          <w:tcPr>
            <w:tcW w:w="792" w:type="dxa"/>
            <w:shd w:val="clear" w:color="auto" w:fill="auto"/>
          </w:tcPr>
          <w:p w14:paraId="0C15C435"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11,20</w:t>
            </w:r>
            <w:r w:rsidR="00AE221C" w:rsidRPr="00905A8C">
              <w:rPr>
                <w:rFonts w:ascii="Arial Narrow" w:hAnsi="Arial Narrow" w:cs="Arial"/>
                <w:sz w:val="22"/>
                <w:szCs w:val="22"/>
              </w:rPr>
              <w:t>0</w:t>
            </w:r>
          </w:p>
        </w:tc>
        <w:tc>
          <w:tcPr>
            <w:tcW w:w="778" w:type="dxa"/>
            <w:shd w:val="clear" w:color="auto" w:fill="auto"/>
          </w:tcPr>
          <w:p w14:paraId="3A14E9BD" w14:textId="77777777" w:rsidR="00772863" w:rsidRPr="00905A8C" w:rsidRDefault="00AD4D89" w:rsidP="00772863">
            <w:pPr>
              <w:jc w:val="right"/>
              <w:rPr>
                <w:rFonts w:ascii="Arial Narrow" w:hAnsi="Arial Narrow" w:cs="Arial"/>
                <w:sz w:val="22"/>
                <w:szCs w:val="22"/>
              </w:rPr>
            </w:pPr>
            <w:r w:rsidRPr="00905A8C">
              <w:rPr>
                <w:rFonts w:ascii="Arial Narrow" w:hAnsi="Arial Narrow" w:cs="Arial"/>
                <w:sz w:val="22"/>
                <w:szCs w:val="22"/>
              </w:rPr>
              <w:t>72.</w:t>
            </w:r>
            <w:r w:rsidR="00BD3DB5" w:rsidRPr="00905A8C">
              <w:rPr>
                <w:rFonts w:ascii="Arial Narrow" w:hAnsi="Arial Narrow" w:cs="Arial"/>
                <w:sz w:val="22"/>
                <w:szCs w:val="22"/>
              </w:rPr>
              <w:t>5</w:t>
            </w:r>
            <w:r w:rsidR="00772863" w:rsidRPr="00905A8C">
              <w:rPr>
                <w:rFonts w:ascii="Arial Narrow" w:hAnsi="Arial Narrow" w:cs="Arial"/>
                <w:sz w:val="22"/>
                <w:szCs w:val="22"/>
              </w:rPr>
              <w:t>%</w:t>
            </w:r>
          </w:p>
        </w:tc>
        <w:tc>
          <w:tcPr>
            <w:tcW w:w="780" w:type="dxa"/>
            <w:shd w:val="clear" w:color="auto" w:fill="auto"/>
          </w:tcPr>
          <w:p w14:paraId="4F57D23F"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6,59</w:t>
            </w:r>
            <w:r w:rsidR="001C75E6" w:rsidRPr="00905A8C">
              <w:rPr>
                <w:rFonts w:ascii="Arial Narrow" w:hAnsi="Arial Narrow" w:cs="Arial"/>
                <w:sz w:val="22"/>
                <w:szCs w:val="22"/>
              </w:rPr>
              <w:t>4</w:t>
            </w:r>
          </w:p>
        </w:tc>
        <w:tc>
          <w:tcPr>
            <w:tcW w:w="777" w:type="dxa"/>
            <w:tcBorders>
              <w:right w:val="single" w:sz="4" w:space="0" w:color="auto"/>
            </w:tcBorders>
            <w:shd w:val="clear" w:color="auto" w:fill="auto"/>
          </w:tcPr>
          <w:p w14:paraId="7729ABE0" w14:textId="77777777" w:rsidR="00772863" w:rsidRPr="00905A8C" w:rsidRDefault="00025308" w:rsidP="00772863">
            <w:pPr>
              <w:jc w:val="right"/>
              <w:rPr>
                <w:rFonts w:ascii="Arial Narrow" w:hAnsi="Arial Narrow" w:cs="Arial"/>
                <w:sz w:val="22"/>
                <w:szCs w:val="22"/>
              </w:rPr>
            </w:pPr>
            <w:r w:rsidRPr="00905A8C">
              <w:rPr>
                <w:rFonts w:ascii="Arial Narrow" w:hAnsi="Arial Narrow" w:cs="Arial"/>
                <w:sz w:val="22"/>
                <w:szCs w:val="22"/>
              </w:rPr>
              <w:t>73.3</w:t>
            </w:r>
            <w:r w:rsidR="00772863" w:rsidRPr="00905A8C">
              <w:rPr>
                <w:rFonts w:ascii="Arial Narrow" w:hAnsi="Arial Narrow" w:cs="Arial"/>
                <w:sz w:val="22"/>
                <w:szCs w:val="22"/>
              </w:rPr>
              <w:t>%</w:t>
            </w:r>
          </w:p>
        </w:tc>
      </w:tr>
      <w:tr w:rsidR="00E81809" w:rsidRPr="00AC4247" w14:paraId="3FF78E53" w14:textId="77777777" w:rsidTr="00290CD0">
        <w:trPr>
          <w:cantSplit/>
          <w:trHeight w:val="20"/>
          <w:jc w:val="center"/>
        </w:trPr>
        <w:tc>
          <w:tcPr>
            <w:tcW w:w="2997" w:type="dxa"/>
            <w:tcBorders>
              <w:left w:val="single" w:sz="4" w:space="0" w:color="auto"/>
            </w:tcBorders>
          </w:tcPr>
          <w:p w14:paraId="4C0B7534" w14:textId="77777777" w:rsidR="00772863" w:rsidRPr="009B55C2" w:rsidRDefault="00772863" w:rsidP="00772863">
            <w:pPr>
              <w:rPr>
                <w:rFonts w:ascii="Arial Narrow" w:hAnsi="Arial Narrow" w:cs="Arial"/>
                <w:sz w:val="22"/>
                <w:szCs w:val="22"/>
              </w:rPr>
            </w:pPr>
            <w:r w:rsidRPr="009B55C2">
              <w:rPr>
                <w:rFonts w:ascii="Arial Narrow" w:hAnsi="Arial Narrow" w:cs="Arial"/>
                <w:sz w:val="22"/>
                <w:szCs w:val="22"/>
              </w:rPr>
              <w:t>65+</w:t>
            </w:r>
            <w:r w:rsidR="009B55C2" w:rsidRPr="009B55C2">
              <w:rPr>
                <w:rFonts w:ascii="Arial Narrow" w:hAnsi="Arial Narrow" w:cs="Arial"/>
                <w:sz w:val="22"/>
                <w:szCs w:val="22"/>
              </w:rPr>
              <w:t>/Unknown</w:t>
            </w:r>
            <w:r w:rsidR="009B55C2" w:rsidRPr="009B55C2">
              <w:rPr>
                <w:rStyle w:val="FootnoteReference"/>
                <w:rFonts w:ascii="Arial Narrow" w:hAnsi="Arial Narrow" w:cs="Arial"/>
                <w:sz w:val="22"/>
                <w:szCs w:val="22"/>
              </w:rPr>
              <w:footnoteReference w:id="16"/>
            </w:r>
          </w:p>
        </w:tc>
        <w:tc>
          <w:tcPr>
            <w:tcW w:w="792" w:type="dxa"/>
            <w:tcBorders>
              <w:bottom w:val="single" w:sz="4" w:space="0" w:color="auto"/>
            </w:tcBorders>
            <w:shd w:val="clear" w:color="auto" w:fill="auto"/>
          </w:tcPr>
          <w:p w14:paraId="6E9C21C2"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2,659</w:t>
            </w:r>
          </w:p>
        </w:tc>
        <w:tc>
          <w:tcPr>
            <w:tcW w:w="777" w:type="dxa"/>
            <w:tcBorders>
              <w:bottom w:val="single" w:sz="4" w:space="0" w:color="auto"/>
            </w:tcBorders>
            <w:shd w:val="clear" w:color="auto" w:fill="auto"/>
          </w:tcPr>
          <w:p w14:paraId="76C7EF75" w14:textId="77777777" w:rsidR="00772863" w:rsidRPr="00905A8C" w:rsidRDefault="00152935" w:rsidP="00772863">
            <w:pPr>
              <w:jc w:val="right"/>
              <w:rPr>
                <w:rFonts w:ascii="Arial Narrow" w:hAnsi="Arial Narrow" w:cs="Arial"/>
                <w:sz w:val="22"/>
                <w:szCs w:val="22"/>
              </w:rPr>
            </w:pPr>
            <w:r w:rsidRPr="00905A8C">
              <w:rPr>
                <w:rFonts w:ascii="Arial Narrow" w:hAnsi="Arial Narrow" w:cs="Arial"/>
                <w:sz w:val="22"/>
                <w:szCs w:val="22"/>
              </w:rPr>
              <w:t>22.1</w:t>
            </w:r>
            <w:r w:rsidR="00772863" w:rsidRPr="00905A8C">
              <w:rPr>
                <w:rFonts w:ascii="Arial Narrow" w:hAnsi="Arial Narrow" w:cs="Arial"/>
                <w:sz w:val="22"/>
                <w:szCs w:val="22"/>
              </w:rPr>
              <w:t>%</w:t>
            </w:r>
          </w:p>
        </w:tc>
        <w:tc>
          <w:tcPr>
            <w:tcW w:w="793" w:type="dxa"/>
            <w:tcBorders>
              <w:bottom w:val="single" w:sz="4" w:space="0" w:color="auto"/>
            </w:tcBorders>
            <w:shd w:val="clear" w:color="auto" w:fill="auto"/>
          </w:tcPr>
          <w:p w14:paraId="6F3A4F91"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3,299</w:t>
            </w:r>
          </w:p>
        </w:tc>
        <w:tc>
          <w:tcPr>
            <w:tcW w:w="777" w:type="dxa"/>
            <w:tcBorders>
              <w:bottom w:val="single" w:sz="4" w:space="0" w:color="auto"/>
            </w:tcBorders>
            <w:shd w:val="clear" w:color="auto" w:fill="auto"/>
          </w:tcPr>
          <w:p w14:paraId="2B0B5574" w14:textId="77777777" w:rsidR="00772863" w:rsidRPr="00905A8C" w:rsidRDefault="00A869C6" w:rsidP="00772863">
            <w:pPr>
              <w:jc w:val="right"/>
              <w:rPr>
                <w:rFonts w:ascii="Arial Narrow" w:hAnsi="Arial Narrow" w:cs="Arial"/>
                <w:sz w:val="22"/>
                <w:szCs w:val="22"/>
              </w:rPr>
            </w:pPr>
            <w:r w:rsidRPr="00905A8C">
              <w:rPr>
                <w:rFonts w:ascii="Arial Narrow" w:hAnsi="Arial Narrow" w:cs="Arial"/>
                <w:sz w:val="22"/>
                <w:szCs w:val="22"/>
              </w:rPr>
              <w:t>22.3</w:t>
            </w:r>
            <w:r w:rsidR="00772863" w:rsidRPr="00905A8C">
              <w:rPr>
                <w:rFonts w:ascii="Arial Narrow" w:hAnsi="Arial Narrow" w:cs="Arial"/>
                <w:sz w:val="22"/>
                <w:szCs w:val="22"/>
              </w:rPr>
              <w:t>%</w:t>
            </w:r>
          </w:p>
        </w:tc>
        <w:tc>
          <w:tcPr>
            <w:tcW w:w="792" w:type="dxa"/>
            <w:tcBorders>
              <w:bottom w:val="single" w:sz="4" w:space="0" w:color="auto"/>
            </w:tcBorders>
            <w:shd w:val="clear" w:color="auto" w:fill="auto"/>
          </w:tcPr>
          <w:p w14:paraId="6CDA0CA5"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3,</w:t>
            </w:r>
            <w:r w:rsidR="00905A8C">
              <w:rPr>
                <w:rFonts w:ascii="Arial Narrow" w:hAnsi="Arial Narrow" w:cs="Arial"/>
                <w:sz w:val="22"/>
                <w:szCs w:val="22"/>
              </w:rPr>
              <w:t>793</w:t>
            </w:r>
          </w:p>
        </w:tc>
        <w:tc>
          <w:tcPr>
            <w:tcW w:w="778" w:type="dxa"/>
            <w:tcBorders>
              <w:bottom w:val="single" w:sz="4" w:space="0" w:color="auto"/>
            </w:tcBorders>
            <w:shd w:val="clear" w:color="auto" w:fill="auto"/>
          </w:tcPr>
          <w:p w14:paraId="0423F70D" w14:textId="77777777" w:rsidR="00772863" w:rsidRPr="00905A8C" w:rsidRDefault="00AD4D89" w:rsidP="00772863">
            <w:pPr>
              <w:jc w:val="right"/>
              <w:rPr>
                <w:rFonts w:ascii="Arial Narrow" w:hAnsi="Arial Narrow" w:cs="Arial"/>
                <w:sz w:val="22"/>
                <w:szCs w:val="22"/>
              </w:rPr>
            </w:pPr>
            <w:r w:rsidRPr="00905A8C">
              <w:rPr>
                <w:rFonts w:ascii="Arial Narrow" w:hAnsi="Arial Narrow" w:cs="Arial"/>
                <w:sz w:val="22"/>
                <w:szCs w:val="22"/>
              </w:rPr>
              <w:t>2</w:t>
            </w:r>
            <w:r w:rsidR="00AF21CE">
              <w:rPr>
                <w:rFonts w:ascii="Arial Narrow" w:hAnsi="Arial Narrow" w:cs="Arial"/>
                <w:sz w:val="22"/>
                <w:szCs w:val="22"/>
              </w:rPr>
              <w:t>4.5</w:t>
            </w:r>
            <w:r w:rsidR="00772863" w:rsidRPr="00905A8C">
              <w:rPr>
                <w:rFonts w:ascii="Arial Narrow" w:hAnsi="Arial Narrow" w:cs="Arial"/>
                <w:sz w:val="22"/>
                <w:szCs w:val="22"/>
              </w:rPr>
              <w:t>%</w:t>
            </w:r>
          </w:p>
        </w:tc>
        <w:tc>
          <w:tcPr>
            <w:tcW w:w="780" w:type="dxa"/>
            <w:tcBorders>
              <w:bottom w:val="single" w:sz="4" w:space="0" w:color="auto"/>
            </w:tcBorders>
            <w:shd w:val="clear" w:color="auto" w:fill="auto"/>
          </w:tcPr>
          <w:p w14:paraId="72C970C8" w14:textId="77777777" w:rsidR="00772863" w:rsidRPr="00905A8C" w:rsidRDefault="00772863" w:rsidP="00772863">
            <w:pPr>
              <w:jc w:val="right"/>
              <w:rPr>
                <w:rFonts w:ascii="Arial Narrow" w:hAnsi="Arial Narrow" w:cs="Arial"/>
                <w:sz w:val="22"/>
                <w:szCs w:val="22"/>
              </w:rPr>
            </w:pPr>
            <w:r w:rsidRPr="00905A8C">
              <w:rPr>
                <w:rFonts w:ascii="Arial Narrow" w:hAnsi="Arial Narrow" w:cs="Arial"/>
                <w:sz w:val="22"/>
                <w:szCs w:val="22"/>
              </w:rPr>
              <w:t>2,1</w:t>
            </w:r>
            <w:r w:rsidR="00905A8C" w:rsidRPr="00905A8C">
              <w:rPr>
                <w:rFonts w:ascii="Arial Narrow" w:hAnsi="Arial Narrow" w:cs="Arial"/>
                <w:sz w:val="22"/>
                <w:szCs w:val="22"/>
              </w:rPr>
              <w:t>1</w:t>
            </w:r>
            <w:r w:rsidR="00905A8C">
              <w:rPr>
                <w:rFonts w:ascii="Arial Narrow" w:hAnsi="Arial Narrow" w:cs="Arial"/>
                <w:sz w:val="22"/>
                <w:szCs w:val="22"/>
              </w:rPr>
              <w:t>9</w:t>
            </w:r>
          </w:p>
        </w:tc>
        <w:tc>
          <w:tcPr>
            <w:tcW w:w="777" w:type="dxa"/>
            <w:tcBorders>
              <w:bottom w:val="single" w:sz="4" w:space="0" w:color="auto"/>
              <w:right w:val="single" w:sz="4" w:space="0" w:color="auto"/>
            </w:tcBorders>
            <w:shd w:val="clear" w:color="auto" w:fill="auto"/>
          </w:tcPr>
          <w:p w14:paraId="34F8984D" w14:textId="77777777" w:rsidR="00772863" w:rsidRPr="00905A8C" w:rsidRDefault="00025308" w:rsidP="00772863">
            <w:pPr>
              <w:jc w:val="right"/>
              <w:rPr>
                <w:rFonts w:ascii="Arial Narrow" w:hAnsi="Arial Narrow" w:cs="Arial"/>
                <w:sz w:val="22"/>
                <w:szCs w:val="22"/>
              </w:rPr>
            </w:pPr>
            <w:r w:rsidRPr="00905A8C">
              <w:rPr>
                <w:rFonts w:ascii="Arial Narrow" w:hAnsi="Arial Narrow" w:cs="Arial"/>
                <w:sz w:val="22"/>
                <w:szCs w:val="22"/>
              </w:rPr>
              <w:t>2</w:t>
            </w:r>
            <w:r w:rsidR="00AF21CE">
              <w:rPr>
                <w:rFonts w:ascii="Arial Narrow" w:hAnsi="Arial Narrow" w:cs="Arial"/>
                <w:sz w:val="22"/>
                <w:szCs w:val="22"/>
              </w:rPr>
              <w:t>3.6</w:t>
            </w:r>
            <w:r w:rsidR="00772863" w:rsidRPr="00905A8C">
              <w:rPr>
                <w:rFonts w:ascii="Arial Narrow" w:hAnsi="Arial Narrow" w:cs="Arial"/>
                <w:sz w:val="22"/>
                <w:szCs w:val="22"/>
              </w:rPr>
              <w:t>%</w:t>
            </w:r>
          </w:p>
        </w:tc>
      </w:tr>
      <w:tr w:rsidR="00290CD0" w:rsidRPr="00AC4247" w14:paraId="23F3FEDE" w14:textId="77777777" w:rsidTr="00290CD0">
        <w:trPr>
          <w:cantSplit/>
          <w:trHeight w:val="20"/>
          <w:jc w:val="center"/>
        </w:trPr>
        <w:tc>
          <w:tcPr>
            <w:tcW w:w="2997" w:type="dxa"/>
            <w:tcBorders>
              <w:left w:val="single" w:sz="4" w:space="0" w:color="auto"/>
              <w:right w:val="nil"/>
            </w:tcBorders>
            <w:shd w:val="clear" w:color="auto" w:fill="D9E2F3" w:themeFill="accent1" w:themeFillTint="33"/>
          </w:tcPr>
          <w:p w14:paraId="44AB40D6" w14:textId="77777777" w:rsidR="00290CD0" w:rsidRPr="00AC4247" w:rsidRDefault="00290CD0" w:rsidP="00290CD0">
            <w:pPr>
              <w:rPr>
                <w:rFonts w:ascii="Arial Narrow" w:hAnsi="Arial Narrow" w:cs="Arial"/>
                <w:b/>
                <w:bCs/>
                <w:sz w:val="22"/>
                <w:szCs w:val="22"/>
              </w:rPr>
            </w:pPr>
            <w:r w:rsidRPr="00AC4247">
              <w:rPr>
                <w:rFonts w:ascii="Arial Narrow" w:hAnsi="Arial Narrow" w:cs="Arial"/>
                <w:b/>
                <w:bCs/>
                <w:sz w:val="22"/>
                <w:szCs w:val="22"/>
              </w:rPr>
              <w:t>Race/Ethnicity</w:t>
            </w:r>
            <w:r w:rsidRPr="00AC4247">
              <w:rPr>
                <w:rStyle w:val="FootnoteReference"/>
                <w:rFonts w:ascii="Arial Narrow" w:hAnsi="Arial Narrow" w:cs="Arial"/>
                <w:b/>
                <w:bCs/>
                <w:sz w:val="22"/>
                <w:szCs w:val="22"/>
              </w:rPr>
              <w:footnoteReference w:id="17"/>
            </w:r>
          </w:p>
        </w:tc>
        <w:tc>
          <w:tcPr>
            <w:tcW w:w="792" w:type="dxa"/>
            <w:tcBorders>
              <w:left w:val="nil"/>
              <w:right w:val="nil"/>
            </w:tcBorders>
            <w:shd w:val="clear" w:color="auto" w:fill="D9E2F3" w:themeFill="accent1" w:themeFillTint="33"/>
          </w:tcPr>
          <w:p w14:paraId="78E32236" w14:textId="55D75D0B"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77" w:type="dxa"/>
            <w:tcBorders>
              <w:left w:val="nil"/>
              <w:right w:val="nil"/>
            </w:tcBorders>
            <w:shd w:val="clear" w:color="auto" w:fill="D9E2F3" w:themeFill="accent1" w:themeFillTint="33"/>
          </w:tcPr>
          <w:p w14:paraId="3CA474F8" w14:textId="42195606"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93" w:type="dxa"/>
            <w:tcBorders>
              <w:left w:val="nil"/>
              <w:right w:val="nil"/>
            </w:tcBorders>
            <w:shd w:val="clear" w:color="auto" w:fill="D9E2F3" w:themeFill="accent1" w:themeFillTint="33"/>
          </w:tcPr>
          <w:p w14:paraId="0C28119C" w14:textId="6105F4A7"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77" w:type="dxa"/>
            <w:tcBorders>
              <w:left w:val="nil"/>
              <w:right w:val="nil"/>
            </w:tcBorders>
            <w:shd w:val="clear" w:color="auto" w:fill="D9E2F3" w:themeFill="accent1" w:themeFillTint="33"/>
          </w:tcPr>
          <w:p w14:paraId="78383408" w14:textId="3C8787A8"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92" w:type="dxa"/>
            <w:tcBorders>
              <w:left w:val="nil"/>
              <w:right w:val="nil"/>
            </w:tcBorders>
            <w:shd w:val="clear" w:color="auto" w:fill="D9E2F3" w:themeFill="accent1" w:themeFillTint="33"/>
          </w:tcPr>
          <w:p w14:paraId="1F31171C" w14:textId="366BFB78"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78" w:type="dxa"/>
            <w:tcBorders>
              <w:left w:val="nil"/>
              <w:right w:val="nil"/>
            </w:tcBorders>
            <w:shd w:val="clear" w:color="auto" w:fill="D9E2F3" w:themeFill="accent1" w:themeFillTint="33"/>
          </w:tcPr>
          <w:p w14:paraId="39505EEB" w14:textId="679AF05A"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80" w:type="dxa"/>
            <w:tcBorders>
              <w:left w:val="nil"/>
              <w:right w:val="nil"/>
            </w:tcBorders>
            <w:shd w:val="clear" w:color="auto" w:fill="D9E2F3" w:themeFill="accent1" w:themeFillTint="33"/>
          </w:tcPr>
          <w:p w14:paraId="5B563DBA" w14:textId="3E038AA8"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c>
          <w:tcPr>
            <w:tcW w:w="777" w:type="dxa"/>
            <w:tcBorders>
              <w:left w:val="nil"/>
              <w:right w:val="single" w:sz="4" w:space="0" w:color="auto"/>
            </w:tcBorders>
            <w:shd w:val="clear" w:color="auto" w:fill="D9E2F3" w:themeFill="accent1" w:themeFillTint="33"/>
          </w:tcPr>
          <w:p w14:paraId="171BE384" w14:textId="28EB2055" w:rsidR="00290CD0" w:rsidRPr="00AC4247" w:rsidRDefault="00290CD0" w:rsidP="00290CD0">
            <w:pPr>
              <w:rPr>
                <w:rFonts w:ascii="Arial Narrow" w:hAnsi="Arial Narrow" w:cs="Arial"/>
                <w:b/>
                <w:bCs/>
                <w:sz w:val="22"/>
                <w:szCs w:val="22"/>
              </w:rPr>
            </w:pPr>
            <w:r w:rsidRPr="00E3140A">
              <w:rPr>
                <w:rFonts w:ascii="Arial Narrow" w:hAnsi="Arial Narrow" w:cs="Arial"/>
                <w:color w:val="D9E2F3"/>
                <w:sz w:val="22"/>
                <w:szCs w:val="22"/>
              </w:rPr>
              <w:t>blank</w:t>
            </w:r>
          </w:p>
        </w:tc>
      </w:tr>
      <w:tr w:rsidR="00E81809" w:rsidRPr="00AC4247" w14:paraId="2CB82B2D" w14:textId="77777777" w:rsidTr="00290CD0">
        <w:trPr>
          <w:cantSplit/>
          <w:trHeight w:val="20"/>
          <w:jc w:val="center"/>
        </w:trPr>
        <w:tc>
          <w:tcPr>
            <w:tcW w:w="2997" w:type="dxa"/>
            <w:tcBorders>
              <w:left w:val="single" w:sz="4" w:space="0" w:color="auto"/>
            </w:tcBorders>
          </w:tcPr>
          <w:p w14:paraId="6285622A" w14:textId="77777777" w:rsidR="00BB5A55" w:rsidRPr="00AC4247" w:rsidRDefault="00BB5A55" w:rsidP="00BB5A55">
            <w:pPr>
              <w:rPr>
                <w:rFonts w:ascii="Arial Narrow" w:hAnsi="Arial Narrow" w:cs="Arial"/>
                <w:sz w:val="22"/>
                <w:szCs w:val="22"/>
              </w:rPr>
            </w:pPr>
            <w:r w:rsidRPr="00AC4247">
              <w:rPr>
                <w:rFonts w:ascii="Arial Narrow" w:hAnsi="Arial Narrow" w:cs="Arial"/>
                <w:sz w:val="22"/>
                <w:szCs w:val="22"/>
              </w:rPr>
              <w:t>American Indian/Alaska Native</w:t>
            </w:r>
          </w:p>
        </w:tc>
        <w:tc>
          <w:tcPr>
            <w:tcW w:w="792" w:type="dxa"/>
            <w:shd w:val="clear" w:color="auto" w:fill="auto"/>
          </w:tcPr>
          <w:p w14:paraId="3213C518"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45</w:t>
            </w:r>
          </w:p>
        </w:tc>
        <w:tc>
          <w:tcPr>
            <w:tcW w:w="777" w:type="dxa"/>
            <w:shd w:val="clear" w:color="auto" w:fill="auto"/>
          </w:tcPr>
          <w:p w14:paraId="3B7CE969"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0.4%</w:t>
            </w:r>
          </w:p>
        </w:tc>
        <w:tc>
          <w:tcPr>
            <w:tcW w:w="793" w:type="dxa"/>
            <w:shd w:val="clear" w:color="auto" w:fill="auto"/>
          </w:tcPr>
          <w:p w14:paraId="421323C2"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58</w:t>
            </w:r>
          </w:p>
        </w:tc>
        <w:tc>
          <w:tcPr>
            <w:tcW w:w="777" w:type="dxa"/>
            <w:shd w:val="clear" w:color="auto" w:fill="auto"/>
          </w:tcPr>
          <w:p w14:paraId="734F8F4F"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0.4</w:t>
            </w:r>
            <w:r w:rsidRPr="00AD7AAB">
              <w:rPr>
                <w:rFonts w:ascii="Arial Narrow" w:hAnsi="Arial Narrow" w:cs="Arial"/>
                <w:sz w:val="22"/>
                <w:szCs w:val="22"/>
              </w:rPr>
              <w:t>%</w:t>
            </w:r>
          </w:p>
        </w:tc>
        <w:tc>
          <w:tcPr>
            <w:tcW w:w="792" w:type="dxa"/>
            <w:shd w:val="clear" w:color="auto" w:fill="auto"/>
          </w:tcPr>
          <w:p w14:paraId="4E39AEA1"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53</w:t>
            </w:r>
          </w:p>
        </w:tc>
        <w:tc>
          <w:tcPr>
            <w:tcW w:w="778" w:type="dxa"/>
            <w:shd w:val="clear" w:color="auto" w:fill="auto"/>
          </w:tcPr>
          <w:p w14:paraId="15ED23BE"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0.3</w:t>
            </w:r>
            <w:r w:rsidRPr="00456B0A">
              <w:rPr>
                <w:rFonts w:ascii="Arial Narrow" w:hAnsi="Arial Narrow" w:cs="Arial"/>
                <w:sz w:val="22"/>
                <w:szCs w:val="22"/>
              </w:rPr>
              <w:t>%</w:t>
            </w:r>
          </w:p>
        </w:tc>
        <w:tc>
          <w:tcPr>
            <w:tcW w:w="780" w:type="dxa"/>
            <w:shd w:val="clear" w:color="auto" w:fill="auto"/>
          </w:tcPr>
          <w:p w14:paraId="4580EDEA" w14:textId="77777777" w:rsidR="00C12D55" w:rsidRPr="00AC4247" w:rsidRDefault="00C12D55" w:rsidP="00C12D55">
            <w:pPr>
              <w:jc w:val="right"/>
              <w:rPr>
                <w:rFonts w:ascii="Arial Narrow" w:hAnsi="Arial Narrow" w:cs="Arial"/>
                <w:sz w:val="22"/>
                <w:szCs w:val="22"/>
              </w:rPr>
            </w:pPr>
            <w:r>
              <w:rPr>
                <w:rFonts w:ascii="Arial Narrow" w:hAnsi="Arial Narrow" w:cs="Arial"/>
                <w:sz w:val="22"/>
                <w:szCs w:val="22"/>
              </w:rPr>
              <w:t>34</w:t>
            </w:r>
          </w:p>
        </w:tc>
        <w:tc>
          <w:tcPr>
            <w:tcW w:w="777" w:type="dxa"/>
            <w:tcBorders>
              <w:right w:val="single" w:sz="4" w:space="0" w:color="auto"/>
            </w:tcBorders>
            <w:shd w:val="clear" w:color="auto" w:fill="auto"/>
          </w:tcPr>
          <w:p w14:paraId="7E340531"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0.4</w:t>
            </w:r>
            <w:r w:rsidR="00BB5A55" w:rsidRPr="00676458">
              <w:rPr>
                <w:rFonts w:ascii="Arial Narrow" w:hAnsi="Arial Narrow" w:cs="Arial"/>
                <w:sz w:val="22"/>
                <w:szCs w:val="22"/>
              </w:rPr>
              <w:t>%</w:t>
            </w:r>
          </w:p>
        </w:tc>
      </w:tr>
      <w:tr w:rsidR="00E81809" w:rsidRPr="00AC4247" w14:paraId="0381246E" w14:textId="77777777" w:rsidTr="00290CD0">
        <w:trPr>
          <w:cantSplit/>
          <w:trHeight w:val="20"/>
          <w:jc w:val="center"/>
        </w:trPr>
        <w:tc>
          <w:tcPr>
            <w:tcW w:w="2997" w:type="dxa"/>
            <w:tcBorders>
              <w:left w:val="single" w:sz="4" w:space="0" w:color="auto"/>
            </w:tcBorders>
          </w:tcPr>
          <w:p w14:paraId="305D3949" w14:textId="77777777" w:rsidR="00BB5A55" w:rsidRPr="00AC4247" w:rsidRDefault="00BB5A55" w:rsidP="00BB5A55">
            <w:pPr>
              <w:rPr>
                <w:rFonts w:ascii="Arial Narrow" w:hAnsi="Arial Narrow" w:cs="Arial"/>
                <w:sz w:val="22"/>
                <w:szCs w:val="22"/>
              </w:rPr>
            </w:pPr>
            <w:r w:rsidRPr="00AC4247">
              <w:rPr>
                <w:rFonts w:ascii="Arial Narrow" w:hAnsi="Arial Narrow" w:cs="Arial"/>
                <w:sz w:val="22"/>
                <w:szCs w:val="22"/>
              </w:rPr>
              <w:t>Asian</w:t>
            </w:r>
          </w:p>
        </w:tc>
        <w:tc>
          <w:tcPr>
            <w:tcW w:w="792" w:type="dxa"/>
            <w:shd w:val="clear" w:color="auto" w:fill="auto"/>
          </w:tcPr>
          <w:p w14:paraId="036B7A7E"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423</w:t>
            </w:r>
          </w:p>
        </w:tc>
        <w:tc>
          <w:tcPr>
            <w:tcW w:w="777" w:type="dxa"/>
            <w:shd w:val="clear" w:color="auto" w:fill="auto"/>
          </w:tcPr>
          <w:p w14:paraId="4D46E680"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3.5%</w:t>
            </w:r>
          </w:p>
        </w:tc>
        <w:tc>
          <w:tcPr>
            <w:tcW w:w="793" w:type="dxa"/>
            <w:shd w:val="clear" w:color="auto" w:fill="auto"/>
          </w:tcPr>
          <w:p w14:paraId="34059537"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582</w:t>
            </w:r>
          </w:p>
        </w:tc>
        <w:tc>
          <w:tcPr>
            <w:tcW w:w="777" w:type="dxa"/>
            <w:shd w:val="clear" w:color="auto" w:fill="auto"/>
          </w:tcPr>
          <w:p w14:paraId="553A3B37"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3.9</w:t>
            </w:r>
            <w:r w:rsidRPr="00AD7AAB">
              <w:rPr>
                <w:rFonts w:ascii="Arial Narrow" w:hAnsi="Arial Narrow" w:cs="Arial"/>
                <w:sz w:val="22"/>
                <w:szCs w:val="22"/>
              </w:rPr>
              <w:t>%</w:t>
            </w:r>
          </w:p>
        </w:tc>
        <w:tc>
          <w:tcPr>
            <w:tcW w:w="792" w:type="dxa"/>
            <w:shd w:val="clear" w:color="auto" w:fill="auto"/>
          </w:tcPr>
          <w:p w14:paraId="35FE9DD3"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677</w:t>
            </w:r>
          </w:p>
        </w:tc>
        <w:tc>
          <w:tcPr>
            <w:tcW w:w="778" w:type="dxa"/>
            <w:shd w:val="clear" w:color="auto" w:fill="auto"/>
          </w:tcPr>
          <w:p w14:paraId="03F97043"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4.4</w:t>
            </w:r>
            <w:r w:rsidRPr="00456B0A">
              <w:rPr>
                <w:rFonts w:ascii="Arial Narrow" w:hAnsi="Arial Narrow" w:cs="Arial"/>
                <w:sz w:val="22"/>
                <w:szCs w:val="22"/>
              </w:rPr>
              <w:t>%</w:t>
            </w:r>
          </w:p>
        </w:tc>
        <w:tc>
          <w:tcPr>
            <w:tcW w:w="780" w:type="dxa"/>
            <w:shd w:val="clear" w:color="auto" w:fill="auto"/>
          </w:tcPr>
          <w:p w14:paraId="13546E31"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39</w:t>
            </w:r>
            <w:r w:rsidR="00301851">
              <w:rPr>
                <w:rFonts w:ascii="Arial Narrow" w:hAnsi="Arial Narrow" w:cs="Arial"/>
                <w:sz w:val="22"/>
                <w:szCs w:val="22"/>
              </w:rPr>
              <w:t>4</w:t>
            </w:r>
          </w:p>
        </w:tc>
        <w:tc>
          <w:tcPr>
            <w:tcW w:w="777" w:type="dxa"/>
            <w:tcBorders>
              <w:right w:val="single" w:sz="4" w:space="0" w:color="auto"/>
            </w:tcBorders>
            <w:shd w:val="clear" w:color="auto" w:fill="auto"/>
          </w:tcPr>
          <w:p w14:paraId="29141BF4"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4.4</w:t>
            </w:r>
            <w:r w:rsidR="00BB5A55" w:rsidRPr="00676458">
              <w:rPr>
                <w:rFonts w:ascii="Arial Narrow" w:hAnsi="Arial Narrow" w:cs="Arial"/>
                <w:sz w:val="22"/>
                <w:szCs w:val="22"/>
              </w:rPr>
              <w:t>%</w:t>
            </w:r>
          </w:p>
        </w:tc>
      </w:tr>
      <w:tr w:rsidR="00E81809" w:rsidRPr="00AC4247" w14:paraId="7CDEEC8E" w14:textId="77777777" w:rsidTr="00290CD0">
        <w:trPr>
          <w:cantSplit/>
          <w:trHeight w:val="20"/>
          <w:jc w:val="center"/>
        </w:trPr>
        <w:tc>
          <w:tcPr>
            <w:tcW w:w="2997" w:type="dxa"/>
            <w:tcBorders>
              <w:left w:val="single" w:sz="4" w:space="0" w:color="auto"/>
            </w:tcBorders>
          </w:tcPr>
          <w:p w14:paraId="0C5F39B3" w14:textId="77777777" w:rsidR="00BB5A55" w:rsidRPr="00AC4247" w:rsidRDefault="00BB5A55" w:rsidP="00BB5A55">
            <w:pPr>
              <w:rPr>
                <w:rFonts w:ascii="Arial Narrow" w:hAnsi="Arial Narrow" w:cs="Arial"/>
                <w:sz w:val="22"/>
                <w:szCs w:val="22"/>
              </w:rPr>
            </w:pPr>
            <w:r w:rsidRPr="00AC4247">
              <w:rPr>
                <w:rFonts w:ascii="Arial Narrow" w:hAnsi="Arial Narrow" w:cs="Arial"/>
                <w:sz w:val="22"/>
                <w:szCs w:val="22"/>
              </w:rPr>
              <w:t>Black/African American</w:t>
            </w:r>
          </w:p>
        </w:tc>
        <w:tc>
          <w:tcPr>
            <w:tcW w:w="792" w:type="dxa"/>
            <w:shd w:val="clear" w:color="auto" w:fill="auto"/>
          </w:tcPr>
          <w:p w14:paraId="3C35422C"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4,059</w:t>
            </w:r>
          </w:p>
        </w:tc>
        <w:tc>
          <w:tcPr>
            <w:tcW w:w="777" w:type="dxa"/>
            <w:shd w:val="clear" w:color="auto" w:fill="auto"/>
          </w:tcPr>
          <w:p w14:paraId="62386A06"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33.8%</w:t>
            </w:r>
          </w:p>
        </w:tc>
        <w:tc>
          <w:tcPr>
            <w:tcW w:w="793" w:type="dxa"/>
            <w:shd w:val="clear" w:color="auto" w:fill="auto"/>
          </w:tcPr>
          <w:p w14:paraId="2948526E"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5,023</w:t>
            </w:r>
          </w:p>
        </w:tc>
        <w:tc>
          <w:tcPr>
            <w:tcW w:w="777" w:type="dxa"/>
            <w:shd w:val="clear" w:color="auto" w:fill="auto"/>
          </w:tcPr>
          <w:p w14:paraId="568F0F2A"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33.9</w:t>
            </w:r>
            <w:r w:rsidRPr="00AD7AAB">
              <w:rPr>
                <w:rFonts w:ascii="Arial Narrow" w:hAnsi="Arial Narrow" w:cs="Arial"/>
                <w:sz w:val="22"/>
                <w:szCs w:val="22"/>
              </w:rPr>
              <w:t>%</w:t>
            </w:r>
          </w:p>
        </w:tc>
        <w:tc>
          <w:tcPr>
            <w:tcW w:w="792" w:type="dxa"/>
            <w:shd w:val="clear" w:color="auto" w:fill="auto"/>
          </w:tcPr>
          <w:p w14:paraId="4945A9DB"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5,3</w:t>
            </w:r>
            <w:r w:rsidR="00301851">
              <w:rPr>
                <w:rFonts w:ascii="Arial Narrow" w:hAnsi="Arial Narrow" w:cs="Arial"/>
                <w:sz w:val="22"/>
                <w:szCs w:val="22"/>
              </w:rPr>
              <w:t>85</w:t>
            </w:r>
          </w:p>
        </w:tc>
        <w:tc>
          <w:tcPr>
            <w:tcW w:w="778" w:type="dxa"/>
            <w:shd w:val="clear" w:color="auto" w:fill="auto"/>
          </w:tcPr>
          <w:p w14:paraId="10920A1B"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34.9</w:t>
            </w:r>
            <w:r w:rsidRPr="00456B0A">
              <w:rPr>
                <w:rFonts w:ascii="Arial Narrow" w:hAnsi="Arial Narrow" w:cs="Arial"/>
                <w:sz w:val="22"/>
                <w:szCs w:val="22"/>
              </w:rPr>
              <w:t>%</w:t>
            </w:r>
          </w:p>
        </w:tc>
        <w:tc>
          <w:tcPr>
            <w:tcW w:w="780" w:type="dxa"/>
            <w:shd w:val="clear" w:color="auto" w:fill="auto"/>
          </w:tcPr>
          <w:p w14:paraId="4D9A7597"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3,2</w:t>
            </w:r>
            <w:r w:rsidR="00301851">
              <w:rPr>
                <w:rFonts w:ascii="Arial Narrow" w:hAnsi="Arial Narrow" w:cs="Arial"/>
                <w:sz w:val="22"/>
                <w:szCs w:val="22"/>
              </w:rPr>
              <w:t>30</w:t>
            </w:r>
          </w:p>
        </w:tc>
        <w:tc>
          <w:tcPr>
            <w:tcW w:w="777" w:type="dxa"/>
            <w:tcBorders>
              <w:right w:val="single" w:sz="4" w:space="0" w:color="auto"/>
            </w:tcBorders>
            <w:shd w:val="clear" w:color="auto" w:fill="auto"/>
          </w:tcPr>
          <w:p w14:paraId="399DFC25"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35.9</w:t>
            </w:r>
            <w:r w:rsidR="00BB5A55" w:rsidRPr="00676458">
              <w:rPr>
                <w:rFonts w:ascii="Arial Narrow" w:hAnsi="Arial Narrow" w:cs="Arial"/>
                <w:sz w:val="22"/>
                <w:szCs w:val="22"/>
              </w:rPr>
              <w:t>%</w:t>
            </w:r>
          </w:p>
        </w:tc>
      </w:tr>
      <w:tr w:rsidR="00E81809" w:rsidRPr="00AC4247" w14:paraId="3D226B8F" w14:textId="77777777" w:rsidTr="00290CD0">
        <w:trPr>
          <w:cantSplit/>
          <w:trHeight w:val="20"/>
          <w:jc w:val="center"/>
        </w:trPr>
        <w:tc>
          <w:tcPr>
            <w:tcW w:w="2997" w:type="dxa"/>
            <w:tcBorders>
              <w:left w:val="single" w:sz="4" w:space="0" w:color="auto"/>
            </w:tcBorders>
          </w:tcPr>
          <w:p w14:paraId="0F2610FB" w14:textId="77777777" w:rsidR="00BB5A55" w:rsidRPr="00AC4247" w:rsidRDefault="00BB5A55" w:rsidP="00BB5A55">
            <w:pPr>
              <w:rPr>
                <w:rFonts w:ascii="Arial Narrow" w:hAnsi="Arial Narrow" w:cs="Arial"/>
                <w:sz w:val="22"/>
                <w:szCs w:val="22"/>
              </w:rPr>
            </w:pPr>
            <w:r w:rsidRPr="00AC4247">
              <w:rPr>
                <w:rFonts w:ascii="Arial Narrow" w:hAnsi="Arial Narrow" w:cs="Arial"/>
                <w:sz w:val="22"/>
                <w:szCs w:val="22"/>
              </w:rPr>
              <w:t>Hispanic/Latino</w:t>
            </w:r>
          </w:p>
        </w:tc>
        <w:tc>
          <w:tcPr>
            <w:tcW w:w="792" w:type="dxa"/>
            <w:shd w:val="clear" w:color="auto" w:fill="auto"/>
          </w:tcPr>
          <w:p w14:paraId="4266175E"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2,05</w:t>
            </w:r>
            <w:r w:rsidR="00007DBF">
              <w:rPr>
                <w:rFonts w:ascii="Arial Narrow" w:hAnsi="Arial Narrow" w:cs="Arial"/>
                <w:sz w:val="22"/>
                <w:szCs w:val="22"/>
              </w:rPr>
              <w:t>7</w:t>
            </w:r>
          </w:p>
        </w:tc>
        <w:tc>
          <w:tcPr>
            <w:tcW w:w="777" w:type="dxa"/>
            <w:shd w:val="clear" w:color="auto" w:fill="auto"/>
          </w:tcPr>
          <w:p w14:paraId="619B551A"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17.1%</w:t>
            </w:r>
          </w:p>
        </w:tc>
        <w:tc>
          <w:tcPr>
            <w:tcW w:w="793" w:type="dxa"/>
            <w:shd w:val="clear" w:color="auto" w:fill="auto"/>
          </w:tcPr>
          <w:p w14:paraId="1F1CAC20"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2,66</w:t>
            </w:r>
            <w:r w:rsidR="00E55AC6">
              <w:rPr>
                <w:rFonts w:ascii="Arial Narrow" w:hAnsi="Arial Narrow" w:cs="Arial"/>
                <w:sz w:val="22"/>
                <w:szCs w:val="22"/>
              </w:rPr>
              <w:t>6</w:t>
            </w:r>
          </w:p>
        </w:tc>
        <w:tc>
          <w:tcPr>
            <w:tcW w:w="777" w:type="dxa"/>
            <w:shd w:val="clear" w:color="auto" w:fill="auto"/>
          </w:tcPr>
          <w:p w14:paraId="2A040DC2"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18.0</w:t>
            </w:r>
            <w:r w:rsidRPr="00AD7AAB">
              <w:rPr>
                <w:rFonts w:ascii="Arial Narrow" w:hAnsi="Arial Narrow" w:cs="Arial"/>
                <w:sz w:val="22"/>
                <w:szCs w:val="22"/>
              </w:rPr>
              <w:t>%</w:t>
            </w:r>
          </w:p>
        </w:tc>
        <w:tc>
          <w:tcPr>
            <w:tcW w:w="792" w:type="dxa"/>
            <w:shd w:val="clear" w:color="auto" w:fill="auto"/>
          </w:tcPr>
          <w:p w14:paraId="7890A5E9"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3,2</w:t>
            </w:r>
            <w:r w:rsidR="00301851">
              <w:rPr>
                <w:rFonts w:ascii="Arial Narrow" w:hAnsi="Arial Narrow" w:cs="Arial"/>
                <w:sz w:val="22"/>
                <w:szCs w:val="22"/>
              </w:rPr>
              <w:t>51</w:t>
            </w:r>
          </w:p>
        </w:tc>
        <w:tc>
          <w:tcPr>
            <w:tcW w:w="778" w:type="dxa"/>
            <w:shd w:val="clear" w:color="auto" w:fill="auto"/>
          </w:tcPr>
          <w:p w14:paraId="6039E510"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2</w:t>
            </w:r>
            <w:r w:rsidR="00301851">
              <w:rPr>
                <w:rFonts w:ascii="Arial Narrow" w:hAnsi="Arial Narrow" w:cs="Arial"/>
                <w:sz w:val="22"/>
                <w:szCs w:val="22"/>
              </w:rPr>
              <w:t>1.0</w:t>
            </w:r>
            <w:r w:rsidRPr="00456B0A">
              <w:rPr>
                <w:rFonts w:ascii="Arial Narrow" w:hAnsi="Arial Narrow" w:cs="Arial"/>
                <w:sz w:val="22"/>
                <w:szCs w:val="22"/>
              </w:rPr>
              <w:t>%</w:t>
            </w:r>
          </w:p>
        </w:tc>
        <w:tc>
          <w:tcPr>
            <w:tcW w:w="780" w:type="dxa"/>
            <w:shd w:val="clear" w:color="auto" w:fill="auto"/>
          </w:tcPr>
          <w:p w14:paraId="281575C0" w14:textId="77777777" w:rsidR="00BB5A55" w:rsidRPr="00AC4247" w:rsidRDefault="00E1208F" w:rsidP="00BB5A55">
            <w:pPr>
              <w:jc w:val="right"/>
              <w:rPr>
                <w:rFonts w:ascii="Arial Narrow" w:hAnsi="Arial Narrow" w:cs="Arial"/>
                <w:sz w:val="22"/>
                <w:szCs w:val="22"/>
              </w:rPr>
            </w:pPr>
            <w:r>
              <w:rPr>
                <w:rFonts w:ascii="Arial Narrow" w:hAnsi="Arial Narrow" w:cs="Arial"/>
                <w:sz w:val="22"/>
                <w:szCs w:val="22"/>
              </w:rPr>
              <w:t>2</w:t>
            </w:r>
            <w:r w:rsidR="00C12D55">
              <w:rPr>
                <w:rFonts w:ascii="Arial Narrow" w:hAnsi="Arial Narrow" w:cs="Arial"/>
                <w:sz w:val="22"/>
                <w:szCs w:val="22"/>
              </w:rPr>
              <w:t>,</w:t>
            </w:r>
            <w:r>
              <w:rPr>
                <w:rFonts w:ascii="Arial Narrow" w:hAnsi="Arial Narrow" w:cs="Arial"/>
                <w:sz w:val="22"/>
                <w:szCs w:val="22"/>
              </w:rPr>
              <w:t>022</w:t>
            </w:r>
          </w:p>
        </w:tc>
        <w:tc>
          <w:tcPr>
            <w:tcW w:w="777" w:type="dxa"/>
            <w:tcBorders>
              <w:right w:val="single" w:sz="4" w:space="0" w:color="auto"/>
            </w:tcBorders>
            <w:shd w:val="clear" w:color="auto" w:fill="auto"/>
          </w:tcPr>
          <w:p w14:paraId="5A52FF8B"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22.</w:t>
            </w:r>
            <w:r w:rsidR="00E1208F">
              <w:rPr>
                <w:rFonts w:ascii="Arial Narrow" w:hAnsi="Arial Narrow" w:cs="Arial"/>
                <w:sz w:val="22"/>
                <w:szCs w:val="22"/>
              </w:rPr>
              <w:t>5</w:t>
            </w:r>
            <w:r w:rsidR="00BB5A55" w:rsidRPr="00676458">
              <w:rPr>
                <w:rFonts w:ascii="Arial Narrow" w:hAnsi="Arial Narrow" w:cs="Arial"/>
                <w:sz w:val="22"/>
                <w:szCs w:val="22"/>
              </w:rPr>
              <w:t>%</w:t>
            </w:r>
          </w:p>
        </w:tc>
      </w:tr>
      <w:tr w:rsidR="00E81809" w:rsidRPr="00AC4247" w14:paraId="3C0B2BFF" w14:textId="77777777" w:rsidTr="00290CD0">
        <w:trPr>
          <w:cantSplit/>
          <w:trHeight w:val="20"/>
          <w:jc w:val="center"/>
        </w:trPr>
        <w:tc>
          <w:tcPr>
            <w:tcW w:w="2997" w:type="dxa"/>
            <w:tcBorders>
              <w:left w:val="single" w:sz="4" w:space="0" w:color="auto"/>
            </w:tcBorders>
          </w:tcPr>
          <w:p w14:paraId="6C8534A6" w14:textId="77777777" w:rsidR="00BB5A55" w:rsidRPr="00AC4247" w:rsidRDefault="00BB5A55" w:rsidP="00BB5A55">
            <w:pPr>
              <w:ind w:right="-15"/>
              <w:rPr>
                <w:rFonts w:ascii="Arial Narrow" w:hAnsi="Arial Narrow" w:cs="Arial"/>
                <w:sz w:val="22"/>
                <w:szCs w:val="22"/>
              </w:rPr>
            </w:pPr>
            <w:r w:rsidRPr="00AC4247">
              <w:rPr>
                <w:rFonts w:ascii="Arial Narrow" w:hAnsi="Arial Narrow" w:cs="Arial"/>
                <w:sz w:val="22"/>
                <w:szCs w:val="22"/>
              </w:rPr>
              <w:t>Native Hawaiian/Pacific Islander</w:t>
            </w:r>
          </w:p>
        </w:tc>
        <w:tc>
          <w:tcPr>
            <w:tcW w:w="792" w:type="dxa"/>
            <w:shd w:val="clear" w:color="auto" w:fill="auto"/>
          </w:tcPr>
          <w:p w14:paraId="4D41AD21"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2</w:t>
            </w:r>
            <w:r w:rsidR="00007DBF">
              <w:rPr>
                <w:rFonts w:ascii="Arial Narrow" w:hAnsi="Arial Narrow" w:cs="Arial"/>
                <w:sz w:val="22"/>
                <w:szCs w:val="22"/>
              </w:rPr>
              <w:t>4</w:t>
            </w:r>
          </w:p>
        </w:tc>
        <w:tc>
          <w:tcPr>
            <w:tcW w:w="777" w:type="dxa"/>
            <w:shd w:val="clear" w:color="auto" w:fill="auto"/>
          </w:tcPr>
          <w:p w14:paraId="6B9BA952"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0.2%</w:t>
            </w:r>
          </w:p>
        </w:tc>
        <w:tc>
          <w:tcPr>
            <w:tcW w:w="793" w:type="dxa"/>
            <w:shd w:val="clear" w:color="auto" w:fill="auto"/>
          </w:tcPr>
          <w:p w14:paraId="4DBBA2ED"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2</w:t>
            </w:r>
            <w:r w:rsidR="00E55AC6">
              <w:rPr>
                <w:rFonts w:ascii="Arial Narrow" w:hAnsi="Arial Narrow" w:cs="Arial"/>
                <w:sz w:val="22"/>
                <w:szCs w:val="22"/>
              </w:rPr>
              <w:t>6</w:t>
            </w:r>
          </w:p>
        </w:tc>
        <w:tc>
          <w:tcPr>
            <w:tcW w:w="777" w:type="dxa"/>
            <w:shd w:val="clear" w:color="auto" w:fill="auto"/>
          </w:tcPr>
          <w:p w14:paraId="32664CEB"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0.2</w:t>
            </w:r>
            <w:r w:rsidRPr="00AD7AAB">
              <w:rPr>
                <w:rFonts w:ascii="Arial Narrow" w:hAnsi="Arial Narrow" w:cs="Arial"/>
                <w:sz w:val="22"/>
                <w:szCs w:val="22"/>
              </w:rPr>
              <w:t>%</w:t>
            </w:r>
          </w:p>
        </w:tc>
        <w:tc>
          <w:tcPr>
            <w:tcW w:w="792" w:type="dxa"/>
            <w:shd w:val="clear" w:color="auto" w:fill="auto"/>
          </w:tcPr>
          <w:p w14:paraId="19A19FA7" w14:textId="77777777" w:rsidR="00BB5A55" w:rsidRPr="00AC4247" w:rsidRDefault="00301851" w:rsidP="00BB5A55">
            <w:pPr>
              <w:jc w:val="right"/>
              <w:rPr>
                <w:rFonts w:ascii="Arial Narrow" w:hAnsi="Arial Narrow" w:cs="Arial"/>
                <w:sz w:val="22"/>
                <w:szCs w:val="22"/>
              </w:rPr>
            </w:pPr>
            <w:r>
              <w:rPr>
                <w:rFonts w:ascii="Arial Narrow" w:hAnsi="Arial Narrow" w:cs="Arial"/>
                <w:sz w:val="22"/>
                <w:szCs w:val="22"/>
              </w:rPr>
              <w:t>44</w:t>
            </w:r>
          </w:p>
        </w:tc>
        <w:tc>
          <w:tcPr>
            <w:tcW w:w="778" w:type="dxa"/>
            <w:shd w:val="clear" w:color="auto" w:fill="auto"/>
          </w:tcPr>
          <w:p w14:paraId="687679B2"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0.</w:t>
            </w:r>
            <w:r w:rsidR="00301851">
              <w:rPr>
                <w:rFonts w:ascii="Arial Narrow" w:hAnsi="Arial Narrow" w:cs="Arial"/>
                <w:sz w:val="22"/>
                <w:szCs w:val="22"/>
              </w:rPr>
              <w:t>3</w:t>
            </w:r>
            <w:r w:rsidRPr="00456B0A">
              <w:rPr>
                <w:rFonts w:ascii="Arial Narrow" w:hAnsi="Arial Narrow" w:cs="Arial"/>
                <w:sz w:val="22"/>
                <w:szCs w:val="22"/>
              </w:rPr>
              <w:t>%</w:t>
            </w:r>
          </w:p>
        </w:tc>
        <w:tc>
          <w:tcPr>
            <w:tcW w:w="780" w:type="dxa"/>
            <w:shd w:val="clear" w:color="auto" w:fill="auto"/>
          </w:tcPr>
          <w:p w14:paraId="24278C10"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2</w:t>
            </w:r>
            <w:r w:rsidR="00E1208F">
              <w:rPr>
                <w:rFonts w:ascii="Arial Narrow" w:hAnsi="Arial Narrow" w:cs="Arial"/>
                <w:sz w:val="22"/>
                <w:szCs w:val="22"/>
              </w:rPr>
              <w:t>8</w:t>
            </w:r>
          </w:p>
        </w:tc>
        <w:tc>
          <w:tcPr>
            <w:tcW w:w="777" w:type="dxa"/>
            <w:tcBorders>
              <w:right w:val="single" w:sz="4" w:space="0" w:color="auto"/>
            </w:tcBorders>
            <w:shd w:val="clear" w:color="auto" w:fill="auto"/>
          </w:tcPr>
          <w:p w14:paraId="1C3518F5"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0.3</w:t>
            </w:r>
            <w:r w:rsidR="00BB5A55" w:rsidRPr="00676458">
              <w:rPr>
                <w:rFonts w:ascii="Arial Narrow" w:hAnsi="Arial Narrow" w:cs="Arial"/>
                <w:sz w:val="22"/>
                <w:szCs w:val="22"/>
              </w:rPr>
              <w:t>%</w:t>
            </w:r>
          </w:p>
        </w:tc>
      </w:tr>
      <w:tr w:rsidR="00E81809" w:rsidRPr="00AC4247" w14:paraId="6E112F95" w14:textId="77777777" w:rsidTr="00290CD0">
        <w:trPr>
          <w:cantSplit/>
          <w:trHeight w:val="20"/>
          <w:jc w:val="center"/>
        </w:trPr>
        <w:tc>
          <w:tcPr>
            <w:tcW w:w="2997" w:type="dxa"/>
            <w:tcBorders>
              <w:left w:val="single" w:sz="4" w:space="0" w:color="auto"/>
            </w:tcBorders>
          </w:tcPr>
          <w:p w14:paraId="13A3A9EF" w14:textId="77777777" w:rsidR="00BB5A55" w:rsidRPr="00AC4247" w:rsidRDefault="00BB5A55" w:rsidP="00BB5A55">
            <w:pPr>
              <w:rPr>
                <w:rFonts w:ascii="Arial Narrow" w:hAnsi="Arial Narrow" w:cs="Arial"/>
                <w:sz w:val="22"/>
                <w:szCs w:val="22"/>
              </w:rPr>
            </w:pPr>
            <w:r w:rsidRPr="00AC4247">
              <w:rPr>
                <w:rFonts w:ascii="Arial Narrow" w:hAnsi="Arial Narrow" w:cs="Arial"/>
                <w:sz w:val="22"/>
                <w:szCs w:val="22"/>
              </w:rPr>
              <w:t xml:space="preserve">White/Caucasian </w:t>
            </w:r>
          </w:p>
        </w:tc>
        <w:tc>
          <w:tcPr>
            <w:tcW w:w="792" w:type="dxa"/>
            <w:shd w:val="clear" w:color="auto" w:fill="auto"/>
          </w:tcPr>
          <w:p w14:paraId="08BAF691"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3,455</w:t>
            </w:r>
          </w:p>
        </w:tc>
        <w:tc>
          <w:tcPr>
            <w:tcW w:w="777" w:type="dxa"/>
            <w:shd w:val="clear" w:color="auto" w:fill="auto"/>
          </w:tcPr>
          <w:p w14:paraId="0791C9C2"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28.7%</w:t>
            </w:r>
          </w:p>
        </w:tc>
        <w:tc>
          <w:tcPr>
            <w:tcW w:w="793" w:type="dxa"/>
            <w:shd w:val="clear" w:color="auto" w:fill="auto"/>
          </w:tcPr>
          <w:p w14:paraId="7EF5C9FA"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4,163</w:t>
            </w:r>
          </w:p>
        </w:tc>
        <w:tc>
          <w:tcPr>
            <w:tcW w:w="777" w:type="dxa"/>
            <w:shd w:val="clear" w:color="auto" w:fill="auto"/>
          </w:tcPr>
          <w:p w14:paraId="365265FF"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28.1</w:t>
            </w:r>
            <w:r w:rsidRPr="00AD7AAB">
              <w:rPr>
                <w:rFonts w:ascii="Arial Narrow" w:hAnsi="Arial Narrow" w:cs="Arial"/>
                <w:sz w:val="22"/>
                <w:szCs w:val="22"/>
              </w:rPr>
              <w:t>%</w:t>
            </w:r>
          </w:p>
        </w:tc>
        <w:tc>
          <w:tcPr>
            <w:tcW w:w="792" w:type="dxa"/>
            <w:shd w:val="clear" w:color="auto" w:fill="auto"/>
          </w:tcPr>
          <w:p w14:paraId="121FA9F4"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3,9</w:t>
            </w:r>
            <w:r w:rsidR="00301851">
              <w:rPr>
                <w:rFonts w:ascii="Arial Narrow" w:hAnsi="Arial Narrow" w:cs="Arial"/>
                <w:sz w:val="22"/>
                <w:szCs w:val="22"/>
              </w:rPr>
              <w:t>28</w:t>
            </w:r>
          </w:p>
        </w:tc>
        <w:tc>
          <w:tcPr>
            <w:tcW w:w="778" w:type="dxa"/>
            <w:shd w:val="clear" w:color="auto" w:fill="auto"/>
          </w:tcPr>
          <w:p w14:paraId="63C79F99"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25.4</w:t>
            </w:r>
            <w:r w:rsidRPr="00456B0A">
              <w:rPr>
                <w:rFonts w:ascii="Arial Narrow" w:hAnsi="Arial Narrow" w:cs="Arial"/>
                <w:sz w:val="22"/>
                <w:szCs w:val="22"/>
              </w:rPr>
              <w:t>%</w:t>
            </w:r>
          </w:p>
        </w:tc>
        <w:tc>
          <w:tcPr>
            <w:tcW w:w="780" w:type="dxa"/>
            <w:shd w:val="clear" w:color="auto" w:fill="auto"/>
          </w:tcPr>
          <w:p w14:paraId="7C42A5FE"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2,12</w:t>
            </w:r>
            <w:r w:rsidR="00E1208F">
              <w:rPr>
                <w:rFonts w:ascii="Arial Narrow" w:hAnsi="Arial Narrow" w:cs="Arial"/>
                <w:sz w:val="22"/>
                <w:szCs w:val="22"/>
              </w:rPr>
              <w:t>1</w:t>
            </w:r>
          </w:p>
        </w:tc>
        <w:tc>
          <w:tcPr>
            <w:tcW w:w="777" w:type="dxa"/>
            <w:tcBorders>
              <w:right w:val="single" w:sz="4" w:space="0" w:color="auto"/>
            </w:tcBorders>
            <w:shd w:val="clear" w:color="auto" w:fill="auto"/>
          </w:tcPr>
          <w:p w14:paraId="23E6F351"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23.6</w:t>
            </w:r>
            <w:r w:rsidR="00BB5A55" w:rsidRPr="00676458">
              <w:rPr>
                <w:rFonts w:ascii="Arial Narrow" w:hAnsi="Arial Narrow" w:cs="Arial"/>
                <w:sz w:val="22"/>
                <w:szCs w:val="22"/>
              </w:rPr>
              <w:t>%</w:t>
            </w:r>
          </w:p>
        </w:tc>
      </w:tr>
      <w:tr w:rsidR="00E81809" w:rsidRPr="00AC4247" w14:paraId="53CF8068" w14:textId="77777777" w:rsidTr="00290CD0">
        <w:trPr>
          <w:cantSplit/>
          <w:trHeight w:val="20"/>
          <w:jc w:val="center"/>
        </w:trPr>
        <w:tc>
          <w:tcPr>
            <w:tcW w:w="2997" w:type="dxa"/>
            <w:tcBorders>
              <w:left w:val="single" w:sz="4" w:space="0" w:color="auto"/>
            </w:tcBorders>
          </w:tcPr>
          <w:p w14:paraId="245B5A12" w14:textId="77777777" w:rsidR="00BB5A55" w:rsidRPr="00AC4247" w:rsidRDefault="00BB5A55" w:rsidP="00BB5A55">
            <w:pPr>
              <w:rPr>
                <w:rFonts w:ascii="Arial Narrow" w:hAnsi="Arial Narrow" w:cs="Arial"/>
                <w:sz w:val="22"/>
                <w:szCs w:val="22"/>
              </w:rPr>
            </w:pPr>
            <w:r w:rsidRPr="00AC4247">
              <w:rPr>
                <w:rFonts w:ascii="Arial Narrow" w:hAnsi="Arial Narrow" w:cs="Arial"/>
                <w:sz w:val="22"/>
                <w:szCs w:val="22"/>
              </w:rPr>
              <w:t>Other</w:t>
            </w:r>
            <w:r w:rsidRPr="00AC4247">
              <w:rPr>
                <w:rStyle w:val="FootnoteReference"/>
                <w:rFonts w:ascii="Arial Narrow" w:hAnsi="Arial Narrow" w:cs="Arial"/>
                <w:sz w:val="22"/>
                <w:szCs w:val="22"/>
              </w:rPr>
              <w:footnoteReference w:id="18"/>
            </w:r>
          </w:p>
        </w:tc>
        <w:tc>
          <w:tcPr>
            <w:tcW w:w="792" w:type="dxa"/>
            <w:tcBorders>
              <w:bottom w:val="single" w:sz="4" w:space="0" w:color="auto"/>
            </w:tcBorders>
            <w:shd w:val="clear" w:color="auto" w:fill="auto"/>
          </w:tcPr>
          <w:p w14:paraId="5F9B3097" w14:textId="77777777" w:rsidR="00BB5A55" w:rsidRPr="00AC4247" w:rsidRDefault="009F2C52" w:rsidP="00BB5A55">
            <w:pPr>
              <w:jc w:val="right"/>
              <w:rPr>
                <w:rFonts w:ascii="Arial Narrow" w:hAnsi="Arial Narrow" w:cs="Arial"/>
                <w:sz w:val="22"/>
                <w:szCs w:val="22"/>
              </w:rPr>
            </w:pPr>
            <w:r>
              <w:rPr>
                <w:rFonts w:ascii="Arial Narrow" w:hAnsi="Arial Narrow" w:cs="Arial"/>
                <w:sz w:val="22"/>
                <w:szCs w:val="22"/>
              </w:rPr>
              <w:t>1,95</w:t>
            </w:r>
            <w:r w:rsidR="00E55AC6">
              <w:rPr>
                <w:rFonts w:ascii="Arial Narrow" w:hAnsi="Arial Narrow" w:cs="Arial"/>
                <w:sz w:val="22"/>
                <w:szCs w:val="22"/>
              </w:rPr>
              <w:t>7</w:t>
            </w:r>
          </w:p>
        </w:tc>
        <w:tc>
          <w:tcPr>
            <w:tcW w:w="777" w:type="dxa"/>
            <w:tcBorders>
              <w:bottom w:val="single" w:sz="4" w:space="0" w:color="auto"/>
            </w:tcBorders>
            <w:shd w:val="clear" w:color="auto" w:fill="auto"/>
          </w:tcPr>
          <w:p w14:paraId="5FA3F8B4" w14:textId="77777777" w:rsidR="00BB5A55" w:rsidRPr="00BB5A55" w:rsidRDefault="00BB5A55" w:rsidP="00BB5A55">
            <w:pPr>
              <w:jc w:val="right"/>
              <w:rPr>
                <w:rFonts w:ascii="Arial Narrow" w:hAnsi="Arial Narrow" w:cs="Arial"/>
                <w:sz w:val="22"/>
                <w:szCs w:val="22"/>
              </w:rPr>
            </w:pPr>
            <w:r w:rsidRPr="00BB5A55">
              <w:rPr>
                <w:rFonts w:ascii="Arial Narrow" w:hAnsi="Arial Narrow" w:cs="Arial"/>
                <w:sz w:val="22"/>
                <w:szCs w:val="22"/>
              </w:rPr>
              <w:t>16.3%</w:t>
            </w:r>
          </w:p>
        </w:tc>
        <w:tc>
          <w:tcPr>
            <w:tcW w:w="793" w:type="dxa"/>
            <w:tcBorders>
              <w:bottom w:val="single" w:sz="4" w:space="0" w:color="auto"/>
            </w:tcBorders>
            <w:shd w:val="clear" w:color="auto" w:fill="auto"/>
          </w:tcPr>
          <w:p w14:paraId="30890827"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2,</w:t>
            </w:r>
            <w:r w:rsidR="00E55AC6">
              <w:rPr>
                <w:rFonts w:ascii="Arial Narrow" w:hAnsi="Arial Narrow" w:cs="Arial"/>
                <w:sz w:val="22"/>
                <w:szCs w:val="22"/>
              </w:rPr>
              <w:t>299</w:t>
            </w:r>
          </w:p>
        </w:tc>
        <w:tc>
          <w:tcPr>
            <w:tcW w:w="777" w:type="dxa"/>
            <w:tcBorders>
              <w:bottom w:val="single" w:sz="4" w:space="0" w:color="auto"/>
            </w:tcBorders>
            <w:shd w:val="clear" w:color="auto" w:fill="auto"/>
          </w:tcPr>
          <w:p w14:paraId="140A9630"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15.5</w:t>
            </w:r>
            <w:r w:rsidRPr="00AD7AAB">
              <w:rPr>
                <w:rFonts w:ascii="Arial Narrow" w:hAnsi="Arial Narrow" w:cs="Arial"/>
                <w:sz w:val="22"/>
                <w:szCs w:val="22"/>
              </w:rPr>
              <w:t>%</w:t>
            </w:r>
          </w:p>
        </w:tc>
        <w:tc>
          <w:tcPr>
            <w:tcW w:w="792" w:type="dxa"/>
            <w:tcBorders>
              <w:bottom w:val="single" w:sz="4" w:space="0" w:color="auto"/>
            </w:tcBorders>
            <w:shd w:val="clear" w:color="auto" w:fill="auto"/>
          </w:tcPr>
          <w:p w14:paraId="753076FE"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2,1</w:t>
            </w:r>
            <w:r w:rsidR="00301851">
              <w:rPr>
                <w:rFonts w:ascii="Arial Narrow" w:hAnsi="Arial Narrow" w:cs="Arial"/>
                <w:sz w:val="22"/>
                <w:szCs w:val="22"/>
              </w:rPr>
              <w:t>11</w:t>
            </w:r>
          </w:p>
        </w:tc>
        <w:tc>
          <w:tcPr>
            <w:tcW w:w="778" w:type="dxa"/>
            <w:tcBorders>
              <w:bottom w:val="single" w:sz="4" w:space="0" w:color="auto"/>
            </w:tcBorders>
            <w:shd w:val="clear" w:color="auto" w:fill="auto"/>
          </w:tcPr>
          <w:p w14:paraId="5F51DA05" w14:textId="77777777" w:rsidR="00BB5A55" w:rsidRPr="00AC4247" w:rsidRDefault="00BB5A55" w:rsidP="00BB5A55">
            <w:pPr>
              <w:jc w:val="right"/>
              <w:rPr>
                <w:rFonts w:ascii="Arial Narrow" w:hAnsi="Arial Narrow" w:cs="Arial"/>
                <w:sz w:val="22"/>
                <w:szCs w:val="22"/>
              </w:rPr>
            </w:pPr>
            <w:r>
              <w:rPr>
                <w:rFonts w:ascii="Arial Narrow" w:hAnsi="Arial Narrow" w:cs="Arial"/>
                <w:sz w:val="22"/>
                <w:szCs w:val="22"/>
              </w:rPr>
              <w:t>13.</w:t>
            </w:r>
            <w:r w:rsidR="00301851">
              <w:rPr>
                <w:rFonts w:ascii="Arial Narrow" w:hAnsi="Arial Narrow" w:cs="Arial"/>
                <w:sz w:val="22"/>
                <w:szCs w:val="22"/>
              </w:rPr>
              <w:t>7</w:t>
            </w:r>
            <w:r w:rsidRPr="00456B0A">
              <w:rPr>
                <w:rFonts w:ascii="Arial Narrow" w:hAnsi="Arial Narrow" w:cs="Arial"/>
                <w:sz w:val="22"/>
                <w:szCs w:val="22"/>
              </w:rPr>
              <w:t>%</w:t>
            </w:r>
          </w:p>
        </w:tc>
        <w:tc>
          <w:tcPr>
            <w:tcW w:w="780" w:type="dxa"/>
            <w:tcBorders>
              <w:bottom w:val="single" w:sz="4" w:space="0" w:color="auto"/>
            </w:tcBorders>
            <w:shd w:val="clear" w:color="auto" w:fill="auto"/>
          </w:tcPr>
          <w:p w14:paraId="6225D372" w14:textId="77777777" w:rsidR="00BB5A55" w:rsidRPr="00AC4247" w:rsidRDefault="00C12D55" w:rsidP="00BB5A55">
            <w:pPr>
              <w:jc w:val="right"/>
              <w:rPr>
                <w:rFonts w:ascii="Arial Narrow" w:hAnsi="Arial Narrow" w:cs="Arial"/>
                <w:sz w:val="22"/>
                <w:szCs w:val="22"/>
              </w:rPr>
            </w:pPr>
            <w:r>
              <w:rPr>
                <w:rFonts w:ascii="Arial Narrow" w:hAnsi="Arial Narrow" w:cs="Arial"/>
                <w:sz w:val="22"/>
                <w:szCs w:val="22"/>
              </w:rPr>
              <w:t>1,1</w:t>
            </w:r>
            <w:r w:rsidR="00E1208F">
              <w:rPr>
                <w:rFonts w:ascii="Arial Narrow" w:hAnsi="Arial Narrow" w:cs="Arial"/>
                <w:sz w:val="22"/>
                <w:szCs w:val="22"/>
              </w:rPr>
              <w:t>62</w:t>
            </w:r>
          </w:p>
        </w:tc>
        <w:tc>
          <w:tcPr>
            <w:tcW w:w="777" w:type="dxa"/>
            <w:tcBorders>
              <w:bottom w:val="single" w:sz="4" w:space="0" w:color="auto"/>
              <w:right w:val="single" w:sz="4" w:space="0" w:color="auto"/>
            </w:tcBorders>
            <w:shd w:val="clear" w:color="auto" w:fill="auto"/>
          </w:tcPr>
          <w:p w14:paraId="602DB040" w14:textId="77777777" w:rsidR="00BB5A55" w:rsidRPr="00676458" w:rsidRDefault="00676458" w:rsidP="00BB5A55">
            <w:pPr>
              <w:jc w:val="right"/>
              <w:rPr>
                <w:rFonts w:ascii="Arial Narrow" w:hAnsi="Arial Narrow" w:cs="Arial"/>
                <w:sz w:val="22"/>
                <w:szCs w:val="22"/>
              </w:rPr>
            </w:pPr>
            <w:r w:rsidRPr="00676458">
              <w:rPr>
                <w:rFonts w:ascii="Arial Narrow" w:hAnsi="Arial Narrow" w:cs="Arial"/>
                <w:sz w:val="22"/>
                <w:szCs w:val="22"/>
              </w:rPr>
              <w:t>1</w:t>
            </w:r>
            <w:r w:rsidR="00E1208F">
              <w:rPr>
                <w:rFonts w:ascii="Arial Narrow" w:hAnsi="Arial Narrow" w:cs="Arial"/>
                <w:sz w:val="22"/>
                <w:szCs w:val="22"/>
              </w:rPr>
              <w:t>2.9</w:t>
            </w:r>
            <w:r w:rsidR="00BB5A55" w:rsidRPr="00676458">
              <w:rPr>
                <w:rFonts w:ascii="Arial Narrow" w:hAnsi="Arial Narrow" w:cs="Arial"/>
                <w:sz w:val="22"/>
                <w:szCs w:val="22"/>
              </w:rPr>
              <w:t>%</w:t>
            </w:r>
          </w:p>
        </w:tc>
      </w:tr>
      <w:tr w:rsidR="00290CD0" w:rsidRPr="00AC4247" w14:paraId="3077A93B" w14:textId="77777777" w:rsidTr="00290CD0">
        <w:trPr>
          <w:cantSplit/>
          <w:trHeight w:val="20"/>
          <w:jc w:val="center"/>
        </w:trPr>
        <w:tc>
          <w:tcPr>
            <w:tcW w:w="2997" w:type="dxa"/>
            <w:tcBorders>
              <w:left w:val="single" w:sz="4" w:space="0" w:color="auto"/>
              <w:right w:val="nil"/>
            </w:tcBorders>
            <w:shd w:val="clear" w:color="auto" w:fill="D9E2F3" w:themeFill="accent1" w:themeFillTint="33"/>
          </w:tcPr>
          <w:p w14:paraId="7570AB77" w14:textId="77777777" w:rsidR="00290CD0" w:rsidRPr="00AC4247" w:rsidRDefault="00290CD0" w:rsidP="00290CD0">
            <w:pPr>
              <w:rPr>
                <w:rFonts w:ascii="Arial Narrow" w:hAnsi="Arial Narrow" w:cs="Arial"/>
                <w:sz w:val="22"/>
                <w:szCs w:val="22"/>
              </w:rPr>
            </w:pPr>
            <w:r w:rsidRPr="00AC4247">
              <w:rPr>
                <w:rFonts w:ascii="Arial Narrow" w:hAnsi="Arial Narrow" w:cs="Arial"/>
                <w:b/>
                <w:bCs/>
                <w:sz w:val="22"/>
                <w:szCs w:val="22"/>
              </w:rPr>
              <w:t>Geographic Origi</w:t>
            </w:r>
            <w:r>
              <w:rPr>
                <w:rFonts w:ascii="Arial Narrow" w:hAnsi="Arial Narrow" w:cs="Arial"/>
                <w:b/>
                <w:bCs/>
                <w:sz w:val="22"/>
                <w:szCs w:val="22"/>
              </w:rPr>
              <w:t>n</w:t>
            </w:r>
            <w:r w:rsidRPr="00AC4247">
              <w:rPr>
                <w:rStyle w:val="FootnoteReference"/>
                <w:rFonts w:ascii="Arial Narrow" w:hAnsi="Arial Narrow" w:cs="Arial"/>
                <w:b/>
                <w:bCs/>
                <w:sz w:val="22"/>
                <w:szCs w:val="22"/>
              </w:rPr>
              <w:footnoteReference w:id="19"/>
            </w:r>
          </w:p>
        </w:tc>
        <w:tc>
          <w:tcPr>
            <w:tcW w:w="792" w:type="dxa"/>
            <w:tcBorders>
              <w:left w:val="nil"/>
              <w:right w:val="nil"/>
            </w:tcBorders>
            <w:shd w:val="clear" w:color="auto" w:fill="D9E2F3" w:themeFill="accent1" w:themeFillTint="33"/>
          </w:tcPr>
          <w:p w14:paraId="7EC718F8" w14:textId="462C5B0A"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77" w:type="dxa"/>
            <w:tcBorders>
              <w:left w:val="nil"/>
              <w:right w:val="nil"/>
            </w:tcBorders>
            <w:shd w:val="clear" w:color="auto" w:fill="D9E2F3" w:themeFill="accent1" w:themeFillTint="33"/>
          </w:tcPr>
          <w:p w14:paraId="3715F0FC" w14:textId="2EAD7270"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93" w:type="dxa"/>
            <w:tcBorders>
              <w:left w:val="nil"/>
              <w:right w:val="nil"/>
            </w:tcBorders>
            <w:shd w:val="clear" w:color="auto" w:fill="D9E2F3" w:themeFill="accent1" w:themeFillTint="33"/>
          </w:tcPr>
          <w:p w14:paraId="0673DBA3" w14:textId="4F0C0A6E"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77" w:type="dxa"/>
            <w:tcBorders>
              <w:left w:val="nil"/>
              <w:right w:val="nil"/>
            </w:tcBorders>
            <w:shd w:val="clear" w:color="auto" w:fill="D9E2F3" w:themeFill="accent1" w:themeFillTint="33"/>
          </w:tcPr>
          <w:p w14:paraId="5FCAB602" w14:textId="1BF8EC57"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92" w:type="dxa"/>
            <w:tcBorders>
              <w:left w:val="nil"/>
              <w:right w:val="nil"/>
            </w:tcBorders>
            <w:shd w:val="clear" w:color="auto" w:fill="D9E2F3" w:themeFill="accent1" w:themeFillTint="33"/>
          </w:tcPr>
          <w:p w14:paraId="7EB548FC" w14:textId="378F78EF"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78" w:type="dxa"/>
            <w:tcBorders>
              <w:left w:val="nil"/>
              <w:right w:val="nil"/>
            </w:tcBorders>
            <w:shd w:val="clear" w:color="auto" w:fill="D9E2F3" w:themeFill="accent1" w:themeFillTint="33"/>
          </w:tcPr>
          <w:p w14:paraId="0BBDD8B9" w14:textId="161F2C90"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80" w:type="dxa"/>
            <w:tcBorders>
              <w:left w:val="nil"/>
              <w:right w:val="nil"/>
            </w:tcBorders>
            <w:shd w:val="clear" w:color="auto" w:fill="D9E2F3" w:themeFill="accent1" w:themeFillTint="33"/>
          </w:tcPr>
          <w:p w14:paraId="0D2FD759" w14:textId="44FD4B95"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c>
          <w:tcPr>
            <w:tcW w:w="777" w:type="dxa"/>
            <w:tcBorders>
              <w:left w:val="nil"/>
              <w:right w:val="single" w:sz="4" w:space="0" w:color="auto"/>
            </w:tcBorders>
            <w:shd w:val="clear" w:color="auto" w:fill="D9E2F3" w:themeFill="accent1" w:themeFillTint="33"/>
          </w:tcPr>
          <w:p w14:paraId="5A7E0AF8" w14:textId="4449609B" w:rsidR="00290CD0" w:rsidRPr="00AC4247" w:rsidRDefault="00290CD0" w:rsidP="00290CD0">
            <w:pPr>
              <w:rPr>
                <w:rFonts w:ascii="Arial Narrow" w:hAnsi="Arial Narrow" w:cs="Arial"/>
                <w:sz w:val="22"/>
                <w:szCs w:val="22"/>
              </w:rPr>
            </w:pPr>
            <w:r w:rsidRPr="00E85B33">
              <w:rPr>
                <w:rFonts w:ascii="Arial Narrow" w:hAnsi="Arial Narrow" w:cs="Arial"/>
                <w:color w:val="D9E2F3"/>
                <w:sz w:val="22"/>
                <w:szCs w:val="22"/>
              </w:rPr>
              <w:t>blank</w:t>
            </w:r>
          </w:p>
        </w:tc>
      </w:tr>
      <w:tr w:rsidR="00E81809" w:rsidRPr="00AC4247" w14:paraId="2BE51A4D" w14:textId="77777777" w:rsidTr="00290CD0">
        <w:trPr>
          <w:cantSplit/>
          <w:trHeight w:val="20"/>
          <w:jc w:val="center"/>
        </w:trPr>
        <w:tc>
          <w:tcPr>
            <w:tcW w:w="2997" w:type="dxa"/>
            <w:tcBorders>
              <w:left w:val="single" w:sz="4" w:space="0" w:color="auto"/>
            </w:tcBorders>
            <w:shd w:val="clear" w:color="auto" w:fill="auto"/>
            <w:vAlign w:val="center"/>
          </w:tcPr>
          <w:p w14:paraId="79A40DCD" w14:textId="77777777" w:rsidR="00660BE6" w:rsidRPr="00D03C4A" w:rsidRDefault="00660BE6" w:rsidP="00660BE6">
            <w:pPr>
              <w:rPr>
                <w:rFonts w:ascii="Arial Narrow" w:hAnsi="Arial Narrow" w:cs="Arial"/>
                <w:sz w:val="22"/>
                <w:szCs w:val="22"/>
              </w:rPr>
            </w:pPr>
            <w:r w:rsidRPr="00D03C4A">
              <w:rPr>
                <w:rFonts w:ascii="Arial Narrow" w:hAnsi="Arial Narrow" w:cs="Arial"/>
                <w:sz w:val="22"/>
                <w:szCs w:val="22"/>
              </w:rPr>
              <w:t xml:space="preserve">Dorchester </w:t>
            </w:r>
          </w:p>
        </w:tc>
        <w:tc>
          <w:tcPr>
            <w:tcW w:w="792" w:type="dxa"/>
            <w:shd w:val="clear" w:color="auto" w:fill="auto"/>
          </w:tcPr>
          <w:p w14:paraId="25B27BB8"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2,091</w:t>
            </w:r>
          </w:p>
        </w:tc>
        <w:tc>
          <w:tcPr>
            <w:tcW w:w="777" w:type="dxa"/>
            <w:shd w:val="clear" w:color="auto" w:fill="auto"/>
          </w:tcPr>
          <w:p w14:paraId="4B40FA44" w14:textId="77777777" w:rsidR="00660BE6" w:rsidRPr="00E20279" w:rsidRDefault="00660BE6" w:rsidP="00660BE6">
            <w:pPr>
              <w:jc w:val="right"/>
              <w:rPr>
                <w:rFonts w:ascii="Arial Narrow" w:hAnsi="Arial Narrow" w:cs="Arial"/>
                <w:sz w:val="22"/>
                <w:szCs w:val="22"/>
              </w:rPr>
            </w:pPr>
            <w:r w:rsidRPr="00E20279">
              <w:rPr>
                <w:rFonts w:ascii="Arial Narrow" w:hAnsi="Arial Narrow" w:cs="Arial"/>
                <w:sz w:val="22"/>
                <w:szCs w:val="22"/>
              </w:rPr>
              <w:t>17.4%</w:t>
            </w:r>
          </w:p>
        </w:tc>
        <w:tc>
          <w:tcPr>
            <w:tcW w:w="793" w:type="dxa"/>
            <w:shd w:val="clear" w:color="auto" w:fill="auto"/>
          </w:tcPr>
          <w:p w14:paraId="16CDD3EE"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2,57</w:t>
            </w:r>
            <w:r w:rsidR="00247FAF">
              <w:rPr>
                <w:rFonts w:ascii="Arial Narrow" w:hAnsi="Arial Narrow" w:cs="Arial"/>
                <w:sz w:val="22"/>
                <w:szCs w:val="22"/>
              </w:rPr>
              <w:t>2</w:t>
            </w:r>
          </w:p>
        </w:tc>
        <w:tc>
          <w:tcPr>
            <w:tcW w:w="777" w:type="dxa"/>
            <w:shd w:val="clear" w:color="auto" w:fill="auto"/>
          </w:tcPr>
          <w:p w14:paraId="7148010A" w14:textId="77777777" w:rsidR="00660BE6" w:rsidRPr="00AC4247" w:rsidRDefault="00E613BC" w:rsidP="00660BE6">
            <w:pPr>
              <w:jc w:val="right"/>
              <w:rPr>
                <w:rFonts w:ascii="Arial Narrow" w:hAnsi="Arial Narrow" w:cs="Arial"/>
                <w:sz w:val="22"/>
                <w:szCs w:val="22"/>
              </w:rPr>
            </w:pPr>
            <w:r>
              <w:rPr>
                <w:rFonts w:ascii="Arial Narrow" w:hAnsi="Arial Narrow" w:cs="Arial"/>
                <w:sz w:val="22"/>
                <w:szCs w:val="22"/>
              </w:rPr>
              <w:t>17.</w:t>
            </w:r>
            <w:r w:rsidR="006612BC">
              <w:rPr>
                <w:rFonts w:ascii="Arial Narrow" w:hAnsi="Arial Narrow" w:cs="Arial"/>
                <w:sz w:val="22"/>
                <w:szCs w:val="22"/>
              </w:rPr>
              <w:t>4</w:t>
            </w:r>
            <w:r w:rsidR="00660BE6" w:rsidRPr="0009306D">
              <w:rPr>
                <w:rFonts w:ascii="Arial Narrow" w:hAnsi="Arial Narrow" w:cs="Arial"/>
                <w:sz w:val="22"/>
                <w:szCs w:val="22"/>
              </w:rPr>
              <w:t>%</w:t>
            </w:r>
          </w:p>
        </w:tc>
        <w:tc>
          <w:tcPr>
            <w:tcW w:w="792" w:type="dxa"/>
            <w:shd w:val="clear" w:color="auto" w:fill="auto"/>
          </w:tcPr>
          <w:p w14:paraId="725CC395" w14:textId="77777777" w:rsidR="00660BE6" w:rsidRPr="00B0531B" w:rsidRDefault="00E20279" w:rsidP="00660BE6">
            <w:pPr>
              <w:jc w:val="right"/>
              <w:rPr>
                <w:rFonts w:ascii="Arial Narrow" w:hAnsi="Arial Narrow" w:cs="Arial"/>
                <w:sz w:val="22"/>
                <w:szCs w:val="22"/>
              </w:rPr>
            </w:pPr>
            <w:r w:rsidRPr="00B0531B">
              <w:rPr>
                <w:rFonts w:ascii="Arial Narrow" w:hAnsi="Arial Narrow" w:cs="Arial"/>
                <w:sz w:val="22"/>
                <w:szCs w:val="22"/>
              </w:rPr>
              <w:t>2</w:t>
            </w:r>
            <w:r w:rsidR="00B0531B" w:rsidRPr="00B0531B">
              <w:rPr>
                <w:rFonts w:ascii="Arial Narrow" w:hAnsi="Arial Narrow" w:cs="Arial"/>
                <w:sz w:val="22"/>
                <w:szCs w:val="22"/>
              </w:rPr>
              <w:t>,</w:t>
            </w:r>
            <w:r w:rsidR="006612BC">
              <w:rPr>
                <w:rFonts w:ascii="Arial Narrow" w:hAnsi="Arial Narrow" w:cs="Arial"/>
                <w:sz w:val="22"/>
                <w:szCs w:val="22"/>
              </w:rPr>
              <w:t>794</w:t>
            </w:r>
          </w:p>
        </w:tc>
        <w:tc>
          <w:tcPr>
            <w:tcW w:w="778" w:type="dxa"/>
            <w:shd w:val="clear" w:color="auto" w:fill="auto"/>
          </w:tcPr>
          <w:p w14:paraId="6BC81B25" w14:textId="77777777" w:rsidR="00660BE6" w:rsidRPr="00B0531B" w:rsidRDefault="00B0531B" w:rsidP="00660BE6">
            <w:pPr>
              <w:jc w:val="right"/>
              <w:rPr>
                <w:rFonts w:ascii="Arial Narrow" w:hAnsi="Arial Narrow" w:cs="Arial"/>
                <w:sz w:val="22"/>
                <w:szCs w:val="22"/>
              </w:rPr>
            </w:pPr>
            <w:r w:rsidRPr="00B0531B">
              <w:rPr>
                <w:rFonts w:ascii="Arial Narrow" w:hAnsi="Arial Narrow" w:cs="Arial"/>
                <w:sz w:val="22"/>
                <w:szCs w:val="22"/>
              </w:rPr>
              <w:t>18.1</w:t>
            </w:r>
            <w:r w:rsidR="00660BE6" w:rsidRPr="00B0531B">
              <w:rPr>
                <w:rFonts w:ascii="Arial Narrow" w:hAnsi="Arial Narrow" w:cs="Arial"/>
                <w:sz w:val="22"/>
                <w:szCs w:val="22"/>
              </w:rPr>
              <w:t>%</w:t>
            </w:r>
          </w:p>
        </w:tc>
        <w:tc>
          <w:tcPr>
            <w:tcW w:w="780" w:type="dxa"/>
            <w:shd w:val="clear" w:color="auto" w:fill="auto"/>
          </w:tcPr>
          <w:p w14:paraId="76C6498F"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1,61</w:t>
            </w:r>
            <w:r w:rsidR="006612BC">
              <w:rPr>
                <w:rFonts w:ascii="Arial Narrow" w:hAnsi="Arial Narrow" w:cs="Arial"/>
                <w:sz w:val="22"/>
                <w:szCs w:val="22"/>
              </w:rPr>
              <w:t>2</w:t>
            </w:r>
          </w:p>
        </w:tc>
        <w:tc>
          <w:tcPr>
            <w:tcW w:w="777" w:type="dxa"/>
            <w:tcBorders>
              <w:right w:val="single" w:sz="4" w:space="0" w:color="auto"/>
            </w:tcBorders>
            <w:shd w:val="clear" w:color="auto" w:fill="auto"/>
          </w:tcPr>
          <w:p w14:paraId="3000DB2D"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1</w:t>
            </w:r>
            <w:r w:rsidR="006612BC">
              <w:rPr>
                <w:rFonts w:ascii="Arial Narrow" w:hAnsi="Arial Narrow" w:cs="Arial"/>
                <w:sz w:val="22"/>
                <w:szCs w:val="22"/>
              </w:rPr>
              <w:t>7</w:t>
            </w:r>
            <w:r>
              <w:rPr>
                <w:rFonts w:ascii="Arial Narrow" w:hAnsi="Arial Narrow" w:cs="Arial"/>
                <w:sz w:val="22"/>
                <w:szCs w:val="22"/>
              </w:rPr>
              <w:t>.</w:t>
            </w:r>
            <w:r w:rsidR="006612BC">
              <w:rPr>
                <w:rFonts w:ascii="Arial Narrow" w:hAnsi="Arial Narrow" w:cs="Arial"/>
                <w:sz w:val="22"/>
                <w:szCs w:val="22"/>
              </w:rPr>
              <w:t>9</w:t>
            </w:r>
            <w:r w:rsidR="00660BE6" w:rsidRPr="00D752A7">
              <w:rPr>
                <w:rFonts w:ascii="Arial Narrow" w:hAnsi="Arial Narrow" w:cs="Arial"/>
                <w:sz w:val="22"/>
                <w:szCs w:val="22"/>
              </w:rPr>
              <w:t>%</w:t>
            </w:r>
          </w:p>
        </w:tc>
      </w:tr>
      <w:bookmarkEnd w:id="3"/>
      <w:tr w:rsidR="00E81809" w:rsidRPr="00AC4247" w14:paraId="231F70BF" w14:textId="77777777" w:rsidTr="00290CD0">
        <w:trPr>
          <w:cantSplit/>
          <w:trHeight w:val="20"/>
          <w:jc w:val="center"/>
        </w:trPr>
        <w:tc>
          <w:tcPr>
            <w:tcW w:w="2997" w:type="dxa"/>
            <w:tcBorders>
              <w:left w:val="single" w:sz="4" w:space="0" w:color="auto"/>
            </w:tcBorders>
            <w:shd w:val="clear" w:color="auto" w:fill="auto"/>
            <w:vAlign w:val="center"/>
          </w:tcPr>
          <w:p w14:paraId="0F2EC45B" w14:textId="77777777" w:rsidR="00660BE6" w:rsidRPr="00D03C4A" w:rsidRDefault="00660BE6" w:rsidP="00660BE6">
            <w:pPr>
              <w:rPr>
                <w:rFonts w:ascii="Arial Narrow" w:hAnsi="Arial Narrow" w:cs="Arial"/>
                <w:sz w:val="22"/>
                <w:szCs w:val="22"/>
              </w:rPr>
            </w:pPr>
            <w:r w:rsidRPr="00D03C4A">
              <w:rPr>
                <w:rFonts w:ascii="Arial Narrow" w:hAnsi="Arial Narrow" w:cs="Arial"/>
                <w:sz w:val="22"/>
                <w:szCs w:val="22"/>
              </w:rPr>
              <w:t>Boston</w:t>
            </w:r>
          </w:p>
        </w:tc>
        <w:tc>
          <w:tcPr>
            <w:tcW w:w="792" w:type="dxa"/>
            <w:shd w:val="clear" w:color="auto" w:fill="auto"/>
          </w:tcPr>
          <w:p w14:paraId="102F9C5F"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1,68</w:t>
            </w:r>
            <w:r w:rsidR="00AC1FDA">
              <w:rPr>
                <w:rFonts w:ascii="Arial Narrow" w:hAnsi="Arial Narrow" w:cs="Arial"/>
                <w:sz w:val="22"/>
                <w:szCs w:val="22"/>
              </w:rPr>
              <w:t>1</w:t>
            </w:r>
          </w:p>
        </w:tc>
        <w:tc>
          <w:tcPr>
            <w:tcW w:w="777" w:type="dxa"/>
            <w:shd w:val="clear" w:color="auto" w:fill="auto"/>
          </w:tcPr>
          <w:p w14:paraId="0D8E9CAA" w14:textId="77777777" w:rsidR="00660BE6" w:rsidRPr="00E20279" w:rsidRDefault="00660BE6" w:rsidP="00660BE6">
            <w:pPr>
              <w:jc w:val="right"/>
              <w:rPr>
                <w:rFonts w:ascii="Arial Narrow" w:hAnsi="Arial Narrow" w:cs="Arial"/>
                <w:sz w:val="22"/>
                <w:szCs w:val="22"/>
              </w:rPr>
            </w:pPr>
            <w:r w:rsidRPr="00E20279">
              <w:rPr>
                <w:rFonts w:ascii="Arial Narrow" w:hAnsi="Arial Narrow" w:cs="Arial"/>
                <w:sz w:val="22"/>
                <w:szCs w:val="22"/>
              </w:rPr>
              <w:t>14.0%</w:t>
            </w:r>
          </w:p>
        </w:tc>
        <w:tc>
          <w:tcPr>
            <w:tcW w:w="793" w:type="dxa"/>
            <w:shd w:val="clear" w:color="auto" w:fill="auto"/>
          </w:tcPr>
          <w:p w14:paraId="331CE96B"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2,042</w:t>
            </w:r>
          </w:p>
        </w:tc>
        <w:tc>
          <w:tcPr>
            <w:tcW w:w="777" w:type="dxa"/>
            <w:shd w:val="clear" w:color="auto" w:fill="auto"/>
          </w:tcPr>
          <w:p w14:paraId="77338888" w14:textId="77777777" w:rsidR="00660BE6" w:rsidRPr="00AC4247" w:rsidRDefault="00E613BC" w:rsidP="00660BE6">
            <w:pPr>
              <w:jc w:val="right"/>
              <w:rPr>
                <w:rFonts w:ascii="Arial Narrow" w:hAnsi="Arial Narrow" w:cs="Arial"/>
                <w:sz w:val="22"/>
                <w:szCs w:val="22"/>
              </w:rPr>
            </w:pPr>
            <w:r>
              <w:rPr>
                <w:rFonts w:ascii="Arial Narrow" w:hAnsi="Arial Narrow" w:cs="Arial"/>
                <w:sz w:val="22"/>
                <w:szCs w:val="22"/>
              </w:rPr>
              <w:t>13.8</w:t>
            </w:r>
            <w:r w:rsidR="00660BE6" w:rsidRPr="0009306D">
              <w:rPr>
                <w:rFonts w:ascii="Arial Narrow" w:hAnsi="Arial Narrow" w:cs="Arial"/>
                <w:sz w:val="22"/>
                <w:szCs w:val="22"/>
              </w:rPr>
              <w:t>%</w:t>
            </w:r>
          </w:p>
        </w:tc>
        <w:tc>
          <w:tcPr>
            <w:tcW w:w="792" w:type="dxa"/>
            <w:shd w:val="clear" w:color="auto" w:fill="auto"/>
          </w:tcPr>
          <w:p w14:paraId="0F09C15F" w14:textId="77777777" w:rsidR="00660BE6" w:rsidRPr="00B0531B" w:rsidRDefault="00E20279" w:rsidP="00660BE6">
            <w:pPr>
              <w:jc w:val="right"/>
              <w:rPr>
                <w:rFonts w:ascii="Arial Narrow" w:hAnsi="Arial Narrow" w:cs="Arial"/>
                <w:sz w:val="22"/>
                <w:szCs w:val="22"/>
              </w:rPr>
            </w:pPr>
            <w:r w:rsidRPr="00B0531B">
              <w:rPr>
                <w:rFonts w:ascii="Arial Narrow" w:hAnsi="Arial Narrow" w:cs="Arial"/>
                <w:sz w:val="22"/>
                <w:szCs w:val="22"/>
              </w:rPr>
              <w:t>2</w:t>
            </w:r>
            <w:r w:rsidR="00B0531B" w:rsidRPr="00B0531B">
              <w:rPr>
                <w:rFonts w:ascii="Arial Narrow" w:hAnsi="Arial Narrow" w:cs="Arial"/>
                <w:sz w:val="22"/>
                <w:szCs w:val="22"/>
              </w:rPr>
              <w:t>,</w:t>
            </w:r>
            <w:r w:rsidRPr="00B0531B">
              <w:rPr>
                <w:rFonts w:ascii="Arial Narrow" w:hAnsi="Arial Narrow" w:cs="Arial"/>
                <w:sz w:val="22"/>
                <w:szCs w:val="22"/>
              </w:rPr>
              <w:t>1</w:t>
            </w:r>
            <w:r w:rsidR="00AC1FDA">
              <w:rPr>
                <w:rFonts w:ascii="Arial Narrow" w:hAnsi="Arial Narrow" w:cs="Arial"/>
                <w:sz w:val="22"/>
                <w:szCs w:val="22"/>
              </w:rPr>
              <w:t>27</w:t>
            </w:r>
          </w:p>
        </w:tc>
        <w:tc>
          <w:tcPr>
            <w:tcW w:w="778" w:type="dxa"/>
            <w:shd w:val="clear" w:color="auto" w:fill="auto"/>
          </w:tcPr>
          <w:p w14:paraId="044C05A6" w14:textId="77777777" w:rsidR="00660BE6" w:rsidRPr="00B0531B" w:rsidRDefault="00B0531B" w:rsidP="00660BE6">
            <w:pPr>
              <w:jc w:val="right"/>
              <w:rPr>
                <w:rFonts w:ascii="Arial Narrow" w:hAnsi="Arial Narrow" w:cs="Arial"/>
                <w:sz w:val="22"/>
                <w:szCs w:val="22"/>
              </w:rPr>
            </w:pPr>
            <w:r w:rsidRPr="00B0531B">
              <w:rPr>
                <w:rFonts w:ascii="Arial Narrow" w:hAnsi="Arial Narrow" w:cs="Arial"/>
                <w:sz w:val="22"/>
                <w:szCs w:val="22"/>
              </w:rPr>
              <w:t>13.8</w:t>
            </w:r>
            <w:r w:rsidR="00660BE6" w:rsidRPr="00B0531B">
              <w:rPr>
                <w:rFonts w:ascii="Arial Narrow" w:hAnsi="Arial Narrow" w:cs="Arial"/>
                <w:sz w:val="22"/>
                <w:szCs w:val="22"/>
              </w:rPr>
              <w:t>%</w:t>
            </w:r>
          </w:p>
        </w:tc>
        <w:tc>
          <w:tcPr>
            <w:tcW w:w="780" w:type="dxa"/>
            <w:shd w:val="clear" w:color="auto" w:fill="auto"/>
          </w:tcPr>
          <w:p w14:paraId="73816441"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1,22</w:t>
            </w:r>
            <w:r w:rsidR="00830C65">
              <w:rPr>
                <w:rFonts w:ascii="Arial Narrow" w:hAnsi="Arial Narrow" w:cs="Arial"/>
                <w:sz w:val="22"/>
                <w:szCs w:val="22"/>
              </w:rPr>
              <w:t>3</w:t>
            </w:r>
          </w:p>
        </w:tc>
        <w:tc>
          <w:tcPr>
            <w:tcW w:w="777" w:type="dxa"/>
            <w:tcBorders>
              <w:right w:val="single" w:sz="4" w:space="0" w:color="auto"/>
            </w:tcBorders>
            <w:shd w:val="clear" w:color="auto" w:fill="auto"/>
          </w:tcPr>
          <w:p w14:paraId="45EFFF3C"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13.</w:t>
            </w:r>
            <w:r w:rsidR="00830C65">
              <w:rPr>
                <w:rFonts w:ascii="Arial Narrow" w:hAnsi="Arial Narrow" w:cs="Arial"/>
                <w:sz w:val="22"/>
                <w:szCs w:val="22"/>
              </w:rPr>
              <w:t>6</w:t>
            </w:r>
            <w:r w:rsidR="00660BE6" w:rsidRPr="00D752A7">
              <w:rPr>
                <w:rFonts w:ascii="Arial Narrow" w:hAnsi="Arial Narrow" w:cs="Arial"/>
                <w:sz w:val="22"/>
                <w:szCs w:val="22"/>
              </w:rPr>
              <w:t>%</w:t>
            </w:r>
          </w:p>
        </w:tc>
      </w:tr>
      <w:tr w:rsidR="00E81809" w:rsidRPr="00AC4247" w14:paraId="52851A9E" w14:textId="77777777" w:rsidTr="00290CD0">
        <w:trPr>
          <w:cantSplit/>
          <w:trHeight w:val="20"/>
          <w:jc w:val="center"/>
        </w:trPr>
        <w:tc>
          <w:tcPr>
            <w:tcW w:w="2997" w:type="dxa"/>
            <w:tcBorders>
              <w:left w:val="single" w:sz="4" w:space="0" w:color="auto"/>
            </w:tcBorders>
            <w:shd w:val="clear" w:color="auto" w:fill="auto"/>
            <w:vAlign w:val="center"/>
          </w:tcPr>
          <w:p w14:paraId="083521F6" w14:textId="77777777" w:rsidR="00660BE6" w:rsidRPr="00D03C4A" w:rsidRDefault="00660BE6" w:rsidP="00660BE6">
            <w:pPr>
              <w:rPr>
                <w:rFonts w:ascii="Arial Narrow" w:hAnsi="Arial Narrow" w:cs="Arial"/>
                <w:sz w:val="22"/>
                <w:szCs w:val="22"/>
              </w:rPr>
            </w:pPr>
            <w:r w:rsidRPr="00D03C4A">
              <w:rPr>
                <w:rFonts w:ascii="Arial Narrow" w:hAnsi="Arial Narrow" w:cs="Arial"/>
                <w:sz w:val="22"/>
                <w:szCs w:val="22"/>
              </w:rPr>
              <w:t>Roxbury</w:t>
            </w:r>
          </w:p>
        </w:tc>
        <w:tc>
          <w:tcPr>
            <w:tcW w:w="792" w:type="dxa"/>
            <w:shd w:val="clear" w:color="auto" w:fill="auto"/>
          </w:tcPr>
          <w:p w14:paraId="79649449"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551</w:t>
            </w:r>
          </w:p>
        </w:tc>
        <w:tc>
          <w:tcPr>
            <w:tcW w:w="777" w:type="dxa"/>
            <w:shd w:val="clear" w:color="auto" w:fill="auto"/>
          </w:tcPr>
          <w:p w14:paraId="22999E05" w14:textId="77777777" w:rsidR="00660BE6" w:rsidRPr="00E20279" w:rsidRDefault="00660BE6" w:rsidP="00660BE6">
            <w:pPr>
              <w:jc w:val="right"/>
              <w:rPr>
                <w:rFonts w:ascii="Arial Narrow" w:hAnsi="Arial Narrow" w:cs="Arial"/>
                <w:sz w:val="22"/>
                <w:szCs w:val="22"/>
              </w:rPr>
            </w:pPr>
            <w:r w:rsidRPr="00E20279">
              <w:rPr>
                <w:rFonts w:ascii="Arial Narrow" w:hAnsi="Arial Narrow" w:cs="Arial"/>
                <w:sz w:val="22"/>
                <w:szCs w:val="22"/>
              </w:rPr>
              <w:t>4.6%</w:t>
            </w:r>
          </w:p>
        </w:tc>
        <w:tc>
          <w:tcPr>
            <w:tcW w:w="793" w:type="dxa"/>
            <w:shd w:val="clear" w:color="auto" w:fill="auto"/>
          </w:tcPr>
          <w:p w14:paraId="7A4FF610"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67</w:t>
            </w:r>
            <w:r w:rsidR="00830C65">
              <w:rPr>
                <w:rFonts w:ascii="Arial Narrow" w:hAnsi="Arial Narrow" w:cs="Arial"/>
                <w:sz w:val="22"/>
                <w:szCs w:val="22"/>
              </w:rPr>
              <w:t>3</w:t>
            </w:r>
          </w:p>
        </w:tc>
        <w:tc>
          <w:tcPr>
            <w:tcW w:w="777" w:type="dxa"/>
            <w:shd w:val="clear" w:color="auto" w:fill="auto"/>
          </w:tcPr>
          <w:p w14:paraId="689FB241" w14:textId="77777777" w:rsidR="00660BE6" w:rsidRPr="00AC4247" w:rsidRDefault="00E613BC" w:rsidP="00660BE6">
            <w:pPr>
              <w:jc w:val="right"/>
              <w:rPr>
                <w:rFonts w:ascii="Arial Narrow" w:hAnsi="Arial Narrow" w:cs="Arial"/>
                <w:sz w:val="22"/>
                <w:szCs w:val="22"/>
              </w:rPr>
            </w:pPr>
            <w:r>
              <w:rPr>
                <w:rFonts w:ascii="Arial Narrow" w:hAnsi="Arial Narrow" w:cs="Arial"/>
                <w:sz w:val="22"/>
                <w:szCs w:val="22"/>
              </w:rPr>
              <w:t>4.5</w:t>
            </w:r>
            <w:r w:rsidR="00660BE6" w:rsidRPr="0009306D">
              <w:rPr>
                <w:rFonts w:ascii="Arial Narrow" w:hAnsi="Arial Narrow" w:cs="Arial"/>
                <w:sz w:val="22"/>
                <w:szCs w:val="22"/>
              </w:rPr>
              <w:t>%</w:t>
            </w:r>
          </w:p>
        </w:tc>
        <w:tc>
          <w:tcPr>
            <w:tcW w:w="792" w:type="dxa"/>
            <w:shd w:val="clear" w:color="auto" w:fill="auto"/>
          </w:tcPr>
          <w:p w14:paraId="51865DED" w14:textId="77777777" w:rsidR="00660BE6" w:rsidRPr="00B0531B" w:rsidRDefault="00E20279" w:rsidP="00660BE6">
            <w:pPr>
              <w:jc w:val="right"/>
              <w:rPr>
                <w:rFonts w:ascii="Arial Narrow" w:hAnsi="Arial Narrow" w:cs="Arial"/>
                <w:sz w:val="22"/>
                <w:szCs w:val="22"/>
              </w:rPr>
            </w:pPr>
            <w:r w:rsidRPr="00B0531B">
              <w:rPr>
                <w:rFonts w:ascii="Arial Narrow" w:hAnsi="Arial Narrow" w:cs="Arial"/>
                <w:sz w:val="22"/>
                <w:szCs w:val="22"/>
              </w:rPr>
              <w:t>72</w:t>
            </w:r>
            <w:r w:rsidR="00830C65">
              <w:rPr>
                <w:rFonts w:ascii="Arial Narrow" w:hAnsi="Arial Narrow" w:cs="Arial"/>
                <w:sz w:val="22"/>
                <w:szCs w:val="22"/>
              </w:rPr>
              <w:t>5</w:t>
            </w:r>
          </w:p>
        </w:tc>
        <w:tc>
          <w:tcPr>
            <w:tcW w:w="778" w:type="dxa"/>
            <w:shd w:val="clear" w:color="auto" w:fill="auto"/>
          </w:tcPr>
          <w:p w14:paraId="2ACE1FAC" w14:textId="77777777" w:rsidR="00660BE6" w:rsidRPr="00B0531B" w:rsidRDefault="00B0531B" w:rsidP="00660BE6">
            <w:pPr>
              <w:jc w:val="right"/>
              <w:rPr>
                <w:rFonts w:ascii="Arial Narrow" w:hAnsi="Arial Narrow" w:cs="Arial"/>
                <w:sz w:val="22"/>
                <w:szCs w:val="22"/>
              </w:rPr>
            </w:pPr>
            <w:r w:rsidRPr="00B0531B">
              <w:rPr>
                <w:rFonts w:ascii="Arial Narrow" w:hAnsi="Arial Narrow" w:cs="Arial"/>
                <w:sz w:val="22"/>
                <w:szCs w:val="22"/>
              </w:rPr>
              <w:t>4.7</w:t>
            </w:r>
            <w:r w:rsidR="00660BE6" w:rsidRPr="00B0531B">
              <w:rPr>
                <w:rFonts w:ascii="Arial Narrow" w:hAnsi="Arial Narrow" w:cs="Arial"/>
                <w:sz w:val="22"/>
                <w:szCs w:val="22"/>
              </w:rPr>
              <w:t>%</w:t>
            </w:r>
          </w:p>
        </w:tc>
        <w:tc>
          <w:tcPr>
            <w:tcW w:w="780" w:type="dxa"/>
            <w:shd w:val="clear" w:color="auto" w:fill="auto"/>
          </w:tcPr>
          <w:p w14:paraId="40A1C367"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43</w:t>
            </w:r>
            <w:r w:rsidR="00080DCE">
              <w:rPr>
                <w:rFonts w:ascii="Arial Narrow" w:hAnsi="Arial Narrow" w:cs="Arial"/>
                <w:sz w:val="22"/>
                <w:szCs w:val="22"/>
              </w:rPr>
              <w:t>0</w:t>
            </w:r>
          </w:p>
        </w:tc>
        <w:tc>
          <w:tcPr>
            <w:tcW w:w="777" w:type="dxa"/>
            <w:tcBorders>
              <w:right w:val="single" w:sz="4" w:space="0" w:color="auto"/>
            </w:tcBorders>
            <w:shd w:val="clear" w:color="auto" w:fill="auto"/>
          </w:tcPr>
          <w:p w14:paraId="18D22FEB"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4.8</w:t>
            </w:r>
            <w:r w:rsidR="00660BE6" w:rsidRPr="00D752A7">
              <w:rPr>
                <w:rFonts w:ascii="Arial Narrow" w:hAnsi="Arial Narrow" w:cs="Arial"/>
                <w:sz w:val="22"/>
                <w:szCs w:val="22"/>
              </w:rPr>
              <w:t>%</w:t>
            </w:r>
          </w:p>
        </w:tc>
      </w:tr>
      <w:tr w:rsidR="00E81809" w:rsidRPr="00AC4247" w14:paraId="244674E2" w14:textId="77777777" w:rsidTr="00290CD0">
        <w:trPr>
          <w:cantSplit/>
          <w:trHeight w:val="20"/>
          <w:jc w:val="center"/>
        </w:trPr>
        <w:tc>
          <w:tcPr>
            <w:tcW w:w="2997" w:type="dxa"/>
            <w:tcBorders>
              <w:left w:val="single" w:sz="4" w:space="0" w:color="auto"/>
            </w:tcBorders>
            <w:shd w:val="clear" w:color="auto" w:fill="auto"/>
            <w:vAlign w:val="center"/>
          </w:tcPr>
          <w:p w14:paraId="575B0DD7" w14:textId="77777777" w:rsidR="00660BE6" w:rsidRPr="00D03C4A" w:rsidRDefault="00660BE6" w:rsidP="00660BE6">
            <w:pPr>
              <w:rPr>
                <w:rFonts w:ascii="Arial Narrow" w:hAnsi="Arial Narrow" w:cs="Arial"/>
                <w:sz w:val="22"/>
                <w:szCs w:val="22"/>
              </w:rPr>
            </w:pPr>
            <w:r w:rsidRPr="00D03C4A">
              <w:rPr>
                <w:rFonts w:ascii="Arial Narrow" w:hAnsi="Arial Narrow" w:cs="Arial"/>
                <w:sz w:val="22"/>
                <w:szCs w:val="22"/>
              </w:rPr>
              <w:t xml:space="preserve">Brockton </w:t>
            </w:r>
          </w:p>
        </w:tc>
        <w:tc>
          <w:tcPr>
            <w:tcW w:w="792" w:type="dxa"/>
            <w:shd w:val="clear" w:color="auto" w:fill="auto"/>
          </w:tcPr>
          <w:p w14:paraId="5B2EE744"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470</w:t>
            </w:r>
          </w:p>
        </w:tc>
        <w:tc>
          <w:tcPr>
            <w:tcW w:w="777" w:type="dxa"/>
            <w:shd w:val="clear" w:color="auto" w:fill="auto"/>
          </w:tcPr>
          <w:p w14:paraId="316B06B4" w14:textId="77777777" w:rsidR="00660BE6" w:rsidRPr="00E20279" w:rsidRDefault="00660BE6" w:rsidP="00660BE6">
            <w:pPr>
              <w:jc w:val="right"/>
              <w:rPr>
                <w:rFonts w:ascii="Arial Narrow" w:hAnsi="Arial Narrow" w:cs="Arial"/>
                <w:sz w:val="22"/>
                <w:szCs w:val="22"/>
              </w:rPr>
            </w:pPr>
            <w:r w:rsidRPr="00E20279">
              <w:rPr>
                <w:rFonts w:ascii="Arial Narrow" w:hAnsi="Arial Narrow" w:cs="Arial"/>
                <w:sz w:val="22"/>
                <w:szCs w:val="22"/>
              </w:rPr>
              <w:t>3.9%</w:t>
            </w:r>
          </w:p>
        </w:tc>
        <w:tc>
          <w:tcPr>
            <w:tcW w:w="793" w:type="dxa"/>
            <w:shd w:val="clear" w:color="auto" w:fill="auto"/>
          </w:tcPr>
          <w:p w14:paraId="71ECE98D" w14:textId="77777777" w:rsidR="00660BE6" w:rsidRPr="00E20279" w:rsidRDefault="00E20279" w:rsidP="00660BE6">
            <w:pPr>
              <w:jc w:val="right"/>
              <w:rPr>
                <w:rFonts w:ascii="Arial Narrow" w:hAnsi="Arial Narrow" w:cs="Arial"/>
                <w:sz w:val="22"/>
                <w:szCs w:val="22"/>
              </w:rPr>
            </w:pPr>
            <w:r w:rsidRPr="00E20279">
              <w:rPr>
                <w:rFonts w:ascii="Arial Narrow" w:hAnsi="Arial Narrow" w:cs="Arial"/>
                <w:sz w:val="22"/>
                <w:szCs w:val="22"/>
              </w:rPr>
              <w:t>589</w:t>
            </w:r>
          </w:p>
        </w:tc>
        <w:tc>
          <w:tcPr>
            <w:tcW w:w="777" w:type="dxa"/>
            <w:shd w:val="clear" w:color="auto" w:fill="auto"/>
          </w:tcPr>
          <w:p w14:paraId="28C8AEF9" w14:textId="77777777" w:rsidR="00660BE6" w:rsidRPr="00AC4247" w:rsidRDefault="00E613BC" w:rsidP="00660BE6">
            <w:pPr>
              <w:jc w:val="right"/>
              <w:rPr>
                <w:rFonts w:ascii="Arial Narrow" w:hAnsi="Arial Narrow" w:cs="Arial"/>
                <w:sz w:val="22"/>
                <w:szCs w:val="22"/>
              </w:rPr>
            </w:pPr>
            <w:r>
              <w:rPr>
                <w:rFonts w:ascii="Arial Narrow" w:hAnsi="Arial Narrow" w:cs="Arial"/>
                <w:sz w:val="22"/>
                <w:szCs w:val="22"/>
              </w:rPr>
              <w:t>4.0</w:t>
            </w:r>
            <w:r w:rsidR="00660BE6" w:rsidRPr="0009306D">
              <w:rPr>
                <w:rFonts w:ascii="Arial Narrow" w:hAnsi="Arial Narrow" w:cs="Arial"/>
                <w:sz w:val="22"/>
                <w:szCs w:val="22"/>
              </w:rPr>
              <w:t>%</w:t>
            </w:r>
          </w:p>
        </w:tc>
        <w:tc>
          <w:tcPr>
            <w:tcW w:w="792" w:type="dxa"/>
            <w:shd w:val="clear" w:color="auto" w:fill="auto"/>
          </w:tcPr>
          <w:p w14:paraId="35ED5DE6" w14:textId="77777777" w:rsidR="00660BE6" w:rsidRPr="00B0531B" w:rsidRDefault="00E20279" w:rsidP="00660BE6">
            <w:pPr>
              <w:jc w:val="right"/>
              <w:rPr>
                <w:rFonts w:ascii="Arial Narrow" w:hAnsi="Arial Narrow" w:cs="Arial"/>
                <w:sz w:val="22"/>
                <w:szCs w:val="22"/>
              </w:rPr>
            </w:pPr>
            <w:r w:rsidRPr="00B0531B">
              <w:rPr>
                <w:rFonts w:ascii="Arial Narrow" w:hAnsi="Arial Narrow" w:cs="Arial"/>
                <w:sz w:val="22"/>
                <w:szCs w:val="22"/>
              </w:rPr>
              <w:t>60</w:t>
            </w:r>
            <w:r w:rsidR="00080DCE">
              <w:rPr>
                <w:rFonts w:ascii="Arial Narrow" w:hAnsi="Arial Narrow" w:cs="Arial"/>
                <w:sz w:val="22"/>
                <w:szCs w:val="22"/>
              </w:rPr>
              <w:t>2</w:t>
            </w:r>
          </w:p>
        </w:tc>
        <w:tc>
          <w:tcPr>
            <w:tcW w:w="778" w:type="dxa"/>
            <w:shd w:val="clear" w:color="auto" w:fill="auto"/>
          </w:tcPr>
          <w:p w14:paraId="6E38196B" w14:textId="77777777" w:rsidR="00660BE6" w:rsidRPr="00B0531B" w:rsidRDefault="00B0531B" w:rsidP="00660BE6">
            <w:pPr>
              <w:jc w:val="right"/>
              <w:rPr>
                <w:rFonts w:ascii="Arial Narrow" w:hAnsi="Arial Narrow" w:cs="Arial"/>
                <w:sz w:val="22"/>
                <w:szCs w:val="22"/>
              </w:rPr>
            </w:pPr>
            <w:r w:rsidRPr="00B0531B">
              <w:rPr>
                <w:rFonts w:ascii="Arial Narrow" w:hAnsi="Arial Narrow" w:cs="Arial"/>
                <w:sz w:val="22"/>
                <w:szCs w:val="22"/>
              </w:rPr>
              <w:t>3.9</w:t>
            </w:r>
            <w:r w:rsidR="00660BE6" w:rsidRPr="00B0531B">
              <w:rPr>
                <w:rFonts w:ascii="Arial Narrow" w:hAnsi="Arial Narrow" w:cs="Arial"/>
                <w:sz w:val="22"/>
                <w:szCs w:val="22"/>
              </w:rPr>
              <w:t>%</w:t>
            </w:r>
          </w:p>
        </w:tc>
        <w:tc>
          <w:tcPr>
            <w:tcW w:w="780" w:type="dxa"/>
            <w:shd w:val="clear" w:color="auto" w:fill="auto"/>
          </w:tcPr>
          <w:p w14:paraId="7934080B"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39</w:t>
            </w:r>
            <w:r w:rsidR="00781563">
              <w:rPr>
                <w:rFonts w:ascii="Arial Narrow" w:hAnsi="Arial Narrow" w:cs="Arial"/>
                <w:sz w:val="22"/>
                <w:szCs w:val="22"/>
              </w:rPr>
              <w:t>7</w:t>
            </w:r>
          </w:p>
        </w:tc>
        <w:tc>
          <w:tcPr>
            <w:tcW w:w="777" w:type="dxa"/>
            <w:tcBorders>
              <w:right w:val="single" w:sz="4" w:space="0" w:color="auto"/>
            </w:tcBorders>
            <w:shd w:val="clear" w:color="auto" w:fill="auto"/>
          </w:tcPr>
          <w:p w14:paraId="5C2576AB" w14:textId="77777777" w:rsidR="00660BE6" w:rsidRPr="00AC4247" w:rsidRDefault="00B0531B" w:rsidP="00660BE6">
            <w:pPr>
              <w:jc w:val="right"/>
              <w:rPr>
                <w:rFonts w:ascii="Arial Narrow" w:hAnsi="Arial Narrow" w:cs="Arial"/>
                <w:sz w:val="22"/>
                <w:szCs w:val="22"/>
              </w:rPr>
            </w:pPr>
            <w:r>
              <w:rPr>
                <w:rFonts w:ascii="Arial Narrow" w:hAnsi="Arial Narrow" w:cs="Arial"/>
                <w:sz w:val="22"/>
                <w:szCs w:val="22"/>
              </w:rPr>
              <w:t>4.4</w:t>
            </w:r>
            <w:r w:rsidR="00660BE6" w:rsidRPr="00D752A7">
              <w:rPr>
                <w:rFonts w:ascii="Arial Narrow" w:hAnsi="Arial Narrow" w:cs="Arial"/>
                <w:sz w:val="22"/>
                <w:szCs w:val="22"/>
              </w:rPr>
              <w:t>%</w:t>
            </w:r>
          </w:p>
        </w:tc>
      </w:tr>
      <w:tr w:rsidR="00E81809" w:rsidRPr="00AC4247" w14:paraId="2212B885" w14:textId="77777777" w:rsidTr="00290CD0">
        <w:trPr>
          <w:cantSplit/>
          <w:trHeight w:val="20"/>
          <w:jc w:val="center"/>
        </w:trPr>
        <w:tc>
          <w:tcPr>
            <w:tcW w:w="2997" w:type="dxa"/>
            <w:tcBorders>
              <w:left w:val="single" w:sz="4" w:space="0" w:color="auto"/>
            </w:tcBorders>
            <w:shd w:val="clear" w:color="auto" w:fill="auto"/>
            <w:vAlign w:val="center"/>
          </w:tcPr>
          <w:p w14:paraId="3DFED81F" w14:textId="77777777" w:rsidR="00407CE6" w:rsidRPr="00D03C4A" w:rsidRDefault="00407CE6" w:rsidP="00407CE6">
            <w:pPr>
              <w:rPr>
                <w:rFonts w:ascii="Arial Narrow" w:hAnsi="Arial Narrow" w:cs="Arial"/>
                <w:sz w:val="22"/>
                <w:szCs w:val="22"/>
              </w:rPr>
            </w:pPr>
            <w:r w:rsidRPr="00D03C4A">
              <w:rPr>
                <w:rFonts w:ascii="Arial Narrow" w:hAnsi="Arial Narrow" w:cs="Arial"/>
                <w:sz w:val="22"/>
                <w:szCs w:val="22"/>
              </w:rPr>
              <w:t xml:space="preserve">Revere </w:t>
            </w:r>
          </w:p>
        </w:tc>
        <w:tc>
          <w:tcPr>
            <w:tcW w:w="792" w:type="dxa"/>
            <w:shd w:val="clear" w:color="auto" w:fill="auto"/>
          </w:tcPr>
          <w:p w14:paraId="74B5E4D1" w14:textId="77777777" w:rsidR="00407CE6" w:rsidRPr="00E20279" w:rsidRDefault="00407CE6" w:rsidP="00407CE6">
            <w:pPr>
              <w:jc w:val="right"/>
              <w:rPr>
                <w:rFonts w:ascii="Arial Narrow" w:hAnsi="Arial Narrow" w:cs="Arial"/>
                <w:sz w:val="22"/>
                <w:szCs w:val="22"/>
              </w:rPr>
            </w:pPr>
            <w:r w:rsidRPr="00E20279">
              <w:rPr>
                <w:rFonts w:ascii="Arial Narrow" w:hAnsi="Arial Narrow" w:cs="Arial"/>
                <w:sz w:val="22"/>
                <w:szCs w:val="22"/>
              </w:rPr>
              <w:t>448</w:t>
            </w:r>
          </w:p>
        </w:tc>
        <w:tc>
          <w:tcPr>
            <w:tcW w:w="777" w:type="dxa"/>
            <w:shd w:val="clear" w:color="auto" w:fill="auto"/>
          </w:tcPr>
          <w:p w14:paraId="011811AD" w14:textId="77777777" w:rsidR="00407CE6" w:rsidRPr="00E20279" w:rsidRDefault="00407CE6" w:rsidP="00407CE6">
            <w:pPr>
              <w:jc w:val="right"/>
              <w:rPr>
                <w:rFonts w:ascii="Arial Narrow" w:hAnsi="Arial Narrow" w:cs="Arial"/>
                <w:sz w:val="22"/>
                <w:szCs w:val="22"/>
              </w:rPr>
            </w:pPr>
            <w:r w:rsidRPr="00E20279">
              <w:rPr>
                <w:rFonts w:ascii="Arial Narrow" w:hAnsi="Arial Narrow" w:cs="Arial"/>
                <w:sz w:val="22"/>
                <w:szCs w:val="22"/>
              </w:rPr>
              <w:t>3.7%</w:t>
            </w:r>
          </w:p>
        </w:tc>
        <w:tc>
          <w:tcPr>
            <w:tcW w:w="793" w:type="dxa"/>
            <w:shd w:val="clear" w:color="auto" w:fill="auto"/>
          </w:tcPr>
          <w:p w14:paraId="136AD51E" w14:textId="77777777" w:rsidR="00407CE6" w:rsidRPr="00E20279" w:rsidRDefault="00407CE6" w:rsidP="00407CE6">
            <w:pPr>
              <w:jc w:val="right"/>
              <w:rPr>
                <w:rFonts w:ascii="Arial Narrow" w:hAnsi="Arial Narrow" w:cs="Arial"/>
                <w:sz w:val="22"/>
                <w:szCs w:val="22"/>
              </w:rPr>
            </w:pPr>
            <w:r w:rsidRPr="00E20279">
              <w:rPr>
                <w:rFonts w:ascii="Arial Narrow" w:hAnsi="Arial Narrow" w:cs="Arial"/>
                <w:sz w:val="22"/>
                <w:szCs w:val="22"/>
              </w:rPr>
              <w:t>577</w:t>
            </w:r>
          </w:p>
        </w:tc>
        <w:tc>
          <w:tcPr>
            <w:tcW w:w="777" w:type="dxa"/>
            <w:shd w:val="clear" w:color="auto" w:fill="auto"/>
          </w:tcPr>
          <w:p w14:paraId="047EAD61" w14:textId="77777777" w:rsidR="00407CE6" w:rsidRPr="00AC4247" w:rsidRDefault="00407CE6" w:rsidP="00407CE6">
            <w:pPr>
              <w:jc w:val="right"/>
              <w:rPr>
                <w:rFonts w:ascii="Arial Narrow" w:hAnsi="Arial Narrow" w:cs="Arial"/>
                <w:sz w:val="22"/>
                <w:szCs w:val="22"/>
              </w:rPr>
            </w:pPr>
            <w:r>
              <w:rPr>
                <w:rFonts w:ascii="Arial Narrow" w:hAnsi="Arial Narrow" w:cs="Arial"/>
                <w:sz w:val="22"/>
                <w:szCs w:val="22"/>
              </w:rPr>
              <w:t>3.9</w:t>
            </w:r>
            <w:r w:rsidRPr="0009306D">
              <w:rPr>
                <w:rFonts w:ascii="Arial Narrow" w:hAnsi="Arial Narrow" w:cs="Arial"/>
                <w:sz w:val="22"/>
                <w:szCs w:val="22"/>
              </w:rPr>
              <w:t>%</w:t>
            </w:r>
          </w:p>
        </w:tc>
        <w:tc>
          <w:tcPr>
            <w:tcW w:w="792" w:type="dxa"/>
            <w:shd w:val="clear" w:color="auto" w:fill="auto"/>
          </w:tcPr>
          <w:p w14:paraId="0ACE1A2D" w14:textId="77777777" w:rsidR="00407CE6" w:rsidRPr="00B0531B" w:rsidRDefault="00407CE6" w:rsidP="00407CE6">
            <w:pPr>
              <w:jc w:val="right"/>
              <w:rPr>
                <w:rFonts w:ascii="Arial Narrow" w:hAnsi="Arial Narrow" w:cs="Arial"/>
                <w:sz w:val="22"/>
                <w:szCs w:val="22"/>
              </w:rPr>
            </w:pPr>
            <w:r w:rsidRPr="00B0531B">
              <w:rPr>
                <w:rFonts w:ascii="Arial Narrow" w:hAnsi="Arial Narrow" w:cs="Arial"/>
                <w:sz w:val="22"/>
                <w:szCs w:val="22"/>
              </w:rPr>
              <w:t>55</w:t>
            </w:r>
            <w:r>
              <w:rPr>
                <w:rFonts w:ascii="Arial Narrow" w:hAnsi="Arial Narrow" w:cs="Arial"/>
                <w:sz w:val="22"/>
                <w:szCs w:val="22"/>
              </w:rPr>
              <w:t>7</w:t>
            </w:r>
          </w:p>
        </w:tc>
        <w:tc>
          <w:tcPr>
            <w:tcW w:w="778" w:type="dxa"/>
            <w:shd w:val="clear" w:color="auto" w:fill="auto"/>
          </w:tcPr>
          <w:p w14:paraId="1FCEE776" w14:textId="77777777" w:rsidR="00407CE6" w:rsidRPr="00B0531B" w:rsidRDefault="00407CE6" w:rsidP="00407CE6">
            <w:pPr>
              <w:jc w:val="right"/>
              <w:rPr>
                <w:rFonts w:ascii="Arial Narrow" w:hAnsi="Arial Narrow" w:cs="Arial"/>
                <w:sz w:val="22"/>
                <w:szCs w:val="22"/>
              </w:rPr>
            </w:pPr>
            <w:r w:rsidRPr="00B0531B">
              <w:rPr>
                <w:rFonts w:ascii="Arial Narrow" w:hAnsi="Arial Narrow" w:cs="Arial"/>
                <w:sz w:val="22"/>
                <w:szCs w:val="22"/>
              </w:rPr>
              <w:t>3.6%</w:t>
            </w:r>
          </w:p>
        </w:tc>
        <w:tc>
          <w:tcPr>
            <w:tcW w:w="780" w:type="dxa"/>
            <w:shd w:val="clear" w:color="auto" w:fill="auto"/>
          </w:tcPr>
          <w:p w14:paraId="5F92510D" w14:textId="77777777" w:rsidR="00407CE6" w:rsidRPr="00AC4247" w:rsidRDefault="00407CE6" w:rsidP="00407CE6">
            <w:pPr>
              <w:jc w:val="right"/>
              <w:rPr>
                <w:rFonts w:ascii="Arial Narrow" w:hAnsi="Arial Narrow" w:cs="Arial"/>
                <w:sz w:val="22"/>
                <w:szCs w:val="22"/>
              </w:rPr>
            </w:pPr>
            <w:r>
              <w:rPr>
                <w:rFonts w:ascii="Arial Narrow" w:hAnsi="Arial Narrow" w:cs="Arial"/>
                <w:sz w:val="22"/>
                <w:szCs w:val="22"/>
              </w:rPr>
              <w:t>36</w:t>
            </w:r>
            <w:r w:rsidR="00635544">
              <w:rPr>
                <w:rFonts w:ascii="Arial Narrow" w:hAnsi="Arial Narrow" w:cs="Arial"/>
                <w:sz w:val="22"/>
                <w:szCs w:val="22"/>
              </w:rPr>
              <w:t>4</w:t>
            </w:r>
          </w:p>
        </w:tc>
        <w:tc>
          <w:tcPr>
            <w:tcW w:w="777" w:type="dxa"/>
            <w:tcBorders>
              <w:right w:val="single" w:sz="4" w:space="0" w:color="auto"/>
            </w:tcBorders>
            <w:shd w:val="clear" w:color="auto" w:fill="auto"/>
          </w:tcPr>
          <w:p w14:paraId="0B3C443E" w14:textId="77777777" w:rsidR="00407CE6" w:rsidRPr="00AC4247" w:rsidRDefault="00407CE6" w:rsidP="00407CE6">
            <w:pPr>
              <w:jc w:val="right"/>
              <w:rPr>
                <w:rFonts w:ascii="Arial Narrow" w:hAnsi="Arial Narrow" w:cs="Arial"/>
                <w:sz w:val="22"/>
                <w:szCs w:val="22"/>
              </w:rPr>
            </w:pPr>
            <w:r>
              <w:rPr>
                <w:rFonts w:ascii="Arial Narrow" w:hAnsi="Arial Narrow" w:cs="Arial"/>
                <w:sz w:val="22"/>
                <w:szCs w:val="22"/>
              </w:rPr>
              <w:t>4.</w:t>
            </w:r>
            <w:r w:rsidR="00635544">
              <w:rPr>
                <w:rFonts w:ascii="Arial Narrow" w:hAnsi="Arial Narrow" w:cs="Arial"/>
                <w:sz w:val="22"/>
                <w:szCs w:val="22"/>
              </w:rPr>
              <w:t>0</w:t>
            </w:r>
            <w:r w:rsidRPr="00D752A7">
              <w:rPr>
                <w:rFonts w:ascii="Arial Narrow" w:hAnsi="Arial Narrow" w:cs="Arial"/>
                <w:sz w:val="22"/>
                <w:szCs w:val="22"/>
              </w:rPr>
              <w:t>%</w:t>
            </w:r>
          </w:p>
        </w:tc>
      </w:tr>
      <w:tr w:rsidR="00E81809" w:rsidRPr="00AC4247" w14:paraId="0BB1BD56" w14:textId="77777777" w:rsidTr="00290CD0">
        <w:trPr>
          <w:cantSplit/>
          <w:trHeight w:val="20"/>
          <w:jc w:val="center"/>
        </w:trPr>
        <w:tc>
          <w:tcPr>
            <w:tcW w:w="2997" w:type="dxa"/>
            <w:tcBorders>
              <w:left w:val="single" w:sz="4" w:space="0" w:color="auto"/>
            </w:tcBorders>
            <w:shd w:val="clear" w:color="auto" w:fill="auto"/>
            <w:vAlign w:val="center"/>
          </w:tcPr>
          <w:p w14:paraId="433D906C" w14:textId="77777777" w:rsidR="00255AA5" w:rsidRPr="00D03C4A" w:rsidRDefault="00255AA5" w:rsidP="00255AA5">
            <w:pPr>
              <w:rPr>
                <w:rFonts w:ascii="Arial Narrow" w:hAnsi="Arial Narrow" w:cs="Arial"/>
                <w:sz w:val="22"/>
                <w:szCs w:val="22"/>
              </w:rPr>
            </w:pPr>
            <w:r w:rsidRPr="00D03C4A">
              <w:rPr>
                <w:rFonts w:ascii="Arial Narrow" w:hAnsi="Arial Narrow" w:cs="Arial"/>
                <w:sz w:val="22"/>
                <w:szCs w:val="22"/>
              </w:rPr>
              <w:t>Chelsea</w:t>
            </w:r>
          </w:p>
        </w:tc>
        <w:tc>
          <w:tcPr>
            <w:tcW w:w="792" w:type="dxa"/>
            <w:shd w:val="clear" w:color="auto" w:fill="auto"/>
          </w:tcPr>
          <w:p w14:paraId="2BDA4B5D" w14:textId="77777777" w:rsidR="00255AA5" w:rsidRPr="00E20279" w:rsidRDefault="00255AA5" w:rsidP="00255AA5">
            <w:pPr>
              <w:jc w:val="right"/>
              <w:rPr>
                <w:rFonts w:ascii="Arial Narrow" w:hAnsi="Arial Narrow" w:cs="Arial"/>
                <w:sz w:val="22"/>
                <w:szCs w:val="22"/>
              </w:rPr>
            </w:pPr>
            <w:r w:rsidRPr="00E20279">
              <w:rPr>
                <w:rFonts w:ascii="Arial Narrow" w:hAnsi="Arial Narrow" w:cs="Arial"/>
                <w:sz w:val="22"/>
                <w:szCs w:val="22"/>
              </w:rPr>
              <w:t>369</w:t>
            </w:r>
          </w:p>
        </w:tc>
        <w:tc>
          <w:tcPr>
            <w:tcW w:w="777" w:type="dxa"/>
            <w:shd w:val="clear" w:color="auto" w:fill="auto"/>
          </w:tcPr>
          <w:p w14:paraId="7089F73D" w14:textId="77777777" w:rsidR="00255AA5" w:rsidRPr="00E20279" w:rsidRDefault="00255AA5" w:rsidP="00255AA5">
            <w:pPr>
              <w:jc w:val="right"/>
              <w:rPr>
                <w:rFonts w:ascii="Arial Narrow" w:hAnsi="Arial Narrow" w:cs="Arial"/>
                <w:sz w:val="22"/>
                <w:szCs w:val="22"/>
              </w:rPr>
            </w:pPr>
            <w:r w:rsidRPr="00E20279">
              <w:rPr>
                <w:rFonts w:ascii="Arial Narrow" w:hAnsi="Arial Narrow" w:cs="Arial"/>
                <w:sz w:val="22"/>
                <w:szCs w:val="22"/>
              </w:rPr>
              <w:t>3.1%</w:t>
            </w:r>
          </w:p>
        </w:tc>
        <w:tc>
          <w:tcPr>
            <w:tcW w:w="793" w:type="dxa"/>
            <w:shd w:val="clear" w:color="auto" w:fill="auto"/>
          </w:tcPr>
          <w:p w14:paraId="77DED1CC" w14:textId="77777777" w:rsidR="00255AA5" w:rsidRPr="00E20279" w:rsidRDefault="00255AA5" w:rsidP="00255AA5">
            <w:pPr>
              <w:jc w:val="right"/>
              <w:rPr>
                <w:rFonts w:ascii="Arial Narrow" w:hAnsi="Arial Narrow" w:cs="Arial"/>
                <w:sz w:val="22"/>
                <w:szCs w:val="22"/>
              </w:rPr>
            </w:pPr>
            <w:r w:rsidRPr="00E20279">
              <w:rPr>
                <w:rFonts w:ascii="Arial Narrow" w:hAnsi="Arial Narrow" w:cs="Arial"/>
                <w:sz w:val="22"/>
                <w:szCs w:val="22"/>
              </w:rPr>
              <w:t>40</w:t>
            </w:r>
            <w:r>
              <w:rPr>
                <w:rFonts w:ascii="Arial Narrow" w:hAnsi="Arial Narrow" w:cs="Arial"/>
                <w:sz w:val="22"/>
                <w:szCs w:val="22"/>
              </w:rPr>
              <w:t>1</w:t>
            </w:r>
          </w:p>
        </w:tc>
        <w:tc>
          <w:tcPr>
            <w:tcW w:w="777" w:type="dxa"/>
            <w:shd w:val="clear" w:color="auto" w:fill="auto"/>
          </w:tcPr>
          <w:p w14:paraId="3A237C04" w14:textId="77777777" w:rsidR="00255AA5" w:rsidRPr="00AC4247" w:rsidRDefault="00255AA5" w:rsidP="00255AA5">
            <w:pPr>
              <w:jc w:val="right"/>
              <w:rPr>
                <w:rFonts w:ascii="Arial Narrow" w:hAnsi="Arial Narrow" w:cs="Arial"/>
                <w:sz w:val="22"/>
                <w:szCs w:val="22"/>
              </w:rPr>
            </w:pPr>
            <w:r>
              <w:rPr>
                <w:rFonts w:ascii="Arial Narrow" w:hAnsi="Arial Narrow" w:cs="Arial"/>
                <w:sz w:val="22"/>
                <w:szCs w:val="22"/>
              </w:rPr>
              <w:t>2.7</w:t>
            </w:r>
            <w:r w:rsidRPr="0009306D">
              <w:rPr>
                <w:rFonts w:ascii="Arial Narrow" w:hAnsi="Arial Narrow" w:cs="Arial"/>
                <w:sz w:val="22"/>
                <w:szCs w:val="22"/>
              </w:rPr>
              <w:t>%</w:t>
            </w:r>
          </w:p>
        </w:tc>
        <w:tc>
          <w:tcPr>
            <w:tcW w:w="792" w:type="dxa"/>
            <w:shd w:val="clear" w:color="auto" w:fill="auto"/>
          </w:tcPr>
          <w:p w14:paraId="7E59777F" w14:textId="77777777" w:rsidR="00255AA5" w:rsidRPr="00B0531B" w:rsidRDefault="00255AA5" w:rsidP="00255AA5">
            <w:pPr>
              <w:jc w:val="right"/>
              <w:rPr>
                <w:rFonts w:ascii="Arial Narrow" w:hAnsi="Arial Narrow" w:cs="Arial"/>
                <w:sz w:val="22"/>
                <w:szCs w:val="22"/>
              </w:rPr>
            </w:pPr>
            <w:r w:rsidRPr="00B0531B">
              <w:rPr>
                <w:rFonts w:ascii="Arial Narrow" w:hAnsi="Arial Narrow" w:cs="Arial"/>
                <w:sz w:val="22"/>
                <w:szCs w:val="22"/>
              </w:rPr>
              <w:t>42</w:t>
            </w:r>
            <w:r w:rsidR="002C4643">
              <w:rPr>
                <w:rFonts w:ascii="Arial Narrow" w:hAnsi="Arial Narrow" w:cs="Arial"/>
                <w:sz w:val="22"/>
                <w:szCs w:val="22"/>
              </w:rPr>
              <w:t>2</w:t>
            </w:r>
          </w:p>
        </w:tc>
        <w:tc>
          <w:tcPr>
            <w:tcW w:w="778" w:type="dxa"/>
            <w:shd w:val="clear" w:color="auto" w:fill="auto"/>
          </w:tcPr>
          <w:p w14:paraId="494A3F5E" w14:textId="77777777" w:rsidR="00255AA5" w:rsidRPr="00B0531B" w:rsidRDefault="00255AA5" w:rsidP="00255AA5">
            <w:pPr>
              <w:jc w:val="right"/>
              <w:rPr>
                <w:rFonts w:ascii="Arial Narrow" w:hAnsi="Arial Narrow" w:cs="Arial"/>
                <w:sz w:val="22"/>
                <w:szCs w:val="22"/>
              </w:rPr>
            </w:pPr>
            <w:r w:rsidRPr="00B0531B">
              <w:rPr>
                <w:rFonts w:ascii="Arial Narrow" w:hAnsi="Arial Narrow" w:cs="Arial"/>
                <w:sz w:val="22"/>
                <w:szCs w:val="22"/>
              </w:rPr>
              <w:t>2.7%</w:t>
            </w:r>
          </w:p>
        </w:tc>
        <w:tc>
          <w:tcPr>
            <w:tcW w:w="780" w:type="dxa"/>
            <w:shd w:val="clear" w:color="auto" w:fill="auto"/>
          </w:tcPr>
          <w:p w14:paraId="406DD948" w14:textId="77777777" w:rsidR="00255AA5" w:rsidRPr="00AC4247" w:rsidRDefault="00255AA5" w:rsidP="00255AA5">
            <w:pPr>
              <w:jc w:val="right"/>
              <w:rPr>
                <w:rFonts w:ascii="Arial Narrow" w:hAnsi="Arial Narrow" w:cs="Arial"/>
                <w:sz w:val="22"/>
                <w:szCs w:val="22"/>
              </w:rPr>
            </w:pPr>
            <w:r>
              <w:rPr>
                <w:rFonts w:ascii="Arial Narrow" w:hAnsi="Arial Narrow" w:cs="Arial"/>
                <w:sz w:val="22"/>
                <w:szCs w:val="22"/>
              </w:rPr>
              <w:t>24</w:t>
            </w:r>
            <w:r w:rsidR="002C4643">
              <w:rPr>
                <w:rFonts w:ascii="Arial Narrow" w:hAnsi="Arial Narrow" w:cs="Arial"/>
                <w:sz w:val="22"/>
                <w:szCs w:val="22"/>
              </w:rPr>
              <w:t>3</w:t>
            </w:r>
          </w:p>
        </w:tc>
        <w:tc>
          <w:tcPr>
            <w:tcW w:w="777" w:type="dxa"/>
            <w:tcBorders>
              <w:right w:val="single" w:sz="4" w:space="0" w:color="auto"/>
            </w:tcBorders>
            <w:shd w:val="clear" w:color="auto" w:fill="auto"/>
          </w:tcPr>
          <w:p w14:paraId="51357AB8" w14:textId="77777777" w:rsidR="00255AA5" w:rsidRPr="00AC4247" w:rsidRDefault="00255AA5" w:rsidP="00255AA5">
            <w:pPr>
              <w:jc w:val="right"/>
              <w:rPr>
                <w:rFonts w:ascii="Arial Narrow" w:hAnsi="Arial Narrow" w:cs="Arial"/>
                <w:sz w:val="22"/>
                <w:szCs w:val="22"/>
              </w:rPr>
            </w:pPr>
            <w:r>
              <w:rPr>
                <w:rFonts w:ascii="Arial Narrow" w:hAnsi="Arial Narrow" w:cs="Arial"/>
                <w:sz w:val="22"/>
                <w:szCs w:val="22"/>
              </w:rPr>
              <w:t>2.7</w:t>
            </w:r>
            <w:r w:rsidRPr="00D752A7">
              <w:rPr>
                <w:rFonts w:ascii="Arial Narrow" w:hAnsi="Arial Narrow" w:cs="Arial"/>
                <w:sz w:val="22"/>
                <w:szCs w:val="22"/>
              </w:rPr>
              <w:t>%</w:t>
            </w:r>
          </w:p>
        </w:tc>
      </w:tr>
      <w:tr w:rsidR="00E81809" w:rsidRPr="00AC4247" w14:paraId="6FD65B80" w14:textId="77777777" w:rsidTr="00290CD0">
        <w:trPr>
          <w:cantSplit/>
          <w:trHeight w:val="20"/>
          <w:jc w:val="center"/>
        </w:trPr>
        <w:tc>
          <w:tcPr>
            <w:tcW w:w="2997" w:type="dxa"/>
            <w:tcBorders>
              <w:left w:val="single" w:sz="4" w:space="0" w:color="auto"/>
            </w:tcBorders>
            <w:shd w:val="clear" w:color="auto" w:fill="auto"/>
            <w:vAlign w:val="center"/>
          </w:tcPr>
          <w:p w14:paraId="3CB95393" w14:textId="77777777" w:rsidR="002C4643" w:rsidRPr="00D03C4A" w:rsidRDefault="002C4643" w:rsidP="002C4643">
            <w:pPr>
              <w:rPr>
                <w:rFonts w:ascii="Arial Narrow" w:hAnsi="Arial Narrow" w:cs="Arial"/>
                <w:sz w:val="22"/>
                <w:szCs w:val="22"/>
              </w:rPr>
            </w:pPr>
            <w:r w:rsidRPr="00D03C4A">
              <w:rPr>
                <w:rFonts w:ascii="Arial Narrow" w:hAnsi="Arial Narrow" w:cs="Arial"/>
                <w:sz w:val="22"/>
                <w:szCs w:val="22"/>
              </w:rPr>
              <w:lastRenderedPageBreak/>
              <w:t xml:space="preserve">Mattapan </w:t>
            </w:r>
          </w:p>
        </w:tc>
        <w:tc>
          <w:tcPr>
            <w:tcW w:w="792" w:type="dxa"/>
            <w:shd w:val="clear" w:color="auto" w:fill="auto"/>
          </w:tcPr>
          <w:p w14:paraId="2CC8053F" w14:textId="77777777" w:rsidR="002C4643" w:rsidRPr="00E20279" w:rsidRDefault="002C4643" w:rsidP="002C4643">
            <w:pPr>
              <w:jc w:val="right"/>
              <w:rPr>
                <w:rFonts w:ascii="Arial Narrow" w:hAnsi="Arial Narrow" w:cs="Arial"/>
                <w:sz w:val="22"/>
                <w:szCs w:val="22"/>
              </w:rPr>
            </w:pPr>
            <w:r w:rsidRPr="00E20279">
              <w:rPr>
                <w:rFonts w:ascii="Arial Narrow" w:hAnsi="Arial Narrow" w:cs="Arial"/>
                <w:sz w:val="22"/>
                <w:szCs w:val="22"/>
              </w:rPr>
              <w:t>361</w:t>
            </w:r>
          </w:p>
        </w:tc>
        <w:tc>
          <w:tcPr>
            <w:tcW w:w="777" w:type="dxa"/>
            <w:shd w:val="clear" w:color="auto" w:fill="auto"/>
          </w:tcPr>
          <w:p w14:paraId="107E095F" w14:textId="77777777" w:rsidR="002C4643" w:rsidRPr="00E20279" w:rsidRDefault="002C4643" w:rsidP="002C4643">
            <w:pPr>
              <w:jc w:val="right"/>
              <w:rPr>
                <w:rFonts w:ascii="Arial Narrow" w:hAnsi="Arial Narrow" w:cs="Arial"/>
                <w:sz w:val="22"/>
                <w:szCs w:val="22"/>
              </w:rPr>
            </w:pPr>
            <w:r w:rsidRPr="00E20279">
              <w:rPr>
                <w:rFonts w:ascii="Arial Narrow" w:hAnsi="Arial Narrow" w:cs="Arial"/>
                <w:sz w:val="22"/>
                <w:szCs w:val="22"/>
              </w:rPr>
              <w:t>3.0%</w:t>
            </w:r>
          </w:p>
        </w:tc>
        <w:tc>
          <w:tcPr>
            <w:tcW w:w="793" w:type="dxa"/>
            <w:shd w:val="clear" w:color="auto" w:fill="auto"/>
          </w:tcPr>
          <w:p w14:paraId="4E3A3FED" w14:textId="77777777" w:rsidR="002C4643" w:rsidRPr="00E20279" w:rsidRDefault="002C4643" w:rsidP="002C4643">
            <w:pPr>
              <w:jc w:val="right"/>
              <w:rPr>
                <w:rFonts w:ascii="Arial Narrow" w:hAnsi="Arial Narrow" w:cs="Arial"/>
                <w:sz w:val="22"/>
                <w:szCs w:val="22"/>
              </w:rPr>
            </w:pPr>
            <w:r w:rsidRPr="00E20279">
              <w:rPr>
                <w:rFonts w:ascii="Arial Narrow" w:hAnsi="Arial Narrow" w:cs="Arial"/>
                <w:sz w:val="22"/>
                <w:szCs w:val="22"/>
              </w:rPr>
              <w:t>439</w:t>
            </w:r>
          </w:p>
        </w:tc>
        <w:tc>
          <w:tcPr>
            <w:tcW w:w="777" w:type="dxa"/>
            <w:shd w:val="clear" w:color="auto" w:fill="auto"/>
          </w:tcPr>
          <w:p w14:paraId="2BB34CB4" w14:textId="77777777" w:rsidR="002C4643" w:rsidRPr="00AC4247" w:rsidRDefault="002C4643" w:rsidP="002C4643">
            <w:pPr>
              <w:jc w:val="right"/>
              <w:rPr>
                <w:rFonts w:ascii="Arial Narrow" w:hAnsi="Arial Narrow" w:cs="Arial"/>
                <w:sz w:val="22"/>
                <w:szCs w:val="22"/>
              </w:rPr>
            </w:pPr>
            <w:r>
              <w:rPr>
                <w:rFonts w:ascii="Arial Narrow" w:hAnsi="Arial Narrow" w:cs="Arial"/>
                <w:sz w:val="22"/>
                <w:szCs w:val="22"/>
              </w:rPr>
              <w:t>3.0</w:t>
            </w:r>
            <w:r w:rsidRPr="0009306D">
              <w:rPr>
                <w:rFonts w:ascii="Arial Narrow" w:hAnsi="Arial Narrow" w:cs="Arial"/>
                <w:sz w:val="22"/>
                <w:szCs w:val="22"/>
              </w:rPr>
              <w:t>%</w:t>
            </w:r>
          </w:p>
        </w:tc>
        <w:tc>
          <w:tcPr>
            <w:tcW w:w="792" w:type="dxa"/>
            <w:shd w:val="clear" w:color="auto" w:fill="auto"/>
          </w:tcPr>
          <w:p w14:paraId="1892548F" w14:textId="77777777" w:rsidR="002C4643" w:rsidRPr="00B0531B" w:rsidRDefault="002C4643" w:rsidP="002C4643">
            <w:pPr>
              <w:jc w:val="right"/>
              <w:rPr>
                <w:rFonts w:ascii="Arial Narrow" w:hAnsi="Arial Narrow" w:cs="Arial"/>
                <w:sz w:val="22"/>
                <w:szCs w:val="22"/>
              </w:rPr>
            </w:pPr>
            <w:r w:rsidRPr="00B0531B">
              <w:rPr>
                <w:rFonts w:ascii="Arial Narrow" w:hAnsi="Arial Narrow" w:cs="Arial"/>
                <w:sz w:val="22"/>
                <w:szCs w:val="22"/>
              </w:rPr>
              <w:t>5</w:t>
            </w:r>
            <w:r w:rsidR="00053743">
              <w:rPr>
                <w:rFonts w:ascii="Arial Narrow" w:hAnsi="Arial Narrow" w:cs="Arial"/>
                <w:sz w:val="22"/>
                <w:szCs w:val="22"/>
              </w:rPr>
              <w:t>19</w:t>
            </w:r>
          </w:p>
        </w:tc>
        <w:tc>
          <w:tcPr>
            <w:tcW w:w="778" w:type="dxa"/>
            <w:shd w:val="clear" w:color="auto" w:fill="auto"/>
          </w:tcPr>
          <w:p w14:paraId="40C2AA25" w14:textId="77777777" w:rsidR="002C4643" w:rsidRPr="00B0531B" w:rsidRDefault="002C4643" w:rsidP="002C4643">
            <w:pPr>
              <w:jc w:val="right"/>
              <w:rPr>
                <w:rFonts w:ascii="Arial Narrow" w:hAnsi="Arial Narrow" w:cs="Arial"/>
                <w:sz w:val="22"/>
                <w:szCs w:val="22"/>
              </w:rPr>
            </w:pPr>
            <w:r w:rsidRPr="00B0531B">
              <w:rPr>
                <w:rFonts w:ascii="Arial Narrow" w:hAnsi="Arial Narrow" w:cs="Arial"/>
                <w:sz w:val="22"/>
                <w:szCs w:val="22"/>
              </w:rPr>
              <w:t>3.4%</w:t>
            </w:r>
          </w:p>
        </w:tc>
        <w:tc>
          <w:tcPr>
            <w:tcW w:w="780" w:type="dxa"/>
            <w:shd w:val="clear" w:color="auto" w:fill="auto"/>
          </w:tcPr>
          <w:p w14:paraId="07063020" w14:textId="77777777" w:rsidR="002C4643" w:rsidRPr="00AC4247" w:rsidRDefault="002C4643" w:rsidP="002C4643">
            <w:pPr>
              <w:jc w:val="right"/>
              <w:rPr>
                <w:rFonts w:ascii="Arial Narrow" w:hAnsi="Arial Narrow" w:cs="Arial"/>
                <w:sz w:val="22"/>
                <w:szCs w:val="22"/>
              </w:rPr>
            </w:pPr>
            <w:r>
              <w:rPr>
                <w:rFonts w:ascii="Arial Narrow" w:hAnsi="Arial Narrow" w:cs="Arial"/>
                <w:sz w:val="22"/>
                <w:szCs w:val="22"/>
              </w:rPr>
              <w:t>303</w:t>
            </w:r>
          </w:p>
        </w:tc>
        <w:tc>
          <w:tcPr>
            <w:tcW w:w="777" w:type="dxa"/>
            <w:tcBorders>
              <w:right w:val="single" w:sz="4" w:space="0" w:color="auto"/>
            </w:tcBorders>
            <w:shd w:val="clear" w:color="auto" w:fill="auto"/>
          </w:tcPr>
          <w:p w14:paraId="1370F792" w14:textId="77777777" w:rsidR="002C4643" w:rsidRPr="00AC4247" w:rsidRDefault="002C4643" w:rsidP="002C4643">
            <w:pPr>
              <w:jc w:val="right"/>
              <w:rPr>
                <w:rFonts w:ascii="Arial Narrow" w:hAnsi="Arial Narrow" w:cs="Arial"/>
                <w:sz w:val="22"/>
                <w:szCs w:val="22"/>
              </w:rPr>
            </w:pPr>
            <w:r>
              <w:rPr>
                <w:rFonts w:ascii="Arial Narrow" w:hAnsi="Arial Narrow" w:cs="Arial"/>
                <w:sz w:val="22"/>
                <w:szCs w:val="22"/>
              </w:rPr>
              <w:t>3.4</w:t>
            </w:r>
            <w:r w:rsidRPr="00D752A7">
              <w:rPr>
                <w:rFonts w:ascii="Arial Narrow" w:hAnsi="Arial Narrow" w:cs="Arial"/>
                <w:sz w:val="22"/>
                <w:szCs w:val="22"/>
              </w:rPr>
              <w:t>%</w:t>
            </w:r>
          </w:p>
        </w:tc>
      </w:tr>
      <w:tr w:rsidR="00E81809" w:rsidRPr="00AC4247" w14:paraId="6C35A08E" w14:textId="77777777" w:rsidTr="00290CD0">
        <w:trPr>
          <w:cantSplit/>
          <w:trHeight w:val="20"/>
          <w:jc w:val="center"/>
        </w:trPr>
        <w:tc>
          <w:tcPr>
            <w:tcW w:w="2997" w:type="dxa"/>
            <w:tcBorders>
              <w:left w:val="single" w:sz="4" w:space="0" w:color="auto"/>
            </w:tcBorders>
            <w:shd w:val="clear" w:color="auto" w:fill="auto"/>
            <w:vAlign w:val="center"/>
          </w:tcPr>
          <w:p w14:paraId="0D8137F0" w14:textId="77777777" w:rsidR="00053743" w:rsidRPr="00D03C4A" w:rsidRDefault="00053743" w:rsidP="00053743">
            <w:pPr>
              <w:rPr>
                <w:rFonts w:ascii="Arial Narrow" w:hAnsi="Arial Narrow" w:cs="Arial"/>
                <w:sz w:val="22"/>
                <w:szCs w:val="22"/>
              </w:rPr>
            </w:pPr>
            <w:r w:rsidRPr="00D03C4A">
              <w:rPr>
                <w:rFonts w:ascii="Arial Narrow" w:hAnsi="Arial Narrow" w:cs="Arial"/>
                <w:sz w:val="22"/>
                <w:szCs w:val="22"/>
              </w:rPr>
              <w:t>Quincy</w:t>
            </w:r>
          </w:p>
        </w:tc>
        <w:tc>
          <w:tcPr>
            <w:tcW w:w="792" w:type="dxa"/>
            <w:shd w:val="clear" w:color="auto" w:fill="auto"/>
          </w:tcPr>
          <w:p w14:paraId="314B9E2C" w14:textId="77777777" w:rsidR="00053743" w:rsidRPr="00E20279" w:rsidRDefault="00053743" w:rsidP="00053743">
            <w:pPr>
              <w:jc w:val="right"/>
              <w:rPr>
                <w:rFonts w:ascii="Arial Narrow" w:hAnsi="Arial Narrow" w:cs="Arial"/>
                <w:sz w:val="22"/>
                <w:szCs w:val="22"/>
              </w:rPr>
            </w:pPr>
            <w:r w:rsidRPr="00E20279">
              <w:rPr>
                <w:rFonts w:ascii="Arial Narrow" w:hAnsi="Arial Narrow" w:cs="Arial"/>
                <w:sz w:val="22"/>
                <w:szCs w:val="22"/>
              </w:rPr>
              <w:t>349</w:t>
            </w:r>
          </w:p>
        </w:tc>
        <w:tc>
          <w:tcPr>
            <w:tcW w:w="777" w:type="dxa"/>
            <w:shd w:val="clear" w:color="auto" w:fill="auto"/>
          </w:tcPr>
          <w:p w14:paraId="3CFFC95D" w14:textId="77777777" w:rsidR="00053743" w:rsidRPr="00E20279" w:rsidRDefault="00053743" w:rsidP="00053743">
            <w:pPr>
              <w:jc w:val="right"/>
              <w:rPr>
                <w:rFonts w:ascii="Arial Narrow" w:hAnsi="Arial Narrow" w:cs="Arial"/>
                <w:sz w:val="22"/>
                <w:szCs w:val="22"/>
              </w:rPr>
            </w:pPr>
            <w:r w:rsidRPr="00E20279">
              <w:rPr>
                <w:rFonts w:ascii="Arial Narrow" w:hAnsi="Arial Narrow" w:cs="Arial"/>
                <w:sz w:val="22"/>
                <w:szCs w:val="22"/>
              </w:rPr>
              <w:t>2.9%</w:t>
            </w:r>
          </w:p>
        </w:tc>
        <w:tc>
          <w:tcPr>
            <w:tcW w:w="793" w:type="dxa"/>
            <w:shd w:val="clear" w:color="auto" w:fill="auto"/>
          </w:tcPr>
          <w:p w14:paraId="3BDCC449" w14:textId="77777777" w:rsidR="00053743" w:rsidRPr="00E20279" w:rsidRDefault="00053743" w:rsidP="00053743">
            <w:pPr>
              <w:jc w:val="right"/>
              <w:rPr>
                <w:rFonts w:ascii="Arial Narrow" w:hAnsi="Arial Narrow" w:cs="Arial"/>
                <w:sz w:val="22"/>
                <w:szCs w:val="22"/>
              </w:rPr>
            </w:pPr>
            <w:r w:rsidRPr="00E20279">
              <w:rPr>
                <w:rFonts w:ascii="Arial Narrow" w:hAnsi="Arial Narrow" w:cs="Arial"/>
                <w:sz w:val="22"/>
                <w:szCs w:val="22"/>
              </w:rPr>
              <w:t>43</w:t>
            </w:r>
            <w:r>
              <w:rPr>
                <w:rFonts w:ascii="Arial Narrow" w:hAnsi="Arial Narrow" w:cs="Arial"/>
                <w:sz w:val="22"/>
                <w:szCs w:val="22"/>
              </w:rPr>
              <w:t>2</w:t>
            </w:r>
          </w:p>
        </w:tc>
        <w:tc>
          <w:tcPr>
            <w:tcW w:w="777" w:type="dxa"/>
            <w:shd w:val="clear" w:color="auto" w:fill="auto"/>
          </w:tcPr>
          <w:p w14:paraId="1F62F3A5" w14:textId="77777777" w:rsidR="00053743" w:rsidRPr="00AC4247" w:rsidRDefault="00053743" w:rsidP="00053743">
            <w:pPr>
              <w:jc w:val="right"/>
              <w:rPr>
                <w:rFonts w:ascii="Arial Narrow" w:hAnsi="Arial Narrow" w:cs="Arial"/>
                <w:sz w:val="22"/>
                <w:szCs w:val="22"/>
              </w:rPr>
            </w:pPr>
            <w:r>
              <w:rPr>
                <w:rFonts w:ascii="Arial Narrow" w:hAnsi="Arial Narrow" w:cs="Arial"/>
                <w:sz w:val="22"/>
                <w:szCs w:val="22"/>
              </w:rPr>
              <w:t>2.9</w:t>
            </w:r>
            <w:r w:rsidRPr="0009306D">
              <w:rPr>
                <w:rFonts w:ascii="Arial Narrow" w:hAnsi="Arial Narrow" w:cs="Arial"/>
                <w:sz w:val="22"/>
                <w:szCs w:val="22"/>
              </w:rPr>
              <w:t>%</w:t>
            </w:r>
          </w:p>
        </w:tc>
        <w:tc>
          <w:tcPr>
            <w:tcW w:w="792" w:type="dxa"/>
            <w:shd w:val="clear" w:color="auto" w:fill="auto"/>
          </w:tcPr>
          <w:p w14:paraId="3229D397" w14:textId="77777777" w:rsidR="00053743" w:rsidRPr="00B0531B" w:rsidRDefault="00053743" w:rsidP="00053743">
            <w:pPr>
              <w:jc w:val="right"/>
              <w:rPr>
                <w:rFonts w:ascii="Arial Narrow" w:hAnsi="Arial Narrow" w:cs="Arial"/>
                <w:sz w:val="22"/>
                <w:szCs w:val="22"/>
              </w:rPr>
            </w:pPr>
            <w:r w:rsidRPr="00B0531B">
              <w:rPr>
                <w:rFonts w:ascii="Arial Narrow" w:hAnsi="Arial Narrow" w:cs="Arial"/>
                <w:sz w:val="22"/>
                <w:szCs w:val="22"/>
              </w:rPr>
              <w:t>474</w:t>
            </w:r>
          </w:p>
        </w:tc>
        <w:tc>
          <w:tcPr>
            <w:tcW w:w="778" w:type="dxa"/>
            <w:shd w:val="clear" w:color="auto" w:fill="auto"/>
          </w:tcPr>
          <w:p w14:paraId="09A708BF" w14:textId="77777777" w:rsidR="00053743" w:rsidRPr="00B0531B" w:rsidRDefault="00053743" w:rsidP="00053743">
            <w:pPr>
              <w:jc w:val="right"/>
              <w:rPr>
                <w:rFonts w:ascii="Arial Narrow" w:hAnsi="Arial Narrow" w:cs="Arial"/>
                <w:sz w:val="22"/>
                <w:szCs w:val="22"/>
              </w:rPr>
            </w:pPr>
            <w:r w:rsidRPr="00B0531B">
              <w:rPr>
                <w:rFonts w:ascii="Arial Narrow" w:hAnsi="Arial Narrow" w:cs="Arial"/>
                <w:sz w:val="22"/>
                <w:szCs w:val="22"/>
              </w:rPr>
              <w:t>3.1%</w:t>
            </w:r>
          </w:p>
        </w:tc>
        <w:tc>
          <w:tcPr>
            <w:tcW w:w="780" w:type="dxa"/>
            <w:shd w:val="clear" w:color="auto" w:fill="auto"/>
          </w:tcPr>
          <w:p w14:paraId="68074666" w14:textId="77777777" w:rsidR="00053743" w:rsidRPr="00AC4247" w:rsidRDefault="00053743" w:rsidP="00053743">
            <w:pPr>
              <w:jc w:val="right"/>
              <w:rPr>
                <w:rFonts w:ascii="Arial Narrow" w:hAnsi="Arial Narrow" w:cs="Arial"/>
                <w:sz w:val="22"/>
                <w:szCs w:val="22"/>
              </w:rPr>
            </w:pPr>
            <w:r>
              <w:rPr>
                <w:rFonts w:ascii="Arial Narrow" w:hAnsi="Arial Narrow" w:cs="Arial"/>
                <w:sz w:val="22"/>
                <w:szCs w:val="22"/>
              </w:rPr>
              <w:t>24</w:t>
            </w:r>
            <w:r w:rsidR="00F727BB">
              <w:rPr>
                <w:rFonts w:ascii="Arial Narrow" w:hAnsi="Arial Narrow" w:cs="Arial"/>
                <w:sz w:val="22"/>
                <w:szCs w:val="22"/>
              </w:rPr>
              <w:t>1</w:t>
            </w:r>
          </w:p>
        </w:tc>
        <w:tc>
          <w:tcPr>
            <w:tcW w:w="777" w:type="dxa"/>
            <w:tcBorders>
              <w:right w:val="single" w:sz="4" w:space="0" w:color="auto"/>
            </w:tcBorders>
            <w:shd w:val="clear" w:color="auto" w:fill="auto"/>
          </w:tcPr>
          <w:p w14:paraId="7A24AE0A" w14:textId="77777777" w:rsidR="00053743" w:rsidRPr="00AC4247" w:rsidRDefault="00053743" w:rsidP="00053743">
            <w:pPr>
              <w:jc w:val="right"/>
              <w:rPr>
                <w:rFonts w:ascii="Arial Narrow" w:hAnsi="Arial Narrow" w:cs="Arial"/>
                <w:sz w:val="22"/>
                <w:szCs w:val="22"/>
              </w:rPr>
            </w:pPr>
            <w:r>
              <w:rPr>
                <w:rFonts w:ascii="Arial Narrow" w:hAnsi="Arial Narrow" w:cs="Arial"/>
                <w:sz w:val="22"/>
                <w:szCs w:val="22"/>
              </w:rPr>
              <w:t>2.7</w:t>
            </w:r>
            <w:r w:rsidRPr="00D752A7">
              <w:rPr>
                <w:rFonts w:ascii="Arial Narrow" w:hAnsi="Arial Narrow" w:cs="Arial"/>
                <w:sz w:val="22"/>
                <w:szCs w:val="22"/>
              </w:rPr>
              <w:t>%</w:t>
            </w:r>
          </w:p>
        </w:tc>
      </w:tr>
      <w:tr w:rsidR="00E81809" w:rsidRPr="00AC4247" w14:paraId="62799BA1" w14:textId="77777777" w:rsidTr="00290CD0">
        <w:trPr>
          <w:cantSplit/>
          <w:trHeight w:val="20"/>
          <w:jc w:val="center"/>
        </w:trPr>
        <w:tc>
          <w:tcPr>
            <w:tcW w:w="2997" w:type="dxa"/>
            <w:tcBorders>
              <w:left w:val="single" w:sz="4" w:space="0" w:color="auto"/>
            </w:tcBorders>
            <w:shd w:val="clear" w:color="auto" w:fill="auto"/>
            <w:vAlign w:val="center"/>
          </w:tcPr>
          <w:p w14:paraId="605D4937" w14:textId="77777777" w:rsidR="00E246A5" w:rsidRPr="00D03C4A" w:rsidRDefault="00E246A5" w:rsidP="00E246A5">
            <w:pPr>
              <w:rPr>
                <w:rFonts w:ascii="Arial Narrow" w:hAnsi="Arial Narrow" w:cs="Arial"/>
                <w:sz w:val="22"/>
                <w:szCs w:val="22"/>
              </w:rPr>
            </w:pPr>
            <w:r w:rsidRPr="00D03C4A">
              <w:rPr>
                <w:rFonts w:ascii="Arial Narrow" w:hAnsi="Arial Narrow" w:cs="Arial"/>
                <w:sz w:val="22"/>
                <w:szCs w:val="22"/>
              </w:rPr>
              <w:t>Lynn</w:t>
            </w:r>
          </w:p>
        </w:tc>
        <w:tc>
          <w:tcPr>
            <w:tcW w:w="792" w:type="dxa"/>
            <w:shd w:val="clear" w:color="auto" w:fill="auto"/>
          </w:tcPr>
          <w:p w14:paraId="75CEB6E4"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316</w:t>
            </w:r>
          </w:p>
        </w:tc>
        <w:tc>
          <w:tcPr>
            <w:tcW w:w="777" w:type="dxa"/>
            <w:shd w:val="clear" w:color="auto" w:fill="auto"/>
          </w:tcPr>
          <w:p w14:paraId="164B48F5"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2.6%</w:t>
            </w:r>
          </w:p>
        </w:tc>
        <w:tc>
          <w:tcPr>
            <w:tcW w:w="793" w:type="dxa"/>
            <w:shd w:val="clear" w:color="auto" w:fill="auto"/>
          </w:tcPr>
          <w:p w14:paraId="613AA9DB"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385</w:t>
            </w:r>
          </w:p>
        </w:tc>
        <w:tc>
          <w:tcPr>
            <w:tcW w:w="777" w:type="dxa"/>
            <w:shd w:val="clear" w:color="auto" w:fill="auto"/>
          </w:tcPr>
          <w:p w14:paraId="22932202"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2.6</w:t>
            </w:r>
            <w:r w:rsidRPr="0009306D">
              <w:rPr>
                <w:rFonts w:ascii="Arial Narrow" w:hAnsi="Arial Narrow" w:cs="Arial"/>
                <w:sz w:val="22"/>
                <w:szCs w:val="22"/>
              </w:rPr>
              <w:t>%</w:t>
            </w:r>
          </w:p>
        </w:tc>
        <w:tc>
          <w:tcPr>
            <w:tcW w:w="792" w:type="dxa"/>
            <w:shd w:val="clear" w:color="auto" w:fill="auto"/>
          </w:tcPr>
          <w:p w14:paraId="018C6C57" w14:textId="77777777" w:rsidR="00E246A5" w:rsidRPr="00B0531B" w:rsidRDefault="00E246A5" w:rsidP="00E246A5">
            <w:pPr>
              <w:jc w:val="right"/>
              <w:rPr>
                <w:rFonts w:ascii="Arial Narrow" w:hAnsi="Arial Narrow" w:cs="Arial"/>
                <w:sz w:val="22"/>
                <w:szCs w:val="22"/>
              </w:rPr>
            </w:pPr>
            <w:r w:rsidRPr="00B0531B">
              <w:rPr>
                <w:rFonts w:ascii="Arial Narrow" w:hAnsi="Arial Narrow" w:cs="Arial"/>
                <w:sz w:val="22"/>
                <w:szCs w:val="22"/>
              </w:rPr>
              <w:t>44</w:t>
            </w:r>
            <w:r w:rsidR="009E3474">
              <w:rPr>
                <w:rFonts w:ascii="Arial Narrow" w:hAnsi="Arial Narrow" w:cs="Arial"/>
                <w:sz w:val="22"/>
                <w:szCs w:val="22"/>
              </w:rPr>
              <w:t>7</w:t>
            </w:r>
          </w:p>
        </w:tc>
        <w:tc>
          <w:tcPr>
            <w:tcW w:w="778" w:type="dxa"/>
            <w:shd w:val="clear" w:color="auto" w:fill="auto"/>
          </w:tcPr>
          <w:p w14:paraId="0324EF45" w14:textId="77777777" w:rsidR="00E246A5" w:rsidRPr="00B0531B" w:rsidRDefault="00E246A5" w:rsidP="00E246A5">
            <w:pPr>
              <w:jc w:val="right"/>
              <w:rPr>
                <w:rFonts w:ascii="Arial Narrow" w:hAnsi="Arial Narrow" w:cs="Arial"/>
                <w:sz w:val="22"/>
                <w:szCs w:val="22"/>
              </w:rPr>
            </w:pPr>
            <w:r w:rsidRPr="00B0531B">
              <w:rPr>
                <w:rFonts w:ascii="Arial Narrow" w:hAnsi="Arial Narrow" w:cs="Arial"/>
                <w:sz w:val="22"/>
                <w:szCs w:val="22"/>
              </w:rPr>
              <w:t>2.9%</w:t>
            </w:r>
          </w:p>
        </w:tc>
        <w:tc>
          <w:tcPr>
            <w:tcW w:w="780" w:type="dxa"/>
            <w:shd w:val="clear" w:color="auto" w:fill="auto"/>
          </w:tcPr>
          <w:p w14:paraId="3AFBDD3F"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273</w:t>
            </w:r>
          </w:p>
        </w:tc>
        <w:tc>
          <w:tcPr>
            <w:tcW w:w="777" w:type="dxa"/>
            <w:tcBorders>
              <w:right w:val="single" w:sz="4" w:space="0" w:color="auto"/>
            </w:tcBorders>
            <w:shd w:val="clear" w:color="auto" w:fill="auto"/>
          </w:tcPr>
          <w:p w14:paraId="6B637B2F"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3.0</w:t>
            </w:r>
            <w:r w:rsidRPr="00D752A7">
              <w:rPr>
                <w:rFonts w:ascii="Arial Narrow" w:hAnsi="Arial Narrow" w:cs="Arial"/>
                <w:sz w:val="22"/>
                <w:szCs w:val="22"/>
              </w:rPr>
              <w:t>%</w:t>
            </w:r>
          </w:p>
        </w:tc>
      </w:tr>
      <w:tr w:rsidR="00E81809" w:rsidRPr="00AC4247" w14:paraId="529E4022" w14:textId="77777777" w:rsidTr="00290CD0">
        <w:trPr>
          <w:cantSplit/>
          <w:trHeight w:val="20"/>
          <w:jc w:val="center"/>
        </w:trPr>
        <w:tc>
          <w:tcPr>
            <w:tcW w:w="2997" w:type="dxa"/>
            <w:tcBorders>
              <w:left w:val="single" w:sz="4" w:space="0" w:color="auto"/>
            </w:tcBorders>
            <w:shd w:val="clear" w:color="auto" w:fill="auto"/>
            <w:vAlign w:val="center"/>
          </w:tcPr>
          <w:p w14:paraId="6E545C82" w14:textId="77777777" w:rsidR="00E246A5" w:rsidRPr="00D03C4A" w:rsidRDefault="00E246A5" w:rsidP="00E246A5">
            <w:pPr>
              <w:rPr>
                <w:rFonts w:ascii="Arial Narrow" w:hAnsi="Arial Narrow" w:cs="Arial"/>
                <w:sz w:val="22"/>
                <w:szCs w:val="22"/>
              </w:rPr>
            </w:pPr>
            <w:r w:rsidRPr="00D03C4A">
              <w:rPr>
                <w:rFonts w:ascii="Arial Narrow" w:hAnsi="Arial Narrow" w:cs="Arial"/>
                <w:sz w:val="22"/>
                <w:szCs w:val="22"/>
              </w:rPr>
              <w:t>Hyde Park</w:t>
            </w:r>
          </w:p>
        </w:tc>
        <w:tc>
          <w:tcPr>
            <w:tcW w:w="792" w:type="dxa"/>
            <w:shd w:val="clear" w:color="auto" w:fill="auto"/>
          </w:tcPr>
          <w:p w14:paraId="356DCC15"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303</w:t>
            </w:r>
          </w:p>
        </w:tc>
        <w:tc>
          <w:tcPr>
            <w:tcW w:w="777" w:type="dxa"/>
            <w:shd w:val="clear" w:color="auto" w:fill="auto"/>
          </w:tcPr>
          <w:p w14:paraId="503B07FC"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2.5%</w:t>
            </w:r>
          </w:p>
        </w:tc>
        <w:tc>
          <w:tcPr>
            <w:tcW w:w="793" w:type="dxa"/>
            <w:shd w:val="clear" w:color="auto" w:fill="auto"/>
          </w:tcPr>
          <w:p w14:paraId="03AE3DE5"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38</w:t>
            </w:r>
            <w:r w:rsidR="009E3474">
              <w:rPr>
                <w:rFonts w:ascii="Arial Narrow" w:hAnsi="Arial Narrow" w:cs="Arial"/>
                <w:sz w:val="22"/>
                <w:szCs w:val="22"/>
              </w:rPr>
              <w:t>7</w:t>
            </w:r>
          </w:p>
        </w:tc>
        <w:tc>
          <w:tcPr>
            <w:tcW w:w="777" w:type="dxa"/>
            <w:shd w:val="clear" w:color="auto" w:fill="auto"/>
          </w:tcPr>
          <w:p w14:paraId="4E892A85"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2.6</w:t>
            </w:r>
            <w:r w:rsidRPr="0009306D">
              <w:rPr>
                <w:rFonts w:ascii="Arial Narrow" w:hAnsi="Arial Narrow" w:cs="Arial"/>
                <w:sz w:val="22"/>
                <w:szCs w:val="22"/>
              </w:rPr>
              <w:t>%</w:t>
            </w:r>
          </w:p>
        </w:tc>
        <w:tc>
          <w:tcPr>
            <w:tcW w:w="792" w:type="dxa"/>
            <w:shd w:val="clear" w:color="auto" w:fill="auto"/>
          </w:tcPr>
          <w:p w14:paraId="7F311039" w14:textId="77777777" w:rsidR="00E246A5" w:rsidRPr="00B0531B" w:rsidRDefault="00E246A5" w:rsidP="00E246A5">
            <w:pPr>
              <w:jc w:val="right"/>
              <w:rPr>
                <w:rFonts w:ascii="Arial Narrow" w:hAnsi="Arial Narrow" w:cs="Arial"/>
                <w:sz w:val="22"/>
                <w:szCs w:val="22"/>
              </w:rPr>
            </w:pPr>
            <w:r w:rsidRPr="00B0531B">
              <w:rPr>
                <w:rFonts w:ascii="Arial Narrow" w:hAnsi="Arial Narrow" w:cs="Arial"/>
                <w:sz w:val="22"/>
                <w:szCs w:val="22"/>
              </w:rPr>
              <w:t>41</w:t>
            </w:r>
            <w:r w:rsidR="009E3474">
              <w:rPr>
                <w:rFonts w:ascii="Arial Narrow" w:hAnsi="Arial Narrow" w:cs="Arial"/>
                <w:sz w:val="22"/>
                <w:szCs w:val="22"/>
              </w:rPr>
              <w:t>7</w:t>
            </w:r>
          </w:p>
        </w:tc>
        <w:tc>
          <w:tcPr>
            <w:tcW w:w="778" w:type="dxa"/>
            <w:shd w:val="clear" w:color="auto" w:fill="auto"/>
          </w:tcPr>
          <w:p w14:paraId="184847BB" w14:textId="77777777" w:rsidR="00E246A5" w:rsidRPr="00B0531B" w:rsidRDefault="00E246A5" w:rsidP="00E246A5">
            <w:pPr>
              <w:jc w:val="right"/>
              <w:rPr>
                <w:rFonts w:ascii="Arial Narrow" w:hAnsi="Arial Narrow" w:cs="Arial"/>
                <w:sz w:val="22"/>
                <w:szCs w:val="22"/>
              </w:rPr>
            </w:pPr>
            <w:r w:rsidRPr="00B0531B">
              <w:rPr>
                <w:rFonts w:ascii="Arial Narrow" w:hAnsi="Arial Narrow" w:cs="Arial"/>
                <w:sz w:val="22"/>
                <w:szCs w:val="22"/>
              </w:rPr>
              <w:t>2.7%</w:t>
            </w:r>
          </w:p>
        </w:tc>
        <w:tc>
          <w:tcPr>
            <w:tcW w:w="780" w:type="dxa"/>
            <w:shd w:val="clear" w:color="auto" w:fill="auto"/>
          </w:tcPr>
          <w:p w14:paraId="27F48F80"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255</w:t>
            </w:r>
          </w:p>
        </w:tc>
        <w:tc>
          <w:tcPr>
            <w:tcW w:w="777" w:type="dxa"/>
            <w:tcBorders>
              <w:right w:val="single" w:sz="4" w:space="0" w:color="auto"/>
            </w:tcBorders>
            <w:shd w:val="clear" w:color="auto" w:fill="auto"/>
          </w:tcPr>
          <w:p w14:paraId="6C31EEAC"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2.8</w:t>
            </w:r>
            <w:r w:rsidRPr="00D752A7">
              <w:rPr>
                <w:rFonts w:ascii="Arial Narrow" w:hAnsi="Arial Narrow" w:cs="Arial"/>
                <w:sz w:val="22"/>
                <w:szCs w:val="22"/>
              </w:rPr>
              <w:t>%</w:t>
            </w:r>
          </w:p>
        </w:tc>
      </w:tr>
      <w:tr w:rsidR="00E81809" w:rsidRPr="00AC4247" w14:paraId="6904539E" w14:textId="77777777" w:rsidTr="00290CD0">
        <w:trPr>
          <w:cantSplit/>
          <w:trHeight w:val="20"/>
          <w:jc w:val="center"/>
        </w:trPr>
        <w:tc>
          <w:tcPr>
            <w:tcW w:w="2997" w:type="dxa"/>
            <w:tcBorders>
              <w:left w:val="single" w:sz="4" w:space="0" w:color="auto"/>
            </w:tcBorders>
            <w:shd w:val="clear" w:color="auto" w:fill="auto"/>
            <w:vAlign w:val="center"/>
          </w:tcPr>
          <w:p w14:paraId="1C0F37BD" w14:textId="77777777" w:rsidR="00E246A5" w:rsidRPr="00D03C4A" w:rsidRDefault="00E246A5" w:rsidP="00E246A5">
            <w:pPr>
              <w:rPr>
                <w:rFonts w:ascii="Arial Narrow" w:hAnsi="Arial Narrow" w:cs="Arial"/>
                <w:sz w:val="22"/>
                <w:szCs w:val="22"/>
              </w:rPr>
            </w:pPr>
            <w:r w:rsidRPr="00D03C4A">
              <w:rPr>
                <w:rFonts w:ascii="Arial Narrow" w:hAnsi="Arial Narrow" w:cs="Arial"/>
                <w:sz w:val="22"/>
                <w:szCs w:val="22"/>
              </w:rPr>
              <w:t>All Other</w:t>
            </w:r>
          </w:p>
        </w:tc>
        <w:tc>
          <w:tcPr>
            <w:tcW w:w="792" w:type="dxa"/>
            <w:shd w:val="clear" w:color="auto" w:fill="auto"/>
          </w:tcPr>
          <w:p w14:paraId="0EDA09E8"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5,08</w:t>
            </w:r>
            <w:r w:rsidR="009E3474">
              <w:rPr>
                <w:rFonts w:ascii="Arial Narrow" w:hAnsi="Arial Narrow" w:cs="Arial"/>
                <w:sz w:val="22"/>
                <w:szCs w:val="22"/>
              </w:rPr>
              <w:t>1</w:t>
            </w:r>
          </w:p>
        </w:tc>
        <w:tc>
          <w:tcPr>
            <w:tcW w:w="777" w:type="dxa"/>
            <w:shd w:val="clear" w:color="auto" w:fill="auto"/>
          </w:tcPr>
          <w:p w14:paraId="5DBABE41"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42.3%</w:t>
            </w:r>
          </w:p>
        </w:tc>
        <w:tc>
          <w:tcPr>
            <w:tcW w:w="793" w:type="dxa"/>
            <w:shd w:val="clear" w:color="auto" w:fill="auto"/>
          </w:tcPr>
          <w:p w14:paraId="6021AD8F" w14:textId="77777777" w:rsidR="00E246A5" w:rsidRPr="00E20279" w:rsidRDefault="00E246A5" w:rsidP="00E246A5">
            <w:pPr>
              <w:jc w:val="right"/>
              <w:rPr>
                <w:rFonts w:ascii="Arial Narrow" w:hAnsi="Arial Narrow" w:cs="Arial"/>
                <w:sz w:val="22"/>
                <w:szCs w:val="22"/>
              </w:rPr>
            </w:pPr>
            <w:r w:rsidRPr="00E20279">
              <w:rPr>
                <w:rFonts w:ascii="Arial Narrow" w:hAnsi="Arial Narrow" w:cs="Arial"/>
                <w:sz w:val="22"/>
                <w:szCs w:val="22"/>
              </w:rPr>
              <w:t>6,3</w:t>
            </w:r>
            <w:r>
              <w:rPr>
                <w:rFonts w:ascii="Arial Narrow" w:hAnsi="Arial Narrow" w:cs="Arial"/>
                <w:sz w:val="22"/>
                <w:szCs w:val="22"/>
              </w:rPr>
              <w:t>2</w:t>
            </w:r>
            <w:r w:rsidR="009E3474">
              <w:rPr>
                <w:rFonts w:ascii="Arial Narrow" w:hAnsi="Arial Narrow" w:cs="Arial"/>
                <w:sz w:val="22"/>
                <w:szCs w:val="22"/>
              </w:rPr>
              <w:t>0</w:t>
            </w:r>
          </w:p>
        </w:tc>
        <w:tc>
          <w:tcPr>
            <w:tcW w:w="777" w:type="dxa"/>
            <w:shd w:val="clear" w:color="auto" w:fill="auto"/>
          </w:tcPr>
          <w:p w14:paraId="070C4103"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42.7</w:t>
            </w:r>
            <w:r w:rsidRPr="0009306D">
              <w:rPr>
                <w:rFonts w:ascii="Arial Narrow" w:hAnsi="Arial Narrow" w:cs="Arial"/>
                <w:sz w:val="22"/>
                <w:szCs w:val="22"/>
              </w:rPr>
              <w:t>%</w:t>
            </w:r>
          </w:p>
        </w:tc>
        <w:tc>
          <w:tcPr>
            <w:tcW w:w="792" w:type="dxa"/>
            <w:shd w:val="clear" w:color="auto" w:fill="auto"/>
          </w:tcPr>
          <w:p w14:paraId="7C26BF71" w14:textId="77777777" w:rsidR="00E246A5" w:rsidRPr="00B0531B" w:rsidRDefault="00E246A5" w:rsidP="00E246A5">
            <w:pPr>
              <w:jc w:val="right"/>
              <w:rPr>
                <w:rFonts w:ascii="Arial Narrow" w:hAnsi="Arial Narrow" w:cs="Arial"/>
                <w:sz w:val="22"/>
                <w:szCs w:val="22"/>
              </w:rPr>
            </w:pPr>
            <w:r w:rsidRPr="00B0531B">
              <w:rPr>
                <w:rFonts w:ascii="Arial Narrow" w:hAnsi="Arial Narrow" w:cs="Arial"/>
                <w:sz w:val="22"/>
                <w:szCs w:val="22"/>
              </w:rPr>
              <w:t>6,36</w:t>
            </w:r>
            <w:r w:rsidR="009E3474">
              <w:rPr>
                <w:rFonts w:ascii="Arial Narrow" w:hAnsi="Arial Narrow" w:cs="Arial"/>
                <w:sz w:val="22"/>
                <w:szCs w:val="22"/>
              </w:rPr>
              <w:t>5</w:t>
            </w:r>
          </w:p>
        </w:tc>
        <w:tc>
          <w:tcPr>
            <w:tcW w:w="778" w:type="dxa"/>
            <w:shd w:val="clear" w:color="auto" w:fill="auto"/>
          </w:tcPr>
          <w:p w14:paraId="758B4A75" w14:textId="77777777" w:rsidR="00E246A5" w:rsidRPr="00B0531B" w:rsidRDefault="00E246A5" w:rsidP="00E246A5">
            <w:pPr>
              <w:jc w:val="right"/>
              <w:rPr>
                <w:rFonts w:ascii="Arial Narrow" w:hAnsi="Arial Narrow" w:cs="Arial"/>
                <w:sz w:val="22"/>
                <w:szCs w:val="22"/>
              </w:rPr>
            </w:pPr>
            <w:r w:rsidRPr="00B0531B">
              <w:rPr>
                <w:rFonts w:ascii="Arial Narrow" w:hAnsi="Arial Narrow" w:cs="Arial"/>
                <w:sz w:val="22"/>
                <w:szCs w:val="22"/>
              </w:rPr>
              <w:t>41.1%</w:t>
            </w:r>
          </w:p>
        </w:tc>
        <w:tc>
          <w:tcPr>
            <w:tcW w:w="780" w:type="dxa"/>
            <w:shd w:val="clear" w:color="auto" w:fill="auto"/>
          </w:tcPr>
          <w:p w14:paraId="7BB466CE"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3,6</w:t>
            </w:r>
            <w:r w:rsidR="009E3474">
              <w:rPr>
                <w:rFonts w:ascii="Arial Narrow" w:hAnsi="Arial Narrow" w:cs="Arial"/>
                <w:sz w:val="22"/>
                <w:szCs w:val="22"/>
              </w:rPr>
              <w:t>50</w:t>
            </w:r>
          </w:p>
        </w:tc>
        <w:tc>
          <w:tcPr>
            <w:tcW w:w="777" w:type="dxa"/>
            <w:tcBorders>
              <w:right w:val="single" w:sz="4" w:space="0" w:color="auto"/>
            </w:tcBorders>
            <w:shd w:val="clear" w:color="auto" w:fill="auto"/>
          </w:tcPr>
          <w:p w14:paraId="52D8FA3A" w14:textId="77777777" w:rsidR="00E246A5" w:rsidRPr="00AC4247" w:rsidRDefault="00E246A5" w:rsidP="00E246A5">
            <w:pPr>
              <w:jc w:val="right"/>
              <w:rPr>
                <w:rFonts w:ascii="Arial Narrow" w:hAnsi="Arial Narrow" w:cs="Arial"/>
                <w:sz w:val="22"/>
                <w:szCs w:val="22"/>
              </w:rPr>
            </w:pPr>
            <w:r>
              <w:rPr>
                <w:rFonts w:ascii="Arial Narrow" w:hAnsi="Arial Narrow" w:cs="Arial"/>
                <w:sz w:val="22"/>
                <w:szCs w:val="22"/>
              </w:rPr>
              <w:t>40.5</w:t>
            </w:r>
            <w:r w:rsidRPr="00D752A7">
              <w:rPr>
                <w:rFonts w:ascii="Arial Narrow" w:hAnsi="Arial Narrow" w:cs="Arial"/>
                <w:sz w:val="22"/>
                <w:szCs w:val="22"/>
              </w:rPr>
              <w:t>%</w:t>
            </w:r>
          </w:p>
        </w:tc>
      </w:tr>
    </w:tbl>
    <w:p w14:paraId="6608B85A" w14:textId="77777777" w:rsidR="00C6570E" w:rsidRPr="00E06CAE" w:rsidRDefault="00C6570E" w:rsidP="005816F3">
      <w:pPr>
        <w:pStyle w:val="NormalWeb"/>
        <w:spacing w:before="0" w:beforeAutospacing="0" w:after="0" w:afterAutospacing="0"/>
        <w:jc w:val="both"/>
        <w:rPr>
          <w:rFonts w:ascii="Arial" w:hAnsi="Arial" w:cs="Arial"/>
          <w:sz w:val="22"/>
          <w:szCs w:val="22"/>
        </w:rPr>
      </w:pPr>
    </w:p>
    <w:p w14:paraId="77953A5F" w14:textId="77777777" w:rsidR="00A01E60" w:rsidRPr="00E06CAE" w:rsidRDefault="006A2B78" w:rsidP="005816F3">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Finally,</w:t>
      </w:r>
      <w:r w:rsidR="001020C4" w:rsidRPr="00E06CAE">
        <w:rPr>
          <w:rFonts w:ascii="Arial" w:hAnsi="Arial" w:cs="Arial"/>
          <w:sz w:val="22"/>
          <w:szCs w:val="22"/>
        </w:rPr>
        <w:t xml:space="preserve"> the Applicant also reviewed the </w:t>
      </w:r>
      <w:r w:rsidR="001020C4" w:rsidRPr="00F54D6F">
        <w:rPr>
          <w:rFonts w:ascii="Arial" w:hAnsi="Arial" w:cs="Arial"/>
          <w:sz w:val="22"/>
          <w:szCs w:val="22"/>
        </w:rPr>
        <w:t xml:space="preserve">payer mixes for its </w:t>
      </w:r>
      <w:r w:rsidR="00EA3942" w:rsidRPr="00F54D6F">
        <w:rPr>
          <w:rFonts w:ascii="Arial" w:hAnsi="Arial" w:cs="Arial"/>
          <w:sz w:val="22"/>
          <w:szCs w:val="22"/>
        </w:rPr>
        <w:t>MRI</w:t>
      </w:r>
      <w:r w:rsidR="001020C4" w:rsidRPr="00F54D6F">
        <w:rPr>
          <w:rFonts w:ascii="Arial" w:hAnsi="Arial" w:cs="Arial"/>
          <w:sz w:val="22"/>
          <w:szCs w:val="22"/>
        </w:rPr>
        <w:t xml:space="preserve"> patient panel.</w:t>
      </w:r>
      <w:r w:rsidR="0049553F" w:rsidRPr="00F54D6F">
        <w:rPr>
          <w:rFonts w:ascii="Arial" w:hAnsi="Arial" w:cs="Arial"/>
          <w:sz w:val="22"/>
          <w:szCs w:val="22"/>
        </w:rPr>
        <w:t xml:space="preserve"> </w:t>
      </w:r>
      <w:r w:rsidR="006D3566" w:rsidRPr="00F54D6F">
        <w:rPr>
          <w:rFonts w:ascii="Arial" w:hAnsi="Arial" w:cs="Arial"/>
          <w:sz w:val="22"/>
          <w:szCs w:val="22"/>
        </w:rPr>
        <w:t>This information is detailed in Table 4. S</w:t>
      </w:r>
      <w:r w:rsidR="005B6067" w:rsidRPr="00F54D6F">
        <w:rPr>
          <w:rFonts w:ascii="Arial" w:hAnsi="Arial" w:cs="Arial"/>
          <w:sz w:val="22"/>
          <w:szCs w:val="22"/>
        </w:rPr>
        <w:t xml:space="preserve">imilar to the BMC </w:t>
      </w:r>
      <w:r w:rsidR="005B6067" w:rsidRPr="00A515E0">
        <w:rPr>
          <w:rFonts w:ascii="Arial" w:hAnsi="Arial" w:cs="Arial"/>
          <w:sz w:val="22"/>
          <w:szCs w:val="22"/>
        </w:rPr>
        <w:t>panel overall</w:t>
      </w:r>
      <w:r w:rsidR="006D3566" w:rsidRPr="00A515E0">
        <w:rPr>
          <w:rFonts w:ascii="Arial" w:hAnsi="Arial" w:cs="Arial"/>
          <w:sz w:val="22"/>
          <w:szCs w:val="22"/>
        </w:rPr>
        <w:t>, approximately</w:t>
      </w:r>
      <w:r w:rsidR="001020C4" w:rsidRPr="00A515E0">
        <w:rPr>
          <w:rFonts w:ascii="Arial" w:hAnsi="Arial" w:cs="Arial"/>
          <w:sz w:val="22"/>
          <w:szCs w:val="22"/>
        </w:rPr>
        <w:t xml:space="preserve"> 2</w:t>
      </w:r>
      <w:r w:rsidR="00737148" w:rsidRPr="00A515E0">
        <w:rPr>
          <w:rFonts w:ascii="Arial" w:hAnsi="Arial" w:cs="Arial"/>
          <w:sz w:val="22"/>
          <w:szCs w:val="22"/>
        </w:rPr>
        <w:t>6</w:t>
      </w:r>
      <w:r w:rsidR="001020C4" w:rsidRPr="00A515E0">
        <w:rPr>
          <w:rFonts w:ascii="Arial" w:hAnsi="Arial" w:cs="Arial"/>
          <w:sz w:val="22"/>
          <w:szCs w:val="22"/>
        </w:rPr>
        <w:t xml:space="preserve">% of the Hospital’s </w:t>
      </w:r>
      <w:r w:rsidR="006D3566" w:rsidRPr="00A515E0">
        <w:rPr>
          <w:rFonts w:ascii="Arial" w:hAnsi="Arial" w:cs="Arial"/>
          <w:sz w:val="22"/>
          <w:szCs w:val="22"/>
        </w:rPr>
        <w:t>MRI</w:t>
      </w:r>
      <w:r w:rsidR="001020C4" w:rsidRPr="00A515E0">
        <w:rPr>
          <w:rFonts w:ascii="Arial" w:hAnsi="Arial" w:cs="Arial"/>
          <w:sz w:val="22"/>
          <w:szCs w:val="22"/>
        </w:rPr>
        <w:t xml:space="preserve"> patients are covered by APM/ACO contacts.</w:t>
      </w:r>
      <w:r w:rsidR="005B6067" w:rsidRPr="00A515E0">
        <w:rPr>
          <w:rFonts w:ascii="Arial" w:hAnsi="Arial" w:cs="Arial"/>
          <w:sz w:val="22"/>
          <w:szCs w:val="22"/>
        </w:rPr>
        <w:t xml:space="preserve"> </w:t>
      </w:r>
      <w:r w:rsidR="006C7EAA" w:rsidRPr="00A515E0">
        <w:rPr>
          <w:rFonts w:ascii="Arial" w:hAnsi="Arial" w:cs="Arial"/>
          <w:sz w:val="22"/>
          <w:szCs w:val="22"/>
        </w:rPr>
        <w:t xml:space="preserve">Additionally, like the Hospital’s </w:t>
      </w:r>
      <w:r w:rsidR="00C93209" w:rsidRPr="00A515E0">
        <w:rPr>
          <w:rFonts w:ascii="Arial" w:hAnsi="Arial" w:cs="Arial"/>
          <w:sz w:val="22"/>
          <w:szCs w:val="22"/>
        </w:rPr>
        <w:t>overall panel</w:t>
      </w:r>
      <w:r w:rsidR="006C7EAA" w:rsidRPr="00A515E0">
        <w:rPr>
          <w:rFonts w:ascii="Arial" w:hAnsi="Arial" w:cs="Arial"/>
          <w:sz w:val="22"/>
          <w:szCs w:val="22"/>
        </w:rPr>
        <w:t xml:space="preserve">, the majority of BMC’s </w:t>
      </w:r>
      <w:r w:rsidR="00C93209" w:rsidRPr="00A515E0">
        <w:rPr>
          <w:rFonts w:ascii="Arial" w:hAnsi="Arial" w:cs="Arial"/>
          <w:sz w:val="22"/>
          <w:szCs w:val="22"/>
        </w:rPr>
        <w:t>MRI</w:t>
      </w:r>
      <w:r w:rsidR="006C7EAA" w:rsidRPr="00A515E0">
        <w:rPr>
          <w:rFonts w:ascii="Arial" w:hAnsi="Arial" w:cs="Arial"/>
          <w:sz w:val="22"/>
          <w:szCs w:val="22"/>
        </w:rPr>
        <w:t xml:space="preserve"> patients receive insurance coverage through a public payer. </w:t>
      </w:r>
      <w:r w:rsidR="005B6067" w:rsidRPr="00A515E0">
        <w:rPr>
          <w:rFonts w:ascii="Arial" w:hAnsi="Arial" w:cs="Arial"/>
          <w:sz w:val="22"/>
          <w:szCs w:val="22"/>
        </w:rPr>
        <w:t>In FY2</w:t>
      </w:r>
      <w:r w:rsidR="00C93209" w:rsidRPr="00A515E0">
        <w:rPr>
          <w:rFonts w:ascii="Arial" w:hAnsi="Arial" w:cs="Arial"/>
          <w:sz w:val="22"/>
          <w:szCs w:val="22"/>
        </w:rPr>
        <w:t>2</w:t>
      </w:r>
      <w:r w:rsidR="005B6067" w:rsidRPr="00A515E0">
        <w:rPr>
          <w:rFonts w:ascii="Arial" w:hAnsi="Arial" w:cs="Arial"/>
          <w:sz w:val="22"/>
          <w:szCs w:val="22"/>
        </w:rPr>
        <w:t xml:space="preserve">, BMC’s </w:t>
      </w:r>
      <w:r w:rsidR="00C93209" w:rsidRPr="00A515E0">
        <w:rPr>
          <w:rFonts w:ascii="Arial" w:hAnsi="Arial" w:cs="Arial"/>
          <w:sz w:val="22"/>
          <w:szCs w:val="22"/>
        </w:rPr>
        <w:t>MRI</w:t>
      </w:r>
      <w:r w:rsidR="005B6067" w:rsidRPr="00A515E0">
        <w:rPr>
          <w:rFonts w:ascii="Arial" w:hAnsi="Arial" w:cs="Arial"/>
          <w:sz w:val="22"/>
          <w:szCs w:val="22"/>
        </w:rPr>
        <w:t xml:space="preserve"> public payer mix included </w:t>
      </w:r>
      <w:r w:rsidR="00545689" w:rsidRPr="00A515E0">
        <w:rPr>
          <w:rFonts w:ascii="Arial" w:hAnsi="Arial" w:cs="Arial"/>
          <w:sz w:val="22"/>
          <w:szCs w:val="22"/>
        </w:rPr>
        <w:t>greater than 70</w:t>
      </w:r>
      <w:r w:rsidR="005B6067" w:rsidRPr="00A515E0">
        <w:rPr>
          <w:rFonts w:ascii="Arial" w:hAnsi="Arial" w:cs="Arial"/>
          <w:sz w:val="22"/>
          <w:szCs w:val="22"/>
        </w:rPr>
        <w:t xml:space="preserve">% of all </w:t>
      </w:r>
      <w:r w:rsidR="00C93209" w:rsidRPr="00A515E0">
        <w:rPr>
          <w:rFonts w:ascii="Arial" w:hAnsi="Arial" w:cs="Arial"/>
          <w:sz w:val="22"/>
          <w:szCs w:val="22"/>
        </w:rPr>
        <w:t>MRI</w:t>
      </w:r>
      <w:r w:rsidR="00EA00ED" w:rsidRPr="00A515E0">
        <w:rPr>
          <w:rFonts w:ascii="Arial" w:hAnsi="Arial" w:cs="Arial"/>
          <w:sz w:val="22"/>
          <w:szCs w:val="22"/>
        </w:rPr>
        <w:t xml:space="preserve"> </w:t>
      </w:r>
      <w:r w:rsidR="005B6067" w:rsidRPr="00A515E0">
        <w:rPr>
          <w:rFonts w:ascii="Arial" w:hAnsi="Arial" w:cs="Arial"/>
          <w:sz w:val="22"/>
          <w:szCs w:val="22"/>
        </w:rPr>
        <w:t>patients, including MassHealth</w:t>
      </w:r>
      <w:r w:rsidR="000F2874" w:rsidRPr="00A515E0">
        <w:rPr>
          <w:rFonts w:ascii="Arial" w:hAnsi="Arial" w:cs="Arial"/>
          <w:sz w:val="22"/>
          <w:szCs w:val="22"/>
        </w:rPr>
        <w:t>,</w:t>
      </w:r>
      <w:r w:rsidR="00A01E60" w:rsidRPr="00A515E0">
        <w:rPr>
          <w:rFonts w:ascii="Arial" w:hAnsi="Arial" w:cs="Arial"/>
          <w:sz w:val="22"/>
          <w:szCs w:val="22"/>
        </w:rPr>
        <w:t xml:space="preserve"> </w:t>
      </w:r>
      <w:r w:rsidR="005B6067" w:rsidRPr="00A515E0">
        <w:rPr>
          <w:rFonts w:ascii="Arial" w:hAnsi="Arial" w:cs="Arial"/>
          <w:sz w:val="22"/>
          <w:szCs w:val="22"/>
        </w:rPr>
        <w:t>Managed Medicaid,</w:t>
      </w:r>
      <w:r w:rsidR="00A01E60" w:rsidRPr="00A515E0">
        <w:rPr>
          <w:rFonts w:ascii="Arial" w:hAnsi="Arial" w:cs="Arial"/>
          <w:sz w:val="22"/>
          <w:szCs w:val="22"/>
        </w:rPr>
        <w:t xml:space="preserve"> </w:t>
      </w:r>
      <w:r w:rsidR="005B6067" w:rsidRPr="00A515E0">
        <w:rPr>
          <w:rFonts w:ascii="Arial" w:hAnsi="Arial" w:cs="Arial"/>
          <w:sz w:val="22"/>
          <w:szCs w:val="22"/>
        </w:rPr>
        <w:t xml:space="preserve">Commercial Medicare, and Medicare FFS beneficiaries. </w:t>
      </w:r>
      <w:r w:rsidR="00EA00ED" w:rsidRPr="00A515E0">
        <w:rPr>
          <w:rFonts w:ascii="Arial" w:hAnsi="Arial" w:cs="Arial"/>
          <w:sz w:val="22"/>
          <w:szCs w:val="22"/>
        </w:rPr>
        <w:t>The remainder of patients were covered by a commercial plan</w:t>
      </w:r>
      <w:r w:rsidR="00DF0193" w:rsidRPr="00A515E0">
        <w:rPr>
          <w:rFonts w:ascii="Arial" w:hAnsi="Arial" w:cs="Arial"/>
          <w:sz w:val="22"/>
          <w:szCs w:val="22"/>
        </w:rPr>
        <w:t xml:space="preserve">, </w:t>
      </w:r>
      <w:r w:rsidR="00A01E60" w:rsidRPr="00A515E0">
        <w:rPr>
          <w:rFonts w:ascii="Arial" w:hAnsi="Arial" w:cs="Arial"/>
          <w:sz w:val="22"/>
          <w:szCs w:val="22"/>
        </w:rPr>
        <w:t>under</w:t>
      </w:r>
      <w:r w:rsidR="00DF0193" w:rsidRPr="00A515E0">
        <w:rPr>
          <w:rFonts w:ascii="Arial" w:hAnsi="Arial" w:cs="Arial"/>
          <w:sz w:val="22"/>
          <w:szCs w:val="22"/>
        </w:rPr>
        <w:t xml:space="preserve"> </w:t>
      </w:r>
      <w:r w:rsidR="00A01E60" w:rsidRPr="00A515E0">
        <w:rPr>
          <w:rFonts w:ascii="Arial" w:hAnsi="Arial" w:cs="Arial"/>
          <w:sz w:val="22"/>
          <w:szCs w:val="22"/>
        </w:rPr>
        <w:t>the HSN</w:t>
      </w:r>
      <w:r w:rsidR="00DF0193" w:rsidRPr="00A515E0">
        <w:rPr>
          <w:rFonts w:ascii="Arial" w:hAnsi="Arial" w:cs="Arial"/>
          <w:sz w:val="22"/>
          <w:szCs w:val="22"/>
        </w:rPr>
        <w:t>,</w:t>
      </w:r>
      <w:r w:rsidR="00EA00ED" w:rsidRPr="00A515E0">
        <w:rPr>
          <w:rFonts w:ascii="Arial" w:hAnsi="Arial" w:cs="Arial"/>
          <w:sz w:val="22"/>
          <w:szCs w:val="22"/>
        </w:rPr>
        <w:t xml:space="preserve"> </w:t>
      </w:r>
      <w:r w:rsidR="00DF0193" w:rsidRPr="00A515E0">
        <w:rPr>
          <w:rFonts w:ascii="Arial" w:hAnsi="Arial" w:cs="Arial"/>
          <w:sz w:val="22"/>
          <w:szCs w:val="22"/>
        </w:rPr>
        <w:t xml:space="preserve">or </w:t>
      </w:r>
      <w:r w:rsidR="00A01E60" w:rsidRPr="00A515E0">
        <w:rPr>
          <w:rFonts w:ascii="Arial" w:hAnsi="Arial" w:cs="Arial"/>
          <w:sz w:val="22"/>
          <w:szCs w:val="22"/>
        </w:rPr>
        <w:t xml:space="preserve">through </w:t>
      </w:r>
      <w:r w:rsidR="00EA00ED" w:rsidRPr="00A515E0">
        <w:rPr>
          <w:rFonts w:ascii="Arial" w:hAnsi="Arial" w:cs="Arial"/>
          <w:sz w:val="22"/>
          <w:szCs w:val="22"/>
        </w:rPr>
        <w:t>some other form of insurance</w:t>
      </w:r>
      <w:r w:rsidR="00DF0193" w:rsidRPr="00A515E0">
        <w:rPr>
          <w:rFonts w:ascii="Arial" w:hAnsi="Arial" w:cs="Arial"/>
          <w:sz w:val="22"/>
          <w:szCs w:val="22"/>
        </w:rPr>
        <w:t>.</w:t>
      </w:r>
    </w:p>
    <w:p w14:paraId="32ED3B02" w14:textId="04F59D46" w:rsidR="002A6625" w:rsidRPr="00E06CAE" w:rsidRDefault="006B0054" w:rsidP="0047029E">
      <w:pPr>
        <w:pStyle w:val="NormalWeb"/>
        <w:shd w:val="clear" w:color="auto" w:fill="3964B1"/>
        <w:spacing w:before="0" w:beforeAutospacing="0" w:after="0" w:afterAutospacing="0"/>
        <w:jc w:val="center"/>
        <w:rPr>
          <w:rFonts w:ascii="Arial" w:hAnsi="Arial" w:cs="Arial"/>
          <w:sz w:val="22"/>
          <w:szCs w:val="22"/>
        </w:rPr>
      </w:pPr>
      <w:r w:rsidRPr="0027440C">
        <w:rPr>
          <w:rFonts w:ascii="Arial Narrow" w:hAnsi="Arial Narrow" w:cs="Arial"/>
          <w:b/>
          <w:bCs/>
          <w:color w:val="FFFFFF"/>
          <w:sz w:val="22"/>
          <w:szCs w:val="22"/>
        </w:rPr>
        <w:t>Table 4: BMC MRI APM/ACO and Payer Mix Percentages</w:t>
      </w:r>
    </w:p>
    <w:tbl>
      <w:tblPr>
        <w:tblStyle w:val="TableGrid"/>
        <w:tblW w:w="9350" w:type="dxa"/>
        <w:jc w:val="center"/>
        <w:tblLayout w:type="fixed"/>
        <w:tblLook w:val="04A0" w:firstRow="1" w:lastRow="0" w:firstColumn="1" w:lastColumn="0" w:noHBand="0" w:noVBand="1"/>
      </w:tblPr>
      <w:tblGrid>
        <w:gridCol w:w="3135"/>
        <w:gridCol w:w="10"/>
        <w:gridCol w:w="1530"/>
        <w:gridCol w:w="13"/>
        <w:gridCol w:w="1554"/>
        <w:gridCol w:w="53"/>
        <w:gridCol w:w="1440"/>
        <w:gridCol w:w="61"/>
        <w:gridCol w:w="1554"/>
      </w:tblGrid>
      <w:tr w:rsidR="006F6D8D" w:rsidRPr="0027440C" w14:paraId="2EE298B0" w14:textId="77777777" w:rsidTr="0065179B">
        <w:trPr>
          <w:cantSplit/>
          <w:trHeight w:val="20"/>
          <w:tblHeader/>
          <w:jc w:val="center"/>
        </w:trPr>
        <w:tc>
          <w:tcPr>
            <w:tcW w:w="3135" w:type="dxa"/>
            <w:tcBorders>
              <w:top w:val="single" w:sz="4" w:space="0" w:color="auto"/>
              <w:left w:val="single" w:sz="4" w:space="0" w:color="auto"/>
              <w:bottom w:val="single" w:sz="4" w:space="0" w:color="auto"/>
              <w:right w:val="single" w:sz="4" w:space="0" w:color="auto"/>
            </w:tcBorders>
            <w:shd w:val="clear" w:color="auto" w:fill="8DA9DB"/>
          </w:tcPr>
          <w:p w14:paraId="4BBD57D9" w14:textId="77777777" w:rsidR="006F6D8D" w:rsidRPr="0027440C" w:rsidRDefault="006F6D8D" w:rsidP="00B86DBF">
            <w:pPr>
              <w:rPr>
                <w:rFonts w:ascii="Arial Narrow" w:hAnsi="Arial Narrow" w:cs="Arial"/>
                <w:sz w:val="22"/>
                <w:szCs w:val="22"/>
              </w:rPr>
            </w:pPr>
          </w:p>
        </w:tc>
        <w:tc>
          <w:tcPr>
            <w:tcW w:w="1553" w:type="dxa"/>
            <w:gridSpan w:val="3"/>
            <w:tcBorders>
              <w:top w:val="single" w:sz="4" w:space="0" w:color="auto"/>
              <w:left w:val="single" w:sz="4" w:space="0" w:color="auto"/>
              <w:bottom w:val="single" w:sz="4" w:space="0" w:color="auto"/>
            </w:tcBorders>
            <w:shd w:val="clear" w:color="auto" w:fill="8DA9DB"/>
          </w:tcPr>
          <w:p w14:paraId="39DFF10E" w14:textId="77777777" w:rsidR="006F6D8D" w:rsidRPr="0027440C" w:rsidRDefault="006F6D8D" w:rsidP="004F7E6B">
            <w:pPr>
              <w:ind w:left="-128" w:right="-146"/>
              <w:jc w:val="center"/>
              <w:rPr>
                <w:rFonts w:ascii="Arial Narrow" w:hAnsi="Arial Narrow" w:cs="Arial"/>
                <w:sz w:val="22"/>
                <w:szCs w:val="22"/>
              </w:rPr>
            </w:pPr>
            <w:r w:rsidRPr="0027440C">
              <w:rPr>
                <w:rFonts w:ascii="Arial Narrow" w:hAnsi="Arial Narrow" w:cs="Arial"/>
                <w:b/>
                <w:bCs/>
                <w:sz w:val="22"/>
                <w:szCs w:val="22"/>
              </w:rPr>
              <w:t>FY</w:t>
            </w:r>
            <w:r w:rsidR="00815B3D">
              <w:rPr>
                <w:rFonts w:ascii="Arial Narrow" w:hAnsi="Arial Narrow" w:cs="Arial"/>
                <w:b/>
                <w:bCs/>
                <w:sz w:val="22"/>
                <w:szCs w:val="22"/>
              </w:rPr>
              <w:t>20</w:t>
            </w:r>
          </w:p>
        </w:tc>
        <w:tc>
          <w:tcPr>
            <w:tcW w:w="1554" w:type="dxa"/>
            <w:tcBorders>
              <w:top w:val="single" w:sz="4" w:space="0" w:color="auto"/>
              <w:bottom w:val="single" w:sz="4" w:space="0" w:color="auto"/>
            </w:tcBorders>
            <w:shd w:val="clear" w:color="auto" w:fill="8DA9DB"/>
          </w:tcPr>
          <w:p w14:paraId="5F2F7C07" w14:textId="77777777" w:rsidR="006F6D8D" w:rsidRPr="0027440C" w:rsidRDefault="006F6D8D" w:rsidP="00B86DBF">
            <w:pPr>
              <w:jc w:val="center"/>
              <w:rPr>
                <w:rFonts w:ascii="Arial Narrow" w:hAnsi="Arial Narrow" w:cs="Arial"/>
                <w:sz w:val="22"/>
                <w:szCs w:val="22"/>
              </w:rPr>
            </w:pPr>
            <w:r w:rsidRPr="0027440C">
              <w:rPr>
                <w:rFonts w:ascii="Arial Narrow" w:hAnsi="Arial Narrow" w:cs="Arial"/>
                <w:b/>
                <w:bCs/>
                <w:sz w:val="22"/>
                <w:szCs w:val="22"/>
              </w:rPr>
              <w:t>FY2</w:t>
            </w:r>
            <w:r w:rsidR="00815B3D">
              <w:rPr>
                <w:rFonts w:ascii="Arial Narrow" w:hAnsi="Arial Narrow" w:cs="Arial"/>
                <w:b/>
                <w:bCs/>
                <w:sz w:val="22"/>
                <w:szCs w:val="22"/>
              </w:rPr>
              <w:t>1</w:t>
            </w:r>
          </w:p>
        </w:tc>
        <w:tc>
          <w:tcPr>
            <w:tcW w:w="1554" w:type="dxa"/>
            <w:gridSpan w:val="3"/>
            <w:tcBorders>
              <w:top w:val="single" w:sz="4" w:space="0" w:color="auto"/>
              <w:bottom w:val="single" w:sz="4" w:space="0" w:color="auto"/>
            </w:tcBorders>
            <w:shd w:val="clear" w:color="auto" w:fill="8DA9DB"/>
          </w:tcPr>
          <w:p w14:paraId="3BB5FF7F" w14:textId="77777777" w:rsidR="006F6D8D" w:rsidRPr="0027440C" w:rsidRDefault="006F6D8D" w:rsidP="00B86DBF">
            <w:pPr>
              <w:jc w:val="center"/>
              <w:rPr>
                <w:rFonts w:ascii="Arial Narrow" w:hAnsi="Arial Narrow" w:cs="Arial"/>
                <w:sz w:val="22"/>
                <w:szCs w:val="22"/>
              </w:rPr>
            </w:pPr>
            <w:r w:rsidRPr="0027440C">
              <w:rPr>
                <w:rFonts w:ascii="Arial Narrow" w:hAnsi="Arial Narrow" w:cs="Arial"/>
                <w:b/>
                <w:bCs/>
                <w:sz w:val="22"/>
                <w:szCs w:val="22"/>
              </w:rPr>
              <w:t>FY2</w:t>
            </w:r>
            <w:r w:rsidR="00815B3D">
              <w:rPr>
                <w:rFonts w:ascii="Arial Narrow" w:hAnsi="Arial Narrow" w:cs="Arial"/>
                <w:b/>
                <w:bCs/>
                <w:sz w:val="22"/>
                <w:szCs w:val="22"/>
              </w:rPr>
              <w:t>2</w:t>
            </w:r>
          </w:p>
        </w:tc>
        <w:tc>
          <w:tcPr>
            <w:tcW w:w="1554" w:type="dxa"/>
            <w:tcBorders>
              <w:top w:val="single" w:sz="4" w:space="0" w:color="auto"/>
              <w:bottom w:val="single" w:sz="4" w:space="0" w:color="auto"/>
              <w:right w:val="single" w:sz="4" w:space="0" w:color="auto"/>
            </w:tcBorders>
            <w:shd w:val="clear" w:color="auto" w:fill="8DA9DB"/>
          </w:tcPr>
          <w:p w14:paraId="501774A4" w14:textId="77777777" w:rsidR="006F6D8D" w:rsidRPr="0027440C" w:rsidRDefault="006F6D8D" w:rsidP="00B86DBF">
            <w:pPr>
              <w:jc w:val="center"/>
              <w:rPr>
                <w:rFonts w:ascii="Arial Narrow" w:hAnsi="Arial Narrow" w:cs="Arial"/>
                <w:sz w:val="22"/>
                <w:szCs w:val="22"/>
              </w:rPr>
            </w:pPr>
            <w:r w:rsidRPr="0027440C">
              <w:rPr>
                <w:rFonts w:ascii="Arial Narrow" w:hAnsi="Arial Narrow" w:cs="Arial"/>
                <w:b/>
                <w:bCs/>
                <w:sz w:val="22"/>
                <w:szCs w:val="22"/>
              </w:rPr>
              <w:t>FY2</w:t>
            </w:r>
            <w:r w:rsidR="00815B3D">
              <w:rPr>
                <w:rFonts w:ascii="Arial Narrow" w:hAnsi="Arial Narrow" w:cs="Arial"/>
                <w:b/>
                <w:bCs/>
                <w:sz w:val="22"/>
                <w:szCs w:val="22"/>
              </w:rPr>
              <w:t>3</w:t>
            </w:r>
            <w:r w:rsidRPr="0027440C">
              <w:rPr>
                <w:rFonts w:ascii="Arial Narrow" w:hAnsi="Arial Narrow" w:cs="Arial"/>
                <w:b/>
                <w:bCs/>
                <w:sz w:val="22"/>
                <w:szCs w:val="22"/>
              </w:rPr>
              <w:t xml:space="preserve"> YTD</w:t>
            </w:r>
            <w:r w:rsidRPr="0027440C">
              <w:rPr>
                <w:rStyle w:val="FootnoteReference"/>
                <w:rFonts w:ascii="Arial Narrow" w:hAnsi="Arial Narrow" w:cs="Arial"/>
                <w:b/>
                <w:bCs/>
                <w:sz w:val="22"/>
                <w:szCs w:val="22"/>
              </w:rPr>
              <w:footnoteReference w:id="20"/>
            </w:r>
          </w:p>
        </w:tc>
      </w:tr>
      <w:tr w:rsidR="0047029E" w:rsidRPr="0027440C" w14:paraId="4997D848" w14:textId="77777777" w:rsidTr="0065179B">
        <w:trPr>
          <w:cantSplit/>
          <w:trHeight w:val="20"/>
          <w:jc w:val="center"/>
        </w:trPr>
        <w:tc>
          <w:tcPr>
            <w:tcW w:w="3145" w:type="dxa"/>
            <w:gridSpan w:val="2"/>
            <w:tcBorders>
              <w:top w:val="single" w:sz="4" w:space="0" w:color="auto"/>
              <w:left w:val="single" w:sz="4" w:space="0" w:color="auto"/>
              <w:bottom w:val="single" w:sz="4" w:space="0" w:color="auto"/>
              <w:right w:val="nil"/>
            </w:tcBorders>
            <w:shd w:val="clear" w:color="auto" w:fill="D9E2F3" w:themeFill="accent1" w:themeFillTint="33"/>
          </w:tcPr>
          <w:p w14:paraId="2C0799F8" w14:textId="77777777" w:rsidR="0047029E" w:rsidRPr="0047029E" w:rsidRDefault="0047029E" w:rsidP="0047029E">
            <w:pPr>
              <w:rPr>
                <w:rFonts w:ascii="Arial Narrow" w:hAnsi="Arial Narrow" w:cs="Arial"/>
                <w:sz w:val="20"/>
                <w:szCs w:val="20"/>
              </w:rPr>
            </w:pPr>
            <w:r w:rsidRPr="0047029E">
              <w:rPr>
                <w:rFonts w:ascii="Arial Narrow" w:hAnsi="Arial Narrow" w:cs="Arial"/>
                <w:b/>
                <w:bCs/>
                <w:sz w:val="20"/>
                <w:szCs w:val="20"/>
              </w:rPr>
              <w:t>APM Contract Percentages (for any system-affiliated Primary Care Physicians)</w:t>
            </w:r>
          </w:p>
        </w:tc>
        <w:tc>
          <w:tcPr>
            <w:tcW w:w="1530" w:type="dxa"/>
            <w:tcBorders>
              <w:top w:val="single" w:sz="4" w:space="0" w:color="auto"/>
              <w:left w:val="nil"/>
              <w:bottom w:val="single" w:sz="4" w:space="0" w:color="auto"/>
              <w:right w:val="nil"/>
            </w:tcBorders>
            <w:shd w:val="clear" w:color="auto" w:fill="D9E2F3" w:themeFill="accent1" w:themeFillTint="33"/>
          </w:tcPr>
          <w:p w14:paraId="3AAA8899" w14:textId="7E9C3BCE" w:rsidR="0047029E" w:rsidRPr="0047029E" w:rsidRDefault="0047029E" w:rsidP="0047029E">
            <w:pPr>
              <w:rPr>
                <w:rFonts w:ascii="Arial Narrow" w:hAnsi="Arial Narrow" w:cs="Arial"/>
                <w:sz w:val="22"/>
                <w:szCs w:val="22"/>
              </w:rPr>
            </w:pPr>
            <w:r w:rsidRPr="0047029E">
              <w:rPr>
                <w:rFonts w:ascii="Arial Narrow" w:hAnsi="Arial Narrow" w:cs="Arial"/>
                <w:color w:val="D9E2F3"/>
                <w:sz w:val="22"/>
                <w:szCs w:val="22"/>
              </w:rPr>
              <w:t>blank</w:t>
            </w:r>
          </w:p>
        </w:tc>
        <w:tc>
          <w:tcPr>
            <w:tcW w:w="1620" w:type="dxa"/>
            <w:gridSpan w:val="3"/>
            <w:tcBorders>
              <w:top w:val="single" w:sz="4" w:space="0" w:color="auto"/>
              <w:left w:val="nil"/>
              <w:bottom w:val="single" w:sz="4" w:space="0" w:color="auto"/>
              <w:right w:val="nil"/>
            </w:tcBorders>
            <w:shd w:val="clear" w:color="auto" w:fill="D9E2F3" w:themeFill="accent1" w:themeFillTint="33"/>
          </w:tcPr>
          <w:p w14:paraId="3B4736B1" w14:textId="50DC4361" w:rsidR="0047029E" w:rsidRPr="0027440C" w:rsidRDefault="0047029E" w:rsidP="0047029E">
            <w:pPr>
              <w:rPr>
                <w:rFonts w:ascii="Arial Narrow" w:hAnsi="Arial Narrow" w:cs="Arial"/>
                <w:sz w:val="22"/>
                <w:szCs w:val="22"/>
              </w:rPr>
            </w:pPr>
            <w:r w:rsidRPr="00DE1A79">
              <w:rPr>
                <w:rFonts w:ascii="Arial Narrow" w:hAnsi="Arial Narrow" w:cs="Arial"/>
                <w:color w:val="D9E2F3"/>
                <w:sz w:val="22"/>
                <w:szCs w:val="22"/>
              </w:rPr>
              <w:t>blank</w:t>
            </w:r>
          </w:p>
        </w:tc>
        <w:tc>
          <w:tcPr>
            <w:tcW w:w="1440" w:type="dxa"/>
            <w:tcBorders>
              <w:top w:val="single" w:sz="4" w:space="0" w:color="auto"/>
              <w:left w:val="nil"/>
              <w:bottom w:val="single" w:sz="4" w:space="0" w:color="auto"/>
              <w:right w:val="nil"/>
            </w:tcBorders>
            <w:shd w:val="clear" w:color="auto" w:fill="D9E2F3" w:themeFill="accent1" w:themeFillTint="33"/>
          </w:tcPr>
          <w:p w14:paraId="3609E75D" w14:textId="2D11B55C" w:rsidR="0047029E" w:rsidRPr="0027440C" w:rsidRDefault="0047029E" w:rsidP="0047029E">
            <w:pPr>
              <w:rPr>
                <w:rFonts w:ascii="Arial Narrow" w:hAnsi="Arial Narrow" w:cs="Arial"/>
                <w:sz w:val="22"/>
                <w:szCs w:val="22"/>
              </w:rPr>
            </w:pPr>
            <w:r w:rsidRPr="00DE1A79">
              <w:rPr>
                <w:rFonts w:ascii="Arial Narrow" w:hAnsi="Arial Narrow" w:cs="Arial"/>
                <w:color w:val="D9E2F3"/>
                <w:sz w:val="22"/>
                <w:szCs w:val="22"/>
              </w:rPr>
              <w:t>blank</w:t>
            </w:r>
          </w:p>
        </w:tc>
        <w:tc>
          <w:tcPr>
            <w:tcW w:w="1615" w:type="dxa"/>
            <w:gridSpan w:val="2"/>
            <w:tcBorders>
              <w:top w:val="single" w:sz="4" w:space="0" w:color="auto"/>
              <w:left w:val="nil"/>
              <w:bottom w:val="single" w:sz="4" w:space="0" w:color="auto"/>
              <w:right w:val="single" w:sz="4" w:space="0" w:color="auto"/>
            </w:tcBorders>
            <w:shd w:val="clear" w:color="auto" w:fill="D9E2F3" w:themeFill="accent1" w:themeFillTint="33"/>
          </w:tcPr>
          <w:p w14:paraId="46085B00" w14:textId="1B674B16" w:rsidR="0047029E" w:rsidRPr="0027440C" w:rsidRDefault="0047029E" w:rsidP="0047029E">
            <w:pPr>
              <w:rPr>
                <w:rFonts w:ascii="Arial Narrow" w:hAnsi="Arial Narrow" w:cs="Arial"/>
                <w:sz w:val="22"/>
                <w:szCs w:val="22"/>
              </w:rPr>
            </w:pPr>
            <w:r w:rsidRPr="00DE1A79">
              <w:rPr>
                <w:rFonts w:ascii="Arial Narrow" w:hAnsi="Arial Narrow" w:cs="Arial"/>
                <w:color w:val="D9E2F3"/>
                <w:sz w:val="22"/>
                <w:szCs w:val="22"/>
              </w:rPr>
              <w:t>blank</w:t>
            </w:r>
          </w:p>
        </w:tc>
      </w:tr>
      <w:tr w:rsidR="006F6D8D" w:rsidRPr="0027440C" w14:paraId="41E6FCFF" w14:textId="77777777" w:rsidTr="0065179B">
        <w:trPr>
          <w:cantSplit/>
          <w:trHeight w:val="20"/>
          <w:jc w:val="center"/>
        </w:trPr>
        <w:tc>
          <w:tcPr>
            <w:tcW w:w="3135" w:type="dxa"/>
            <w:tcBorders>
              <w:top w:val="single" w:sz="4" w:space="0" w:color="auto"/>
              <w:left w:val="single" w:sz="4" w:space="0" w:color="auto"/>
              <w:bottom w:val="single" w:sz="4" w:space="0" w:color="auto"/>
              <w:right w:val="single" w:sz="4" w:space="0" w:color="auto"/>
            </w:tcBorders>
          </w:tcPr>
          <w:p w14:paraId="61510E5B" w14:textId="77777777" w:rsidR="006F6D8D" w:rsidRPr="00804B55" w:rsidRDefault="006F6D8D" w:rsidP="00963E14">
            <w:pPr>
              <w:rPr>
                <w:rFonts w:ascii="Arial Narrow" w:hAnsi="Arial Narrow" w:cs="Arial"/>
                <w:sz w:val="22"/>
                <w:szCs w:val="22"/>
              </w:rPr>
            </w:pPr>
            <w:r w:rsidRPr="00804B55">
              <w:rPr>
                <w:rFonts w:ascii="Arial Narrow" w:hAnsi="Arial Narrow" w:cs="Arial"/>
                <w:sz w:val="22"/>
                <w:szCs w:val="22"/>
              </w:rPr>
              <w:t>APM and ACO Contracts</w:t>
            </w:r>
          </w:p>
        </w:tc>
        <w:tc>
          <w:tcPr>
            <w:tcW w:w="1553" w:type="dxa"/>
            <w:gridSpan w:val="3"/>
            <w:tcBorders>
              <w:top w:val="single" w:sz="4" w:space="0" w:color="auto"/>
              <w:left w:val="single" w:sz="4" w:space="0" w:color="auto"/>
              <w:bottom w:val="single" w:sz="4" w:space="0" w:color="auto"/>
            </w:tcBorders>
          </w:tcPr>
          <w:p w14:paraId="7DA0AED8"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2</w:t>
            </w:r>
            <w:r w:rsidR="00804B55" w:rsidRPr="00804B55">
              <w:rPr>
                <w:rFonts w:ascii="Arial Narrow" w:hAnsi="Arial Narrow" w:cs="Arial"/>
                <w:sz w:val="22"/>
                <w:szCs w:val="22"/>
              </w:rPr>
              <w:t>3</w:t>
            </w:r>
            <w:r w:rsidRPr="00804B55">
              <w:rPr>
                <w:rFonts w:ascii="Arial Narrow" w:hAnsi="Arial Narrow" w:cs="Arial"/>
                <w:sz w:val="22"/>
                <w:szCs w:val="22"/>
              </w:rPr>
              <w:t>.2%</w:t>
            </w:r>
          </w:p>
        </w:tc>
        <w:tc>
          <w:tcPr>
            <w:tcW w:w="1554" w:type="dxa"/>
            <w:tcBorders>
              <w:top w:val="single" w:sz="4" w:space="0" w:color="auto"/>
              <w:bottom w:val="single" w:sz="4" w:space="0" w:color="auto"/>
            </w:tcBorders>
          </w:tcPr>
          <w:p w14:paraId="186082FE"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2</w:t>
            </w:r>
            <w:r w:rsidR="00804B55" w:rsidRPr="00804B55">
              <w:rPr>
                <w:rFonts w:ascii="Arial Narrow" w:hAnsi="Arial Narrow" w:cs="Arial"/>
                <w:sz w:val="22"/>
                <w:szCs w:val="22"/>
              </w:rPr>
              <w:t>5.2</w:t>
            </w:r>
            <w:r w:rsidRPr="00804B55">
              <w:rPr>
                <w:rFonts w:ascii="Arial Narrow" w:hAnsi="Arial Narrow" w:cs="Arial"/>
                <w:sz w:val="22"/>
                <w:szCs w:val="22"/>
              </w:rPr>
              <w:t>%</w:t>
            </w:r>
          </w:p>
        </w:tc>
        <w:tc>
          <w:tcPr>
            <w:tcW w:w="1554" w:type="dxa"/>
            <w:gridSpan w:val="3"/>
            <w:tcBorders>
              <w:top w:val="single" w:sz="4" w:space="0" w:color="auto"/>
              <w:bottom w:val="single" w:sz="4" w:space="0" w:color="auto"/>
            </w:tcBorders>
          </w:tcPr>
          <w:p w14:paraId="498DFAC0"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2</w:t>
            </w:r>
            <w:r w:rsidR="00804B55" w:rsidRPr="00804B55">
              <w:rPr>
                <w:rFonts w:ascii="Arial Narrow" w:hAnsi="Arial Narrow" w:cs="Arial"/>
                <w:sz w:val="22"/>
                <w:szCs w:val="22"/>
              </w:rPr>
              <w:t>5.6</w:t>
            </w:r>
            <w:r w:rsidRPr="00804B55">
              <w:rPr>
                <w:rFonts w:ascii="Arial Narrow" w:hAnsi="Arial Narrow" w:cs="Arial"/>
                <w:sz w:val="22"/>
                <w:szCs w:val="22"/>
              </w:rPr>
              <w:t>%</w:t>
            </w:r>
          </w:p>
        </w:tc>
        <w:tc>
          <w:tcPr>
            <w:tcW w:w="1554" w:type="dxa"/>
            <w:tcBorders>
              <w:top w:val="single" w:sz="4" w:space="0" w:color="auto"/>
              <w:bottom w:val="single" w:sz="4" w:space="0" w:color="auto"/>
              <w:right w:val="single" w:sz="4" w:space="0" w:color="auto"/>
            </w:tcBorders>
          </w:tcPr>
          <w:p w14:paraId="66D98598"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2</w:t>
            </w:r>
            <w:r w:rsidR="00804B55" w:rsidRPr="00804B55">
              <w:rPr>
                <w:rFonts w:ascii="Arial Narrow" w:hAnsi="Arial Narrow" w:cs="Arial"/>
                <w:sz w:val="22"/>
                <w:szCs w:val="22"/>
              </w:rPr>
              <w:t>6.6</w:t>
            </w:r>
            <w:r w:rsidRPr="00804B55">
              <w:rPr>
                <w:rFonts w:ascii="Arial Narrow" w:hAnsi="Arial Narrow" w:cs="Arial"/>
                <w:sz w:val="22"/>
                <w:szCs w:val="22"/>
              </w:rPr>
              <w:t>%</w:t>
            </w:r>
          </w:p>
        </w:tc>
      </w:tr>
      <w:tr w:rsidR="006F6D8D" w:rsidRPr="0027440C" w14:paraId="27AD7243" w14:textId="77777777" w:rsidTr="0065179B">
        <w:trPr>
          <w:cantSplit/>
          <w:trHeight w:val="20"/>
          <w:jc w:val="center"/>
        </w:trPr>
        <w:tc>
          <w:tcPr>
            <w:tcW w:w="3135" w:type="dxa"/>
            <w:tcBorders>
              <w:top w:val="single" w:sz="4" w:space="0" w:color="auto"/>
              <w:left w:val="single" w:sz="4" w:space="0" w:color="auto"/>
              <w:bottom w:val="single" w:sz="4" w:space="0" w:color="auto"/>
              <w:right w:val="single" w:sz="4" w:space="0" w:color="auto"/>
            </w:tcBorders>
          </w:tcPr>
          <w:p w14:paraId="5584A83D" w14:textId="77777777" w:rsidR="006F6D8D" w:rsidRPr="00804B55" w:rsidRDefault="006F6D8D" w:rsidP="00963E14">
            <w:pPr>
              <w:rPr>
                <w:rFonts w:ascii="Arial Narrow" w:hAnsi="Arial Narrow" w:cs="Arial"/>
                <w:sz w:val="22"/>
                <w:szCs w:val="22"/>
              </w:rPr>
            </w:pPr>
            <w:r w:rsidRPr="00804B55">
              <w:rPr>
                <w:rFonts w:ascii="Arial Narrow" w:hAnsi="Arial Narrow" w:cs="Arial"/>
                <w:sz w:val="22"/>
                <w:szCs w:val="22"/>
              </w:rPr>
              <w:t>Non-APM and Non-ACO Contracts</w:t>
            </w:r>
          </w:p>
        </w:tc>
        <w:tc>
          <w:tcPr>
            <w:tcW w:w="1553" w:type="dxa"/>
            <w:gridSpan w:val="3"/>
            <w:tcBorders>
              <w:top w:val="single" w:sz="4" w:space="0" w:color="auto"/>
              <w:left w:val="single" w:sz="4" w:space="0" w:color="auto"/>
              <w:bottom w:val="single" w:sz="4" w:space="0" w:color="auto"/>
            </w:tcBorders>
          </w:tcPr>
          <w:p w14:paraId="5D3711B0"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7</w:t>
            </w:r>
            <w:r w:rsidR="00804B55" w:rsidRPr="00804B55">
              <w:rPr>
                <w:rFonts w:ascii="Arial Narrow" w:hAnsi="Arial Narrow" w:cs="Arial"/>
                <w:sz w:val="22"/>
                <w:szCs w:val="22"/>
              </w:rPr>
              <w:t>6</w:t>
            </w:r>
            <w:r w:rsidRPr="00804B55">
              <w:rPr>
                <w:rFonts w:ascii="Arial Narrow" w:hAnsi="Arial Narrow" w:cs="Arial"/>
                <w:sz w:val="22"/>
                <w:szCs w:val="22"/>
              </w:rPr>
              <w:t>.8%</w:t>
            </w:r>
          </w:p>
        </w:tc>
        <w:tc>
          <w:tcPr>
            <w:tcW w:w="1554" w:type="dxa"/>
            <w:tcBorders>
              <w:top w:val="single" w:sz="4" w:space="0" w:color="auto"/>
              <w:bottom w:val="single" w:sz="4" w:space="0" w:color="auto"/>
            </w:tcBorders>
          </w:tcPr>
          <w:p w14:paraId="24AE6B80"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7</w:t>
            </w:r>
            <w:r w:rsidR="00804B55" w:rsidRPr="00804B55">
              <w:rPr>
                <w:rFonts w:ascii="Arial Narrow" w:hAnsi="Arial Narrow" w:cs="Arial"/>
                <w:sz w:val="22"/>
                <w:szCs w:val="22"/>
              </w:rPr>
              <w:t>4.8</w:t>
            </w:r>
            <w:r w:rsidRPr="00804B55">
              <w:rPr>
                <w:rFonts w:ascii="Arial Narrow" w:hAnsi="Arial Narrow" w:cs="Arial"/>
                <w:sz w:val="22"/>
                <w:szCs w:val="22"/>
              </w:rPr>
              <w:t>%</w:t>
            </w:r>
          </w:p>
        </w:tc>
        <w:tc>
          <w:tcPr>
            <w:tcW w:w="1554" w:type="dxa"/>
            <w:gridSpan w:val="3"/>
            <w:tcBorders>
              <w:top w:val="single" w:sz="4" w:space="0" w:color="auto"/>
              <w:bottom w:val="single" w:sz="4" w:space="0" w:color="auto"/>
            </w:tcBorders>
          </w:tcPr>
          <w:p w14:paraId="525EC9D1"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7</w:t>
            </w:r>
            <w:r w:rsidR="00804B55" w:rsidRPr="00804B55">
              <w:rPr>
                <w:rFonts w:ascii="Arial Narrow" w:hAnsi="Arial Narrow" w:cs="Arial"/>
                <w:sz w:val="22"/>
                <w:szCs w:val="22"/>
              </w:rPr>
              <w:t>4.4</w:t>
            </w:r>
            <w:r w:rsidRPr="00804B55">
              <w:rPr>
                <w:rFonts w:ascii="Arial Narrow" w:hAnsi="Arial Narrow" w:cs="Arial"/>
                <w:sz w:val="22"/>
                <w:szCs w:val="22"/>
              </w:rPr>
              <w:t>%</w:t>
            </w:r>
          </w:p>
        </w:tc>
        <w:tc>
          <w:tcPr>
            <w:tcW w:w="1554" w:type="dxa"/>
            <w:tcBorders>
              <w:top w:val="single" w:sz="4" w:space="0" w:color="auto"/>
              <w:bottom w:val="single" w:sz="4" w:space="0" w:color="auto"/>
              <w:right w:val="single" w:sz="4" w:space="0" w:color="auto"/>
            </w:tcBorders>
          </w:tcPr>
          <w:p w14:paraId="1971393C" w14:textId="77777777" w:rsidR="006F6D8D" w:rsidRPr="00804B55" w:rsidRDefault="006F6D8D" w:rsidP="00BA11EB">
            <w:pPr>
              <w:jc w:val="center"/>
              <w:rPr>
                <w:rFonts w:ascii="Arial Narrow" w:hAnsi="Arial Narrow" w:cs="Arial"/>
                <w:sz w:val="22"/>
                <w:szCs w:val="22"/>
              </w:rPr>
            </w:pPr>
            <w:r w:rsidRPr="00804B55">
              <w:rPr>
                <w:rFonts w:ascii="Arial Narrow" w:hAnsi="Arial Narrow" w:cs="Arial"/>
                <w:sz w:val="22"/>
                <w:szCs w:val="22"/>
              </w:rPr>
              <w:t>7</w:t>
            </w:r>
            <w:r w:rsidR="00804B55" w:rsidRPr="00804B55">
              <w:rPr>
                <w:rFonts w:ascii="Arial Narrow" w:hAnsi="Arial Narrow" w:cs="Arial"/>
                <w:sz w:val="22"/>
                <w:szCs w:val="22"/>
              </w:rPr>
              <w:t>3.4</w:t>
            </w:r>
            <w:r w:rsidRPr="00804B55">
              <w:rPr>
                <w:rFonts w:ascii="Arial Narrow" w:hAnsi="Arial Narrow" w:cs="Arial"/>
                <w:sz w:val="22"/>
                <w:szCs w:val="22"/>
              </w:rPr>
              <w:t>%</w:t>
            </w:r>
          </w:p>
        </w:tc>
      </w:tr>
      <w:tr w:rsidR="0047029E" w:rsidRPr="0027440C" w14:paraId="19B7B658" w14:textId="77777777" w:rsidTr="0065179B">
        <w:trPr>
          <w:cantSplit/>
          <w:trHeight w:val="20"/>
          <w:jc w:val="center"/>
        </w:trPr>
        <w:tc>
          <w:tcPr>
            <w:tcW w:w="3145" w:type="dxa"/>
            <w:gridSpan w:val="2"/>
            <w:tcBorders>
              <w:top w:val="single" w:sz="4" w:space="0" w:color="auto"/>
              <w:left w:val="single" w:sz="4" w:space="0" w:color="auto"/>
              <w:bottom w:val="single" w:sz="4" w:space="0" w:color="auto"/>
              <w:right w:val="nil"/>
            </w:tcBorders>
            <w:shd w:val="clear" w:color="auto" w:fill="D9E2F3" w:themeFill="accent1" w:themeFillTint="33"/>
          </w:tcPr>
          <w:p w14:paraId="2029A5F5" w14:textId="77777777" w:rsidR="0047029E" w:rsidRPr="00804B55" w:rsidRDefault="0047029E" w:rsidP="0047029E">
            <w:pPr>
              <w:rPr>
                <w:rFonts w:ascii="Arial Narrow" w:hAnsi="Arial Narrow" w:cs="Arial"/>
                <w:b/>
                <w:bCs/>
                <w:sz w:val="22"/>
                <w:szCs w:val="22"/>
              </w:rPr>
            </w:pPr>
            <w:r w:rsidRPr="00804B55">
              <w:rPr>
                <w:rFonts w:ascii="Arial Narrow" w:hAnsi="Arial Narrow" w:cs="Arial"/>
                <w:b/>
                <w:bCs/>
                <w:sz w:val="22"/>
                <w:szCs w:val="22"/>
              </w:rPr>
              <w:t>Payer Mix Percentages</w:t>
            </w:r>
          </w:p>
        </w:tc>
        <w:tc>
          <w:tcPr>
            <w:tcW w:w="1530" w:type="dxa"/>
            <w:tcBorders>
              <w:top w:val="single" w:sz="4" w:space="0" w:color="auto"/>
              <w:left w:val="nil"/>
              <w:bottom w:val="single" w:sz="4" w:space="0" w:color="auto"/>
              <w:right w:val="nil"/>
            </w:tcBorders>
            <w:shd w:val="clear" w:color="auto" w:fill="D9E2F3" w:themeFill="accent1" w:themeFillTint="33"/>
          </w:tcPr>
          <w:p w14:paraId="78D061EC" w14:textId="52A90FE2" w:rsidR="0047029E" w:rsidRPr="00804B55" w:rsidRDefault="0047029E" w:rsidP="0047029E">
            <w:pPr>
              <w:rPr>
                <w:rFonts w:ascii="Arial Narrow" w:hAnsi="Arial Narrow" w:cs="Arial"/>
                <w:b/>
                <w:bCs/>
                <w:sz w:val="22"/>
                <w:szCs w:val="22"/>
              </w:rPr>
            </w:pPr>
            <w:r w:rsidRPr="00D82572">
              <w:rPr>
                <w:rFonts w:ascii="Arial Narrow" w:hAnsi="Arial Narrow" w:cs="Arial"/>
                <w:color w:val="D9E2F3"/>
                <w:sz w:val="22"/>
                <w:szCs w:val="22"/>
              </w:rPr>
              <w:t>blank</w:t>
            </w:r>
          </w:p>
        </w:tc>
        <w:tc>
          <w:tcPr>
            <w:tcW w:w="1620" w:type="dxa"/>
            <w:gridSpan w:val="3"/>
            <w:tcBorders>
              <w:top w:val="single" w:sz="4" w:space="0" w:color="auto"/>
              <w:left w:val="nil"/>
              <w:bottom w:val="single" w:sz="4" w:space="0" w:color="auto"/>
              <w:right w:val="nil"/>
            </w:tcBorders>
            <w:shd w:val="clear" w:color="auto" w:fill="D9E2F3" w:themeFill="accent1" w:themeFillTint="33"/>
          </w:tcPr>
          <w:p w14:paraId="6D49843B" w14:textId="3AD3253F" w:rsidR="0047029E" w:rsidRPr="00804B55" w:rsidRDefault="0047029E" w:rsidP="0047029E">
            <w:pPr>
              <w:rPr>
                <w:rFonts w:ascii="Arial Narrow" w:hAnsi="Arial Narrow" w:cs="Arial"/>
                <w:b/>
                <w:bCs/>
                <w:sz w:val="22"/>
                <w:szCs w:val="22"/>
              </w:rPr>
            </w:pPr>
            <w:r w:rsidRPr="00D82572">
              <w:rPr>
                <w:rFonts w:ascii="Arial Narrow" w:hAnsi="Arial Narrow" w:cs="Arial"/>
                <w:color w:val="D9E2F3"/>
                <w:sz w:val="22"/>
                <w:szCs w:val="22"/>
              </w:rPr>
              <w:t>blank</w:t>
            </w:r>
          </w:p>
        </w:tc>
        <w:tc>
          <w:tcPr>
            <w:tcW w:w="1440" w:type="dxa"/>
            <w:tcBorders>
              <w:top w:val="single" w:sz="4" w:space="0" w:color="auto"/>
              <w:left w:val="nil"/>
              <w:bottom w:val="single" w:sz="4" w:space="0" w:color="auto"/>
              <w:right w:val="nil"/>
            </w:tcBorders>
            <w:shd w:val="clear" w:color="auto" w:fill="D9E2F3" w:themeFill="accent1" w:themeFillTint="33"/>
          </w:tcPr>
          <w:p w14:paraId="3862C20C" w14:textId="5148BB0D" w:rsidR="0047029E" w:rsidRPr="00804B55" w:rsidRDefault="0047029E" w:rsidP="0047029E">
            <w:pPr>
              <w:rPr>
                <w:rFonts w:ascii="Arial Narrow" w:hAnsi="Arial Narrow" w:cs="Arial"/>
                <w:b/>
                <w:bCs/>
                <w:sz w:val="22"/>
                <w:szCs w:val="22"/>
              </w:rPr>
            </w:pPr>
            <w:r w:rsidRPr="00D82572">
              <w:rPr>
                <w:rFonts w:ascii="Arial Narrow" w:hAnsi="Arial Narrow" w:cs="Arial"/>
                <w:color w:val="D9E2F3"/>
                <w:sz w:val="22"/>
                <w:szCs w:val="22"/>
              </w:rPr>
              <w:t>blank</w:t>
            </w:r>
          </w:p>
        </w:tc>
        <w:tc>
          <w:tcPr>
            <w:tcW w:w="1615" w:type="dxa"/>
            <w:gridSpan w:val="2"/>
            <w:tcBorders>
              <w:top w:val="single" w:sz="4" w:space="0" w:color="auto"/>
              <w:left w:val="nil"/>
              <w:bottom w:val="single" w:sz="4" w:space="0" w:color="auto"/>
              <w:right w:val="single" w:sz="4" w:space="0" w:color="auto"/>
            </w:tcBorders>
            <w:shd w:val="clear" w:color="auto" w:fill="D9E2F3" w:themeFill="accent1" w:themeFillTint="33"/>
          </w:tcPr>
          <w:p w14:paraId="44054869" w14:textId="6E3CC167" w:rsidR="0047029E" w:rsidRPr="00804B55" w:rsidRDefault="0047029E" w:rsidP="0047029E">
            <w:pPr>
              <w:rPr>
                <w:rFonts w:ascii="Arial Narrow" w:hAnsi="Arial Narrow" w:cs="Arial"/>
                <w:b/>
                <w:bCs/>
                <w:sz w:val="22"/>
                <w:szCs w:val="22"/>
              </w:rPr>
            </w:pPr>
            <w:r w:rsidRPr="00D82572">
              <w:rPr>
                <w:rFonts w:ascii="Arial Narrow" w:hAnsi="Arial Narrow" w:cs="Arial"/>
                <w:color w:val="D9E2F3"/>
                <w:sz w:val="22"/>
                <w:szCs w:val="22"/>
              </w:rPr>
              <w:t>blank</w:t>
            </w:r>
          </w:p>
        </w:tc>
      </w:tr>
      <w:tr w:rsidR="006F6D8D" w:rsidRPr="0027440C" w14:paraId="72CBA5F8" w14:textId="77777777" w:rsidTr="0065179B">
        <w:trPr>
          <w:cantSplit/>
          <w:trHeight w:val="20"/>
          <w:jc w:val="center"/>
        </w:trPr>
        <w:tc>
          <w:tcPr>
            <w:tcW w:w="3135" w:type="dxa"/>
            <w:tcBorders>
              <w:top w:val="single" w:sz="4" w:space="0" w:color="auto"/>
              <w:left w:val="single" w:sz="4" w:space="0" w:color="auto"/>
              <w:right w:val="single" w:sz="4" w:space="0" w:color="auto"/>
            </w:tcBorders>
          </w:tcPr>
          <w:p w14:paraId="37DB0B69"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Commercial</w:t>
            </w:r>
            <w:r w:rsidRPr="00804B55">
              <w:rPr>
                <w:rStyle w:val="FootnoteReference"/>
                <w:rFonts w:ascii="Arial Narrow" w:hAnsi="Arial Narrow" w:cs="Arial"/>
                <w:sz w:val="22"/>
                <w:szCs w:val="22"/>
              </w:rPr>
              <w:footnoteReference w:id="21"/>
            </w:r>
          </w:p>
        </w:tc>
        <w:tc>
          <w:tcPr>
            <w:tcW w:w="1553" w:type="dxa"/>
            <w:gridSpan w:val="3"/>
            <w:tcBorders>
              <w:top w:val="single" w:sz="4" w:space="0" w:color="auto"/>
              <w:left w:val="single" w:sz="4" w:space="0" w:color="auto"/>
            </w:tcBorders>
          </w:tcPr>
          <w:p w14:paraId="695192E2"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sz w:val="22"/>
                <w:szCs w:val="22"/>
              </w:rPr>
              <w:t>29.7</w:t>
            </w:r>
            <w:r w:rsidR="006F6D8D" w:rsidRPr="00804B55">
              <w:rPr>
                <w:rFonts w:ascii="Arial Narrow" w:hAnsi="Arial Narrow" w:cs="Arial"/>
                <w:sz w:val="22"/>
                <w:szCs w:val="22"/>
              </w:rPr>
              <w:t>%</w:t>
            </w:r>
          </w:p>
        </w:tc>
        <w:tc>
          <w:tcPr>
            <w:tcW w:w="1554" w:type="dxa"/>
            <w:tcBorders>
              <w:top w:val="single" w:sz="4" w:space="0" w:color="auto"/>
            </w:tcBorders>
            <w:shd w:val="clear" w:color="auto" w:fill="auto"/>
          </w:tcPr>
          <w:p w14:paraId="797CDCD6"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29.9</w:t>
            </w:r>
            <w:r w:rsidR="006F6D8D" w:rsidRPr="00804B55">
              <w:rPr>
                <w:rFonts w:ascii="Arial Narrow" w:hAnsi="Arial Narrow" w:cs="Arial"/>
                <w:color w:val="000000" w:themeColor="text1"/>
                <w:sz w:val="22"/>
                <w:szCs w:val="22"/>
              </w:rPr>
              <w:t>%</w:t>
            </w:r>
          </w:p>
        </w:tc>
        <w:tc>
          <w:tcPr>
            <w:tcW w:w="1554" w:type="dxa"/>
            <w:gridSpan w:val="3"/>
            <w:tcBorders>
              <w:top w:val="single" w:sz="4" w:space="0" w:color="auto"/>
            </w:tcBorders>
            <w:shd w:val="clear" w:color="auto" w:fill="auto"/>
          </w:tcPr>
          <w:p w14:paraId="4630FDCB"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26.2</w:t>
            </w:r>
            <w:r w:rsidR="006F6D8D" w:rsidRPr="00804B55">
              <w:rPr>
                <w:rFonts w:ascii="Arial Narrow" w:hAnsi="Arial Narrow" w:cs="Arial"/>
                <w:color w:val="000000" w:themeColor="text1"/>
                <w:sz w:val="22"/>
                <w:szCs w:val="22"/>
              </w:rPr>
              <w:t>%</w:t>
            </w:r>
          </w:p>
        </w:tc>
        <w:tc>
          <w:tcPr>
            <w:tcW w:w="1554" w:type="dxa"/>
            <w:tcBorders>
              <w:top w:val="single" w:sz="4" w:space="0" w:color="auto"/>
              <w:right w:val="single" w:sz="4" w:space="0" w:color="auto"/>
            </w:tcBorders>
            <w:shd w:val="clear" w:color="auto" w:fill="auto"/>
          </w:tcPr>
          <w:p w14:paraId="60853EEB"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color w:val="000000" w:themeColor="text1"/>
                <w:sz w:val="22"/>
                <w:szCs w:val="22"/>
              </w:rPr>
              <w:t>24.6</w:t>
            </w:r>
            <w:r w:rsidR="006F6D8D" w:rsidRPr="00804B55">
              <w:rPr>
                <w:rFonts w:ascii="Arial Narrow" w:hAnsi="Arial Narrow" w:cs="Arial"/>
                <w:color w:val="000000" w:themeColor="text1"/>
                <w:sz w:val="22"/>
                <w:szCs w:val="22"/>
              </w:rPr>
              <w:t>%</w:t>
            </w:r>
          </w:p>
        </w:tc>
      </w:tr>
      <w:tr w:rsidR="006F6D8D" w:rsidRPr="0027440C" w14:paraId="24A9DA9D" w14:textId="77777777" w:rsidTr="0065179B">
        <w:trPr>
          <w:cantSplit/>
          <w:trHeight w:val="20"/>
          <w:jc w:val="center"/>
        </w:trPr>
        <w:tc>
          <w:tcPr>
            <w:tcW w:w="3135" w:type="dxa"/>
            <w:tcBorders>
              <w:left w:val="single" w:sz="4" w:space="0" w:color="auto"/>
              <w:right w:val="single" w:sz="4" w:space="0" w:color="auto"/>
            </w:tcBorders>
          </w:tcPr>
          <w:p w14:paraId="09AB0AD1" w14:textId="77777777" w:rsidR="006F6D8D" w:rsidRPr="00804B55" w:rsidRDefault="006F6D8D" w:rsidP="00EC0D84">
            <w:pPr>
              <w:rPr>
                <w:rFonts w:ascii="Arial Narrow" w:hAnsi="Arial Narrow" w:cs="Arial"/>
                <w:i/>
                <w:iCs/>
                <w:sz w:val="22"/>
                <w:szCs w:val="22"/>
              </w:rPr>
            </w:pPr>
            <w:r w:rsidRPr="00804B55">
              <w:rPr>
                <w:rFonts w:ascii="Arial Narrow" w:hAnsi="Arial Narrow" w:cs="Arial"/>
                <w:i/>
                <w:iCs/>
                <w:sz w:val="22"/>
                <w:szCs w:val="22"/>
              </w:rPr>
              <w:t xml:space="preserve">     HMO/POS</w:t>
            </w:r>
          </w:p>
        </w:tc>
        <w:tc>
          <w:tcPr>
            <w:tcW w:w="1553" w:type="dxa"/>
            <w:gridSpan w:val="3"/>
            <w:tcBorders>
              <w:left w:val="single" w:sz="4" w:space="0" w:color="auto"/>
            </w:tcBorders>
          </w:tcPr>
          <w:p w14:paraId="01CAA0D0" w14:textId="77777777" w:rsidR="006F6D8D" w:rsidRPr="00804B55" w:rsidRDefault="00804B55" w:rsidP="00804B55">
            <w:pPr>
              <w:ind w:left="-218" w:right="95"/>
              <w:jc w:val="right"/>
              <w:rPr>
                <w:rFonts w:ascii="Arial Narrow" w:hAnsi="Arial Narrow" w:cs="Arial"/>
                <w:i/>
                <w:iCs/>
                <w:sz w:val="22"/>
                <w:szCs w:val="22"/>
              </w:rPr>
            </w:pPr>
            <w:r w:rsidRPr="00804B55">
              <w:rPr>
                <w:rFonts w:ascii="Arial Narrow" w:hAnsi="Arial Narrow" w:cs="Arial"/>
                <w:i/>
                <w:iCs/>
                <w:sz w:val="22"/>
                <w:szCs w:val="22"/>
              </w:rPr>
              <w:t>8.7</w:t>
            </w:r>
            <w:r w:rsidR="006F6D8D" w:rsidRPr="00804B55">
              <w:rPr>
                <w:rFonts w:ascii="Arial Narrow" w:hAnsi="Arial Narrow" w:cs="Arial"/>
                <w:i/>
                <w:iCs/>
                <w:sz w:val="22"/>
                <w:szCs w:val="22"/>
              </w:rPr>
              <w:t>%</w:t>
            </w:r>
          </w:p>
        </w:tc>
        <w:tc>
          <w:tcPr>
            <w:tcW w:w="1554" w:type="dxa"/>
            <w:shd w:val="clear" w:color="auto" w:fill="auto"/>
          </w:tcPr>
          <w:p w14:paraId="5587F778" w14:textId="77777777" w:rsidR="006F6D8D" w:rsidRPr="00804B55" w:rsidRDefault="00804B55" w:rsidP="00804B55">
            <w:pPr>
              <w:ind w:left="-145" w:right="118"/>
              <w:jc w:val="right"/>
              <w:rPr>
                <w:rFonts w:ascii="Arial Narrow" w:hAnsi="Arial Narrow" w:cs="Arial"/>
                <w:i/>
                <w:iCs/>
                <w:color w:val="000000" w:themeColor="text1"/>
                <w:sz w:val="22"/>
                <w:szCs w:val="22"/>
              </w:rPr>
            </w:pPr>
            <w:r w:rsidRPr="00804B55">
              <w:rPr>
                <w:rFonts w:ascii="Arial Narrow" w:hAnsi="Arial Narrow" w:cs="Arial"/>
                <w:i/>
                <w:iCs/>
                <w:color w:val="000000" w:themeColor="text1"/>
                <w:sz w:val="22"/>
                <w:szCs w:val="22"/>
              </w:rPr>
              <w:t>8.9</w:t>
            </w:r>
            <w:r w:rsidR="006F6D8D" w:rsidRPr="00804B55">
              <w:rPr>
                <w:rFonts w:ascii="Arial Narrow" w:hAnsi="Arial Narrow" w:cs="Arial"/>
                <w:i/>
                <w:iCs/>
                <w:color w:val="000000" w:themeColor="text1"/>
                <w:sz w:val="22"/>
                <w:szCs w:val="22"/>
              </w:rPr>
              <w:t>%</w:t>
            </w:r>
          </w:p>
        </w:tc>
        <w:tc>
          <w:tcPr>
            <w:tcW w:w="1554" w:type="dxa"/>
            <w:gridSpan w:val="3"/>
            <w:shd w:val="clear" w:color="auto" w:fill="auto"/>
          </w:tcPr>
          <w:p w14:paraId="5C2DA15E" w14:textId="77777777" w:rsidR="006F6D8D" w:rsidRPr="00804B55" w:rsidRDefault="00804B55" w:rsidP="00804B55">
            <w:pPr>
              <w:ind w:left="-161" w:right="142"/>
              <w:jc w:val="right"/>
              <w:rPr>
                <w:rFonts w:ascii="Arial Narrow" w:hAnsi="Arial Narrow" w:cs="Arial"/>
                <w:i/>
                <w:iCs/>
                <w:color w:val="000000" w:themeColor="text1"/>
                <w:sz w:val="22"/>
                <w:szCs w:val="22"/>
              </w:rPr>
            </w:pPr>
            <w:r w:rsidRPr="00804B55">
              <w:rPr>
                <w:rFonts w:ascii="Arial Narrow" w:hAnsi="Arial Narrow" w:cs="Arial"/>
                <w:i/>
                <w:iCs/>
                <w:color w:val="000000" w:themeColor="text1"/>
                <w:sz w:val="22"/>
                <w:szCs w:val="22"/>
              </w:rPr>
              <w:t>7.5</w:t>
            </w:r>
            <w:r w:rsidR="006F6D8D" w:rsidRPr="00804B55">
              <w:rPr>
                <w:rFonts w:ascii="Arial Narrow" w:hAnsi="Arial Narrow" w:cs="Arial"/>
                <w:i/>
                <w:iCs/>
                <w:color w:val="000000" w:themeColor="text1"/>
                <w:sz w:val="22"/>
                <w:szCs w:val="22"/>
              </w:rPr>
              <w:t>%</w:t>
            </w:r>
          </w:p>
        </w:tc>
        <w:tc>
          <w:tcPr>
            <w:tcW w:w="1554" w:type="dxa"/>
            <w:tcBorders>
              <w:right w:val="single" w:sz="4" w:space="0" w:color="auto"/>
            </w:tcBorders>
            <w:shd w:val="clear" w:color="auto" w:fill="auto"/>
          </w:tcPr>
          <w:p w14:paraId="5D947DC5" w14:textId="77777777" w:rsidR="006F6D8D" w:rsidRPr="00804B55" w:rsidRDefault="00804B55" w:rsidP="00804B55">
            <w:pPr>
              <w:ind w:right="165"/>
              <w:jc w:val="right"/>
              <w:rPr>
                <w:rFonts w:ascii="Arial Narrow" w:hAnsi="Arial Narrow" w:cs="Arial"/>
                <w:i/>
                <w:iCs/>
                <w:sz w:val="22"/>
                <w:szCs w:val="22"/>
              </w:rPr>
            </w:pPr>
            <w:r w:rsidRPr="00804B55">
              <w:rPr>
                <w:rFonts w:ascii="Arial Narrow" w:hAnsi="Arial Narrow" w:cs="Arial"/>
                <w:i/>
                <w:iCs/>
                <w:color w:val="000000" w:themeColor="text1"/>
                <w:sz w:val="22"/>
                <w:szCs w:val="22"/>
              </w:rPr>
              <w:t>7.</w:t>
            </w:r>
            <w:r w:rsidR="00B20002">
              <w:rPr>
                <w:rFonts w:ascii="Arial Narrow" w:hAnsi="Arial Narrow" w:cs="Arial"/>
                <w:i/>
                <w:iCs/>
                <w:color w:val="000000" w:themeColor="text1"/>
                <w:sz w:val="22"/>
                <w:szCs w:val="22"/>
              </w:rPr>
              <w:t>9</w:t>
            </w:r>
            <w:r w:rsidR="006F6D8D" w:rsidRPr="00804B55">
              <w:rPr>
                <w:rFonts w:ascii="Arial Narrow" w:hAnsi="Arial Narrow" w:cs="Arial"/>
                <w:i/>
                <w:iCs/>
                <w:color w:val="000000" w:themeColor="text1"/>
                <w:sz w:val="22"/>
                <w:szCs w:val="22"/>
              </w:rPr>
              <w:t>%</w:t>
            </w:r>
          </w:p>
        </w:tc>
      </w:tr>
      <w:tr w:rsidR="006F6D8D" w:rsidRPr="0027440C" w14:paraId="05F67FF0" w14:textId="77777777" w:rsidTr="0065179B">
        <w:trPr>
          <w:cantSplit/>
          <w:trHeight w:val="20"/>
          <w:jc w:val="center"/>
        </w:trPr>
        <w:tc>
          <w:tcPr>
            <w:tcW w:w="3135" w:type="dxa"/>
            <w:tcBorders>
              <w:left w:val="single" w:sz="4" w:space="0" w:color="auto"/>
              <w:right w:val="single" w:sz="4" w:space="0" w:color="auto"/>
            </w:tcBorders>
          </w:tcPr>
          <w:p w14:paraId="23349007" w14:textId="77777777" w:rsidR="006F6D8D" w:rsidRPr="00804B55" w:rsidRDefault="006F6D8D" w:rsidP="00EC0D84">
            <w:pPr>
              <w:rPr>
                <w:rFonts w:ascii="Arial Narrow" w:hAnsi="Arial Narrow" w:cs="Arial"/>
                <w:i/>
                <w:iCs/>
                <w:sz w:val="22"/>
                <w:szCs w:val="22"/>
              </w:rPr>
            </w:pPr>
            <w:r w:rsidRPr="00804B55">
              <w:rPr>
                <w:rFonts w:ascii="Arial Narrow" w:hAnsi="Arial Narrow" w:cs="Arial"/>
                <w:i/>
                <w:iCs/>
                <w:sz w:val="22"/>
                <w:szCs w:val="22"/>
              </w:rPr>
              <w:t xml:space="preserve">     PPO</w:t>
            </w:r>
          </w:p>
        </w:tc>
        <w:tc>
          <w:tcPr>
            <w:tcW w:w="1553" w:type="dxa"/>
            <w:gridSpan w:val="3"/>
            <w:tcBorders>
              <w:left w:val="single" w:sz="4" w:space="0" w:color="auto"/>
            </w:tcBorders>
          </w:tcPr>
          <w:p w14:paraId="328631F6" w14:textId="77777777" w:rsidR="006F6D8D" w:rsidRPr="00804B55" w:rsidRDefault="00804B55" w:rsidP="00804B55">
            <w:pPr>
              <w:ind w:left="-218" w:right="95"/>
              <w:jc w:val="right"/>
              <w:rPr>
                <w:rFonts w:ascii="Arial Narrow" w:hAnsi="Arial Narrow" w:cs="Arial"/>
                <w:i/>
                <w:iCs/>
                <w:sz w:val="22"/>
                <w:szCs w:val="22"/>
              </w:rPr>
            </w:pPr>
            <w:r w:rsidRPr="00804B55">
              <w:rPr>
                <w:rFonts w:ascii="Arial Narrow" w:hAnsi="Arial Narrow" w:cs="Arial"/>
                <w:i/>
                <w:iCs/>
                <w:sz w:val="22"/>
                <w:szCs w:val="22"/>
              </w:rPr>
              <w:t>6.3</w:t>
            </w:r>
            <w:r w:rsidR="006F6D8D" w:rsidRPr="00804B55">
              <w:rPr>
                <w:rFonts w:ascii="Arial Narrow" w:hAnsi="Arial Narrow" w:cs="Arial"/>
                <w:i/>
                <w:iCs/>
                <w:sz w:val="22"/>
                <w:szCs w:val="22"/>
              </w:rPr>
              <w:t>%</w:t>
            </w:r>
          </w:p>
        </w:tc>
        <w:tc>
          <w:tcPr>
            <w:tcW w:w="1554" w:type="dxa"/>
            <w:shd w:val="clear" w:color="auto" w:fill="auto"/>
          </w:tcPr>
          <w:p w14:paraId="613786E7" w14:textId="77777777" w:rsidR="006F6D8D" w:rsidRPr="00804B55" w:rsidRDefault="00804B55" w:rsidP="00804B55">
            <w:pPr>
              <w:ind w:left="-145" w:right="118"/>
              <w:jc w:val="right"/>
              <w:rPr>
                <w:rFonts w:ascii="Arial Narrow" w:hAnsi="Arial Narrow" w:cs="Arial"/>
                <w:i/>
                <w:iCs/>
                <w:color w:val="000000" w:themeColor="text1"/>
                <w:sz w:val="22"/>
                <w:szCs w:val="22"/>
              </w:rPr>
            </w:pPr>
            <w:r w:rsidRPr="00804B55">
              <w:rPr>
                <w:rFonts w:ascii="Arial Narrow" w:hAnsi="Arial Narrow" w:cs="Arial"/>
                <w:i/>
                <w:iCs/>
                <w:color w:val="000000" w:themeColor="text1"/>
                <w:sz w:val="22"/>
                <w:szCs w:val="22"/>
              </w:rPr>
              <w:t>6.8</w:t>
            </w:r>
            <w:r w:rsidR="006F6D8D" w:rsidRPr="00804B55">
              <w:rPr>
                <w:rFonts w:ascii="Arial Narrow" w:hAnsi="Arial Narrow" w:cs="Arial"/>
                <w:i/>
                <w:iCs/>
                <w:color w:val="000000" w:themeColor="text1"/>
                <w:sz w:val="22"/>
                <w:szCs w:val="22"/>
              </w:rPr>
              <w:t>%</w:t>
            </w:r>
          </w:p>
        </w:tc>
        <w:tc>
          <w:tcPr>
            <w:tcW w:w="1554" w:type="dxa"/>
            <w:gridSpan w:val="3"/>
            <w:shd w:val="clear" w:color="auto" w:fill="auto"/>
          </w:tcPr>
          <w:p w14:paraId="2A3F3246" w14:textId="77777777" w:rsidR="006F6D8D" w:rsidRPr="00804B55" w:rsidRDefault="00804B55" w:rsidP="00804B55">
            <w:pPr>
              <w:ind w:left="-161" w:right="142"/>
              <w:jc w:val="right"/>
              <w:rPr>
                <w:rFonts w:ascii="Arial Narrow" w:hAnsi="Arial Narrow" w:cs="Arial"/>
                <w:i/>
                <w:iCs/>
                <w:color w:val="000000" w:themeColor="text1"/>
                <w:sz w:val="22"/>
                <w:szCs w:val="22"/>
              </w:rPr>
            </w:pPr>
            <w:r w:rsidRPr="00804B55">
              <w:rPr>
                <w:rFonts w:ascii="Arial Narrow" w:hAnsi="Arial Narrow" w:cs="Arial"/>
                <w:i/>
                <w:iCs/>
                <w:color w:val="000000" w:themeColor="text1"/>
                <w:sz w:val="22"/>
                <w:szCs w:val="22"/>
              </w:rPr>
              <w:t>6.2</w:t>
            </w:r>
            <w:r w:rsidR="006F6D8D" w:rsidRPr="00804B55">
              <w:rPr>
                <w:rFonts w:ascii="Arial Narrow" w:hAnsi="Arial Narrow" w:cs="Arial"/>
                <w:i/>
                <w:iCs/>
                <w:color w:val="000000" w:themeColor="text1"/>
                <w:sz w:val="22"/>
                <w:szCs w:val="22"/>
              </w:rPr>
              <w:t>%</w:t>
            </w:r>
          </w:p>
        </w:tc>
        <w:tc>
          <w:tcPr>
            <w:tcW w:w="1554" w:type="dxa"/>
            <w:tcBorders>
              <w:right w:val="single" w:sz="4" w:space="0" w:color="auto"/>
            </w:tcBorders>
            <w:shd w:val="clear" w:color="auto" w:fill="auto"/>
          </w:tcPr>
          <w:p w14:paraId="55785F8D" w14:textId="77777777" w:rsidR="006F6D8D" w:rsidRPr="00804B55" w:rsidRDefault="00804B55" w:rsidP="00804B55">
            <w:pPr>
              <w:ind w:right="165"/>
              <w:jc w:val="right"/>
              <w:rPr>
                <w:rFonts w:ascii="Arial Narrow" w:hAnsi="Arial Narrow" w:cs="Arial"/>
                <w:i/>
                <w:iCs/>
                <w:sz w:val="22"/>
                <w:szCs w:val="22"/>
              </w:rPr>
            </w:pPr>
            <w:r w:rsidRPr="00804B55">
              <w:rPr>
                <w:rFonts w:ascii="Arial Narrow" w:hAnsi="Arial Narrow" w:cs="Arial"/>
                <w:i/>
                <w:iCs/>
                <w:color w:val="000000" w:themeColor="text1"/>
                <w:sz w:val="22"/>
                <w:szCs w:val="22"/>
              </w:rPr>
              <w:t>5.5</w:t>
            </w:r>
            <w:r w:rsidR="006F6D8D" w:rsidRPr="00804B55">
              <w:rPr>
                <w:rFonts w:ascii="Arial Narrow" w:hAnsi="Arial Narrow" w:cs="Arial"/>
                <w:i/>
                <w:iCs/>
                <w:color w:val="000000" w:themeColor="text1"/>
                <w:sz w:val="22"/>
                <w:szCs w:val="22"/>
              </w:rPr>
              <w:t>%</w:t>
            </w:r>
          </w:p>
        </w:tc>
      </w:tr>
      <w:tr w:rsidR="006F6D8D" w:rsidRPr="0027440C" w14:paraId="4AA92A0E" w14:textId="77777777" w:rsidTr="0065179B">
        <w:trPr>
          <w:cantSplit/>
          <w:trHeight w:val="20"/>
          <w:jc w:val="center"/>
        </w:trPr>
        <w:tc>
          <w:tcPr>
            <w:tcW w:w="3135" w:type="dxa"/>
            <w:tcBorders>
              <w:left w:val="single" w:sz="4" w:space="0" w:color="auto"/>
              <w:right w:val="single" w:sz="4" w:space="0" w:color="auto"/>
            </w:tcBorders>
          </w:tcPr>
          <w:p w14:paraId="5C96DA40" w14:textId="77777777" w:rsidR="006F6D8D" w:rsidRPr="00804B55" w:rsidRDefault="006F6D8D" w:rsidP="00EC0D84">
            <w:pPr>
              <w:rPr>
                <w:rFonts w:ascii="Arial Narrow" w:hAnsi="Arial Narrow" w:cs="Arial"/>
                <w:i/>
                <w:iCs/>
                <w:sz w:val="22"/>
                <w:szCs w:val="22"/>
              </w:rPr>
            </w:pPr>
            <w:r w:rsidRPr="00804B55">
              <w:rPr>
                <w:rFonts w:ascii="Arial Narrow" w:hAnsi="Arial Narrow" w:cs="Arial"/>
                <w:i/>
                <w:iCs/>
                <w:sz w:val="22"/>
                <w:szCs w:val="22"/>
              </w:rPr>
              <w:t xml:space="preserve">     Other</w:t>
            </w:r>
            <w:r w:rsidRPr="00804B55">
              <w:rPr>
                <w:rStyle w:val="FootnoteReference"/>
                <w:rFonts w:ascii="Arial Narrow" w:hAnsi="Arial Narrow" w:cs="Arial"/>
                <w:i/>
                <w:iCs/>
                <w:sz w:val="22"/>
                <w:szCs w:val="22"/>
              </w:rPr>
              <w:footnoteReference w:id="22"/>
            </w:r>
          </w:p>
        </w:tc>
        <w:tc>
          <w:tcPr>
            <w:tcW w:w="1553" w:type="dxa"/>
            <w:gridSpan w:val="3"/>
            <w:tcBorders>
              <w:left w:val="single" w:sz="4" w:space="0" w:color="auto"/>
            </w:tcBorders>
          </w:tcPr>
          <w:p w14:paraId="223FAEB4" w14:textId="77777777" w:rsidR="006F6D8D" w:rsidRPr="00804B55" w:rsidRDefault="00804B55" w:rsidP="00804B55">
            <w:pPr>
              <w:ind w:left="-218" w:right="95"/>
              <w:jc w:val="right"/>
              <w:rPr>
                <w:rFonts w:ascii="Arial Narrow" w:hAnsi="Arial Narrow" w:cs="Arial"/>
                <w:i/>
                <w:iCs/>
                <w:sz w:val="22"/>
                <w:szCs w:val="22"/>
              </w:rPr>
            </w:pPr>
            <w:r w:rsidRPr="00804B55">
              <w:rPr>
                <w:rFonts w:ascii="Arial Narrow" w:hAnsi="Arial Narrow" w:cs="Arial"/>
                <w:i/>
                <w:iCs/>
                <w:sz w:val="22"/>
                <w:szCs w:val="22"/>
              </w:rPr>
              <w:t>14.6</w:t>
            </w:r>
            <w:r w:rsidR="006F6D8D" w:rsidRPr="00804B55">
              <w:rPr>
                <w:rFonts w:ascii="Arial Narrow" w:hAnsi="Arial Narrow" w:cs="Arial"/>
                <w:i/>
                <w:iCs/>
                <w:sz w:val="22"/>
                <w:szCs w:val="22"/>
              </w:rPr>
              <w:t>%</w:t>
            </w:r>
          </w:p>
        </w:tc>
        <w:tc>
          <w:tcPr>
            <w:tcW w:w="1554" w:type="dxa"/>
            <w:shd w:val="clear" w:color="auto" w:fill="auto"/>
          </w:tcPr>
          <w:p w14:paraId="001E06FC" w14:textId="77777777" w:rsidR="006F6D8D" w:rsidRPr="00804B55" w:rsidRDefault="00804B55" w:rsidP="00804B55">
            <w:pPr>
              <w:ind w:left="-145" w:right="118"/>
              <w:jc w:val="right"/>
              <w:rPr>
                <w:rFonts w:ascii="Arial Narrow" w:hAnsi="Arial Narrow" w:cs="Arial"/>
                <w:i/>
                <w:iCs/>
                <w:color w:val="000000" w:themeColor="text1"/>
                <w:sz w:val="22"/>
                <w:szCs w:val="22"/>
              </w:rPr>
            </w:pPr>
            <w:r w:rsidRPr="00804B55">
              <w:rPr>
                <w:rFonts w:ascii="Arial Narrow" w:hAnsi="Arial Narrow" w:cs="Arial"/>
                <w:i/>
                <w:iCs/>
                <w:color w:val="000000" w:themeColor="text1"/>
                <w:sz w:val="22"/>
                <w:szCs w:val="22"/>
              </w:rPr>
              <w:t>14.1</w:t>
            </w:r>
            <w:r w:rsidR="006F6D8D" w:rsidRPr="00804B55">
              <w:rPr>
                <w:rFonts w:ascii="Arial Narrow" w:hAnsi="Arial Narrow" w:cs="Arial"/>
                <w:i/>
                <w:iCs/>
                <w:color w:val="000000" w:themeColor="text1"/>
                <w:sz w:val="22"/>
                <w:szCs w:val="22"/>
              </w:rPr>
              <w:t>%</w:t>
            </w:r>
          </w:p>
        </w:tc>
        <w:tc>
          <w:tcPr>
            <w:tcW w:w="1554" w:type="dxa"/>
            <w:gridSpan w:val="3"/>
            <w:shd w:val="clear" w:color="auto" w:fill="auto"/>
          </w:tcPr>
          <w:p w14:paraId="1AFEB1FD" w14:textId="77777777" w:rsidR="006F6D8D" w:rsidRPr="00804B55" w:rsidRDefault="00804B55" w:rsidP="00804B55">
            <w:pPr>
              <w:ind w:left="-161" w:right="142"/>
              <w:jc w:val="right"/>
              <w:rPr>
                <w:rFonts w:ascii="Arial Narrow" w:hAnsi="Arial Narrow" w:cs="Arial"/>
                <w:i/>
                <w:iCs/>
                <w:color w:val="000000" w:themeColor="text1"/>
                <w:sz w:val="22"/>
                <w:szCs w:val="22"/>
              </w:rPr>
            </w:pPr>
            <w:r w:rsidRPr="00804B55">
              <w:rPr>
                <w:rFonts w:ascii="Arial Narrow" w:hAnsi="Arial Narrow" w:cs="Arial"/>
                <w:i/>
                <w:iCs/>
                <w:color w:val="000000" w:themeColor="text1"/>
                <w:sz w:val="22"/>
                <w:szCs w:val="22"/>
              </w:rPr>
              <w:t>12.5</w:t>
            </w:r>
            <w:r w:rsidR="006F6D8D" w:rsidRPr="00804B55">
              <w:rPr>
                <w:rFonts w:ascii="Arial Narrow" w:hAnsi="Arial Narrow" w:cs="Arial"/>
                <w:i/>
                <w:iCs/>
                <w:color w:val="000000" w:themeColor="text1"/>
                <w:sz w:val="22"/>
                <w:szCs w:val="22"/>
              </w:rPr>
              <w:t>%</w:t>
            </w:r>
          </w:p>
        </w:tc>
        <w:tc>
          <w:tcPr>
            <w:tcW w:w="1554" w:type="dxa"/>
            <w:tcBorders>
              <w:right w:val="single" w:sz="4" w:space="0" w:color="auto"/>
            </w:tcBorders>
            <w:shd w:val="clear" w:color="auto" w:fill="auto"/>
          </w:tcPr>
          <w:p w14:paraId="37FEF27B" w14:textId="77777777" w:rsidR="006F6D8D" w:rsidRPr="00804B55" w:rsidRDefault="00804B55" w:rsidP="00804B55">
            <w:pPr>
              <w:ind w:right="165"/>
              <w:jc w:val="right"/>
              <w:rPr>
                <w:rFonts w:ascii="Arial Narrow" w:hAnsi="Arial Narrow" w:cs="Arial"/>
                <w:i/>
                <w:iCs/>
                <w:sz w:val="22"/>
                <w:szCs w:val="22"/>
              </w:rPr>
            </w:pPr>
            <w:r w:rsidRPr="00804B55">
              <w:rPr>
                <w:rFonts w:ascii="Arial Narrow" w:hAnsi="Arial Narrow" w:cs="Arial"/>
                <w:i/>
                <w:iCs/>
                <w:color w:val="000000" w:themeColor="text1"/>
                <w:sz w:val="22"/>
                <w:szCs w:val="22"/>
              </w:rPr>
              <w:t>11.2</w:t>
            </w:r>
            <w:r w:rsidR="006F6D8D" w:rsidRPr="00804B55">
              <w:rPr>
                <w:rFonts w:ascii="Arial Narrow" w:hAnsi="Arial Narrow" w:cs="Arial"/>
                <w:i/>
                <w:iCs/>
                <w:color w:val="000000" w:themeColor="text1"/>
                <w:sz w:val="22"/>
                <w:szCs w:val="22"/>
              </w:rPr>
              <w:t>%</w:t>
            </w:r>
          </w:p>
        </w:tc>
      </w:tr>
      <w:tr w:rsidR="006F6D8D" w:rsidRPr="0027440C" w14:paraId="26505E0C" w14:textId="77777777" w:rsidTr="0065179B">
        <w:trPr>
          <w:cantSplit/>
          <w:trHeight w:val="20"/>
          <w:jc w:val="center"/>
        </w:trPr>
        <w:tc>
          <w:tcPr>
            <w:tcW w:w="3135" w:type="dxa"/>
            <w:tcBorders>
              <w:left w:val="single" w:sz="4" w:space="0" w:color="auto"/>
              <w:right w:val="single" w:sz="4" w:space="0" w:color="auto"/>
            </w:tcBorders>
          </w:tcPr>
          <w:p w14:paraId="56BF3EF7"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MassHealth</w:t>
            </w:r>
          </w:p>
        </w:tc>
        <w:tc>
          <w:tcPr>
            <w:tcW w:w="1553" w:type="dxa"/>
            <w:gridSpan w:val="3"/>
            <w:tcBorders>
              <w:left w:val="single" w:sz="4" w:space="0" w:color="auto"/>
            </w:tcBorders>
          </w:tcPr>
          <w:p w14:paraId="01DF6872"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sz w:val="22"/>
                <w:szCs w:val="22"/>
              </w:rPr>
              <w:t>16.0</w:t>
            </w:r>
            <w:r w:rsidR="006F6D8D" w:rsidRPr="00804B55">
              <w:rPr>
                <w:rFonts w:ascii="Arial Narrow" w:hAnsi="Arial Narrow" w:cs="Arial"/>
                <w:sz w:val="22"/>
                <w:szCs w:val="22"/>
              </w:rPr>
              <w:t>%</w:t>
            </w:r>
          </w:p>
        </w:tc>
        <w:tc>
          <w:tcPr>
            <w:tcW w:w="1554" w:type="dxa"/>
            <w:shd w:val="clear" w:color="auto" w:fill="auto"/>
          </w:tcPr>
          <w:p w14:paraId="72B6814D"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15.6</w:t>
            </w:r>
            <w:r w:rsidR="006F6D8D" w:rsidRPr="00804B55">
              <w:rPr>
                <w:rFonts w:ascii="Arial Narrow" w:hAnsi="Arial Narrow" w:cs="Arial"/>
                <w:color w:val="000000" w:themeColor="text1"/>
                <w:sz w:val="22"/>
                <w:szCs w:val="22"/>
              </w:rPr>
              <w:t>%</w:t>
            </w:r>
          </w:p>
        </w:tc>
        <w:tc>
          <w:tcPr>
            <w:tcW w:w="1554" w:type="dxa"/>
            <w:gridSpan w:val="3"/>
            <w:shd w:val="clear" w:color="auto" w:fill="auto"/>
          </w:tcPr>
          <w:p w14:paraId="5E8B6767"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18.1</w:t>
            </w:r>
            <w:r w:rsidR="006F6D8D" w:rsidRPr="00804B55">
              <w:rPr>
                <w:rFonts w:ascii="Arial Narrow" w:hAnsi="Arial Narrow" w:cs="Arial"/>
                <w:color w:val="000000" w:themeColor="text1"/>
                <w:sz w:val="22"/>
                <w:szCs w:val="22"/>
              </w:rPr>
              <w:t>%</w:t>
            </w:r>
          </w:p>
        </w:tc>
        <w:tc>
          <w:tcPr>
            <w:tcW w:w="1554" w:type="dxa"/>
            <w:tcBorders>
              <w:right w:val="single" w:sz="4" w:space="0" w:color="auto"/>
            </w:tcBorders>
            <w:shd w:val="clear" w:color="auto" w:fill="auto"/>
          </w:tcPr>
          <w:p w14:paraId="250AB1B6" w14:textId="77777777" w:rsidR="006F6D8D" w:rsidRPr="00804B55" w:rsidRDefault="006F6D8D" w:rsidP="00EC0D84">
            <w:pPr>
              <w:jc w:val="center"/>
              <w:rPr>
                <w:rFonts w:ascii="Arial Narrow" w:hAnsi="Arial Narrow" w:cs="Arial"/>
                <w:sz w:val="22"/>
                <w:szCs w:val="22"/>
              </w:rPr>
            </w:pPr>
            <w:r w:rsidRPr="00804B55">
              <w:rPr>
                <w:rFonts w:ascii="Arial Narrow" w:hAnsi="Arial Narrow" w:cs="Arial"/>
                <w:color w:val="000000" w:themeColor="text1"/>
                <w:sz w:val="22"/>
                <w:szCs w:val="22"/>
              </w:rPr>
              <w:t>1</w:t>
            </w:r>
            <w:r w:rsidR="00804B55" w:rsidRPr="00804B55">
              <w:rPr>
                <w:rFonts w:ascii="Arial Narrow" w:hAnsi="Arial Narrow" w:cs="Arial"/>
                <w:color w:val="000000" w:themeColor="text1"/>
                <w:sz w:val="22"/>
                <w:szCs w:val="22"/>
              </w:rPr>
              <w:t>8.</w:t>
            </w:r>
            <w:r w:rsidR="00B20002">
              <w:rPr>
                <w:rFonts w:ascii="Arial Narrow" w:hAnsi="Arial Narrow" w:cs="Arial"/>
                <w:color w:val="000000" w:themeColor="text1"/>
                <w:sz w:val="22"/>
                <w:szCs w:val="22"/>
              </w:rPr>
              <w:t>8</w:t>
            </w:r>
            <w:r w:rsidRPr="00804B55">
              <w:rPr>
                <w:rFonts w:ascii="Arial Narrow" w:hAnsi="Arial Narrow" w:cs="Arial"/>
                <w:color w:val="000000" w:themeColor="text1"/>
                <w:sz w:val="22"/>
                <w:szCs w:val="22"/>
              </w:rPr>
              <w:t>%</w:t>
            </w:r>
          </w:p>
        </w:tc>
      </w:tr>
      <w:tr w:rsidR="006F6D8D" w:rsidRPr="0027440C" w14:paraId="72F4FDD6" w14:textId="77777777" w:rsidTr="0065179B">
        <w:trPr>
          <w:cantSplit/>
          <w:trHeight w:val="20"/>
          <w:jc w:val="center"/>
        </w:trPr>
        <w:tc>
          <w:tcPr>
            <w:tcW w:w="3135" w:type="dxa"/>
            <w:tcBorders>
              <w:left w:val="single" w:sz="4" w:space="0" w:color="auto"/>
              <w:right w:val="single" w:sz="4" w:space="0" w:color="auto"/>
            </w:tcBorders>
          </w:tcPr>
          <w:p w14:paraId="7434BE69"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Managed Medicaid</w:t>
            </w:r>
          </w:p>
        </w:tc>
        <w:tc>
          <w:tcPr>
            <w:tcW w:w="1553" w:type="dxa"/>
            <w:gridSpan w:val="3"/>
            <w:tcBorders>
              <w:left w:val="single" w:sz="4" w:space="0" w:color="auto"/>
            </w:tcBorders>
          </w:tcPr>
          <w:p w14:paraId="2679A9FF" w14:textId="77777777" w:rsidR="006F6D8D" w:rsidRPr="00804B55" w:rsidRDefault="006F6D8D" w:rsidP="00EC0D84">
            <w:pPr>
              <w:jc w:val="center"/>
              <w:rPr>
                <w:rFonts w:ascii="Arial Narrow" w:hAnsi="Arial Narrow" w:cs="Arial"/>
                <w:sz w:val="22"/>
                <w:szCs w:val="22"/>
              </w:rPr>
            </w:pPr>
            <w:r w:rsidRPr="00804B55">
              <w:rPr>
                <w:rFonts w:ascii="Arial Narrow" w:hAnsi="Arial Narrow" w:cs="Arial"/>
                <w:sz w:val="22"/>
                <w:szCs w:val="22"/>
              </w:rPr>
              <w:t>2</w:t>
            </w:r>
            <w:r w:rsidR="00804B55" w:rsidRPr="00804B55">
              <w:rPr>
                <w:rFonts w:ascii="Arial Narrow" w:hAnsi="Arial Narrow" w:cs="Arial"/>
                <w:sz w:val="22"/>
                <w:szCs w:val="22"/>
              </w:rPr>
              <w:t>4.5</w:t>
            </w:r>
            <w:r w:rsidRPr="00804B55">
              <w:rPr>
                <w:rFonts w:ascii="Arial Narrow" w:hAnsi="Arial Narrow" w:cs="Arial"/>
                <w:sz w:val="22"/>
                <w:szCs w:val="22"/>
              </w:rPr>
              <w:t>%</w:t>
            </w:r>
          </w:p>
        </w:tc>
        <w:tc>
          <w:tcPr>
            <w:tcW w:w="1554" w:type="dxa"/>
            <w:shd w:val="clear" w:color="auto" w:fill="auto"/>
          </w:tcPr>
          <w:p w14:paraId="247B6C30" w14:textId="77777777" w:rsidR="006F6D8D" w:rsidRPr="00804B55" w:rsidRDefault="006F6D8D"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w:t>
            </w:r>
            <w:r w:rsidR="00804B55" w:rsidRPr="00804B55">
              <w:rPr>
                <w:rFonts w:ascii="Arial Narrow" w:hAnsi="Arial Narrow" w:cs="Arial"/>
                <w:color w:val="000000" w:themeColor="text1"/>
                <w:sz w:val="22"/>
                <w:szCs w:val="22"/>
              </w:rPr>
              <w:t>6.3</w:t>
            </w:r>
            <w:r w:rsidRPr="00804B55">
              <w:rPr>
                <w:rFonts w:ascii="Arial Narrow" w:hAnsi="Arial Narrow" w:cs="Arial"/>
                <w:color w:val="000000" w:themeColor="text1"/>
                <w:sz w:val="22"/>
                <w:szCs w:val="22"/>
              </w:rPr>
              <w:t>%</w:t>
            </w:r>
          </w:p>
        </w:tc>
        <w:tc>
          <w:tcPr>
            <w:tcW w:w="1554" w:type="dxa"/>
            <w:gridSpan w:val="3"/>
            <w:shd w:val="clear" w:color="auto" w:fill="auto"/>
          </w:tcPr>
          <w:p w14:paraId="2DF22B08" w14:textId="77777777" w:rsidR="006F6D8D" w:rsidRPr="00804B55" w:rsidRDefault="006F6D8D"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w:t>
            </w:r>
            <w:r w:rsidR="00804B55" w:rsidRPr="00804B55">
              <w:rPr>
                <w:rFonts w:ascii="Arial Narrow" w:hAnsi="Arial Narrow" w:cs="Arial"/>
                <w:color w:val="000000" w:themeColor="text1"/>
                <w:sz w:val="22"/>
                <w:szCs w:val="22"/>
              </w:rPr>
              <w:t>6.</w:t>
            </w:r>
            <w:r w:rsidR="00B20002">
              <w:rPr>
                <w:rFonts w:ascii="Arial Narrow" w:hAnsi="Arial Narrow" w:cs="Arial"/>
                <w:color w:val="000000" w:themeColor="text1"/>
                <w:sz w:val="22"/>
                <w:szCs w:val="22"/>
              </w:rPr>
              <w:t>9</w:t>
            </w:r>
            <w:r w:rsidRPr="00804B55">
              <w:rPr>
                <w:rFonts w:ascii="Arial Narrow" w:hAnsi="Arial Narrow" w:cs="Arial"/>
                <w:color w:val="000000" w:themeColor="text1"/>
                <w:sz w:val="22"/>
                <w:szCs w:val="22"/>
              </w:rPr>
              <w:t>%</w:t>
            </w:r>
          </w:p>
        </w:tc>
        <w:tc>
          <w:tcPr>
            <w:tcW w:w="1554" w:type="dxa"/>
            <w:tcBorders>
              <w:right w:val="single" w:sz="4" w:space="0" w:color="auto"/>
            </w:tcBorders>
            <w:shd w:val="clear" w:color="auto" w:fill="auto"/>
          </w:tcPr>
          <w:p w14:paraId="3E699139" w14:textId="77777777" w:rsidR="006F6D8D" w:rsidRPr="00804B55" w:rsidRDefault="006F6D8D" w:rsidP="00EC0D84">
            <w:pPr>
              <w:jc w:val="center"/>
              <w:rPr>
                <w:rFonts w:ascii="Arial Narrow" w:hAnsi="Arial Narrow" w:cs="Arial"/>
                <w:sz w:val="22"/>
                <w:szCs w:val="22"/>
              </w:rPr>
            </w:pPr>
            <w:r w:rsidRPr="00804B55">
              <w:rPr>
                <w:rFonts w:ascii="Arial Narrow" w:hAnsi="Arial Narrow" w:cs="Arial"/>
                <w:color w:val="000000" w:themeColor="text1"/>
                <w:sz w:val="22"/>
                <w:szCs w:val="22"/>
              </w:rPr>
              <w:t>2</w:t>
            </w:r>
            <w:r w:rsidR="00804B55" w:rsidRPr="00804B55">
              <w:rPr>
                <w:rFonts w:ascii="Arial Narrow" w:hAnsi="Arial Narrow" w:cs="Arial"/>
                <w:color w:val="000000" w:themeColor="text1"/>
                <w:sz w:val="22"/>
                <w:szCs w:val="22"/>
              </w:rPr>
              <w:t>8.</w:t>
            </w:r>
            <w:r w:rsidR="00B20002">
              <w:rPr>
                <w:rFonts w:ascii="Arial Narrow" w:hAnsi="Arial Narrow" w:cs="Arial"/>
                <w:color w:val="000000" w:themeColor="text1"/>
                <w:sz w:val="22"/>
                <w:szCs w:val="22"/>
              </w:rPr>
              <w:t>2</w:t>
            </w:r>
            <w:r w:rsidRPr="00804B55">
              <w:rPr>
                <w:rFonts w:ascii="Arial Narrow" w:hAnsi="Arial Narrow" w:cs="Arial"/>
                <w:color w:val="000000" w:themeColor="text1"/>
                <w:sz w:val="22"/>
                <w:szCs w:val="22"/>
              </w:rPr>
              <w:t>%</w:t>
            </w:r>
          </w:p>
        </w:tc>
      </w:tr>
      <w:tr w:rsidR="006F6D8D" w:rsidRPr="0027440C" w14:paraId="460EEDAA" w14:textId="77777777" w:rsidTr="0065179B">
        <w:trPr>
          <w:cantSplit/>
          <w:trHeight w:val="20"/>
          <w:jc w:val="center"/>
        </w:trPr>
        <w:tc>
          <w:tcPr>
            <w:tcW w:w="3135" w:type="dxa"/>
            <w:tcBorders>
              <w:left w:val="single" w:sz="4" w:space="0" w:color="auto"/>
              <w:right w:val="single" w:sz="4" w:space="0" w:color="auto"/>
            </w:tcBorders>
          </w:tcPr>
          <w:p w14:paraId="3BBAFB8B"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Commercial Medicare</w:t>
            </w:r>
          </w:p>
        </w:tc>
        <w:tc>
          <w:tcPr>
            <w:tcW w:w="1553" w:type="dxa"/>
            <w:gridSpan w:val="3"/>
            <w:tcBorders>
              <w:left w:val="single" w:sz="4" w:space="0" w:color="auto"/>
            </w:tcBorders>
          </w:tcPr>
          <w:p w14:paraId="0F50E6A1" w14:textId="77777777" w:rsidR="006F6D8D" w:rsidRPr="00804B55" w:rsidRDefault="006F6D8D" w:rsidP="00EC0D84">
            <w:pPr>
              <w:jc w:val="center"/>
              <w:rPr>
                <w:rFonts w:ascii="Arial Narrow" w:hAnsi="Arial Narrow" w:cs="Arial"/>
                <w:sz w:val="22"/>
                <w:szCs w:val="22"/>
              </w:rPr>
            </w:pPr>
            <w:r w:rsidRPr="00804B55">
              <w:rPr>
                <w:rFonts w:ascii="Arial Narrow" w:hAnsi="Arial Narrow" w:cs="Arial"/>
                <w:sz w:val="22"/>
                <w:szCs w:val="22"/>
              </w:rPr>
              <w:t>1</w:t>
            </w:r>
            <w:r w:rsidR="00804B55" w:rsidRPr="00804B55">
              <w:rPr>
                <w:rFonts w:ascii="Arial Narrow" w:hAnsi="Arial Narrow" w:cs="Arial"/>
                <w:sz w:val="22"/>
                <w:szCs w:val="22"/>
              </w:rPr>
              <w:t>0.8</w:t>
            </w:r>
            <w:r w:rsidRPr="00804B55">
              <w:rPr>
                <w:rFonts w:ascii="Arial Narrow" w:hAnsi="Arial Narrow" w:cs="Arial"/>
                <w:sz w:val="22"/>
                <w:szCs w:val="22"/>
              </w:rPr>
              <w:t>%</w:t>
            </w:r>
          </w:p>
        </w:tc>
        <w:tc>
          <w:tcPr>
            <w:tcW w:w="1554" w:type="dxa"/>
            <w:shd w:val="clear" w:color="auto" w:fill="auto"/>
          </w:tcPr>
          <w:p w14:paraId="2DAC6DE1"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11.7</w:t>
            </w:r>
            <w:r w:rsidR="006F6D8D" w:rsidRPr="00804B55">
              <w:rPr>
                <w:rFonts w:ascii="Arial Narrow" w:hAnsi="Arial Narrow" w:cs="Arial"/>
                <w:color w:val="000000" w:themeColor="text1"/>
                <w:sz w:val="22"/>
                <w:szCs w:val="22"/>
              </w:rPr>
              <w:t>%</w:t>
            </w:r>
          </w:p>
        </w:tc>
        <w:tc>
          <w:tcPr>
            <w:tcW w:w="1554" w:type="dxa"/>
            <w:gridSpan w:val="3"/>
            <w:shd w:val="clear" w:color="auto" w:fill="auto"/>
          </w:tcPr>
          <w:p w14:paraId="4B001DD7" w14:textId="77777777" w:rsidR="006F6D8D" w:rsidRPr="00804B55" w:rsidRDefault="006F6D8D"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w:t>
            </w:r>
            <w:r w:rsidR="00804B55" w:rsidRPr="00804B55">
              <w:rPr>
                <w:rFonts w:ascii="Arial Narrow" w:hAnsi="Arial Narrow" w:cs="Arial"/>
                <w:color w:val="000000" w:themeColor="text1"/>
                <w:sz w:val="22"/>
                <w:szCs w:val="22"/>
              </w:rPr>
              <w:t>3.6</w:t>
            </w:r>
            <w:r w:rsidRPr="00804B55">
              <w:rPr>
                <w:rFonts w:ascii="Arial Narrow" w:hAnsi="Arial Narrow" w:cs="Arial"/>
                <w:color w:val="000000" w:themeColor="text1"/>
                <w:sz w:val="22"/>
                <w:szCs w:val="22"/>
              </w:rPr>
              <w:t>%</w:t>
            </w:r>
          </w:p>
        </w:tc>
        <w:tc>
          <w:tcPr>
            <w:tcW w:w="1554" w:type="dxa"/>
            <w:tcBorders>
              <w:right w:val="single" w:sz="4" w:space="0" w:color="auto"/>
            </w:tcBorders>
            <w:shd w:val="clear" w:color="auto" w:fill="auto"/>
          </w:tcPr>
          <w:p w14:paraId="5E85976C"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color w:val="000000" w:themeColor="text1"/>
                <w:sz w:val="22"/>
                <w:szCs w:val="22"/>
              </w:rPr>
              <w:t>14.2</w:t>
            </w:r>
            <w:r w:rsidR="006F6D8D" w:rsidRPr="00804B55">
              <w:rPr>
                <w:rFonts w:ascii="Arial Narrow" w:hAnsi="Arial Narrow" w:cs="Arial"/>
                <w:color w:val="000000" w:themeColor="text1"/>
                <w:sz w:val="22"/>
                <w:szCs w:val="22"/>
              </w:rPr>
              <w:t>%</w:t>
            </w:r>
          </w:p>
        </w:tc>
      </w:tr>
      <w:tr w:rsidR="006F6D8D" w:rsidRPr="0027440C" w14:paraId="4C484A3E" w14:textId="77777777" w:rsidTr="0065179B">
        <w:trPr>
          <w:cantSplit/>
          <w:trHeight w:val="20"/>
          <w:jc w:val="center"/>
        </w:trPr>
        <w:tc>
          <w:tcPr>
            <w:tcW w:w="3135" w:type="dxa"/>
            <w:tcBorders>
              <w:left w:val="single" w:sz="4" w:space="0" w:color="auto"/>
              <w:right w:val="single" w:sz="4" w:space="0" w:color="auto"/>
            </w:tcBorders>
          </w:tcPr>
          <w:p w14:paraId="45C06E05"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Medicare FFS</w:t>
            </w:r>
          </w:p>
        </w:tc>
        <w:tc>
          <w:tcPr>
            <w:tcW w:w="1553" w:type="dxa"/>
            <w:gridSpan w:val="3"/>
            <w:tcBorders>
              <w:left w:val="single" w:sz="4" w:space="0" w:color="auto"/>
            </w:tcBorders>
          </w:tcPr>
          <w:p w14:paraId="024998CD"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sz w:val="22"/>
                <w:szCs w:val="22"/>
              </w:rPr>
              <w:t>13.8</w:t>
            </w:r>
            <w:r w:rsidR="006F6D8D" w:rsidRPr="00804B55">
              <w:rPr>
                <w:rFonts w:ascii="Arial Narrow" w:hAnsi="Arial Narrow" w:cs="Arial"/>
                <w:sz w:val="22"/>
                <w:szCs w:val="22"/>
              </w:rPr>
              <w:t>%</w:t>
            </w:r>
          </w:p>
        </w:tc>
        <w:tc>
          <w:tcPr>
            <w:tcW w:w="1554" w:type="dxa"/>
            <w:shd w:val="clear" w:color="auto" w:fill="auto"/>
          </w:tcPr>
          <w:p w14:paraId="5C77A1ED"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12.1</w:t>
            </w:r>
            <w:r w:rsidR="006F6D8D" w:rsidRPr="00804B55">
              <w:rPr>
                <w:rFonts w:ascii="Arial Narrow" w:hAnsi="Arial Narrow" w:cs="Arial"/>
                <w:color w:val="000000" w:themeColor="text1"/>
                <w:sz w:val="22"/>
                <w:szCs w:val="22"/>
              </w:rPr>
              <w:t>%</w:t>
            </w:r>
          </w:p>
        </w:tc>
        <w:tc>
          <w:tcPr>
            <w:tcW w:w="1554" w:type="dxa"/>
            <w:gridSpan w:val="3"/>
            <w:shd w:val="clear" w:color="auto" w:fill="auto"/>
          </w:tcPr>
          <w:p w14:paraId="748BD671"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11.</w:t>
            </w:r>
            <w:r w:rsidR="00B20002">
              <w:rPr>
                <w:rFonts w:ascii="Arial Narrow" w:hAnsi="Arial Narrow" w:cs="Arial"/>
                <w:color w:val="000000" w:themeColor="text1"/>
                <w:sz w:val="22"/>
                <w:szCs w:val="22"/>
              </w:rPr>
              <w:t>7</w:t>
            </w:r>
            <w:r w:rsidR="006F6D8D" w:rsidRPr="00804B55">
              <w:rPr>
                <w:rFonts w:ascii="Arial Narrow" w:hAnsi="Arial Narrow" w:cs="Arial"/>
                <w:color w:val="000000" w:themeColor="text1"/>
                <w:sz w:val="22"/>
                <w:szCs w:val="22"/>
              </w:rPr>
              <w:t>%</w:t>
            </w:r>
          </w:p>
        </w:tc>
        <w:tc>
          <w:tcPr>
            <w:tcW w:w="1554" w:type="dxa"/>
            <w:tcBorders>
              <w:right w:val="single" w:sz="4" w:space="0" w:color="auto"/>
            </w:tcBorders>
            <w:shd w:val="clear" w:color="auto" w:fill="auto"/>
          </w:tcPr>
          <w:p w14:paraId="33AE999F"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color w:val="000000" w:themeColor="text1"/>
                <w:sz w:val="22"/>
                <w:szCs w:val="22"/>
              </w:rPr>
              <w:t>10.4</w:t>
            </w:r>
            <w:r w:rsidR="006F6D8D" w:rsidRPr="00804B55">
              <w:rPr>
                <w:rFonts w:ascii="Arial Narrow" w:hAnsi="Arial Narrow" w:cs="Arial"/>
                <w:color w:val="000000" w:themeColor="text1"/>
                <w:sz w:val="22"/>
                <w:szCs w:val="22"/>
              </w:rPr>
              <w:t>%</w:t>
            </w:r>
          </w:p>
        </w:tc>
      </w:tr>
      <w:tr w:rsidR="006F6D8D" w:rsidRPr="0027440C" w14:paraId="3145390A" w14:textId="77777777" w:rsidTr="0065179B">
        <w:trPr>
          <w:cantSplit/>
          <w:trHeight w:val="20"/>
          <w:jc w:val="center"/>
        </w:trPr>
        <w:tc>
          <w:tcPr>
            <w:tcW w:w="3135" w:type="dxa"/>
            <w:tcBorders>
              <w:left w:val="single" w:sz="4" w:space="0" w:color="auto"/>
              <w:right w:val="single" w:sz="4" w:space="0" w:color="auto"/>
            </w:tcBorders>
          </w:tcPr>
          <w:p w14:paraId="0C55126E"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Free Care/HSN</w:t>
            </w:r>
          </w:p>
        </w:tc>
        <w:tc>
          <w:tcPr>
            <w:tcW w:w="1553" w:type="dxa"/>
            <w:gridSpan w:val="3"/>
            <w:tcBorders>
              <w:left w:val="single" w:sz="4" w:space="0" w:color="auto"/>
            </w:tcBorders>
          </w:tcPr>
          <w:p w14:paraId="36B0BAA3" w14:textId="77777777" w:rsidR="006F6D8D" w:rsidRPr="00804B55" w:rsidRDefault="006F6D8D" w:rsidP="00EC0D84">
            <w:pPr>
              <w:jc w:val="center"/>
              <w:rPr>
                <w:rFonts w:ascii="Arial Narrow" w:hAnsi="Arial Narrow" w:cs="Arial"/>
                <w:sz w:val="22"/>
                <w:szCs w:val="22"/>
              </w:rPr>
            </w:pPr>
            <w:r w:rsidRPr="00804B55">
              <w:rPr>
                <w:rFonts w:ascii="Arial Narrow" w:hAnsi="Arial Narrow" w:cs="Arial"/>
                <w:sz w:val="22"/>
                <w:szCs w:val="22"/>
              </w:rPr>
              <w:t>2.4%</w:t>
            </w:r>
          </w:p>
        </w:tc>
        <w:tc>
          <w:tcPr>
            <w:tcW w:w="1554" w:type="dxa"/>
            <w:shd w:val="clear" w:color="auto" w:fill="auto"/>
          </w:tcPr>
          <w:p w14:paraId="34F4CD4B" w14:textId="77777777" w:rsidR="006F6D8D" w:rsidRPr="00804B55" w:rsidRDefault="00804B55"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2.0</w:t>
            </w:r>
            <w:r w:rsidR="006F6D8D" w:rsidRPr="00804B55">
              <w:rPr>
                <w:rFonts w:ascii="Arial Narrow" w:hAnsi="Arial Narrow" w:cs="Arial"/>
                <w:color w:val="000000" w:themeColor="text1"/>
                <w:sz w:val="22"/>
                <w:szCs w:val="22"/>
              </w:rPr>
              <w:t>%</w:t>
            </w:r>
          </w:p>
        </w:tc>
        <w:tc>
          <w:tcPr>
            <w:tcW w:w="1554" w:type="dxa"/>
            <w:gridSpan w:val="3"/>
            <w:shd w:val="clear" w:color="auto" w:fill="auto"/>
          </w:tcPr>
          <w:p w14:paraId="2E747410" w14:textId="77777777" w:rsidR="006F6D8D" w:rsidRPr="00804B55" w:rsidRDefault="006F6D8D"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1.</w:t>
            </w:r>
            <w:r w:rsidR="00804B55" w:rsidRPr="00804B55">
              <w:rPr>
                <w:rFonts w:ascii="Arial Narrow" w:hAnsi="Arial Narrow" w:cs="Arial"/>
                <w:color w:val="000000" w:themeColor="text1"/>
                <w:sz w:val="22"/>
                <w:szCs w:val="22"/>
              </w:rPr>
              <w:t>5</w:t>
            </w:r>
            <w:r w:rsidRPr="00804B55">
              <w:rPr>
                <w:rFonts w:ascii="Arial Narrow" w:hAnsi="Arial Narrow" w:cs="Arial"/>
                <w:color w:val="000000" w:themeColor="text1"/>
                <w:sz w:val="22"/>
                <w:szCs w:val="22"/>
              </w:rPr>
              <w:t>%</w:t>
            </w:r>
          </w:p>
        </w:tc>
        <w:tc>
          <w:tcPr>
            <w:tcW w:w="1554" w:type="dxa"/>
            <w:tcBorders>
              <w:right w:val="single" w:sz="4" w:space="0" w:color="auto"/>
            </w:tcBorders>
            <w:shd w:val="clear" w:color="auto" w:fill="auto"/>
          </w:tcPr>
          <w:p w14:paraId="44955E08"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color w:val="000000" w:themeColor="text1"/>
                <w:sz w:val="22"/>
                <w:szCs w:val="22"/>
              </w:rPr>
              <w:t>1.5</w:t>
            </w:r>
            <w:r w:rsidR="006F6D8D" w:rsidRPr="00804B55">
              <w:rPr>
                <w:rFonts w:ascii="Arial Narrow" w:hAnsi="Arial Narrow" w:cs="Arial"/>
                <w:color w:val="000000" w:themeColor="text1"/>
                <w:sz w:val="22"/>
                <w:szCs w:val="22"/>
              </w:rPr>
              <w:t>%</w:t>
            </w:r>
          </w:p>
        </w:tc>
      </w:tr>
      <w:tr w:rsidR="006F6D8D" w:rsidRPr="0027440C" w14:paraId="28DA3A06" w14:textId="77777777" w:rsidTr="0065179B">
        <w:trPr>
          <w:cantSplit/>
          <w:trHeight w:val="20"/>
          <w:jc w:val="center"/>
        </w:trPr>
        <w:tc>
          <w:tcPr>
            <w:tcW w:w="3135" w:type="dxa"/>
            <w:tcBorders>
              <w:left w:val="single" w:sz="4" w:space="0" w:color="auto"/>
              <w:bottom w:val="single" w:sz="4" w:space="0" w:color="auto"/>
              <w:right w:val="single" w:sz="4" w:space="0" w:color="auto"/>
            </w:tcBorders>
          </w:tcPr>
          <w:p w14:paraId="47AA1032" w14:textId="77777777" w:rsidR="006F6D8D" w:rsidRPr="00804B55" w:rsidRDefault="006F6D8D" w:rsidP="00EC0D84">
            <w:pPr>
              <w:rPr>
                <w:rFonts w:ascii="Arial Narrow" w:hAnsi="Arial Narrow" w:cs="Arial"/>
                <w:sz w:val="22"/>
                <w:szCs w:val="22"/>
              </w:rPr>
            </w:pPr>
            <w:r w:rsidRPr="00804B55">
              <w:rPr>
                <w:rFonts w:ascii="Arial Narrow" w:hAnsi="Arial Narrow" w:cs="Arial"/>
                <w:sz w:val="22"/>
                <w:szCs w:val="22"/>
              </w:rPr>
              <w:t>All Other</w:t>
            </w:r>
            <w:r w:rsidRPr="00804B55">
              <w:rPr>
                <w:rStyle w:val="FootnoteReference"/>
                <w:rFonts w:ascii="Arial Narrow" w:hAnsi="Arial Narrow" w:cs="Arial"/>
                <w:sz w:val="22"/>
                <w:szCs w:val="22"/>
              </w:rPr>
              <w:footnoteReference w:id="23"/>
            </w:r>
          </w:p>
        </w:tc>
        <w:tc>
          <w:tcPr>
            <w:tcW w:w="1553" w:type="dxa"/>
            <w:gridSpan w:val="3"/>
            <w:tcBorders>
              <w:left w:val="single" w:sz="4" w:space="0" w:color="auto"/>
              <w:bottom w:val="single" w:sz="4" w:space="0" w:color="auto"/>
            </w:tcBorders>
          </w:tcPr>
          <w:p w14:paraId="623C26A7" w14:textId="77777777" w:rsidR="006F6D8D" w:rsidRPr="00804B55" w:rsidRDefault="006F6D8D" w:rsidP="00EC0D84">
            <w:pPr>
              <w:jc w:val="center"/>
              <w:rPr>
                <w:rFonts w:ascii="Arial Narrow" w:hAnsi="Arial Narrow" w:cs="Arial"/>
                <w:sz w:val="22"/>
                <w:szCs w:val="22"/>
              </w:rPr>
            </w:pPr>
            <w:r w:rsidRPr="00804B55">
              <w:rPr>
                <w:rFonts w:ascii="Arial Narrow" w:hAnsi="Arial Narrow" w:cs="Arial"/>
                <w:sz w:val="22"/>
                <w:szCs w:val="22"/>
              </w:rPr>
              <w:t>2.</w:t>
            </w:r>
            <w:r w:rsidR="00804B55" w:rsidRPr="00804B55">
              <w:rPr>
                <w:rFonts w:ascii="Arial Narrow" w:hAnsi="Arial Narrow" w:cs="Arial"/>
                <w:sz w:val="22"/>
                <w:szCs w:val="22"/>
              </w:rPr>
              <w:t>8</w:t>
            </w:r>
            <w:r w:rsidRPr="00804B55">
              <w:rPr>
                <w:rFonts w:ascii="Arial Narrow" w:hAnsi="Arial Narrow" w:cs="Arial"/>
                <w:sz w:val="22"/>
                <w:szCs w:val="22"/>
              </w:rPr>
              <w:t>%</w:t>
            </w:r>
          </w:p>
        </w:tc>
        <w:tc>
          <w:tcPr>
            <w:tcW w:w="1554" w:type="dxa"/>
            <w:tcBorders>
              <w:bottom w:val="single" w:sz="4" w:space="0" w:color="auto"/>
            </w:tcBorders>
            <w:shd w:val="clear" w:color="auto" w:fill="auto"/>
          </w:tcPr>
          <w:p w14:paraId="38A3C25D" w14:textId="77777777" w:rsidR="006F6D8D" w:rsidRPr="00804B55" w:rsidRDefault="006F6D8D"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w:t>
            </w:r>
            <w:r w:rsidR="00804B55" w:rsidRPr="00804B55">
              <w:rPr>
                <w:rFonts w:ascii="Arial Narrow" w:hAnsi="Arial Narrow" w:cs="Arial"/>
                <w:color w:val="000000" w:themeColor="text1"/>
                <w:sz w:val="22"/>
                <w:szCs w:val="22"/>
              </w:rPr>
              <w:t>4</w:t>
            </w:r>
            <w:r w:rsidRPr="00804B55">
              <w:rPr>
                <w:rFonts w:ascii="Arial Narrow" w:hAnsi="Arial Narrow" w:cs="Arial"/>
                <w:color w:val="000000" w:themeColor="text1"/>
                <w:sz w:val="22"/>
                <w:szCs w:val="22"/>
              </w:rPr>
              <w:t>%</w:t>
            </w:r>
          </w:p>
        </w:tc>
        <w:tc>
          <w:tcPr>
            <w:tcW w:w="1554" w:type="dxa"/>
            <w:gridSpan w:val="3"/>
            <w:tcBorders>
              <w:bottom w:val="single" w:sz="4" w:space="0" w:color="auto"/>
            </w:tcBorders>
            <w:shd w:val="clear" w:color="auto" w:fill="auto"/>
          </w:tcPr>
          <w:p w14:paraId="7D6440A0" w14:textId="77777777" w:rsidR="006F6D8D" w:rsidRPr="00804B55" w:rsidRDefault="006F6D8D" w:rsidP="00EC0D84">
            <w:pPr>
              <w:jc w:val="center"/>
              <w:rPr>
                <w:rFonts w:ascii="Arial Narrow" w:hAnsi="Arial Narrow" w:cs="Arial"/>
                <w:color w:val="000000" w:themeColor="text1"/>
                <w:sz w:val="22"/>
                <w:szCs w:val="22"/>
              </w:rPr>
            </w:pPr>
            <w:r w:rsidRPr="00804B55">
              <w:rPr>
                <w:rFonts w:ascii="Arial Narrow" w:hAnsi="Arial Narrow" w:cs="Arial"/>
                <w:color w:val="000000" w:themeColor="text1"/>
                <w:sz w:val="22"/>
                <w:szCs w:val="22"/>
              </w:rPr>
              <w:t>2.</w:t>
            </w:r>
            <w:r w:rsidR="00804B55" w:rsidRPr="00804B55">
              <w:rPr>
                <w:rFonts w:ascii="Arial Narrow" w:hAnsi="Arial Narrow" w:cs="Arial"/>
                <w:color w:val="000000" w:themeColor="text1"/>
                <w:sz w:val="22"/>
                <w:szCs w:val="22"/>
              </w:rPr>
              <w:t>0</w:t>
            </w:r>
            <w:r w:rsidRPr="00804B55">
              <w:rPr>
                <w:rFonts w:ascii="Arial Narrow" w:hAnsi="Arial Narrow" w:cs="Arial"/>
                <w:color w:val="000000" w:themeColor="text1"/>
                <w:sz w:val="22"/>
                <w:szCs w:val="22"/>
              </w:rPr>
              <w:t>%</w:t>
            </w:r>
          </w:p>
        </w:tc>
        <w:tc>
          <w:tcPr>
            <w:tcW w:w="1554" w:type="dxa"/>
            <w:tcBorders>
              <w:bottom w:val="single" w:sz="4" w:space="0" w:color="auto"/>
              <w:right w:val="single" w:sz="4" w:space="0" w:color="auto"/>
            </w:tcBorders>
            <w:shd w:val="clear" w:color="auto" w:fill="auto"/>
          </w:tcPr>
          <w:p w14:paraId="0A1027F9" w14:textId="77777777" w:rsidR="006F6D8D" w:rsidRPr="00804B55" w:rsidRDefault="00804B55" w:rsidP="00EC0D84">
            <w:pPr>
              <w:jc w:val="center"/>
              <w:rPr>
                <w:rFonts w:ascii="Arial Narrow" w:hAnsi="Arial Narrow" w:cs="Arial"/>
                <w:sz w:val="22"/>
                <w:szCs w:val="22"/>
              </w:rPr>
            </w:pPr>
            <w:r w:rsidRPr="00804B55">
              <w:rPr>
                <w:rFonts w:ascii="Arial Narrow" w:hAnsi="Arial Narrow" w:cs="Arial"/>
                <w:color w:val="000000" w:themeColor="text1"/>
                <w:sz w:val="22"/>
                <w:szCs w:val="22"/>
              </w:rPr>
              <w:t>2.3</w:t>
            </w:r>
            <w:r w:rsidR="006F6D8D" w:rsidRPr="00804B55">
              <w:rPr>
                <w:rFonts w:ascii="Arial Narrow" w:hAnsi="Arial Narrow" w:cs="Arial"/>
                <w:color w:val="000000" w:themeColor="text1"/>
                <w:sz w:val="22"/>
                <w:szCs w:val="22"/>
              </w:rPr>
              <w:t>%</w:t>
            </w:r>
          </w:p>
        </w:tc>
      </w:tr>
    </w:tbl>
    <w:p w14:paraId="56F0C55B" w14:textId="77777777" w:rsidR="00804B55" w:rsidRPr="00E06CAE" w:rsidRDefault="00804B55" w:rsidP="005816F3">
      <w:pPr>
        <w:pStyle w:val="NormalWeb"/>
        <w:spacing w:before="0" w:beforeAutospacing="0" w:after="0" w:afterAutospacing="0"/>
        <w:jc w:val="both"/>
        <w:rPr>
          <w:rFonts w:ascii="Arial" w:hAnsi="Arial" w:cs="Arial"/>
          <w:sz w:val="22"/>
          <w:szCs w:val="22"/>
        </w:rPr>
      </w:pPr>
    </w:p>
    <w:p w14:paraId="6DD01158" w14:textId="77777777" w:rsidR="00966519" w:rsidRPr="00E06CAE" w:rsidRDefault="00966519" w:rsidP="009A7F8F">
      <w:pPr>
        <w:pStyle w:val="NormalWeb"/>
        <w:spacing w:before="0" w:beforeAutospacing="0" w:after="0" w:afterAutospacing="0"/>
        <w:ind w:left="1080" w:hanging="1080"/>
        <w:jc w:val="both"/>
        <w:rPr>
          <w:rFonts w:ascii="Arial" w:hAnsi="Arial" w:cs="Arial"/>
          <w:b/>
          <w:bCs/>
          <w:sz w:val="22"/>
          <w:szCs w:val="22"/>
        </w:rPr>
      </w:pPr>
      <w:r w:rsidRPr="00E06CAE">
        <w:rPr>
          <w:rFonts w:ascii="Arial" w:hAnsi="Arial" w:cs="Arial"/>
          <w:b/>
          <w:bCs/>
          <w:sz w:val="22"/>
          <w:szCs w:val="22"/>
        </w:rPr>
        <w:t>F1.a.ii</w:t>
      </w:r>
      <w:r w:rsidRPr="00E06CAE">
        <w:rPr>
          <w:rFonts w:ascii="Arial" w:hAnsi="Arial" w:cs="Arial"/>
          <w:sz w:val="22"/>
          <w:szCs w:val="22"/>
        </w:rPr>
        <w:tab/>
      </w:r>
      <w:r w:rsidRPr="00E06CAE">
        <w:rPr>
          <w:rFonts w:ascii="Arial" w:hAnsi="Arial" w:cs="Arial"/>
          <w:b/>
          <w:bCs/>
          <w:sz w:val="22"/>
          <w:szCs w:val="22"/>
          <w:u w:val="single"/>
        </w:rPr>
        <w:t>Need by Patient Panel</w:t>
      </w:r>
      <w:r w:rsidRPr="00E06CAE">
        <w:rPr>
          <w:rFonts w:ascii="Arial" w:hAnsi="Arial" w:cs="Arial"/>
          <w:b/>
          <w:bCs/>
          <w:sz w:val="22"/>
          <w:szCs w:val="22"/>
        </w:rPr>
        <w:t>:</w:t>
      </w:r>
    </w:p>
    <w:p w14:paraId="62363C47" w14:textId="77777777" w:rsidR="00966519" w:rsidRPr="00E06CAE" w:rsidRDefault="00966519" w:rsidP="008A12F8">
      <w:pPr>
        <w:pStyle w:val="NormalWeb"/>
        <w:spacing w:before="0" w:beforeAutospacing="0" w:after="0" w:afterAutospacing="0"/>
        <w:ind w:left="1080"/>
        <w:jc w:val="both"/>
        <w:rPr>
          <w:rFonts w:ascii="Arial" w:hAnsi="Arial" w:cs="Arial"/>
          <w:b/>
          <w:bCs/>
          <w:sz w:val="22"/>
          <w:szCs w:val="22"/>
        </w:rPr>
      </w:pPr>
      <w:r w:rsidRPr="00E06CAE">
        <w:rPr>
          <w:rFonts w:ascii="Arial" w:hAnsi="Arial" w:cs="Arial"/>
          <w:b/>
          <w:bCs/>
          <w:sz w:val="22"/>
          <w:szCs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5B34B6E" w14:textId="77777777" w:rsidR="00966519" w:rsidRPr="00E06CAE" w:rsidRDefault="00966519" w:rsidP="008A12F8">
      <w:pPr>
        <w:pStyle w:val="NormalWeb"/>
        <w:spacing w:before="0" w:beforeAutospacing="0" w:after="0" w:afterAutospacing="0"/>
        <w:jc w:val="both"/>
        <w:rPr>
          <w:rFonts w:ascii="Arial" w:hAnsi="Arial" w:cs="Arial"/>
          <w:color w:val="000000" w:themeColor="text1"/>
          <w:sz w:val="22"/>
          <w:szCs w:val="22"/>
        </w:rPr>
      </w:pPr>
    </w:p>
    <w:p w14:paraId="5A619A6B" w14:textId="77777777" w:rsidR="00391C97" w:rsidRPr="00E06CAE" w:rsidRDefault="00594E0F" w:rsidP="008A12F8">
      <w:pPr>
        <w:pStyle w:val="NormalWeb"/>
        <w:spacing w:before="0" w:beforeAutospacing="0" w:after="0" w:afterAutospacing="0"/>
        <w:jc w:val="both"/>
        <w:rPr>
          <w:rStyle w:val="normaltextrun"/>
          <w:rFonts w:ascii="Arial" w:hAnsi="Arial" w:cs="Arial"/>
          <w:color w:val="000000" w:themeColor="text1"/>
          <w:sz w:val="22"/>
          <w:szCs w:val="22"/>
        </w:rPr>
      </w:pPr>
      <w:r w:rsidRPr="00E06CAE">
        <w:rPr>
          <w:rFonts w:ascii="Arial" w:hAnsi="Arial" w:cs="Arial"/>
          <w:sz w:val="22"/>
          <w:szCs w:val="22"/>
        </w:rPr>
        <w:t xml:space="preserve">As discussed in the Project Description, </w:t>
      </w:r>
      <w:r w:rsidRPr="00E06CAE">
        <w:rPr>
          <w:rFonts w:ascii="Arial" w:hAnsi="Arial" w:cs="Arial"/>
          <w:color w:val="000000" w:themeColor="text1"/>
          <w:sz w:val="22"/>
          <w:szCs w:val="22"/>
        </w:rPr>
        <w:t xml:space="preserve">the goal of the Proposed Project is </w:t>
      </w:r>
      <w:r w:rsidR="00966519" w:rsidRPr="00E06CAE">
        <w:rPr>
          <w:rFonts w:ascii="Arial" w:hAnsi="Arial" w:cs="Arial"/>
          <w:color w:val="000000" w:themeColor="text1"/>
          <w:sz w:val="22"/>
          <w:szCs w:val="22"/>
        </w:rPr>
        <w:t xml:space="preserve">to address </w:t>
      </w:r>
      <w:r w:rsidR="007D0436" w:rsidRPr="00E06CAE">
        <w:rPr>
          <w:rFonts w:ascii="Arial" w:hAnsi="Arial" w:cs="Arial"/>
          <w:color w:val="000000" w:themeColor="text1"/>
          <w:sz w:val="22"/>
          <w:szCs w:val="22"/>
        </w:rPr>
        <w:t xml:space="preserve">the </w:t>
      </w:r>
      <w:r w:rsidR="003D5F14" w:rsidRPr="00E06CAE">
        <w:rPr>
          <w:rFonts w:ascii="Arial" w:hAnsi="Arial" w:cs="Arial"/>
          <w:color w:val="000000" w:themeColor="text1"/>
          <w:sz w:val="22"/>
          <w:szCs w:val="22"/>
        </w:rPr>
        <w:t xml:space="preserve">existing and future needs </w:t>
      </w:r>
      <w:r w:rsidRPr="00E06CAE">
        <w:rPr>
          <w:rFonts w:ascii="Arial" w:hAnsi="Arial" w:cs="Arial"/>
          <w:color w:val="000000" w:themeColor="text1"/>
          <w:sz w:val="22"/>
          <w:szCs w:val="22"/>
        </w:rPr>
        <w:t>of BMC’s</w:t>
      </w:r>
      <w:r w:rsidR="007D0436" w:rsidRPr="00E06CAE">
        <w:rPr>
          <w:rFonts w:ascii="Arial" w:hAnsi="Arial" w:cs="Arial"/>
          <w:color w:val="000000" w:themeColor="text1"/>
          <w:sz w:val="22"/>
          <w:szCs w:val="22"/>
        </w:rPr>
        <w:t xml:space="preserve"> unique</w:t>
      </w:r>
      <w:r w:rsidRPr="00E06CAE">
        <w:rPr>
          <w:rFonts w:ascii="Arial" w:hAnsi="Arial" w:cs="Arial"/>
          <w:color w:val="000000" w:themeColor="text1"/>
          <w:sz w:val="22"/>
          <w:szCs w:val="22"/>
        </w:rPr>
        <w:t xml:space="preserve"> patient panel </w:t>
      </w:r>
      <w:r w:rsidR="003D5F14" w:rsidRPr="00E06CAE">
        <w:rPr>
          <w:rFonts w:ascii="Arial" w:hAnsi="Arial" w:cs="Arial"/>
          <w:color w:val="000000" w:themeColor="text1"/>
          <w:sz w:val="22"/>
          <w:szCs w:val="22"/>
        </w:rPr>
        <w:t>by providing increased access to timely, high-quality MRI services.</w:t>
      </w:r>
      <w:r w:rsidR="00F90DAB">
        <w:rPr>
          <w:rFonts w:ascii="Arial" w:hAnsi="Arial" w:cs="Arial"/>
          <w:color w:val="000000" w:themeColor="text1"/>
          <w:sz w:val="22"/>
          <w:szCs w:val="22"/>
        </w:rPr>
        <w:t xml:space="preserve"> </w:t>
      </w:r>
      <w:r w:rsidR="00211A13" w:rsidRPr="00E06CAE">
        <w:rPr>
          <w:rFonts w:ascii="Arial" w:hAnsi="Arial" w:cs="Arial"/>
          <w:color w:val="000000" w:themeColor="text1"/>
          <w:sz w:val="22"/>
          <w:szCs w:val="22"/>
        </w:rPr>
        <w:t>T</w:t>
      </w:r>
      <w:r w:rsidRPr="00E06CAE">
        <w:rPr>
          <w:rFonts w:ascii="Arial" w:hAnsi="Arial" w:cs="Arial"/>
          <w:color w:val="000000" w:themeColor="text1"/>
          <w:sz w:val="22"/>
          <w:szCs w:val="22"/>
        </w:rPr>
        <w:t xml:space="preserve">o this point, the Applicant notes that it launched </w:t>
      </w:r>
      <w:r w:rsidR="00211A13" w:rsidRPr="00E06CAE">
        <w:rPr>
          <w:rFonts w:ascii="Arial" w:hAnsi="Arial" w:cs="Arial"/>
          <w:color w:val="000000" w:themeColor="text1"/>
          <w:sz w:val="22"/>
          <w:szCs w:val="22"/>
        </w:rPr>
        <w:t xml:space="preserve">a comprehensive assessment of </w:t>
      </w:r>
      <w:r w:rsidRPr="00E06CAE">
        <w:rPr>
          <w:rFonts w:ascii="Arial" w:hAnsi="Arial" w:cs="Arial"/>
          <w:color w:val="000000" w:themeColor="text1"/>
          <w:sz w:val="22"/>
          <w:szCs w:val="22"/>
        </w:rPr>
        <w:t xml:space="preserve">patient panel demographics, </w:t>
      </w:r>
      <w:r w:rsidR="00211A13" w:rsidRPr="00E06CAE">
        <w:rPr>
          <w:rFonts w:ascii="Arial" w:hAnsi="Arial" w:cs="Arial"/>
          <w:color w:val="000000" w:themeColor="text1"/>
          <w:sz w:val="22"/>
          <w:szCs w:val="22"/>
        </w:rPr>
        <w:t>historical utilization</w:t>
      </w:r>
      <w:r w:rsidR="000130B0" w:rsidRPr="00E06CAE">
        <w:rPr>
          <w:rFonts w:ascii="Arial" w:hAnsi="Arial" w:cs="Arial"/>
          <w:color w:val="000000" w:themeColor="text1"/>
          <w:sz w:val="22"/>
          <w:szCs w:val="22"/>
        </w:rPr>
        <w:t xml:space="preserve"> trends</w:t>
      </w:r>
      <w:r w:rsidR="00211A13" w:rsidRPr="00E06CAE">
        <w:rPr>
          <w:rFonts w:ascii="Arial" w:hAnsi="Arial" w:cs="Arial"/>
          <w:color w:val="000000" w:themeColor="text1"/>
          <w:sz w:val="22"/>
          <w:szCs w:val="22"/>
        </w:rPr>
        <w:t>, capacity</w:t>
      </w:r>
      <w:r w:rsidR="00391C97" w:rsidRPr="00E06CAE">
        <w:rPr>
          <w:rFonts w:ascii="Arial" w:hAnsi="Arial" w:cs="Arial"/>
          <w:color w:val="000000" w:themeColor="text1"/>
          <w:sz w:val="22"/>
          <w:szCs w:val="22"/>
        </w:rPr>
        <w:t xml:space="preserve"> data</w:t>
      </w:r>
      <w:r w:rsidR="00211A13" w:rsidRPr="00E06CAE">
        <w:rPr>
          <w:rFonts w:ascii="Arial" w:hAnsi="Arial" w:cs="Arial"/>
          <w:color w:val="000000" w:themeColor="text1"/>
          <w:sz w:val="22"/>
          <w:szCs w:val="22"/>
        </w:rPr>
        <w:t>, and projected growth</w:t>
      </w:r>
      <w:r w:rsidRPr="00E06CAE">
        <w:rPr>
          <w:rFonts w:ascii="Arial" w:hAnsi="Arial" w:cs="Arial"/>
          <w:color w:val="000000" w:themeColor="text1"/>
          <w:sz w:val="22"/>
          <w:szCs w:val="22"/>
        </w:rPr>
        <w:t xml:space="preserve"> to </w:t>
      </w:r>
      <w:r w:rsidR="007D0436" w:rsidRPr="00E06CAE">
        <w:rPr>
          <w:rFonts w:ascii="Arial" w:hAnsi="Arial" w:cs="Arial"/>
          <w:color w:val="000000" w:themeColor="text1"/>
          <w:sz w:val="22"/>
          <w:szCs w:val="22"/>
        </w:rPr>
        <w:t>establish</w:t>
      </w:r>
      <w:r w:rsidRPr="00E06CAE">
        <w:rPr>
          <w:rFonts w:ascii="Arial" w:hAnsi="Arial" w:cs="Arial"/>
          <w:color w:val="000000" w:themeColor="text1"/>
          <w:sz w:val="22"/>
          <w:szCs w:val="22"/>
        </w:rPr>
        <w:t xml:space="preserve"> the need for the Proposed Project. Through such assessment, BMC determined</w:t>
      </w:r>
      <w:r w:rsidR="00211A13" w:rsidRPr="00E06CAE">
        <w:rPr>
          <w:rFonts w:ascii="Arial" w:hAnsi="Arial" w:cs="Arial"/>
          <w:color w:val="000000" w:themeColor="text1"/>
          <w:sz w:val="22"/>
          <w:szCs w:val="22"/>
        </w:rPr>
        <w:t xml:space="preserve"> that its existing MRI resource base is insufficient </w:t>
      </w:r>
      <w:r w:rsidR="00432FC5" w:rsidRPr="00E06CAE">
        <w:rPr>
          <w:rFonts w:ascii="Arial" w:hAnsi="Arial" w:cs="Arial"/>
          <w:color w:val="000000" w:themeColor="text1"/>
          <w:sz w:val="22"/>
          <w:szCs w:val="22"/>
        </w:rPr>
        <w:t xml:space="preserve">to meet patient panel need </w:t>
      </w:r>
      <w:r w:rsidR="00211A13" w:rsidRPr="00E06CAE">
        <w:rPr>
          <w:rFonts w:ascii="Arial" w:hAnsi="Arial" w:cs="Arial"/>
          <w:color w:val="000000" w:themeColor="text1"/>
          <w:sz w:val="22"/>
          <w:szCs w:val="22"/>
        </w:rPr>
        <w:t xml:space="preserve">and that an additional </w:t>
      </w:r>
      <w:r w:rsidR="00611CAA">
        <w:rPr>
          <w:rFonts w:ascii="Arial" w:hAnsi="Arial" w:cs="Arial"/>
          <w:color w:val="000000" w:themeColor="text1"/>
          <w:sz w:val="22"/>
          <w:szCs w:val="22"/>
        </w:rPr>
        <w:t>1.5</w:t>
      </w:r>
      <w:r w:rsidR="00211A13" w:rsidRPr="00E06CAE">
        <w:rPr>
          <w:rFonts w:ascii="Arial" w:hAnsi="Arial" w:cs="Arial"/>
          <w:color w:val="000000" w:themeColor="text1"/>
          <w:sz w:val="22"/>
          <w:szCs w:val="22"/>
        </w:rPr>
        <w:t xml:space="preserve">T MRI unit </w:t>
      </w:r>
      <w:r w:rsidR="007D0436" w:rsidRPr="00E06CAE">
        <w:rPr>
          <w:rFonts w:ascii="Arial" w:hAnsi="Arial" w:cs="Arial"/>
          <w:color w:val="000000" w:themeColor="text1"/>
          <w:sz w:val="22"/>
          <w:szCs w:val="22"/>
        </w:rPr>
        <w:t xml:space="preserve">sited at BMC’s main hospital campus </w:t>
      </w:r>
      <w:r w:rsidRPr="00E06CAE">
        <w:rPr>
          <w:rFonts w:ascii="Arial" w:hAnsi="Arial" w:cs="Arial"/>
          <w:color w:val="000000" w:themeColor="text1"/>
          <w:sz w:val="22"/>
          <w:szCs w:val="22"/>
        </w:rPr>
        <w:t xml:space="preserve">is necessary </w:t>
      </w:r>
      <w:r w:rsidR="00211A13" w:rsidRPr="00E06CAE">
        <w:rPr>
          <w:rFonts w:ascii="Arial" w:hAnsi="Arial" w:cs="Arial"/>
          <w:color w:val="000000" w:themeColor="text1"/>
          <w:sz w:val="22"/>
          <w:szCs w:val="22"/>
        </w:rPr>
        <w:t>to provide the timeliness and quality of care that its patients require and deserve.</w:t>
      </w:r>
      <w:r w:rsidR="007D0436" w:rsidRPr="00E06CAE">
        <w:rPr>
          <w:rFonts w:ascii="Arial" w:hAnsi="Arial" w:cs="Arial"/>
          <w:color w:val="000000" w:themeColor="text1"/>
          <w:sz w:val="22"/>
          <w:szCs w:val="22"/>
        </w:rPr>
        <w:t xml:space="preserve"> </w:t>
      </w:r>
      <w:r w:rsidR="000130B0" w:rsidRPr="00E06CAE">
        <w:rPr>
          <w:rFonts w:ascii="Arial" w:hAnsi="Arial" w:cs="Arial"/>
          <w:color w:val="000000" w:themeColor="text1"/>
          <w:sz w:val="22"/>
          <w:szCs w:val="22"/>
        </w:rPr>
        <w:t>Specifically, t</w:t>
      </w:r>
      <w:r w:rsidR="007D0436" w:rsidRPr="00E06CAE">
        <w:rPr>
          <w:rFonts w:ascii="Arial" w:hAnsi="Arial" w:cs="Arial"/>
          <w:color w:val="000000" w:themeColor="text1"/>
          <w:sz w:val="22"/>
          <w:szCs w:val="22"/>
        </w:rPr>
        <w:t xml:space="preserve">he Applicant anticipates that the proposed addition of one (1) new </w:t>
      </w:r>
      <w:r w:rsidR="00611CAA">
        <w:rPr>
          <w:rFonts w:ascii="Arial" w:hAnsi="Arial" w:cs="Arial"/>
          <w:color w:val="000000" w:themeColor="text1"/>
          <w:sz w:val="22"/>
          <w:szCs w:val="22"/>
        </w:rPr>
        <w:t>1.5</w:t>
      </w:r>
      <w:r w:rsidR="007D0436" w:rsidRPr="00E06CAE">
        <w:rPr>
          <w:rFonts w:ascii="Arial" w:hAnsi="Arial" w:cs="Arial"/>
          <w:color w:val="000000" w:themeColor="text1"/>
          <w:sz w:val="22"/>
          <w:szCs w:val="22"/>
        </w:rPr>
        <w:t xml:space="preserve">T MRI </w:t>
      </w:r>
      <w:r w:rsidR="00432FC5" w:rsidRPr="00E06CAE">
        <w:rPr>
          <w:rFonts w:ascii="Arial" w:hAnsi="Arial" w:cs="Arial"/>
          <w:color w:val="000000" w:themeColor="text1"/>
          <w:sz w:val="22"/>
          <w:szCs w:val="22"/>
        </w:rPr>
        <w:t xml:space="preserve">on BMC’s main hospital campus </w:t>
      </w:r>
      <w:r w:rsidR="007D0436" w:rsidRPr="00E06CAE">
        <w:rPr>
          <w:rFonts w:ascii="Arial" w:hAnsi="Arial" w:cs="Arial"/>
          <w:color w:val="000000" w:themeColor="text1"/>
          <w:sz w:val="22"/>
          <w:szCs w:val="22"/>
        </w:rPr>
        <w:t xml:space="preserve">will </w:t>
      </w:r>
      <w:r w:rsidR="00391C97" w:rsidRPr="00E06CAE">
        <w:rPr>
          <w:rFonts w:ascii="Arial" w:hAnsi="Arial" w:cs="Arial"/>
          <w:color w:val="000000" w:themeColor="text1"/>
          <w:sz w:val="22"/>
          <w:szCs w:val="22"/>
        </w:rPr>
        <w:t xml:space="preserve">help alleviate </w:t>
      </w:r>
      <w:r w:rsidR="00235B9A" w:rsidRPr="00E06CAE">
        <w:rPr>
          <w:rFonts w:ascii="Arial" w:hAnsi="Arial" w:cs="Arial"/>
          <w:color w:val="000000" w:themeColor="text1"/>
          <w:sz w:val="22"/>
          <w:szCs w:val="22"/>
        </w:rPr>
        <w:t>capacity</w:t>
      </w:r>
      <w:r w:rsidR="000130B0" w:rsidRPr="00E06CAE">
        <w:rPr>
          <w:rFonts w:ascii="Arial" w:hAnsi="Arial" w:cs="Arial"/>
          <w:color w:val="000000" w:themeColor="text1"/>
          <w:sz w:val="22"/>
          <w:szCs w:val="22"/>
        </w:rPr>
        <w:t xml:space="preserve"> constraints</w:t>
      </w:r>
      <w:r w:rsidR="00391C97" w:rsidRPr="00E06CAE">
        <w:rPr>
          <w:rFonts w:ascii="Arial" w:hAnsi="Arial" w:cs="Arial"/>
          <w:color w:val="000000" w:themeColor="text1"/>
          <w:sz w:val="22"/>
          <w:szCs w:val="22"/>
        </w:rPr>
        <w:t xml:space="preserve"> and satisfy patient panel needs by decreasing wait times</w:t>
      </w:r>
      <w:r w:rsidR="008D736B" w:rsidRPr="00E06CAE">
        <w:rPr>
          <w:rFonts w:ascii="Arial" w:hAnsi="Arial" w:cs="Arial"/>
          <w:color w:val="000000" w:themeColor="text1"/>
          <w:sz w:val="22"/>
          <w:szCs w:val="22"/>
        </w:rPr>
        <w:t>,</w:t>
      </w:r>
      <w:r w:rsidR="005506FE" w:rsidRPr="00E06CAE">
        <w:rPr>
          <w:rFonts w:ascii="Arial" w:hAnsi="Arial" w:cs="Arial"/>
          <w:color w:val="000000" w:themeColor="text1"/>
          <w:sz w:val="22"/>
          <w:szCs w:val="22"/>
        </w:rPr>
        <w:t xml:space="preserve"> helping address system reliability </w:t>
      </w:r>
      <w:r w:rsidR="005506FE" w:rsidRPr="00E06CAE">
        <w:rPr>
          <w:rFonts w:ascii="Arial" w:hAnsi="Arial" w:cs="Arial"/>
          <w:sz w:val="22"/>
          <w:szCs w:val="22"/>
        </w:rPr>
        <w:t xml:space="preserve">and downtime concerns, </w:t>
      </w:r>
      <w:r w:rsidR="008D736B" w:rsidRPr="00E06CAE">
        <w:rPr>
          <w:rFonts w:ascii="Arial" w:hAnsi="Arial" w:cs="Arial"/>
          <w:sz w:val="22"/>
          <w:szCs w:val="22"/>
        </w:rPr>
        <w:t>and</w:t>
      </w:r>
      <w:r w:rsidR="00235B9A" w:rsidRPr="00E06CAE">
        <w:rPr>
          <w:rFonts w:ascii="Arial" w:hAnsi="Arial" w:cs="Arial"/>
          <w:sz w:val="22"/>
          <w:szCs w:val="22"/>
        </w:rPr>
        <w:t xml:space="preserve"> </w:t>
      </w:r>
      <w:r w:rsidR="00235B9A" w:rsidRPr="00E06CAE">
        <w:rPr>
          <w:rStyle w:val="normaltextrun"/>
          <w:rFonts w:ascii="Arial" w:hAnsi="Arial" w:cs="Arial"/>
          <w:sz w:val="22"/>
          <w:szCs w:val="22"/>
        </w:rPr>
        <w:t>providing members of BMC’s patient panel, including those within identified under-resourced populations, with enhanced access to high-</w:t>
      </w:r>
      <w:r w:rsidR="00235B9A" w:rsidRPr="00E06CAE">
        <w:rPr>
          <w:rStyle w:val="normaltextrun"/>
          <w:rFonts w:ascii="Arial" w:hAnsi="Arial" w:cs="Arial"/>
          <w:color w:val="000000"/>
          <w:sz w:val="22"/>
          <w:szCs w:val="22"/>
        </w:rPr>
        <w:t xml:space="preserve">quality, efficiently-operated, and </w:t>
      </w:r>
      <w:r w:rsidR="00235B9A" w:rsidRPr="00E06CAE">
        <w:rPr>
          <w:rStyle w:val="normaltextrun"/>
          <w:rFonts w:ascii="Arial" w:hAnsi="Arial" w:cs="Arial"/>
          <w:sz w:val="22"/>
          <w:szCs w:val="22"/>
        </w:rPr>
        <w:t xml:space="preserve">equitable MRI services </w:t>
      </w:r>
      <w:r w:rsidR="00235B9A" w:rsidRPr="00E06CAE">
        <w:rPr>
          <w:rStyle w:val="normaltextrun"/>
          <w:rFonts w:ascii="Arial" w:hAnsi="Arial" w:cs="Arial"/>
          <w:color w:val="000000"/>
          <w:sz w:val="22"/>
          <w:szCs w:val="22"/>
        </w:rPr>
        <w:t>that are necessary to detecting and treating a variety of conditions and enhancing clinical outcomes.</w:t>
      </w:r>
    </w:p>
    <w:p w14:paraId="6D6DE471" w14:textId="77777777" w:rsidR="00966519" w:rsidRPr="00E06CAE" w:rsidRDefault="00966519" w:rsidP="00D4649D">
      <w:pPr>
        <w:jc w:val="both"/>
        <w:rPr>
          <w:rFonts w:ascii="Arial" w:hAnsi="Arial" w:cs="Arial"/>
          <w:sz w:val="22"/>
          <w:szCs w:val="22"/>
        </w:rPr>
      </w:pPr>
    </w:p>
    <w:p w14:paraId="2BE1C0A2" w14:textId="77777777" w:rsidR="003D5F14" w:rsidRPr="006B5133" w:rsidRDefault="003D5F14">
      <w:pPr>
        <w:pStyle w:val="NormalWeb"/>
        <w:numPr>
          <w:ilvl w:val="0"/>
          <w:numId w:val="4"/>
        </w:numPr>
        <w:spacing w:before="0" w:beforeAutospacing="0" w:after="0" w:afterAutospacing="0"/>
        <w:ind w:left="360"/>
        <w:jc w:val="both"/>
        <w:rPr>
          <w:rFonts w:ascii="Arial" w:hAnsi="Arial" w:cs="Arial"/>
          <w:smallCaps/>
          <w:sz w:val="22"/>
          <w:szCs w:val="22"/>
          <w:u w:val="single"/>
        </w:rPr>
      </w:pPr>
      <w:r w:rsidRPr="00E06CAE">
        <w:rPr>
          <w:rFonts w:ascii="Arial" w:hAnsi="Arial" w:cs="Arial"/>
          <w:smallCaps/>
          <w:sz w:val="22"/>
          <w:szCs w:val="22"/>
          <w:u w:val="single"/>
        </w:rPr>
        <w:t xml:space="preserve">Review </w:t>
      </w:r>
      <w:r w:rsidRPr="006B5133">
        <w:rPr>
          <w:rFonts w:ascii="Arial" w:hAnsi="Arial" w:cs="Arial"/>
          <w:smallCaps/>
          <w:sz w:val="22"/>
          <w:szCs w:val="22"/>
          <w:u w:val="single"/>
        </w:rPr>
        <w:t>of Historic MRI Demand</w:t>
      </w:r>
      <w:r w:rsidR="00235B9A" w:rsidRPr="006B5133">
        <w:rPr>
          <w:rFonts w:ascii="Arial" w:hAnsi="Arial" w:cs="Arial"/>
          <w:smallCaps/>
          <w:sz w:val="22"/>
          <w:szCs w:val="22"/>
          <w:u w:val="single"/>
        </w:rPr>
        <w:t xml:space="preserve"> and Related Concerns</w:t>
      </w:r>
    </w:p>
    <w:p w14:paraId="0EA7CAD1" w14:textId="77777777" w:rsidR="00856859" w:rsidRPr="006B5133" w:rsidRDefault="00856859" w:rsidP="00856859">
      <w:pPr>
        <w:pStyle w:val="NormalWeb"/>
        <w:spacing w:before="0" w:beforeAutospacing="0" w:after="0" w:afterAutospacing="0"/>
        <w:jc w:val="both"/>
        <w:rPr>
          <w:rFonts w:ascii="Arial" w:hAnsi="Arial" w:cs="Arial"/>
          <w:sz w:val="22"/>
          <w:szCs w:val="22"/>
          <w:u w:val="single"/>
        </w:rPr>
      </w:pPr>
    </w:p>
    <w:p w14:paraId="561C5DBC" w14:textId="77777777" w:rsidR="005442E3" w:rsidRPr="00AC5407" w:rsidRDefault="005442E3" w:rsidP="001B755C">
      <w:pPr>
        <w:pStyle w:val="NormalWeb"/>
        <w:spacing w:before="0" w:beforeAutospacing="0" w:after="0" w:afterAutospacing="0"/>
        <w:jc w:val="both"/>
        <w:rPr>
          <w:rFonts w:ascii="Arial" w:hAnsi="Arial" w:cs="Arial"/>
          <w:color w:val="000000" w:themeColor="text1"/>
          <w:sz w:val="22"/>
          <w:szCs w:val="22"/>
        </w:rPr>
      </w:pPr>
      <w:r w:rsidRPr="006B5133">
        <w:rPr>
          <w:rFonts w:ascii="Arial" w:hAnsi="Arial" w:cs="Arial"/>
          <w:sz w:val="22"/>
          <w:szCs w:val="22"/>
        </w:rPr>
        <w:t xml:space="preserve">BMC is licensed to operate three (3) MRI units – </w:t>
      </w:r>
      <w:r w:rsidRPr="006B5133">
        <w:rPr>
          <w:rFonts w:ascii="Arial" w:hAnsi="Arial" w:cs="Arial"/>
          <w:color w:val="000000" w:themeColor="text1"/>
          <w:sz w:val="22"/>
          <w:szCs w:val="22"/>
        </w:rPr>
        <w:t xml:space="preserve">one (1) 1.5T MRI unit and two (2) 3T MRI units. All three (3) units are located on BMC’s main campus. As outlined in Table 3, </w:t>
      </w:r>
      <w:r w:rsidR="001B755C" w:rsidRPr="006B5133">
        <w:rPr>
          <w:rFonts w:ascii="Arial" w:hAnsi="Arial" w:cs="Arial"/>
          <w:color w:val="000000" w:themeColor="text1"/>
          <w:sz w:val="22"/>
          <w:szCs w:val="22"/>
        </w:rPr>
        <w:t xml:space="preserve">there has been significant growth in the number of patients receiving MRI services at BMC via these units over the last few years. </w:t>
      </w:r>
      <w:r w:rsidRPr="006B5133">
        <w:rPr>
          <w:rFonts w:ascii="Arial" w:hAnsi="Arial" w:cs="Arial"/>
          <w:color w:val="000000" w:themeColor="text1"/>
          <w:sz w:val="22"/>
          <w:szCs w:val="22"/>
        </w:rPr>
        <w:t xml:space="preserve">Specifically, </w:t>
      </w:r>
      <w:r w:rsidR="001B755C" w:rsidRPr="006B5133">
        <w:rPr>
          <w:rFonts w:ascii="Arial" w:hAnsi="Arial" w:cs="Arial"/>
          <w:color w:val="000000" w:themeColor="text1"/>
          <w:sz w:val="22"/>
          <w:szCs w:val="22"/>
        </w:rPr>
        <w:t xml:space="preserve">the number of unique patients </w:t>
      </w:r>
      <w:r w:rsidR="001B755C" w:rsidRPr="00AC5407">
        <w:rPr>
          <w:rFonts w:ascii="Arial" w:hAnsi="Arial" w:cs="Arial"/>
          <w:color w:val="000000" w:themeColor="text1"/>
          <w:sz w:val="22"/>
          <w:szCs w:val="22"/>
        </w:rPr>
        <w:t xml:space="preserve">receiving MRI services at BMC increased by </w:t>
      </w:r>
      <w:r w:rsidR="00C77230">
        <w:rPr>
          <w:rFonts w:ascii="Arial" w:hAnsi="Arial" w:cs="Arial"/>
          <w:color w:val="000000" w:themeColor="text1"/>
          <w:sz w:val="22"/>
          <w:szCs w:val="22"/>
        </w:rPr>
        <w:t>2</w:t>
      </w:r>
      <w:r w:rsidR="00AF21CE">
        <w:rPr>
          <w:rFonts w:ascii="Arial" w:hAnsi="Arial" w:cs="Arial"/>
          <w:color w:val="000000" w:themeColor="text1"/>
          <w:sz w:val="22"/>
          <w:szCs w:val="22"/>
        </w:rPr>
        <w:t>3.2</w:t>
      </w:r>
      <w:r w:rsidR="001B755C" w:rsidRPr="00AC5407">
        <w:rPr>
          <w:rFonts w:ascii="Arial" w:hAnsi="Arial" w:cs="Arial"/>
          <w:color w:val="000000" w:themeColor="text1"/>
          <w:sz w:val="22"/>
          <w:szCs w:val="22"/>
        </w:rPr>
        <w:t xml:space="preserve">% from FY20 to FY21 (from </w:t>
      </w:r>
      <w:r w:rsidR="00AF21CE">
        <w:rPr>
          <w:rFonts w:ascii="Arial" w:hAnsi="Arial" w:cs="Arial"/>
          <w:color w:val="000000" w:themeColor="text1"/>
          <w:sz w:val="22"/>
          <w:szCs w:val="22"/>
        </w:rPr>
        <w:t xml:space="preserve">12,020 </w:t>
      </w:r>
      <w:r w:rsidRPr="00AC5407">
        <w:rPr>
          <w:rFonts w:ascii="Arial" w:hAnsi="Arial" w:cs="Arial"/>
          <w:color w:val="000000" w:themeColor="text1"/>
          <w:sz w:val="22"/>
          <w:szCs w:val="22"/>
        </w:rPr>
        <w:t xml:space="preserve">unique patients </w:t>
      </w:r>
      <w:r w:rsidR="001B755C" w:rsidRPr="00AC5407">
        <w:rPr>
          <w:rFonts w:ascii="Arial" w:hAnsi="Arial" w:cs="Arial"/>
          <w:color w:val="000000" w:themeColor="text1"/>
          <w:sz w:val="22"/>
          <w:szCs w:val="22"/>
        </w:rPr>
        <w:t xml:space="preserve">in FY20 </w:t>
      </w:r>
      <w:r w:rsidRPr="00AC5407">
        <w:rPr>
          <w:rFonts w:ascii="Arial" w:hAnsi="Arial" w:cs="Arial"/>
          <w:color w:val="000000" w:themeColor="text1"/>
          <w:sz w:val="22"/>
          <w:szCs w:val="22"/>
        </w:rPr>
        <w:t xml:space="preserve">to </w:t>
      </w:r>
      <w:r w:rsidR="00AF21CE">
        <w:rPr>
          <w:rFonts w:ascii="Arial" w:hAnsi="Arial" w:cs="Arial"/>
          <w:color w:val="000000" w:themeColor="text1"/>
          <w:sz w:val="22"/>
          <w:szCs w:val="22"/>
        </w:rPr>
        <w:t>14,817</w:t>
      </w:r>
      <w:r w:rsidRPr="00AC5407">
        <w:rPr>
          <w:rFonts w:ascii="Arial" w:hAnsi="Arial" w:cs="Arial"/>
          <w:color w:val="000000" w:themeColor="text1"/>
          <w:sz w:val="22"/>
          <w:szCs w:val="22"/>
        </w:rPr>
        <w:t xml:space="preserve"> unique patients</w:t>
      </w:r>
      <w:r w:rsidR="001B755C" w:rsidRPr="00AC5407">
        <w:rPr>
          <w:rFonts w:ascii="Arial" w:hAnsi="Arial" w:cs="Arial"/>
          <w:color w:val="000000" w:themeColor="text1"/>
          <w:sz w:val="22"/>
          <w:szCs w:val="22"/>
        </w:rPr>
        <w:t xml:space="preserve"> in FY21), and by another </w:t>
      </w:r>
      <w:r w:rsidR="00CB1757">
        <w:rPr>
          <w:rFonts w:ascii="Arial" w:hAnsi="Arial" w:cs="Arial"/>
          <w:color w:val="000000" w:themeColor="text1"/>
          <w:sz w:val="22"/>
          <w:szCs w:val="22"/>
        </w:rPr>
        <w:t>4</w:t>
      </w:r>
      <w:r w:rsidR="00AE69C2">
        <w:rPr>
          <w:rFonts w:ascii="Arial" w:hAnsi="Arial" w:cs="Arial"/>
          <w:color w:val="000000" w:themeColor="text1"/>
          <w:sz w:val="22"/>
          <w:szCs w:val="22"/>
        </w:rPr>
        <w:t>.3</w:t>
      </w:r>
      <w:r w:rsidR="001B755C" w:rsidRPr="00AC5407">
        <w:rPr>
          <w:rFonts w:ascii="Arial" w:hAnsi="Arial" w:cs="Arial"/>
          <w:color w:val="000000" w:themeColor="text1"/>
          <w:sz w:val="22"/>
          <w:szCs w:val="22"/>
        </w:rPr>
        <w:t>% from FY21 to FY22 (with</w:t>
      </w:r>
      <w:r w:rsidR="00AF21CE">
        <w:rPr>
          <w:rFonts w:ascii="Arial" w:hAnsi="Arial" w:cs="Arial"/>
          <w:color w:val="000000" w:themeColor="text1"/>
          <w:sz w:val="22"/>
          <w:szCs w:val="22"/>
        </w:rPr>
        <w:t>15,449</w:t>
      </w:r>
      <w:r w:rsidRPr="00AC5407">
        <w:rPr>
          <w:rFonts w:ascii="Arial" w:hAnsi="Arial" w:cs="Arial"/>
          <w:color w:val="000000" w:themeColor="text1"/>
          <w:sz w:val="22"/>
          <w:szCs w:val="22"/>
        </w:rPr>
        <w:t xml:space="preserve"> unique patients</w:t>
      </w:r>
      <w:r w:rsidR="001B755C" w:rsidRPr="00AC5407">
        <w:rPr>
          <w:rFonts w:ascii="Arial" w:hAnsi="Arial" w:cs="Arial"/>
          <w:color w:val="000000" w:themeColor="text1"/>
          <w:sz w:val="22"/>
          <w:szCs w:val="22"/>
        </w:rPr>
        <w:t xml:space="preserve"> in FY22).</w:t>
      </w:r>
      <w:r w:rsidR="00985942" w:rsidRPr="00AC5407">
        <w:rPr>
          <w:rFonts w:ascii="Arial" w:hAnsi="Arial" w:cs="Arial"/>
          <w:color w:val="000000" w:themeColor="text1"/>
          <w:sz w:val="22"/>
          <w:szCs w:val="22"/>
        </w:rPr>
        <w:t xml:space="preserve"> Preliminary data for FY23 YTD suggest that these numbers will continue to grow into the future – in </w:t>
      </w:r>
      <w:r w:rsidR="00E26684" w:rsidRPr="00AC5407">
        <w:rPr>
          <w:rFonts w:ascii="Arial" w:hAnsi="Arial" w:cs="Arial"/>
          <w:color w:val="000000" w:themeColor="text1"/>
          <w:sz w:val="22"/>
          <w:szCs w:val="22"/>
        </w:rPr>
        <w:t xml:space="preserve">just </w:t>
      </w:r>
      <w:r w:rsidR="00985942" w:rsidRPr="00AC5407">
        <w:rPr>
          <w:rFonts w:ascii="Arial" w:hAnsi="Arial" w:cs="Arial"/>
          <w:color w:val="000000" w:themeColor="text1"/>
          <w:sz w:val="22"/>
          <w:szCs w:val="22"/>
        </w:rPr>
        <w:t xml:space="preserve">the first half of FY23, BMC reported </w:t>
      </w:r>
      <w:r w:rsidR="00AF21CE">
        <w:rPr>
          <w:rFonts w:ascii="Arial" w:hAnsi="Arial" w:cs="Arial"/>
          <w:color w:val="000000" w:themeColor="text1"/>
          <w:sz w:val="22"/>
          <w:szCs w:val="22"/>
        </w:rPr>
        <w:t xml:space="preserve">8,991 </w:t>
      </w:r>
      <w:r w:rsidR="00985942" w:rsidRPr="00AC5407">
        <w:rPr>
          <w:rFonts w:ascii="Arial" w:hAnsi="Arial" w:cs="Arial"/>
          <w:color w:val="000000" w:themeColor="text1"/>
          <w:sz w:val="22"/>
          <w:szCs w:val="22"/>
        </w:rPr>
        <w:t xml:space="preserve">unique patients who received </w:t>
      </w:r>
      <w:r w:rsidR="00727306">
        <w:rPr>
          <w:rFonts w:ascii="Arial" w:hAnsi="Arial" w:cs="Arial"/>
          <w:color w:val="000000" w:themeColor="text1"/>
          <w:sz w:val="22"/>
          <w:szCs w:val="22"/>
        </w:rPr>
        <w:t xml:space="preserve">12,304 </w:t>
      </w:r>
      <w:r w:rsidR="00985942" w:rsidRPr="00AC5407">
        <w:rPr>
          <w:rFonts w:ascii="Arial" w:hAnsi="Arial" w:cs="Arial"/>
          <w:color w:val="000000" w:themeColor="text1"/>
          <w:sz w:val="22"/>
          <w:szCs w:val="22"/>
        </w:rPr>
        <w:t>MRI scans.</w:t>
      </w:r>
    </w:p>
    <w:p w14:paraId="1944DCC7" w14:textId="77777777" w:rsidR="00985942" w:rsidRPr="00AC5407" w:rsidRDefault="00985942" w:rsidP="001B755C">
      <w:pPr>
        <w:pStyle w:val="NormalWeb"/>
        <w:spacing w:before="0" w:beforeAutospacing="0" w:after="0" w:afterAutospacing="0"/>
        <w:jc w:val="both"/>
        <w:rPr>
          <w:rFonts w:ascii="Arial" w:hAnsi="Arial" w:cs="Arial"/>
          <w:color w:val="000000" w:themeColor="text1"/>
          <w:sz w:val="22"/>
          <w:szCs w:val="22"/>
        </w:rPr>
      </w:pPr>
    </w:p>
    <w:p w14:paraId="01D66BDA" w14:textId="570767F2" w:rsidR="00985942" w:rsidRPr="00AC5407" w:rsidRDefault="00985942" w:rsidP="00904389">
      <w:pPr>
        <w:pStyle w:val="NormalWeb"/>
        <w:spacing w:before="0" w:beforeAutospacing="0" w:after="0" w:afterAutospacing="0"/>
        <w:jc w:val="both"/>
        <w:rPr>
          <w:rFonts w:ascii="Arial" w:hAnsi="Arial" w:cs="Arial"/>
          <w:sz w:val="22"/>
          <w:szCs w:val="22"/>
        </w:rPr>
      </w:pPr>
      <w:r w:rsidRPr="00AC5407">
        <w:rPr>
          <w:rFonts w:ascii="Arial" w:hAnsi="Arial" w:cs="Arial"/>
          <w:sz w:val="22"/>
          <w:szCs w:val="22"/>
        </w:rPr>
        <w:t>In addition to patient counts, BMC’s high historical MRI demand is evidenced by its scan volumes. Table 5 outlines these data for the Hospital’s existing three (3) MRI units</w:t>
      </w:r>
      <w:r w:rsidR="00632120" w:rsidRPr="00AC5407">
        <w:rPr>
          <w:rFonts w:ascii="Arial" w:hAnsi="Arial" w:cs="Arial"/>
          <w:sz w:val="22"/>
          <w:szCs w:val="22"/>
        </w:rPr>
        <w:t xml:space="preserve"> and provides a breakdown of inpatient MRI scans versus outpatient MRI scans</w:t>
      </w:r>
      <w:r w:rsidR="00415997">
        <w:rPr>
          <w:rFonts w:ascii="Arial" w:hAnsi="Arial" w:cs="Arial"/>
          <w:sz w:val="22"/>
          <w:szCs w:val="22"/>
        </w:rPr>
        <w:t>,</w:t>
      </w:r>
      <w:r w:rsidR="00AC5407" w:rsidRPr="00AC5407">
        <w:rPr>
          <w:rFonts w:ascii="Arial" w:hAnsi="Arial" w:cs="Arial"/>
          <w:sz w:val="22"/>
          <w:szCs w:val="22"/>
        </w:rPr>
        <w:t xml:space="preserve"> as well as areas of the body scanned</w:t>
      </w:r>
      <w:r w:rsidR="00632120" w:rsidRPr="00AC5407">
        <w:rPr>
          <w:rFonts w:ascii="Arial" w:hAnsi="Arial" w:cs="Arial"/>
          <w:sz w:val="22"/>
          <w:szCs w:val="22"/>
        </w:rPr>
        <w:t>.</w:t>
      </w:r>
      <w:r w:rsidR="007C423E" w:rsidRPr="00AC5407">
        <w:rPr>
          <w:rFonts w:ascii="Arial" w:hAnsi="Arial" w:cs="Arial"/>
          <w:sz w:val="22"/>
          <w:szCs w:val="22"/>
        </w:rPr>
        <w:t xml:space="preserve"> </w:t>
      </w:r>
    </w:p>
    <w:p w14:paraId="19F44E75" w14:textId="0EB2648E" w:rsidR="00985942" w:rsidRPr="00AC5407" w:rsidRDefault="00D8130B" w:rsidP="00D8130B">
      <w:pPr>
        <w:pStyle w:val="NormalWeb"/>
        <w:shd w:val="clear" w:color="auto" w:fill="3964B1"/>
        <w:spacing w:before="0" w:beforeAutospacing="0" w:after="0" w:afterAutospacing="0"/>
        <w:jc w:val="center"/>
        <w:rPr>
          <w:rFonts w:ascii="Arial" w:hAnsi="Arial" w:cs="Arial"/>
          <w:sz w:val="22"/>
          <w:szCs w:val="22"/>
        </w:rPr>
      </w:pPr>
      <w:r w:rsidRPr="0027440C">
        <w:rPr>
          <w:rFonts w:ascii="Arial Narrow" w:hAnsi="Arial Narrow" w:cs="Arial"/>
          <w:b/>
          <w:bCs/>
          <w:color w:val="FFFFFF"/>
          <w:sz w:val="22"/>
          <w:szCs w:val="22"/>
        </w:rPr>
        <w:t xml:space="preserve">Table </w:t>
      </w:r>
      <w:r>
        <w:rPr>
          <w:rFonts w:ascii="Arial Narrow" w:hAnsi="Arial Narrow" w:cs="Arial"/>
          <w:b/>
          <w:bCs/>
          <w:color w:val="FFFFFF"/>
          <w:sz w:val="22"/>
          <w:szCs w:val="22"/>
        </w:rPr>
        <w:t>5</w:t>
      </w:r>
      <w:r w:rsidRPr="0027440C">
        <w:rPr>
          <w:rFonts w:ascii="Arial Narrow" w:hAnsi="Arial Narrow" w:cs="Arial"/>
          <w:b/>
          <w:bCs/>
          <w:color w:val="FFFFFF"/>
          <w:sz w:val="22"/>
          <w:szCs w:val="22"/>
        </w:rPr>
        <w:t xml:space="preserve">: BMC MRI </w:t>
      </w:r>
      <w:r>
        <w:rPr>
          <w:rFonts w:ascii="Arial Narrow" w:hAnsi="Arial Narrow" w:cs="Arial"/>
          <w:b/>
          <w:bCs/>
          <w:color w:val="FFFFFF"/>
          <w:sz w:val="22"/>
          <w:szCs w:val="22"/>
        </w:rPr>
        <w:t>Historical Scan Volume</w:t>
      </w:r>
    </w:p>
    <w:tbl>
      <w:tblPr>
        <w:tblStyle w:val="TableGrid"/>
        <w:tblW w:w="9350" w:type="dxa"/>
        <w:jc w:val="center"/>
        <w:tblLayout w:type="fixed"/>
        <w:tblLook w:val="04A0" w:firstRow="1" w:lastRow="0" w:firstColumn="1" w:lastColumn="0" w:noHBand="0" w:noVBand="1"/>
      </w:tblPr>
      <w:tblGrid>
        <w:gridCol w:w="2785"/>
        <w:gridCol w:w="1620"/>
        <w:gridCol w:w="21"/>
        <w:gridCol w:w="1641"/>
        <w:gridCol w:w="48"/>
        <w:gridCol w:w="1593"/>
        <w:gridCol w:w="27"/>
        <w:gridCol w:w="1615"/>
      </w:tblGrid>
      <w:tr w:rsidR="00904389" w:rsidRPr="0027440C" w14:paraId="0B3ED023" w14:textId="77777777" w:rsidTr="00D8130B">
        <w:trPr>
          <w:cantSplit/>
          <w:trHeight w:val="20"/>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8DA9DB"/>
          </w:tcPr>
          <w:p w14:paraId="731D75AC" w14:textId="77777777" w:rsidR="00904389" w:rsidRPr="0027440C" w:rsidRDefault="00904389" w:rsidP="00AD561A">
            <w:pPr>
              <w:rPr>
                <w:rFonts w:ascii="Arial Narrow" w:hAnsi="Arial Narrow" w:cs="Arial"/>
                <w:sz w:val="22"/>
                <w:szCs w:val="22"/>
              </w:rPr>
            </w:pPr>
          </w:p>
        </w:tc>
        <w:tc>
          <w:tcPr>
            <w:tcW w:w="1641" w:type="dxa"/>
            <w:gridSpan w:val="2"/>
            <w:tcBorders>
              <w:top w:val="single" w:sz="4" w:space="0" w:color="auto"/>
              <w:left w:val="single" w:sz="4" w:space="0" w:color="auto"/>
              <w:bottom w:val="single" w:sz="4" w:space="0" w:color="auto"/>
            </w:tcBorders>
            <w:shd w:val="clear" w:color="auto" w:fill="8DA9DB"/>
            <w:vAlign w:val="center"/>
          </w:tcPr>
          <w:p w14:paraId="4C384B35" w14:textId="77777777" w:rsidR="00904389" w:rsidRPr="0027440C" w:rsidRDefault="00904389" w:rsidP="00904389">
            <w:pPr>
              <w:ind w:left="-128" w:right="-146"/>
              <w:jc w:val="center"/>
              <w:rPr>
                <w:rFonts w:ascii="Arial Narrow" w:hAnsi="Arial Narrow" w:cs="Arial"/>
                <w:sz w:val="22"/>
                <w:szCs w:val="22"/>
              </w:rPr>
            </w:pPr>
            <w:r w:rsidRPr="0027440C">
              <w:rPr>
                <w:rFonts w:ascii="Arial Narrow" w:hAnsi="Arial Narrow" w:cs="Arial"/>
                <w:b/>
                <w:bCs/>
                <w:sz w:val="22"/>
                <w:szCs w:val="22"/>
              </w:rPr>
              <w:t>FY</w:t>
            </w:r>
            <w:r>
              <w:rPr>
                <w:rFonts w:ascii="Arial Narrow" w:hAnsi="Arial Narrow" w:cs="Arial"/>
                <w:b/>
                <w:bCs/>
                <w:sz w:val="22"/>
                <w:szCs w:val="22"/>
              </w:rPr>
              <w:t>20</w:t>
            </w:r>
          </w:p>
        </w:tc>
        <w:tc>
          <w:tcPr>
            <w:tcW w:w="1641" w:type="dxa"/>
            <w:tcBorders>
              <w:top w:val="single" w:sz="4" w:space="0" w:color="auto"/>
              <w:bottom w:val="single" w:sz="4" w:space="0" w:color="auto"/>
            </w:tcBorders>
            <w:shd w:val="clear" w:color="auto" w:fill="8DA9DB"/>
            <w:vAlign w:val="center"/>
          </w:tcPr>
          <w:p w14:paraId="26AA16AF" w14:textId="77777777" w:rsidR="00904389" w:rsidRPr="0027440C" w:rsidRDefault="00904389" w:rsidP="00904389">
            <w:pPr>
              <w:jc w:val="center"/>
              <w:rPr>
                <w:rFonts w:ascii="Arial Narrow" w:hAnsi="Arial Narrow" w:cs="Arial"/>
                <w:sz w:val="22"/>
                <w:szCs w:val="22"/>
              </w:rPr>
            </w:pPr>
            <w:r w:rsidRPr="0027440C">
              <w:rPr>
                <w:rFonts w:ascii="Arial Narrow" w:hAnsi="Arial Narrow" w:cs="Arial"/>
                <w:b/>
                <w:bCs/>
                <w:sz w:val="22"/>
                <w:szCs w:val="22"/>
              </w:rPr>
              <w:t>FY2</w:t>
            </w:r>
            <w:r>
              <w:rPr>
                <w:rFonts w:ascii="Arial Narrow" w:hAnsi="Arial Narrow" w:cs="Arial"/>
                <w:b/>
                <w:bCs/>
                <w:sz w:val="22"/>
                <w:szCs w:val="22"/>
              </w:rPr>
              <w:t>1</w:t>
            </w:r>
          </w:p>
        </w:tc>
        <w:tc>
          <w:tcPr>
            <w:tcW w:w="1641" w:type="dxa"/>
            <w:gridSpan w:val="2"/>
            <w:tcBorders>
              <w:top w:val="single" w:sz="4" w:space="0" w:color="auto"/>
              <w:bottom w:val="single" w:sz="4" w:space="0" w:color="auto"/>
            </w:tcBorders>
            <w:shd w:val="clear" w:color="auto" w:fill="8DA9DB"/>
            <w:vAlign w:val="center"/>
          </w:tcPr>
          <w:p w14:paraId="6634F6A9" w14:textId="77777777" w:rsidR="00904389" w:rsidRPr="0027440C" w:rsidRDefault="00904389" w:rsidP="00904389">
            <w:pPr>
              <w:jc w:val="center"/>
              <w:rPr>
                <w:rFonts w:ascii="Arial Narrow" w:hAnsi="Arial Narrow" w:cs="Arial"/>
                <w:sz w:val="22"/>
                <w:szCs w:val="22"/>
              </w:rPr>
            </w:pPr>
            <w:r w:rsidRPr="0027440C">
              <w:rPr>
                <w:rFonts w:ascii="Arial Narrow" w:hAnsi="Arial Narrow" w:cs="Arial"/>
                <w:b/>
                <w:bCs/>
                <w:sz w:val="22"/>
                <w:szCs w:val="22"/>
              </w:rPr>
              <w:t>FY2</w:t>
            </w:r>
            <w:r>
              <w:rPr>
                <w:rFonts w:ascii="Arial Narrow" w:hAnsi="Arial Narrow" w:cs="Arial"/>
                <w:b/>
                <w:bCs/>
                <w:sz w:val="22"/>
                <w:szCs w:val="22"/>
              </w:rPr>
              <w:t>2</w:t>
            </w:r>
          </w:p>
        </w:tc>
        <w:tc>
          <w:tcPr>
            <w:tcW w:w="1642" w:type="dxa"/>
            <w:gridSpan w:val="2"/>
            <w:tcBorders>
              <w:top w:val="single" w:sz="4" w:space="0" w:color="auto"/>
              <w:bottom w:val="single" w:sz="4" w:space="0" w:color="auto"/>
              <w:right w:val="single" w:sz="4" w:space="0" w:color="auto"/>
            </w:tcBorders>
            <w:shd w:val="clear" w:color="auto" w:fill="8DA9DB"/>
            <w:vAlign w:val="center"/>
          </w:tcPr>
          <w:p w14:paraId="18E7AF5A" w14:textId="77777777" w:rsidR="00904389" w:rsidRPr="0027440C" w:rsidRDefault="00904389" w:rsidP="00904389">
            <w:pPr>
              <w:jc w:val="center"/>
              <w:rPr>
                <w:rFonts w:ascii="Arial Narrow" w:hAnsi="Arial Narrow" w:cs="Arial"/>
                <w:sz w:val="22"/>
                <w:szCs w:val="22"/>
              </w:rPr>
            </w:pPr>
            <w:r w:rsidRPr="0027440C">
              <w:rPr>
                <w:rFonts w:ascii="Arial Narrow" w:hAnsi="Arial Narrow" w:cs="Arial"/>
                <w:b/>
                <w:bCs/>
                <w:sz w:val="22"/>
                <w:szCs w:val="22"/>
              </w:rPr>
              <w:t>FY2</w:t>
            </w:r>
            <w:r>
              <w:rPr>
                <w:rFonts w:ascii="Arial Narrow" w:hAnsi="Arial Narrow" w:cs="Arial"/>
                <w:b/>
                <w:bCs/>
                <w:sz w:val="22"/>
                <w:szCs w:val="22"/>
              </w:rPr>
              <w:t>3</w:t>
            </w:r>
            <w:r w:rsidRPr="0027440C">
              <w:rPr>
                <w:rFonts w:ascii="Arial Narrow" w:hAnsi="Arial Narrow" w:cs="Arial"/>
                <w:b/>
                <w:bCs/>
                <w:sz w:val="22"/>
                <w:szCs w:val="22"/>
              </w:rPr>
              <w:t xml:space="preserve"> YTD</w:t>
            </w:r>
            <w:r w:rsidRPr="0027440C">
              <w:rPr>
                <w:rStyle w:val="FootnoteReference"/>
                <w:rFonts w:ascii="Arial Narrow" w:hAnsi="Arial Narrow" w:cs="Arial"/>
                <w:b/>
                <w:bCs/>
                <w:sz w:val="22"/>
                <w:szCs w:val="22"/>
              </w:rPr>
              <w:footnoteReference w:id="24"/>
            </w:r>
          </w:p>
        </w:tc>
      </w:tr>
      <w:tr w:rsidR="007C423E" w:rsidRPr="0027440C" w14:paraId="54B01C27"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BFBFBF"/>
            <w:vAlign w:val="center"/>
          </w:tcPr>
          <w:p w14:paraId="03C38A49" w14:textId="77777777" w:rsidR="007C423E" w:rsidRPr="00175C22" w:rsidRDefault="007C423E" w:rsidP="007C423E">
            <w:pPr>
              <w:rPr>
                <w:rFonts w:ascii="Arial" w:hAnsi="Arial" w:cs="Arial"/>
                <w:b/>
                <w:bCs/>
                <w:sz w:val="22"/>
                <w:szCs w:val="22"/>
              </w:rPr>
            </w:pPr>
            <w:r w:rsidRPr="00175C22">
              <w:rPr>
                <w:rFonts w:ascii="Arial" w:hAnsi="Arial" w:cs="Arial"/>
                <w:b/>
                <w:bCs/>
                <w:sz w:val="22"/>
                <w:szCs w:val="22"/>
              </w:rPr>
              <w:t>Total MRI Scans</w:t>
            </w:r>
          </w:p>
        </w:tc>
        <w:tc>
          <w:tcPr>
            <w:tcW w:w="1641" w:type="dxa"/>
            <w:gridSpan w:val="2"/>
            <w:tcBorders>
              <w:top w:val="single" w:sz="4" w:space="0" w:color="auto"/>
              <w:left w:val="single" w:sz="4" w:space="0" w:color="auto"/>
              <w:bottom w:val="single" w:sz="4" w:space="0" w:color="auto"/>
            </w:tcBorders>
            <w:shd w:val="clear" w:color="auto" w:fill="BFBFBF"/>
            <w:vAlign w:val="center"/>
          </w:tcPr>
          <w:p w14:paraId="7F9CD580" w14:textId="77777777" w:rsidR="007C423E" w:rsidRPr="00175C22" w:rsidRDefault="00F46201" w:rsidP="007C423E">
            <w:pPr>
              <w:jc w:val="center"/>
              <w:rPr>
                <w:rFonts w:ascii="Arial Narrow" w:hAnsi="Arial Narrow" w:cs="Arial"/>
                <w:b/>
                <w:bCs/>
                <w:sz w:val="22"/>
                <w:szCs w:val="22"/>
              </w:rPr>
            </w:pPr>
            <w:r w:rsidRPr="00175C22">
              <w:rPr>
                <w:rFonts w:ascii="Arial Narrow" w:hAnsi="Arial Narrow" w:cs="Arial"/>
                <w:b/>
                <w:bCs/>
                <w:sz w:val="22"/>
                <w:szCs w:val="22"/>
              </w:rPr>
              <w:t>18,1</w:t>
            </w:r>
            <w:r w:rsidR="00AC5407" w:rsidRPr="00175C22">
              <w:rPr>
                <w:rFonts w:ascii="Arial Narrow" w:hAnsi="Arial Narrow" w:cs="Arial"/>
                <w:b/>
                <w:bCs/>
                <w:sz w:val="22"/>
                <w:szCs w:val="22"/>
              </w:rPr>
              <w:t>00</w:t>
            </w:r>
          </w:p>
        </w:tc>
        <w:tc>
          <w:tcPr>
            <w:tcW w:w="1641" w:type="dxa"/>
            <w:tcBorders>
              <w:top w:val="single" w:sz="4" w:space="0" w:color="auto"/>
              <w:bottom w:val="single" w:sz="4" w:space="0" w:color="auto"/>
            </w:tcBorders>
            <w:shd w:val="clear" w:color="auto" w:fill="BFBFBF"/>
          </w:tcPr>
          <w:p w14:paraId="3EB79E8A" w14:textId="77777777" w:rsidR="007C423E" w:rsidRPr="00175C22" w:rsidRDefault="00F46201" w:rsidP="007C423E">
            <w:pPr>
              <w:jc w:val="center"/>
              <w:rPr>
                <w:rFonts w:ascii="Arial Narrow" w:hAnsi="Arial Narrow" w:cs="Arial"/>
                <w:b/>
                <w:bCs/>
                <w:sz w:val="22"/>
                <w:szCs w:val="22"/>
              </w:rPr>
            </w:pPr>
            <w:r w:rsidRPr="00175C22">
              <w:rPr>
                <w:rFonts w:ascii="Arial Narrow" w:hAnsi="Arial Narrow" w:cs="Arial"/>
                <w:b/>
                <w:bCs/>
                <w:sz w:val="22"/>
                <w:szCs w:val="22"/>
              </w:rPr>
              <w:t>22</w:t>
            </w:r>
            <w:r w:rsidR="003063CC" w:rsidRPr="00175C22">
              <w:rPr>
                <w:rFonts w:ascii="Arial Narrow" w:hAnsi="Arial Narrow" w:cs="Arial"/>
                <w:b/>
                <w:bCs/>
                <w:sz w:val="22"/>
                <w:szCs w:val="22"/>
              </w:rPr>
              <w:t>,</w:t>
            </w:r>
            <w:r w:rsidRPr="00175C22">
              <w:rPr>
                <w:rFonts w:ascii="Arial Narrow" w:hAnsi="Arial Narrow" w:cs="Arial"/>
                <w:b/>
                <w:bCs/>
                <w:sz w:val="22"/>
                <w:szCs w:val="22"/>
              </w:rPr>
              <w:t>56</w:t>
            </w:r>
            <w:r w:rsidR="00AC5407" w:rsidRPr="00175C22">
              <w:rPr>
                <w:rFonts w:ascii="Arial Narrow" w:hAnsi="Arial Narrow" w:cs="Arial"/>
                <w:b/>
                <w:bCs/>
                <w:sz w:val="22"/>
                <w:szCs w:val="22"/>
              </w:rPr>
              <w:t>5</w:t>
            </w:r>
          </w:p>
        </w:tc>
        <w:tc>
          <w:tcPr>
            <w:tcW w:w="1641" w:type="dxa"/>
            <w:gridSpan w:val="2"/>
            <w:tcBorders>
              <w:top w:val="single" w:sz="4" w:space="0" w:color="auto"/>
              <w:bottom w:val="single" w:sz="4" w:space="0" w:color="auto"/>
            </w:tcBorders>
            <w:shd w:val="clear" w:color="auto" w:fill="BFBFBF"/>
          </w:tcPr>
          <w:p w14:paraId="2549E488" w14:textId="77777777" w:rsidR="007C423E" w:rsidRPr="00175C22" w:rsidRDefault="00F46201" w:rsidP="007C423E">
            <w:pPr>
              <w:jc w:val="center"/>
              <w:rPr>
                <w:rFonts w:ascii="Arial Narrow" w:hAnsi="Arial Narrow" w:cs="Arial"/>
                <w:b/>
                <w:bCs/>
                <w:sz w:val="22"/>
                <w:szCs w:val="22"/>
              </w:rPr>
            </w:pPr>
            <w:r w:rsidRPr="00175C22">
              <w:rPr>
                <w:rFonts w:ascii="Arial Narrow" w:hAnsi="Arial Narrow" w:cs="Arial"/>
                <w:b/>
                <w:bCs/>
                <w:sz w:val="22"/>
                <w:szCs w:val="22"/>
              </w:rPr>
              <w:t>2</w:t>
            </w:r>
            <w:r w:rsidR="00AC5407" w:rsidRPr="00175C22">
              <w:rPr>
                <w:rFonts w:ascii="Arial Narrow" w:hAnsi="Arial Narrow" w:cs="Arial"/>
                <w:b/>
                <w:bCs/>
                <w:sz w:val="22"/>
                <w:szCs w:val="22"/>
              </w:rPr>
              <w:t>3</w:t>
            </w:r>
            <w:r w:rsidR="003063CC" w:rsidRPr="00175C22">
              <w:rPr>
                <w:rFonts w:ascii="Arial Narrow" w:hAnsi="Arial Narrow" w:cs="Arial"/>
                <w:b/>
                <w:bCs/>
                <w:sz w:val="22"/>
                <w:szCs w:val="22"/>
              </w:rPr>
              <w:t>,</w:t>
            </w:r>
            <w:r w:rsidR="00AC5407" w:rsidRPr="00175C22">
              <w:rPr>
                <w:rFonts w:ascii="Arial Narrow" w:hAnsi="Arial Narrow" w:cs="Arial"/>
                <w:b/>
                <w:bCs/>
                <w:sz w:val="22"/>
                <w:szCs w:val="22"/>
              </w:rPr>
              <w:t>331</w:t>
            </w:r>
          </w:p>
        </w:tc>
        <w:tc>
          <w:tcPr>
            <w:tcW w:w="1642" w:type="dxa"/>
            <w:gridSpan w:val="2"/>
            <w:tcBorders>
              <w:top w:val="single" w:sz="4" w:space="0" w:color="auto"/>
              <w:bottom w:val="single" w:sz="4" w:space="0" w:color="auto"/>
              <w:right w:val="single" w:sz="4" w:space="0" w:color="auto"/>
            </w:tcBorders>
            <w:shd w:val="clear" w:color="auto" w:fill="BFBFBF"/>
          </w:tcPr>
          <w:p w14:paraId="1ED10B6D" w14:textId="77777777" w:rsidR="007C423E" w:rsidRPr="00175C22" w:rsidRDefault="00F46201" w:rsidP="007C423E">
            <w:pPr>
              <w:jc w:val="center"/>
              <w:rPr>
                <w:rFonts w:ascii="Arial Narrow" w:hAnsi="Arial Narrow" w:cs="Arial"/>
                <w:b/>
                <w:bCs/>
                <w:sz w:val="22"/>
                <w:szCs w:val="22"/>
              </w:rPr>
            </w:pPr>
            <w:r w:rsidRPr="00175C22">
              <w:rPr>
                <w:rFonts w:ascii="Arial Narrow" w:hAnsi="Arial Narrow" w:cs="Arial"/>
                <w:b/>
                <w:bCs/>
                <w:sz w:val="22"/>
                <w:szCs w:val="22"/>
              </w:rPr>
              <w:t>1</w:t>
            </w:r>
            <w:r w:rsidR="00AC5407" w:rsidRPr="00175C22">
              <w:rPr>
                <w:rFonts w:ascii="Arial Narrow" w:hAnsi="Arial Narrow" w:cs="Arial"/>
                <w:b/>
                <w:bCs/>
                <w:sz w:val="22"/>
                <w:szCs w:val="22"/>
              </w:rPr>
              <w:t>2</w:t>
            </w:r>
            <w:r w:rsidR="003063CC" w:rsidRPr="00175C22">
              <w:rPr>
                <w:rFonts w:ascii="Arial Narrow" w:hAnsi="Arial Narrow" w:cs="Arial"/>
                <w:b/>
                <w:bCs/>
                <w:sz w:val="22"/>
                <w:szCs w:val="22"/>
              </w:rPr>
              <w:t>,</w:t>
            </w:r>
            <w:r w:rsidR="00AC5407" w:rsidRPr="00175C22">
              <w:rPr>
                <w:rFonts w:ascii="Arial Narrow" w:hAnsi="Arial Narrow" w:cs="Arial"/>
                <w:b/>
                <w:bCs/>
                <w:sz w:val="22"/>
                <w:szCs w:val="22"/>
              </w:rPr>
              <w:t>304</w:t>
            </w:r>
          </w:p>
        </w:tc>
      </w:tr>
      <w:tr w:rsidR="00DD3D84" w:rsidRPr="0027440C" w14:paraId="20E4C57E" w14:textId="77777777" w:rsidTr="00DD3D84">
        <w:trPr>
          <w:cantSplit/>
          <w:trHeight w:val="20"/>
          <w:jc w:val="center"/>
        </w:trPr>
        <w:tc>
          <w:tcPr>
            <w:tcW w:w="278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0320053" w14:textId="77777777" w:rsidR="00DD3D84" w:rsidRPr="00175C22" w:rsidRDefault="00DD3D84" w:rsidP="00DD3D84">
            <w:pPr>
              <w:rPr>
                <w:rFonts w:ascii="Arial Narrow" w:hAnsi="Arial Narrow" w:cs="Arial"/>
                <w:b/>
                <w:bCs/>
                <w:sz w:val="22"/>
                <w:szCs w:val="22"/>
                <w:highlight w:val="green"/>
              </w:rPr>
            </w:pPr>
            <w:r w:rsidRPr="00175C22">
              <w:rPr>
                <w:rFonts w:ascii="Arial Narrow" w:hAnsi="Arial Narrow" w:cs="Arial"/>
                <w:b/>
                <w:bCs/>
                <w:sz w:val="22"/>
                <w:szCs w:val="22"/>
              </w:rPr>
              <w:t xml:space="preserve">Source of Origination </w:t>
            </w:r>
          </w:p>
        </w:tc>
        <w:tc>
          <w:tcPr>
            <w:tcW w:w="1620" w:type="dxa"/>
            <w:tcBorders>
              <w:top w:val="single" w:sz="4" w:space="0" w:color="auto"/>
              <w:left w:val="nil"/>
              <w:bottom w:val="single" w:sz="4" w:space="0" w:color="auto"/>
              <w:right w:val="nil"/>
            </w:tcBorders>
            <w:shd w:val="clear" w:color="auto" w:fill="D9E2F3" w:themeFill="accent1" w:themeFillTint="33"/>
          </w:tcPr>
          <w:p w14:paraId="294361D2" w14:textId="41D15BFB" w:rsidR="00DD3D84" w:rsidRPr="009F3C8E" w:rsidRDefault="00DD3D84" w:rsidP="00DD3D84">
            <w:pPr>
              <w:rPr>
                <w:rFonts w:ascii="Arial Narrow" w:hAnsi="Arial Narrow" w:cs="Arial"/>
                <w:sz w:val="22"/>
                <w:szCs w:val="22"/>
                <w:highlight w:val="green"/>
              </w:rPr>
            </w:pPr>
            <w:r w:rsidRPr="00CF41B4">
              <w:rPr>
                <w:rFonts w:ascii="Arial Narrow" w:hAnsi="Arial Narrow" w:cs="Arial"/>
                <w:color w:val="D9E2F3"/>
                <w:sz w:val="22"/>
                <w:szCs w:val="22"/>
              </w:rPr>
              <w:t>Blank</w:t>
            </w:r>
          </w:p>
        </w:tc>
        <w:tc>
          <w:tcPr>
            <w:tcW w:w="1710" w:type="dxa"/>
            <w:gridSpan w:val="3"/>
            <w:tcBorders>
              <w:top w:val="single" w:sz="4" w:space="0" w:color="auto"/>
              <w:left w:val="nil"/>
              <w:bottom w:val="single" w:sz="4" w:space="0" w:color="auto"/>
              <w:right w:val="nil"/>
            </w:tcBorders>
            <w:shd w:val="clear" w:color="auto" w:fill="D9E2F3" w:themeFill="accent1" w:themeFillTint="33"/>
          </w:tcPr>
          <w:p w14:paraId="190C7DD3" w14:textId="35D1E61F" w:rsidR="00DD3D84" w:rsidRPr="00175C22" w:rsidRDefault="00DD3D84" w:rsidP="00DD3D84">
            <w:pPr>
              <w:rPr>
                <w:rFonts w:ascii="Arial Narrow" w:hAnsi="Arial Narrow" w:cs="Arial"/>
                <w:b/>
                <w:bCs/>
                <w:sz w:val="22"/>
                <w:szCs w:val="22"/>
                <w:highlight w:val="green"/>
              </w:rPr>
            </w:pPr>
            <w:r w:rsidRPr="00CF41B4">
              <w:rPr>
                <w:rFonts w:ascii="Arial Narrow" w:hAnsi="Arial Narrow" w:cs="Arial"/>
                <w:color w:val="D9E2F3"/>
                <w:sz w:val="22"/>
                <w:szCs w:val="22"/>
              </w:rPr>
              <w:t>blank</w:t>
            </w:r>
          </w:p>
        </w:tc>
        <w:tc>
          <w:tcPr>
            <w:tcW w:w="1620" w:type="dxa"/>
            <w:gridSpan w:val="2"/>
            <w:tcBorders>
              <w:top w:val="single" w:sz="4" w:space="0" w:color="auto"/>
              <w:left w:val="nil"/>
              <w:bottom w:val="single" w:sz="4" w:space="0" w:color="auto"/>
              <w:right w:val="nil"/>
            </w:tcBorders>
            <w:shd w:val="clear" w:color="auto" w:fill="D9E2F3" w:themeFill="accent1" w:themeFillTint="33"/>
          </w:tcPr>
          <w:p w14:paraId="0F43B48A" w14:textId="5075F4C0" w:rsidR="00DD3D84" w:rsidRPr="00175C22" w:rsidRDefault="00DD3D84" w:rsidP="00DD3D84">
            <w:pPr>
              <w:rPr>
                <w:rFonts w:ascii="Arial Narrow" w:hAnsi="Arial Narrow" w:cs="Arial"/>
                <w:b/>
                <w:bCs/>
                <w:sz w:val="22"/>
                <w:szCs w:val="22"/>
                <w:highlight w:val="green"/>
              </w:rPr>
            </w:pPr>
            <w:r w:rsidRPr="00CF41B4">
              <w:rPr>
                <w:rFonts w:ascii="Arial Narrow" w:hAnsi="Arial Narrow" w:cs="Arial"/>
                <w:color w:val="D9E2F3"/>
                <w:sz w:val="22"/>
                <w:szCs w:val="22"/>
              </w:rPr>
              <w:t>blank</w:t>
            </w:r>
          </w:p>
        </w:tc>
        <w:tc>
          <w:tcPr>
            <w:tcW w:w="1615" w:type="dxa"/>
            <w:tcBorders>
              <w:top w:val="single" w:sz="4" w:space="0" w:color="auto"/>
              <w:left w:val="nil"/>
              <w:bottom w:val="single" w:sz="4" w:space="0" w:color="auto"/>
              <w:right w:val="single" w:sz="4" w:space="0" w:color="auto"/>
            </w:tcBorders>
            <w:shd w:val="clear" w:color="auto" w:fill="D9E2F3" w:themeFill="accent1" w:themeFillTint="33"/>
          </w:tcPr>
          <w:p w14:paraId="0334EFEB" w14:textId="583B3A26" w:rsidR="00DD3D84" w:rsidRPr="00175C22" w:rsidRDefault="00DD3D84" w:rsidP="00DD3D84">
            <w:pPr>
              <w:rPr>
                <w:rFonts w:ascii="Arial Narrow" w:hAnsi="Arial Narrow" w:cs="Arial"/>
                <w:b/>
                <w:bCs/>
                <w:sz w:val="22"/>
                <w:szCs w:val="22"/>
                <w:highlight w:val="green"/>
              </w:rPr>
            </w:pPr>
            <w:r w:rsidRPr="00CF41B4">
              <w:rPr>
                <w:rFonts w:ascii="Arial Narrow" w:hAnsi="Arial Narrow" w:cs="Arial"/>
                <w:color w:val="D9E2F3"/>
                <w:sz w:val="22"/>
                <w:szCs w:val="22"/>
              </w:rPr>
              <w:t>blank</w:t>
            </w:r>
          </w:p>
        </w:tc>
      </w:tr>
      <w:tr w:rsidR="00175C22" w:rsidRPr="0027440C" w14:paraId="474DB879"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3793252" w14:textId="77777777" w:rsidR="00175C22" w:rsidRPr="00175C22" w:rsidRDefault="00175C22" w:rsidP="00175C22">
            <w:pPr>
              <w:rPr>
                <w:rFonts w:ascii="Arial" w:hAnsi="Arial" w:cs="Arial"/>
                <w:b/>
                <w:bCs/>
                <w:sz w:val="22"/>
                <w:szCs w:val="22"/>
              </w:rPr>
            </w:pPr>
            <w:r w:rsidRPr="00175C22">
              <w:rPr>
                <w:rFonts w:ascii="Arial" w:hAnsi="Arial" w:cs="Arial"/>
                <w:sz w:val="22"/>
                <w:szCs w:val="22"/>
              </w:rPr>
              <w:t>Inpatient MRI Scans</w:t>
            </w:r>
            <w:r w:rsidRPr="00175C22">
              <w:rPr>
                <w:rStyle w:val="FootnoteReference"/>
                <w:rFonts w:ascii="Arial" w:hAnsi="Arial" w:cs="Arial"/>
                <w:sz w:val="22"/>
                <w:szCs w:val="22"/>
              </w:rPr>
              <w:footnoteReference w:id="25"/>
            </w:r>
          </w:p>
        </w:tc>
        <w:tc>
          <w:tcPr>
            <w:tcW w:w="1641" w:type="dxa"/>
            <w:gridSpan w:val="2"/>
            <w:tcBorders>
              <w:top w:val="single" w:sz="4" w:space="0" w:color="auto"/>
              <w:left w:val="single" w:sz="4" w:space="0" w:color="auto"/>
              <w:bottom w:val="single" w:sz="4" w:space="0" w:color="auto"/>
            </w:tcBorders>
            <w:shd w:val="clear" w:color="auto" w:fill="auto"/>
          </w:tcPr>
          <w:p w14:paraId="5B8C191A"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4,113</w:t>
            </w:r>
          </w:p>
        </w:tc>
        <w:tc>
          <w:tcPr>
            <w:tcW w:w="1641" w:type="dxa"/>
            <w:tcBorders>
              <w:top w:val="single" w:sz="4" w:space="0" w:color="auto"/>
              <w:bottom w:val="single" w:sz="4" w:space="0" w:color="auto"/>
            </w:tcBorders>
            <w:shd w:val="clear" w:color="auto" w:fill="auto"/>
          </w:tcPr>
          <w:p w14:paraId="28ABE5D2"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4,837</w:t>
            </w:r>
          </w:p>
        </w:tc>
        <w:tc>
          <w:tcPr>
            <w:tcW w:w="1641" w:type="dxa"/>
            <w:gridSpan w:val="2"/>
            <w:tcBorders>
              <w:top w:val="single" w:sz="4" w:space="0" w:color="auto"/>
              <w:bottom w:val="single" w:sz="4" w:space="0" w:color="auto"/>
            </w:tcBorders>
            <w:shd w:val="clear" w:color="auto" w:fill="auto"/>
          </w:tcPr>
          <w:p w14:paraId="659C67ED"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4,913</w:t>
            </w:r>
          </w:p>
        </w:tc>
        <w:tc>
          <w:tcPr>
            <w:tcW w:w="1642" w:type="dxa"/>
            <w:gridSpan w:val="2"/>
            <w:tcBorders>
              <w:top w:val="single" w:sz="4" w:space="0" w:color="auto"/>
              <w:bottom w:val="single" w:sz="4" w:space="0" w:color="auto"/>
              <w:right w:val="single" w:sz="4" w:space="0" w:color="auto"/>
            </w:tcBorders>
            <w:shd w:val="clear" w:color="auto" w:fill="auto"/>
          </w:tcPr>
          <w:p w14:paraId="3C4BE99B"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2,424</w:t>
            </w:r>
          </w:p>
        </w:tc>
      </w:tr>
      <w:tr w:rsidR="00175C22" w:rsidRPr="0027440C" w14:paraId="6DDC3B90"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BAAD9A5" w14:textId="77777777" w:rsidR="00175C22" w:rsidRPr="00175C22" w:rsidRDefault="00175C22" w:rsidP="00175C22">
            <w:pPr>
              <w:rPr>
                <w:rFonts w:ascii="Arial" w:hAnsi="Arial" w:cs="Arial"/>
                <w:b/>
                <w:bCs/>
                <w:sz w:val="22"/>
                <w:szCs w:val="22"/>
              </w:rPr>
            </w:pPr>
            <w:r w:rsidRPr="00175C22">
              <w:rPr>
                <w:rFonts w:ascii="Arial" w:hAnsi="Arial" w:cs="Arial"/>
                <w:sz w:val="22"/>
                <w:szCs w:val="22"/>
              </w:rPr>
              <w:t>Outpatient MRI Scans</w:t>
            </w:r>
          </w:p>
        </w:tc>
        <w:tc>
          <w:tcPr>
            <w:tcW w:w="1641" w:type="dxa"/>
            <w:gridSpan w:val="2"/>
            <w:tcBorders>
              <w:top w:val="single" w:sz="4" w:space="0" w:color="auto"/>
              <w:left w:val="single" w:sz="4" w:space="0" w:color="auto"/>
              <w:bottom w:val="single" w:sz="4" w:space="0" w:color="auto"/>
            </w:tcBorders>
            <w:shd w:val="clear" w:color="auto" w:fill="auto"/>
          </w:tcPr>
          <w:p w14:paraId="346C40B2"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13,987</w:t>
            </w:r>
          </w:p>
        </w:tc>
        <w:tc>
          <w:tcPr>
            <w:tcW w:w="1641" w:type="dxa"/>
            <w:tcBorders>
              <w:top w:val="single" w:sz="4" w:space="0" w:color="auto"/>
              <w:bottom w:val="single" w:sz="4" w:space="0" w:color="auto"/>
            </w:tcBorders>
            <w:shd w:val="clear" w:color="auto" w:fill="auto"/>
          </w:tcPr>
          <w:p w14:paraId="37FAB785"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17,728</w:t>
            </w:r>
          </w:p>
        </w:tc>
        <w:tc>
          <w:tcPr>
            <w:tcW w:w="1641" w:type="dxa"/>
            <w:gridSpan w:val="2"/>
            <w:tcBorders>
              <w:top w:val="single" w:sz="4" w:space="0" w:color="auto"/>
              <w:bottom w:val="single" w:sz="4" w:space="0" w:color="auto"/>
            </w:tcBorders>
            <w:shd w:val="clear" w:color="auto" w:fill="auto"/>
          </w:tcPr>
          <w:p w14:paraId="285F2E67"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18,418</w:t>
            </w:r>
          </w:p>
        </w:tc>
        <w:tc>
          <w:tcPr>
            <w:tcW w:w="1642" w:type="dxa"/>
            <w:gridSpan w:val="2"/>
            <w:tcBorders>
              <w:top w:val="single" w:sz="4" w:space="0" w:color="auto"/>
              <w:bottom w:val="single" w:sz="4" w:space="0" w:color="auto"/>
              <w:right w:val="single" w:sz="4" w:space="0" w:color="auto"/>
            </w:tcBorders>
            <w:shd w:val="clear" w:color="auto" w:fill="auto"/>
          </w:tcPr>
          <w:p w14:paraId="6683EB06" w14:textId="77777777" w:rsidR="00175C22" w:rsidRPr="00175C22" w:rsidRDefault="00175C22" w:rsidP="00175C22">
            <w:pPr>
              <w:jc w:val="center"/>
              <w:rPr>
                <w:rFonts w:ascii="Arial Narrow" w:hAnsi="Arial Narrow" w:cs="Arial"/>
                <w:sz w:val="22"/>
                <w:szCs w:val="22"/>
              </w:rPr>
            </w:pPr>
            <w:r w:rsidRPr="00175C22">
              <w:rPr>
                <w:rFonts w:ascii="Arial Narrow" w:hAnsi="Arial Narrow" w:cs="Arial"/>
                <w:sz w:val="22"/>
                <w:szCs w:val="22"/>
              </w:rPr>
              <w:t>9,880</w:t>
            </w:r>
          </w:p>
        </w:tc>
      </w:tr>
      <w:tr w:rsidR="00DD3D84" w:rsidRPr="0027440C" w14:paraId="77163137" w14:textId="77777777" w:rsidTr="00DD3D84">
        <w:trPr>
          <w:cantSplit/>
          <w:trHeight w:val="20"/>
          <w:jc w:val="center"/>
        </w:trPr>
        <w:tc>
          <w:tcPr>
            <w:tcW w:w="278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B114DF8" w14:textId="77777777" w:rsidR="00DD3D84" w:rsidRPr="00175C22" w:rsidRDefault="00DD3D84" w:rsidP="00DD3D84">
            <w:pPr>
              <w:rPr>
                <w:rFonts w:ascii="Arial Narrow" w:hAnsi="Arial Narrow" w:cs="Arial"/>
                <w:b/>
                <w:bCs/>
                <w:sz w:val="22"/>
                <w:szCs w:val="22"/>
                <w:highlight w:val="green"/>
              </w:rPr>
            </w:pPr>
            <w:r w:rsidRPr="00175C22">
              <w:rPr>
                <w:rFonts w:ascii="Arial Narrow" w:hAnsi="Arial Narrow" w:cs="Arial"/>
                <w:b/>
                <w:bCs/>
                <w:sz w:val="22"/>
                <w:szCs w:val="22"/>
              </w:rPr>
              <w:t>Area of Body Scanned</w:t>
            </w:r>
          </w:p>
        </w:tc>
        <w:tc>
          <w:tcPr>
            <w:tcW w:w="1620" w:type="dxa"/>
            <w:tcBorders>
              <w:top w:val="single" w:sz="4" w:space="0" w:color="auto"/>
              <w:left w:val="nil"/>
              <w:bottom w:val="single" w:sz="4" w:space="0" w:color="auto"/>
              <w:right w:val="nil"/>
            </w:tcBorders>
            <w:shd w:val="clear" w:color="auto" w:fill="D9E2F3" w:themeFill="accent1" w:themeFillTint="33"/>
          </w:tcPr>
          <w:p w14:paraId="41E901F4" w14:textId="3ECBD6C8" w:rsidR="00DD3D84" w:rsidRPr="00175C22" w:rsidRDefault="00DD3D84" w:rsidP="00DD3D84">
            <w:pPr>
              <w:rPr>
                <w:rFonts w:ascii="Arial Narrow" w:hAnsi="Arial Narrow" w:cs="Arial"/>
                <w:b/>
                <w:bCs/>
                <w:sz w:val="22"/>
                <w:szCs w:val="22"/>
                <w:highlight w:val="green"/>
              </w:rPr>
            </w:pPr>
            <w:r w:rsidRPr="00411A69">
              <w:rPr>
                <w:rFonts w:ascii="Arial Narrow" w:hAnsi="Arial Narrow" w:cs="Arial"/>
                <w:color w:val="D9E2F3"/>
                <w:sz w:val="22"/>
                <w:szCs w:val="22"/>
              </w:rPr>
              <w:t>blank</w:t>
            </w:r>
          </w:p>
        </w:tc>
        <w:tc>
          <w:tcPr>
            <w:tcW w:w="1710" w:type="dxa"/>
            <w:gridSpan w:val="3"/>
            <w:tcBorders>
              <w:top w:val="single" w:sz="4" w:space="0" w:color="auto"/>
              <w:left w:val="nil"/>
              <w:bottom w:val="single" w:sz="4" w:space="0" w:color="auto"/>
              <w:right w:val="nil"/>
            </w:tcBorders>
            <w:shd w:val="clear" w:color="auto" w:fill="D9E2F3" w:themeFill="accent1" w:themeFillTint="33"/>
          </w:tcPr>
          <w:p w14:paraId="22FCC5D5" w14:textId="2CFB8A34" w:rsidR="00DD3D84" w:rsidRPr="00175C22" w:rsidRDefault="00DD3D84" w:rsidP="00DD3D84">
            <w:pPr>
              <w:rPr>
                <w:rFonts w:ascii="Arial Narrow" w:hAnsi="Arial Narrow" w:cs="Arial"/>
                <w:b/>
                <w:bCs/>
                <w:sz w:val="22"/>
                <w:szCs w:val="22"/>
                <w:highlight w:val="green"/>
              </w:rPr>
            </w:pPr>
            <w:r w:rsidRPr="00411A69">
              <w:rPr>
                <w:rFonts w:ascii="Arial Narrow" w:hAnsi="Arial Narrow" w:cs="Arial"/>
                <w:color w:val="D9E2F3"/>
                <w:sz w:val="22"/>
                <w:szCs w:val="22"/>
              </w:rPr>
              <w:t>blank</w:t>
            </w:r>
          </w:p>
        </w:tc>
        <w:tc>
          <w:tcPr>
            <w:tcW w:w="1620" w:type="dxa"/>
            <w:gridSpan w:val="2"/>
            <w:tcBorders>
              <w:top w:val="single" w:sz="4" w:space="0" w:color="auto"/>
              <w:left w:val="nil"/>
              <w:bottom w:val="single" w:sz="4" w:space="0" w:color="auto"/>
              <w:right w:val="nil"/>
            </w:tcBorders>
            <w:shd w:val="clear" w:color="auto" w:fill="D9E2F3" w:themeFill="accent1" w:themeFillTint="33"/>
          </w:tcPr>
          <w:p w14:paraId="563E4E33" w14:textId="48F1B4AC" w:rsidR="00DD3D84" w:rsidRPr="00175C22" w:rsidRDefault="00DD3D84" w:rsidP="00DD3D84">
            <w:pPr>
              <w:rPr>
                <w:rFonts w:ascii="Arial Narrow" w:hAnsi="Arial Narrow" w:cs="Arial"/>
                <w:b/>
                <w:bCs/>
                <w:sz w:val="22"/>
                <w:szCs w:val="22"/>
                <w:highlight w:val="green"/>
              </w:rPr>
            </w:pPr>
            <w:r w:rsidRPr="00411A69">
              <w:rPr>
                <w:rFonts w:ascii="Arial Narrow" w:hAnsi="Arial Narrow" w:cs="Arial"/>
                <w:color w:val="D9E2F3"/>
                <w:sz w:val="22"/>
                <w:szCs w:val="22"/>
              </w:rPr>
              <w:t>blank</w:t>
            </w:r>
          </w:p>
        </w:tc>
        <w:tc>
          <w:tcPr>
            <w:tcW w:w="1615" w:type="dxa"/>
            <w:tcBorders>
              <w:top w:val="single" w:sz="4" w:space="0" w:color="auto"/>
              <w:left w:val="nil"/>
              <w:bottom w:val="single" w:sz="4" w:space="0" w:color="auto"/>
              <w:right w:val="single" w:sz="4" w:space="0" w:color="auto"/>
            </w:tcBorders>
            <w:shd w:val="clear" w:color="auto" w:fill="D9E2F3" w:themeFill="accent1" w:themeFillTint="33"/>
          </w:tcPr>
          <w:p w14:paraId="34E60337" w14:textId="7BAD04C5" w:rsidR="00DD3D84" w:rsidRPr="00175C22" w:rsidRDefault="00DD3D84" w:rsidP="00DD3D84">
            <w:pPr>
              <w:rPr>
                <w:rFonts w:ascii="Arial Narrow" w:hAnsi="Arial Narrow" w:cs="Arial"/>
                <w:b/>
                <w:bCs/>
                <w:sz w:val="22"/>
                <w:szCs w:val="22"/>
                <w:highlight w:val="green"/>
              </w:rPr>
            </w:pPr>
            <w:r w:rsidRPr="00411A69">
              <w:rPr>
                <w:rFonts w:ascii="Arial Narrow" w:hAnsi="Arial Narrow" w:cs="Arial"/>
                <w:color w:val="D9E2F3"/>
                <w:sz w:val="22"/>
                <w:szCs w:val="22"/>
              </w:rPr>
              <w:t>blank</w:t>
            </w:r>
          </w:p>
        </w:tc>
      </w:tr>
      <w:tr w:rsidR="00B420F1" w:rsidRPr="0027440C" w14:paraId="6DFBEE6E"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96AFBD3" w14:textId="77777777" w:rsidR="00B420F1" w:rsidRPr="00175C22" w:rsidRDefault="00B420F1" w:rsidP="007C423E">
            <w:pPr>
              <w:rPr>
                <w:rFonts w:ascii="Arial" w:hAnsi="Arial" w:cs="Arial"/>
                <w:sz w:val="22"/>
                <w:szCs w:val="22"/>
              </w:rPr>
            </w:pPr>
            <w:r w:rsidRPr="00175C22">
              <w:rPr>
                <w:rFonts w:ascii="Arial" w:hAnsi="Arial" w:cs="Arial"/>
                <w:sz w:val="22"/>
                <w:szCs w:val="22"/>
              </w:rPr>
              <w:t>Face, Head, Neck, Brain</w:t>
            </w:r>
          </w:p>
        </w:tc>
        <w:tc>
          <w:tcPr>
            <w:tcW w:w="1641" w:type="dxa"/>
            <w:gridSpan w:val="2"/>
            <w:tcBorders>
              <w:top w:val="single" w:sz="4" w:space="0" w:color="auto"/>
              <w:left w:val="single" w:sz="4" w:space="0" w:color="auto"/>
              <w:bottom w:val="single" w:sz="4" w:space="0" w:color="auto"/>
            </w:tcBorders>
            <w:shd w:val="clear" w:color="auto" w:fill="auto"/>
          </w:tcPr>
          <w:p w14:paraId="084B9669"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8,40</w:t>
            </w:r>
            <w:r w:rsidR="00AC5407" w:rsidRPr="00175C22">
              <w:rPr>
                <w:rFonts w:ascii="Arial Narrow" w:hAnsi="Arial Narrow" w:cs="Arial"/>
                <w:sz w:val="22"/>
                <w:szCs w:val="22"/>
              </w:rPr>
              <w:t>4</w:t>
            </w:r>
          </w:p>
        </w:tc>
        <w:tc>
          <w:tcPr>
            <w:tcW w:w="1641" w:type="dxa"/>
            <w:tcBorders>
              <w:top w:val="single" w:sz="4" w:space="0" w:color="auto"/>
              <w:bottom w:val="single" w:sz="4" w:space="0" w:color="auto"/>
            </w:tcBorders>
            <w:shd w:val="clear" w:color="auto" w:fill="auto"/>
          </w:tcPr>
          <w:p w14:paraId="56D5FBEE"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10,0</w:t>
            </w:r>
            <w:r w:rsidR="00AC5407" w:rsidRPr="00175C22">
              <w:rPr>
                <w:rFonts w:ascii="Arial Narrow" w:hAnsi="Arial Narrow" w:cs="Arial"/>
                <w:sz w:val="22"/>
                <w:szCs w:val="22"/>
              </w:rPr>
              <w:t>30</w:t>
            </w:r>
          </w:p>
        </w:tc>
        <w:tc>
          <w:tcPr>
            <w:tcW w:w="1641" w:type="dxa"/>
            <w:gridSpan w:val="2"/>
            <w:tcBorders>
              <w:top w:val="single" w:sz="4" w:space="0" w:color="auto"/>
              <w:bottom w:val="single" w:sz="4" w:space="0" w:color="auto"/>
            </w:tcBorders>
            <w:shd w:val="clear" w:color="auto" w:fill="auto"/>
          </w:tcPr>
          <w:p w14:paraId="6A2EC5BB"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10,620</w:t>
            </w:r>
          </w:p>
        </w:tc>
        <w:tc>
          <w:tcPr>
            <w:tcW w:w="1642" w:type="dxa"/>
            <w:gridSpan w:val="2"/>
            <w:tcBorders>
              <w:top w:val="single" w:sz="4" w:space="0" w:color="auto"/>
              <w:bottom w:val="single" w:sz="4" w:space="0" w:color="auto"/>
              <w:right w:val="single" w:sz="4" w:space="0" w:color="auto"/>
            </w:tcBorders>
            <w:shd w:val="clear" w:color="auto" w:fill="auto"/>
          </w:tcPr>
          <w:p w14:paraId="1F6482D5" w14:textId="77777777" w:rsidR="00B420F1" w:rsidRPr="00175C22" w:rsidRDefault="005243CF" w:rsidP="007C423E">
            <w:pPr>
              <w:jc w:val="center"/>
              <w:rPr>
                <w:rFonts w:ascii="Arial Narrow" w:hAnsi="Arial Narrow" w:cs="Arial"/>
                <w:sz w:val="22"/>
                <w:szCs w:val="22"/>
                <w:highlight w:val="green"/>
              </w:rPr>
            </w:pPr>
            <w:r w:rsidRPr="00175C22">
              <w:rPr>
                <w:rFonts w:ascii="Arial Narrow" w:hAnsi="Arial Narrow" w:cs="Arial"/>
                <w:sz w:val="22"/>
                <w:szCs w:val="22"/>
              </w:rPr>
              <w:t>5,270</w:t>
            </w:r>
          </w:p>
        </w:tc>
      </w:tr>
      <w:tr w:rsidR="00B420F1" w:rsidRPr="0027440C" w14:paraId="3F5010CC"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4F6F5FB" w14:textId="77777777" w:rsidR="00B420F1" w:rsidRPr="00175C22" w:rsidRDefault="00B420F1" w:rsidP="007C423E">
            <w:pPr>
              <w:rPr>
                <w:rFonts w:ascii="Arial" w:hAnsi="Arial" w:cs="Arial"/>
                <w:sz w:val="22"/>
                <w:szCs w:val="22"/>
              </w:rPr>
            </w:pPr>
            <w:r w:rsidRPr="00175C22">
              <w:rPr>
                <w:rFonts w:ascii="Arial" w:hAnsi="Arial" w:cs="Arial"/>
                <w:sz w:val="22"/>
                <w:szCs w:val="22"/>
              </w:rPr>
              <w:t>Spine</w:t>
            </w:r>
          </w:p>
        </w:tc>
        <w:tc>
          <w:tcPr>
            <w:tcW w:w="1641" w:type="dxa"/>
            <w:gridSpan w:val="2"/>
            <w:tcBorders>
              <w:top w:val="single" w:sz="4" w:space="0" w:color="auto"/>
              <w:left w:val="single" w:sz="4" w:space="0" w:color="auto"/>
              <w:bottom w:val="single" w:sz="4" w:space="0" w:color="auto"/>
            </w:tcBorders>
            <w:shd w:val="clear" w:color="auto" w:fill="auto"/>
          </w:tcPr>
          <w:p w14:paraId="4147A07C"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4,49</w:t>
            </w:r>
            <w:r w:rsidR="00AC5407" w:rsidRPr="00175C22">
              <w:rPr>
                <w:rFonts w:ascii="Arial Narrow" w:hAnsi="Arial Narrow" w:cs="Arial"/>
                <w:sz w:val="22"/>
                <w:szCs w:val="22"/>
              </w:rPr>
              <w:t>9</w:t>
            </w:r>
          </w:p>
        </w:tc>
        <w:tc>
          <w:tcPr>
            <w:tcW w:w="1641" w:type="dxa"/>
            <w:tcBorders>
              <w:top w:val="single" w:sz="4" w:space="0" w:color="auto"/>
              <w:bottom w:val="single" w:sz="4" w:space="0" w:color="auto"/>
            </w:tcBorders>
            <w:shd w:val="clear" w:color="auto" w:fill="auto"/>
          </w:tcPr>
          <w:p w14:paraId="73E48A16"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5,830</w:t>
            </w:r>
          </w:p>
        </w:tc>
        <w:tc>
          <w:tcPr>
            <w:tcW w:w="1641" w:type="dxa"/>
            <w:gridSpan w:val="2"/>
            <w:tcBorders>
              <w:top w:val="single" w:sz="4" w:space="0" w:color="auto"/>
              <w:bottom w:val="single" w:sz="4" w:space="0" w:color="auto"/>
            </w:tcBorders>
            <w:shd w:val="clear" w:color="auto" w:fill="auto"/>
          </w:tcPr>
          <w:p w14:paraId="2192746A"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5,946</w:t>
            </w:r>
          </w:p>
        </w:tc>
        <w:tc>
          <w:tcPr>
            <w:tcW w:w="1642" w:type="dxa"/>
            <w:gridSpan w:val="2"/>
            <w:tcBorders>
              <w:top w:val="single" w:sz="4" w:space="0" w:color="auto"/>
              <w:bottom w:val="single" w:sz="4" w:space="0" w:color="auto"/>
              <w:right w:val="single" w:sz="4" w:space="0" w:color="auto"/>
            </w:tcBorders>
            <w:shd w:val="clear" w:color="auto" w:fill="auto"/>
          </w:tcPr>
          <w:p w14:paraId="0A88DB41"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3,29</w:t>
            </w:r>
            <w:r w:rsidR="0078704A" w:rsidRPr="00175C22">
              <w:rPr>
                <w:rFonts w:ascii="Arial Narrow" w:hAnsi="Arial Narrow" w:cs="Arial"/>
                <w:sz w:val="22"/>
                <w:szCs w:val="22"/>
              </w:rPr>
              <w:t>6</w:t>
            </w:r>
          </w:p>
        </w:tc>
      </w:tr>
      <w:tr w:rsidR="00B420F1" w:rsidRPr="0027440C" w14:paraId="71BC1D02"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DA1472F" w14:textId="77777777" w:rsidR="00B420F1" w:rsidRPr="00175C22" w:rsidRDefault="00B420F1" w:rsidP="007C423E">
            <w:pPr>
              <w:rPr>
                <w:rFonts w:ascii="Arial" w:hAnsi="Arial" w:cs="Arial"/>
                <w:sz w:val="22"/>
                <w:szCs w:val="22"/>
              </w:rPr>
            </w:pPr>
            <w:r w:rsidRPr="00175C22">
              <w:rPr>
                <w:rFonts w:ascii="Arial" w:hAnsi="Arial" w:cs="Arial"/>
                <w:sz w:val="22"/>
                <w:szCs w:val="22"/>
              </w:rPr>
              <w:t>Extremities</w:t>
            </w:r>
          </w:p>
        </w:tc>
        <w:tc>
          <w:tcPr>
            <w:tcW w:w="1641" w:type="dxa"/>
            <w:gridSpan w:val="2"/>
            <w:tcBorders>
              <w:top w:val="single" w:sz="4" w:space="0" w:color="auto"/>
              <w:left w:val="single" w:sz="4" w:space="0" w:color="auto"/>
              <w:bottom w:val="single" w:sz="4" w:space="0" w:color="auto"/>
            </w:tcBorders>
            <w:shd w:val="clear" w:color="auto" w:fill="auto"/>
          </w:tcPr>
          <w:p w14:paraId="2F34D78D"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2,15</w:t>
            </w:r>
            <w:r w:rsidR="00AC5407" w:rsidRPr="00175C22">
              <w:rPr>
                <w:rFonts w:ascii="Arial Narrow" w:hAnsi="Arial Narrow" w:cs="Arial"/>
                <w:sz w:val="22"/>
                <w:szCs w:val="22"/>
              </w:rPr>
              <w:t>4</w:t>
            </w:r>
          </w:p>
        </w:tc>
        <w:tc>
          <w:tcPr>
            <w:tcW w:w="1641" w:type="dxa"/>
            <w:tcBorders>
              <w:top w:val="single" w:sz="4" w:space="0" w:color="auto"/>
              <w:bottom w:val="single" w:sz="4" w:space="0" w:color="auto"/>
            </w:tcBorders>
            <w:shd w:val="clear" w:color="auto" w:fill="auto"/>
          </w:tcPr>
          <w:p w14:paraId="193E1145"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2,540</w:t>
            </w:r>
          </w:p>
        </w:tc>
        <w:tc>
          <w:tcPr>
            <w:tcW w:w="1641" w:type="dxa"/>
            <w:gridSpan w:val="2"/>
            <w:tcBorders>
              <w:top w:val="single" w:sz="4" w:space="0" w:color="auto"/>
              <w:bottom w:val="single" w:sz="4" w:space="0" w:color="auto"/>
            </w:tcBorders>
            <w:shd w:val="clear" w:color="auto" w:fill="auto"/>
          </w:tcPr>
          <w:p w14:paraId="7D293DC2"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2,641</w:t>
            </w:r>
          </w:p>
        </w:tc>
        <w:tc>
          <w:tcPr>
            <w:tcW w:w="1642" w:type="dxa"/>
            <w:gridSpan w:val="2"/>
            <w:tcBorders>
              <w:top w:val="single" w:sz="4" w:space="0" w:color="auto"/>
              <w:bottom w:val="single" w:sz="4" w:space="0" w:color="auto"/>
              <w:right w:val="single" w:sz="4" w:space="0" w:color="auto"/>
            </w:tcBorders>
            <w:shd w:val="clear" w:color="auto" w:fill="auto"/>
          </w:tcPr>
          <w:p w14:paraId="3233366F"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1,55</w:t>
            </w:r>
            <w:r w:rsidR="0078704A" w:rsidRPr="00175C22">
              <w:rPr>
                <w:rFonts w:ascii="Arial Narrow" w:hAnsi="Arial Narrow" w:cs="Arial"/>
                <w:sz w:val="22"/>
                <w:szCs w:val="22"/>
              </w:rPr>
              <w:t>3</w:t>
            </w:r>
          </w:p>
        </w:tc>
      </w:tr>
      <w:tr w:rsidR="00B420F1" w:rsidRPr="0027440C" w14:paraId="715A3C37"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8B1CA04" w14:textId="77777777" w:rsidR="00B420F1" w:rsidRPr="00175C22" w:rsidRDefault="00B420F1" w:rsidP="007C423E">
            <w:pPr>
              <w:rPr>
                <w:rFonts w:ascii="Arial" w:hAnsi="Arial" w:cs="Arial"/>
                <w:sz w:val="22"/>
                <w:szCs w:val="22"/>
              </w:rPr>
            </w:pPr>
            <w:r w:rsidRPr="00175C22">
              <w:rPr>
                <w:rFonts w:ascii="Arial" w:hAnsi="Arial" w:cs="Arial"/>
                <w:sz w:val="22"/>
                <w:szCs w:val="22"/>
              </w:rPr>
              <w:t>Abdomen</w:t>
            </w:r>
          </w:p>
        </w:tc>
        <w:tc>
          <w:tcPr>
            <w:tcW w:w="1641" w:type="dxa"/>
            <w:gridSpan w:val="2"/>
            <w:tcBorders>
              <w:top w:val="single" w:sz="4" w:space="0" w:color="auto"/>
              <w:left w:val="single" w:sz="4" w:space="0" w:color="auto"/>
              <w:bottom w:val="single" w:sz="4" w:space="0" w:color="auto"/>
            </w:tcBorders>
            <w:shd w:val="clear" w:color="auto" w:fill="auto"/>
          </w:tcPr>
          <w:p w14:paraId="379FD1B2"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1,401</w:t>
            </w:r>
          </w:p>
        </w:tc>
        <w:tc>
          <w:tcPr>
            <w:tcW w:w="1641" w:type="dxa"/>
            <w:tcBorders>
              <w:top w:val="single" w:sz="4" w:space="0" w:color="auto"/>
              <w:bottom w:val="single" w:sz="4" w:space="0" w:color="auto"/>
            </w:tcBorders>
            <w:shd w:val="clear" w:color="auto" w:fill="auto"/>
          </w:tcPr>
          <w:p w14:paraId="093C7621" w14:textId="77777777" w:rsidR="00B420F1" w:rsidRPr="00175C22" w:rsidRDefault="005243CF" w:rsidP="007C423E">
            <w:pPr>
              <w:jc w:val="center"/>
              <w:rPr>
                <w:rFonts w:ascii="Arial Narrow" w:hAnsi="Arial Narrow" w:cs="Arial"/>
                <w:sz w:val="22"/>
                <w:szCs w:val="22"/>
                <w:highlight w:val="green"/>
              </w:rPr>
            </w:pPr>
            <w:r w:rsidRPr="00175C22">
              <w:rPr>
                <w:rFonts w:ascii="Arial Narrow" w:hAnsi="Arial Narrow" w:cs="Arial"/>
                <w:sz w:val="22"/>
                <w:szCs w:val="22"/>
              </w:rPr>
              <w:t>1,815</w:t>
            </w:r>
          </w:p>
        </w:tc>
        <w:tc>
          <w:tcPr>
            <w:tcW w:w="1641" w:type="dxa"/>
            <w:gridSpan w:val="2"/>
            <w:tcBorders>
              <w:top w:val="single" w:sz="4" w:space="0" w:color="auto"/>
              <w:bottom w:val="single" w:sz="4" w:space="0" w:color="auto"/>
            </w:tcBorders>
            <w:shd w:val="clear" w:color="auto" w:fill="auto"/>
          </w:tcPr>
          <w:p w14:paraId="6F8C8902" w14:textId="77777777" w:rsidR="00B420F1" w:rsidRPr="00175C22" w:rsidRDefault="005243CF" w:rsidP="007C423E">
            <w:pPr>
              <w:jc w:val="center"/>
              <w:rPr>
                <w:rFonts w:ascii="Arial Narrow" w:hAnsi="Arial Narrow" w:cs="Arial"/>
                <w:sz w:val="22"/>
                <w:szCs w:val="22"/>
                <w:highlight w:val="green"/>
              </w:rPr>
            </w:pPr>
            <w:r w:rsidRPr="00175C22">
              <w:rPr>
                <w:rFonts w:ascii="Arial Narrow" w:hAnsi="Arial Narrow" w:cs="Arial"/>
                <w:sz w:val="22"/>
                <w:szCs w:val="22"/>
              </w:rPr>
              <w:t>1,818</w:t>
            </w:r>
          </w:p>
        </w:tc>
        <w:tc>
          <w:tcPr>
            <w:tcW w:w="1642" w:type="dxa"/>
            <w:gridSpan w:val="2"/>
            <w:tcBorders>
              <w:top w:val="single" w:sz="4" w:space="0" w:color="auto"/>
              <w:bottom w:val="single" w:sz="4" w:space="0" w:color="auto"/>
              <w:right w:val="single" w:sz="4" w:space="0" w:color="auto"/>
            </w:tcBorders>
            <w:shd w:val="clear" w:color="auto" w:fill="auto"/>
          </w:tcPr>
          <w:p w14:paraId="7D70F454" w14:textId="77777777" w:rsidR="00B420F1" w:rsidRPr="00175C22" w:rsidRDefault="005243CF" w:rsidP="007C423E">
            <w:pPr>
              <w:jc w:val="center"/>
              <w:rPr>
                <w:rFonts w:ascii="Arial Narrow" w:hAnsi="Arial Narrow" w:cs="Arial"/>
                <w:sz w:val="22"/>
                <w:szCs w:val="22"/>
              </w:rPr>
            </w:pPr>
            <w:r w:rsidRPr="00175C22">
              <w:rPr>
                <w:rFonts w:ascii="Arial Narrow" w:hAnsi="Arial Narrow" w:cs="Arial"/>
                <w:sz w:val="22"/>
                <w:szCs w:val="22"/>
              </w:rPr>
              <w:t>98</w:t>
            </w:r>
            <w:r w:rsidR="0078704A" w:rsidRPr="00175C22">
              <w:rPr>
                <w:rFonts w:ascii="Arial Narrow" w:hAnsi="Arial Narrow" w:cs="Arial"/>
                <w:sz w:val="22"/>
                <w:szCs w:val="22"/>
              </w:rPr>
              <w:t>0</w:t>
            </w:r>
          </w:p>
        </w:tc>
      </w:tr>
      <w:tr w:rsidR="00B420F1" w:rsidRPr="0027440C" w14:paraId="7823355B"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DC4F401" w14:textId="77777777" w:rsidR="00B420F1" w:rsidRDefault="00B420F1" w:rsidP="007C423E">
            <w:pPr>
              <w:rPr>
                <w:rFonts w:ascii="Arial Narrow" w:hAnsi="Arial Narrow" w:cs="Arial"/>
                <w:sz w:val="22"/>
                <w:szCs w:val="22"/>
              </w:rPr>
            </w:pPr>
            <w:r>
              <w:rPr>
                <w:rFonts w:ascii="Arial Narrow" w:hAnsi="Arial Narrow" w:cs="Arial"/>
                <w:sz w:val="22"/>
                <w:szCs w:val="22"/>
              </w:rPr>
              <w:t>Pelvis</w:t>
            </w:r>
          </w:p>
        </w:tc>
        <w:tc>
          <w:tcPr>
            <w:tcW w:w="1641" w:type="dxa"/>
            <w:gridSpan w:val="2"/>
            <w:tcBorders>
              <w:top w:val="single" w:sz="4" w:space="0" w:color="auto"/>
              <w:left w:val="single" w:sz="4" w:space="0" w:color="auto"/>
              <w:bottom w:val="single" w:sz="4" w:space="0" w:color="auto"/>
            </w:tcBorders>
            <w:shd w:val="clear" w:color="auto" w:fill="auto"/>
          </w:tcPr>
          <w:p w14:paraId="77D1A519" w14:textId="77777777" w:rsidR="00B420F1" w:rsidRPr="00AC5407" w:rsidRDefault="005243CF" w:rsidP="007C423E">
            <w:pPr>
              <w:jc w:val="center"/>
              <w:rPr>
                <w:rFonts w:ascii="Arial Narrow" w:hAnsi="Arial Narrow" w:cs="Arial"/>
                <w:sz w:val="22"/>
                <w:szCs w:val="22"/>
              </w:rPr>
            </w:pPr>
            <w:r w:rsidRPr="00AC5407">
              <w:rPr>
                <w:rFonts w:ascii="Arial Narrow" w:hAnsi="Arial Narrow" w:cs="Arial"/>
                <w:sz w:val="22"/>
                <w:szCs w:val="22"/>
              </w:rPr>
              <w:t>798</w:t>
            </w:r>
          </w:p>
        </w:tc>
        <w:tc>
          <w:tcPr>
            <w:tcW w:w="1641" w:type="dxa"/>
            <w:tcBorders>
              <w:top w:val="single" w:sz="4" w:space="0" w:color="auto"/>
              <w:bottom w:val="single" w:sz="4" w:space="0" w:color="auto"/>
            </w:tcBorders>
            <w:shd w:val="clear" w:color="auto" w:fill="auto"/>
          </w:tcPr>
          <w:p w14:paraId="40B7AF03" w14:textId="77777777" w:rsidR="00B420F1" w:rsidRPr="00AC5407" w:rsidRDefault="005243CF" w:rsidP="007C423E">
            <w:pPr>
              <w:jc w:val="center"/>
              <w:rPr>
                <w:rFonts w:ascii="Arial Narrow" w:hAnsi="Arial Narrow" w:cs="Arial"/>
                <w:sz w:val="22"/>
                <w:szCs w:val="22"/>
              </w:rPr>
            </w:pPr>
            <w:r w:rsidRPr="00AC5407">
              <w:rPr>
                <w:rFonts w:ascii="Arial Narrow" w:hAnsi="Arial Narrow" w:cs="Arial"/>
                <w:sz w:val="22"/>
                <w:szCs w:val="22"/>
              </w:rPr>
              <w:t>1,100</w:t>
            </w:r>
          </w:p>
        </w:tc>
        <w:tc>
          <w:tcPr>
            <w:tcW w:w="1641" w:type="dxa"/>
            <w:gridSpan w:val="2"/>
            <w:tcBorders>
              <w:top w:val="single" w:sz="4" w:space="0" w:color="auto"/>
              <w:bottom w:val="single" w:sz="4" w:space="0" w:color="auto"/>
            </w:tcBorders>
            <w:shd w:val="clear" w:color="auto" w:fill="auto"/>
          </w:tcPr>
          <w:p w14:paraId="61C1D48A" w14:textId="77777777" w:rsidR="00B420F1" w:rsidRPr="0078704A" w:rsidRDefault="005243CF" w:rsidP="007C423E">
            <w:pPr>
              <w:jc w:val="center"/>
              <w:rPr>
                <w:rFonts w:ascii="Arial Narrow" w:hAnsi="Arial Narrow" w:cs="Arial"/>
                <w:sz w:val="22"/>
                <w:szCs w:val="22"/>
              </w:rPr>
            </w:pPr>
            <w:r w:rsidRPr="0078704A">
              <w:rPr>
                <w:rFonts w:ascii="Arial Narrow" w:hAnsi="Arial Narrow" w:cs="Arial"/>
                <w:sz w:val="22"/>
                <w:szCs w:val="22"/>
              </w:rPr>
              <w:t>1,179</w:t>
            </w:r>
          </w:p>
        </w:tc>
        <w:tc>
          <w:tcPr>
            <w:tcW w:w="1642" w:type="dxa"/>
            <w:gridSpan w:val="2"/>
            <w:tcBorders>
              <w:top w:val="single" w:sz="4" w:space="0" w:color="auto"/>
              <w:bottom w:val="single" w:sz="4" w:space="0" w:color="auto"/>
              <w:right w:val="single" w:sz="4" w:space="0" w:color="auto"/>
            </w:tcBorders>
            <w:shd w:val="clear" w:color="auto" w:fill="auto"/>
          </w:tcPr>
          <w:p w14:paraId="640392CA" w14:textId="77777777" w:rsidR="00B420F1" w:rsidRPr="0078704A" w:rsidRDefault="005243CF" w:rsidP="007C423E">
            <w:pPr>
              <w:jc w:val="center"/>
              <w:rPr>
                <w:rFonts w:ascii="Arial Narrow" w:hAnsi="Arial Narrow" w:cs="Arial"/>
                <w:sz w:val="22"/>
                <w:szCs w:val="22"/>
              </w:rPr>
            </w:pPr>
            <w:r w:rsidRPr="0078704A">
              <w:rPr>
                <w:rFonts w:ascii="Arial Narrow" w:hAnsi="Arial Narrow" w:cs="Arial"/>
                <w:sz w:val="22"/>
                <w:szCs w:val="22"/>
              </w:rPr>
              <w:t>67</w:t>
            </w:r>
            <w:r w:rsidR="0078704A" w:rsidRPr="0078704A">
              <w:rPr>
                <w:rFonts w:ascii="Arial Narrow" w:hAnsi="Arial Narrow" w:cs="Arial"/>
                <w:sz w:val="22"/>
                <w:szCs w:val="22"/>
              </w:rPr>
              <w:t>4</w:t>
            </w:r>
          </w:p>
        </w:tc>
      </w:tr>
      <w:tr w:rsidR="00B420F1" w:rsidRPr="0027440C" w14:paraId="35CB480A"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9C2EC6D" w14:textId="77777777" w:rsidR="00B420F1" w:rsidRDefault="005243CF" w:rsidP="007C423E">
            <w:pPr>
              <w:rPr>
                <w:rFonts w:ascii="Arial Narrow" w:hAnsi="Arial Narrow" w:cs="Arial"/>
                <w:sz w:val="22"/>
                <w:szCs w:val="22"/>
              </w:rPr>
            </w:pPr>
            <w:r>
              <w:rPr>
                <w:rFonts w:ascii="Arial Narrow" w:hAnsi="Arial Narrow" w:cs="Arial"/>
                <w:sz w:val="22"/>
                <w:szCs w:val="22"/>
              </w:rPr>
              <w:t>Breast</w:t>
            </w:r>
          </w:p>
        </w:tc>
        <w:tc>
          <w:tcPr>
            <w:tcW w:w="1641" w:type="dxa"/>
            <w:gridSpan w:val="2"/>
            <w:tcBorders>
              <w:top w:val="single" w:sz="4" w:space="0" w:color="auto"/>
              <w:left w:val="single" w:sz="4" w:space="0" w:color="auto"/>
              <w:bottom w:val="single" w:sz="4" w:space="0" w:color="auto"/>
            </w:tcBorders>
            <w:shd w:val="clear" w:color="auto" w:fill="auto"/>
          </w:tcPr>
          <w:p w14:paraId="45F501EA" w14:textId="77777777" w:rsidR="00B420F1" w:rsidRPr="00AC5407" w:rsidRDefault="005243CF" w:rsidP="007C423E">
            <w:pPr>
              <w:jc w:val="center"/>
              <w:rPr>
                <w:rFonts w:ascii="Arial Narrow" w:hAnsi="Arial Narrow" w:cs="Arial"/>
                <w:sz w:val="22"/>
                <w:szCs w:val="22"/>
              </w:rPr>
            </w:pPr>
            <w:r w:rsidRPr="00AC5407">
              <w:rPr>
                <w:rFonts w:ascii="Arial Narrow" w:hAnsi="Arial Narrow" w:cs="Arial"/>
                <w:sz w:val="22"/>
                <w:szCs w:val="22"/>
              </w:rPr>
              <w:t>3</w:t>
            </w:r>
            <w:r w:rsidR="00AC5407" w:rsidRPr="00AC5407">
              <w:rPr>
                <w:rFonts w:ascii="Arial Narrow" w:hAnsi="Arial Narrow" w:cs="Arial"/>
                <w:sz w:val="22"/>
                <w:szCs w:val="22"/>
              </w:rPr>
              <w:t>32</w:t>
            </w:r>
          </w:p>
        </w:tc>
        <w:tc>
          <w:tcPr>
            <w:tcW w:w="1641" w:type="dxa"/>
            <w:tcBorders>
              <w:top w:val="single" w:sz="4" w:space="0" w:color="auto"/>
              <w:bottom w:val="single" w:sz="4" w:space="0" w:color="auto"/>
            </w:tcBorders>
            <w:shd w:val="clear" w:color="auto" w:fill="auto"/>
          </w:tcPr>
          <w:p w14:paraId="635752A2" w14:textId="77777777" w:rsidR="00B420F1" w:rsidRPr="00AC5407" w:rsidRDefault="005243CF" w:rsidP="007C423E">
            <w:pPr>
              <w:jc w:val="center"/>
              <w:rPr>
                <w:rFonts w:ascii="Arial Narrow" w:hAnsi="Arial Narrow" w:cs="Arial"/>
                <w:sz w:val="22"/>
                <w:szCs w:val="22"/>
              </w:rPr>
            </w:pPr>
            <w:r w:rsidRPr="00AC5407">
              <w:rPr>
                <w:rFonts w:ascii="Arial Narrow" w:hAnsi="Arial Narrow" w:cs="Arial"/>
                <w:sz w:val="22"/>
                <w:szCs w:val="22"/>
              </w:rPr>
              <w:t>43</w:t>
            </w:r>
            <w:r w:rsidR="00AC5407" w:rsidRPr="00AC5407">
              <w:rPr>
                <w:rFonts w:ascii="Arial Narrow" w:hAnsi="Arial Narrow" w:cs="Arial"/>
                <w:sz w:val="22"/>
                <w:szCs w:val="22"/>
              </w:rPr>
              <w:t>1</w:t>
            </w:r>
          </w:p>
        </w:tc>
        <w:tc>
          <w:tcPr>
            <w:tcW w:w="1641" w:type="dxa"/>
            <w:gridSpan w:val="2"/>
            <w:tcBorders>
              <w:top w:val="single" w:sz="4" w:space="0" w:color="auto"/>
              <w:bottom w:val="single" w:sz="4" w:space="0" w:color="auto"/>
            </w:tcBorders>
            <w:shd w:val="clear" w:color="auto" w:fill="auto"/>
          </w:tcPr>
          <w:p w14:paraId="280A0EE2" w14:textId="77777777" w:rsidR="00B420F1" w:rsidRPr="0078704A" w:rsidRDefault="005243CF" w:rsidP="007C423E">
            <w:pPr>
              <w:jc w:val="center"/>
              <w:rPr>
                <w:rFonts w:ascii="Arial Narrow" w:hAnsi="Arial Narrow" w:cs="Arial"/>
                <w:sz w:val="22"/>
                <w:szCs w:val="22"/>
              </w:rPr>
            </w:pPr>
            <w:r w:rsidRPr="0078704A">
              <w:rPr>
                <w:rFonts w:ascii="Arial Narrow" w:hAnsi="Arial Narrow" w:cs="Arial"/>
                <w:sz w:val="22"/>
                <w:szCs w:val="22"/>
              </w:rPr>
              <w:t>480</w:t>
            </w:r>
          </w:p>
        </w:tc>
        <w:tc>
          <w:tcPr>
            <w:tcW w:w="1642" w:type="dxa"/>
            <w:gridSpan w:val="2"/>
            <w:tcBorders>
              <w:top w:val="single" w:sz="4" w:space="0" w:color="auto"/>
              <w:bottom w:val="single" w:sz="4" w:space="0" w:color="auto"/>
              <w:right w:val="single" w:sz="4" w:space="0" w:color="auto"/>
            </w:tcBorders>
            <w:shd w:val="clear" w:color="auto" w:fill="auto"/>
          </w:tcPr>
          <w:p w14:paraId="24E9BB83" w14:textId="77777777" w:rsidR="00B420F1" w:rsidRPr="0078704A" w:rsidRDefault="005243CF" w:rsidP="007C423E">
            <w:pPr>
              <w:jc w:val="center"/>
              <w:rPr>
                <w:rFonts w:ascii="Arial Narrow" w:hAnsi="Arial Narrow" w:cs="Arial"/>
                <w:sz w:val="22"/>
                <w:szCs w:val="22"/>
              </w:rPr>
            </w:pPr>
            <w:r w:rsidRPr="0078704A">
              <w:rPr>
                <w:rFonts w:ascii="Arial Narrow" w:hAnsi="Arial Narrow" w:cs="Arial"/>
                <w:sz w:val="22"/>
                <w:szCs w:val="22"/>
              </w:rPr>
              <w:t>27</w:t>
            </w:r>
            <w:r w:rsidR="0078704A" w:rsidRPr="0078704A">
              <w:rPr>
                <w:rFonts w:ascii="Arial Narrow" w:hAnsi="Arial Narrow" w:cs="Arial"/>
                <w:sz w:val="22"/>
                <w:szCs w:val="22"/>
              </w:rPr>
              <w:t>7</w:t>
            </w:r>
          </w:p>
        </w:tc>
      </w:tr>
      <w:tr w:rsidR="00B420F1" w:rsidRPr="0027440C" w14:paraId="781B4617"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2976AFE" w14:textId="77777777" w:rsidR="00B420F1" w:rsidRDefault="005243CF" w:rsidP="007C423E">
            <w:pPr>
              <w:rPr>
                <w:rFonts w:ascii="Arial Narrow" w:hAnsi="Arial Narrow" w:cs="Arial"/>
                <w:sz w:val="22"/>
                <w:szCs w:val="22"/>
              </w:rPr>
            </w:pPr>
            <w:r>
              <w:rPr>
                <w:rFonts w:ascii="Arial Narrow" w:hAnsi="Arial Narrow" w:cs="Arial"/>
                <w:sz w:val="22"/>
                <w:szCs w:val="22"/>
              </w:rPr>
              <w:t>Cardiac</w:t>
            </w:r>
          </w:p>
        </w:tc>
        <w:tc>
          <w:tcPr>
            <w:tcW w:w="1641" w:type="dxa"/>
            <w:gridSpan w:val="2"/>
            <w:tcBorders>
              <w:top w:val="single" w:sz="4" w:space="0" w:color="auto"/>
              <w:left w:val="single" w:sz="4" w:space="0" w:color="auto"/>
              <w:bottom w:val="single" w:sz="4" w:space="0" w:color="auto"/>
            </w:tcBorders>
            <w:shd w:val="clear" w:color="auto" w:fill="auto"/>
          </w:tcPr>
          <w:p w14:paraId="15F0776E" w14:textId="77777777" w:rsidR="00B420F1" w:rsidRPr="00AC5407" w:rsidRDefault="005243CF" w:rsidP="007C423E">
            <w:pPr>
              <w:jc w:val="center"/>
              <w:rPr>
                <w:rFonts w:ascii="Arial Narrow" w:hAnsi="Arial Narrow" w:cs="Arial"/>
                <w:sz w:val="22"/>
                <w:szCs w:val="22"/>
              </w:rPr>
            </w:pPr>
            <w:r w:rsidRPr="00AC5407">
              <w:rPr>
                <w:rFonts w:ascii="Arial Narrow" w:hAnsi="Arial Narrow" w:cs="Arial"/>
                <w:sz w:val="22"/>
                <w:szCs w:val="22"/>
              </w:rPr>
              <w:t>232</w:t>
            </w:r>
          </w:p>
        </w:tc>
        <w:tc>
          <w:tcPr>
            <w:tcW w:w="1641" w:type="dxa"/>
            <w:tcBorders>
              <w:top w:val="single" w:sz="4" w:space="0" w:color="auto"/>
              <w:bottom w:val="single" w:sz="4" w:space="0" w:color="auto"/>
            </w:tcBorders>
            <w:shd w:val="clear" w:color="auto" w:fill="auto"/>
          </w:tcPr>
          <w:p w14:paraId="452272AE" w14:textId="77777777" w:rsidR="00B420F1" w:rsidRPr="00AC5407" w:rsidRDefault="005243CF" w:rsidP="007C423E">
            <w:pPr>
              <w:jc w:val="center"/>
              <w:rPr>
                <w:rFonts w:ascii="Arial Narrow" w:hAnsi="Arial Narrow" w:cs="Arial"/>
                <w:sz w:val="22"/>
                <w:szCs w:val="22"/>
              </w:rPr>
            </w:pPr>
            <w:r w:rsidRPr="00AC5407">
              <w:rPr>
                <w:rFonts w:ascii="Arial Narrow" w:hAnsi="Arial Narrow" w:cs="Arial"/>
                <w:sz w:val="22"/>
                <w:szCs w:val="22"/>
              </w:rPr>
              <w:t>401</w:t>
            </w:r>
          </w:p>
        </w:tc>
        <w:tc>
          <w:tcPr>
            <w:tcW w:w="1641" w:type="dxa"/>
            <w:gridSpan w:val="2"/>
            <w:tcBorders>
              <w:top w:val="single" w:sz="4" w:space="0" w:color="auto"/>
              <w:bottom w:val="single" w:sz="4" w:space="0" w:color="auto"/>
            </w:tcBorders>
            <w:shd w:val="clear" w:color="auto" w:fill="auto"/>
          </w:tcPr>
          <w:p w14:paraId="55964E22" w14:textId="77777777" w:rsidR="00B420F1" w:rsidRPr="0078704A" w:rsidRDefault="005243CF" w:rsidP="007C423E">
            <w:pPr>
              <w:jc w:val="center"/>
              <w:rPr>
                <w:rFonts w:ascii="Arial Narrow" w:hAnsi="Arial Narrow" w:cs="Arial"/>
                <w:sz w:val="22"/>
                <w:szCs w:val="22"/>
              </w:rPr>
            </w:pPr>
            <w:r w:rsidRPr="0078704A">
              <w:rPr>
                <w:rFonts w:ascii="Arial Narrow" w:hAnsi="Arial Narrow" w:cs="Arial"/>
                <w:sz w:val="22"/>
                <w:szCs w:val="22"/>
              </w:rPr>
              <w:t>339</w:t>
            </w:r>
          </w:p>
        </w:tc>
        <w:tc>
          <w:tcPr>
            <w:tcW w:w="1642" w:type="dxa"/>
            <w:gridSpan w:val="2"/>
            <w:tcBorders>
              <w:top w:val="single" w:sz="4" w:space="0" w:color="auto"/>
              <w:bottom w:val="single" w:sz="4" w:space="0" w:color="auto"/>
              <w:right w:val="single" w:sz="4" w:space="0" w:color="auto"/>
            </w:tcBorders>
            <w:shd w:val="clear" w:color="auto" w:fill="auto"/>
          </w:tcPr>
          <w:p w14:paraId="02404ECA" w14:textId="77777777" w:rsidR="00B420F1" w:rsidRPr="0078704A" w:rsidRDefault="005243CF" w:rsidP="007C423E">
            <w:pPr>
              <w:jc w:val="center"/>
              <w:rPr>
                <w:rFonts w:ascii="Arial Narrow" w:hAnsi="Arial Narrow" w:cs="Arial"/>
                <w:sz w:val="22"/>
                <w:szCs w:val="22"/>
              </w:rPr>
            </w:pPr>
            <w:r w:rsidRPr="0078704A">
              <w:rPr>
                <w:rFonts w:ascii="Arial Narrow" w:hAnsi="Arial Narrow" w:cs="Arial"/>
                <w:sz w:val="22"/>
                <w:szCs w:val="22"/>
              </w:rPr>
              <w:t>175</w:t>
            </w:r>
          </w:p>
        </w:tc>
      </w:tr>
      <w:tr w:rsidR="005243CF" w:rsidRPr="0027440C" w14:paraId="1142EFF1"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495CCEBA" w14:textId="77777777" w:rsidR="005243CF" w:rsidRDefault="005243CF" w:rsidP="005243CF">
            <w:pPr>
              <w:rPr>
                <w:rFonts w:ascii="Arial Narrow" w:hAnsi="Arial Narrow" w:cs="Arial"/>
                <w:sz w:val="22"/>
                <w:szCs w:val="22"/>
              </w:rPr>
            </w:pPr>
            <w:r>
              <w:rPr>
                <w:rFonts w:ascii="Arial Narrow" w:hAnsi="Arial Narrow" w:cs="Arial"/>
                <w:sz w:val="22"/>
                <w:szCs w:val="22"/>
              </w:rPr>
              <w:t>Chest</w:t>
            </w:r>
          </w:p>
        </w:tc>
        <w:tc>
          <w:tcPr>
            <w:tcW w:w="1641" w:type="dxa"/>
            <w:gridSpan w:val="2"/>
            <w:tcBorders>
              <w:top w:val="single" w:sz="4" w:space="0" w:color="auto"/>
              <w:left w:val="single" w:sz="4" w:space="0" w:color="auto"/>
              <w:bottom w:val="single" w:sz="4" w:space="0" w:color="auto"/>
            </w:tcBorders>
            <w:shd w:val="clear" w:color="auto" w:fill="auto"/>
          </w:tcPr>
          <w:p w14:paraId="08739568" w14:textId="77777777" w:rsidR="005243CF" w:rsidRPr="00AC5407" w:rsidRDefault="004563C4" w:rsidP="005243CF">
            <w:pPr>
              <w:jc w:val="center"/>
              <w:rPr>
                <w:rFonts w:ascii="Arial Narrow" w:hAnsi="Arial Narrow" w:cs="Arial"/>
                <w:sz w:val="22"/>
                <w:szCs w:val="22"/>
              </w:rPr>
            </w:pPr>
            <w:r w:rsidRPr="00AC5407">
              <w:rPr>
                <w:rFonts w:ascii="Arial Narrow" w:hAnsi="Arial Narrow" w:cs="Arial"/>
                <w:sz w:val="22"/>
                <w:szCs w:val="22"/>
              </w:rPr>
              <w:t>71</w:t>
            </w:r>
          </w:p>
        </w:tc>
        <w:tc>
          <w:tcPr>
            <w:tcW w:w="1641" w:type="dxa"/>
            <w:tcBorders>
              <w:top w:val="single" w:sz="4" w:space="0" w:color="auto"/>
              <w:bottom w:val="single" w:sz="4" w:space="0" w:color="auto"/>
            </w:tcBorders>
            <w:shd w:val="clear" w:color="auto" w:fill="auto"/>
          </w:tcPr>
          <w:p w14:paraId="55377678" w14:textId="77777777" w:rsidR="005243CF" w:rsidRPr="00AC5407" w:rsidRDefault="004563C4" w:rsidP="005243CF">
            <w:pPr>
              <w:jc w:val="center"/>
              <w:rPr>
                <w:rFonts w:ascii="Arial Narrow" w:hAnsi="Arial Narrow" w:cs="Arial"/>
                <w:sz w:val="22"/>
                <w:szCs w:val="22"/>
              </w:rPr>
            </w:pPr>
            <w:r w:rsidRPr="00AC5407">
              <w:rPr>
                <w:rFonts w:ascii="Arial Narrow" w:hAnsi="Arial Narrow" w:cs="Arial"/>
                <w:sz w:val="22"/>
                <w:szCs w:val="22"/>
              </w:rPr>
              <w:t>114</w:t>
            </w:r>
          </w:p>
        </w:tc>
        <w:tc>
          <w:tcPr>
            <w:tcW w:w="1641" w:type="dxa"/>
            <w:gridSpan w:val="2"/>
            <w:tcBorders>
              <w:top w:val="single" w:sz="4" w:space="0" w:color="auto"/>
              <w:bottom w:val="single" w:sz="4" w:space="0" w:color="auto"/>
            </w:tcBorders>
            <w:shd w:val="clear" w:color="auto" w:fill="auto"/>
          </w:tcPr>
          <w:p w14:paraId="4BC8C291" w14:textId="77777777" w:rsidR="005243CF" w:rsidRPr="0078704A" w:rsidRDefault="004563C4" w:rsidP="005243CF">
            <w:pPr>
              <w:jc w:val="center"/>
              <w:rPr>
                <w:rFonts w:ascii="Arial Narrow" w:hAnsi="Arial Narrow" w:cs="Arial"/>
                <w:sz w:val="22"/>
                <w:szCs w:val="22"/>
              </w:rPr>
            </w:pPr>
            <w:r w:rsidRPr="0078704A">
              <w:rPr>
                <w:rFonts w:ascii="Arial Narrow" w:hAnsi="Arial Narrow" w:cs="Arial"/>
                <w:sz w:val="22"/>
                <w:szCs w:val="22"/>
              </w:rPr>
              <w:t>85</w:t>
            </w:r>
          </w:p>
        </w:tc>
        <w:tc>
          <w:tcPr>
            <w:tcW w:w="1642" w:type="dxa"/>
            <w:gridSpan w:val="2"/>
            <w:tcBorders>
              <w:top w:val="single" w:sz="4" w:space="0" w:color="auto"/>
              <w:bottom w:val="single" w:sz="4" w:space="0" w:color="auto"/>
              <w:right w:val="single" w:sz="4" w:space="0" w:color="auto"/>
            </w:tcBorders>
            <w:shd w:val="clear" w:color="auto" w:fill="auto"/>
          </w:tcPr>
          <w:p w14:paraId="6FDD20DF" w14:textId="77777777" w:rsidR="005243CF" w:rsidRPr="0078704A" w:rsidRDefault="004563C4" w:rsidP="005243CF">
            <w:pPr>
              <w:jc w:val="center"/>
              <w:rPr>
                <w:rFonts w:ascii="Arial Narrow" w:hAnsi="Arial Narrow" w:cs="Arial"/>
                <w:sz w:val="22"/>
                <w:szCs w:val="22"/>
              </w:rPr>
            </w:pPr>
            <w:r w:rsidRPr="0078704A">
              <w:rPr>
                <w:rFonts w:ascii="Arial Narrow" w:hAnsi="Arial Narrow" w:cs="Arial"/>
                <w:sz w:val="22"/>
                <w:szCs w:val="22"/>
              </w:rPr>
              <w:t>4</w:t>
            </w:r>
            <w:r w:rsidR="0078704A" w:rsidRPr="0078704A">
              <w:rPr>
                <w:rFonts w:ascii="Arial Narrow" w:hAnsi="Arial Narrow" w:cs="Arial"/>
                <w:sz w:val="22"/>
                <w:szCs w:val="22"/>
              </w:rPr>
              <w:t>7</w:t>
            </w:r>
          </w:p>
        </w:tc>
      </w:tr>
      <w:tr w:rsidR="00575575" w:rsidRPr="0027440C" w14:paraId="42F3DB60"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4FFBBDCD" w14:textId="77777777" w:rsidR="00575575" w:rsidRDefault="00575575" w:rsidP="00575575">
            <w:pPr>
              <w:rPr>
                <w:rFonts w:ascii="Arial Narrow" w:hAnsi="Arial Narrow" w:cs="Arial"/>
                <w:sz w:val="22"/>
                <w:szCs w:val="22"/>
              </w:rPr>
            </w:pPr>
            <w:r>
              <w:rPr>
                <w:rFonts w:ascii="Arial Narrow" w:hAnsi="Arial Narrow" w:cs="Arial"/>
                <w:sz w:val="22"/>
                <w:szCs w:val="22"/>
              </w:rPr>
              <w:t>Blood Vessels</w:t>
            </w:r>
          </w:p>
        </w:tc>
        <w:tc>
          <w:tcPr>
            <w:tcW w:w="1641" w:type="dxa"/>
            <w:gridSpan w:val="2"/>
            <w:tcBorders>
              <w:top w:val="single" w:sz="4" w:space="0" w:color="auto"/>
              <w:left w:val="single" w:sz="4" w:space="0" w:color="auto"/>
              <w:bottom w:val="single" w:sz="4" w:space="0" w:color="auto"/>
            </w:tcBorders>
            <w:shd w:val="clear" w:color="auto" w:fill="auto"/>
          </w:tcPr>
          <w:p w14:paraId="07AD45BB" w14:textId="77777777" w:rsidR="00575575" w:rsidRPr="00AC5407" w:rsidRDefault="00575575" w:rsidP="00575575">
            <w:pPr>
              <w:jc w:val="center"/>
              <w:rPr>
                <w:rFonts w:ascii="Arial Narrow" w:hAnsi="Arial Narrow" w:cs="Arial"/>
                <w:sz w:val="22"/>
                <w:szCs w:val="22"/>
              </w:rPr>
            </w:pPr>
            <w:r w:rsidRPr="00AC5407">
              <w:rPr>
                <w:rFonts w:ascii="Arial Narrow" w:hAnsi="Arial Narrow" w:cs="Arial"/>
                <w:sz w:val="22"/>
                <w:szCs w:val="22"/>
              </w:rPr>
              <w:t>35</w:t>
            </w:r>
          </w:p>
        </w:tc>
        <w:tc>
          <w:tcPr>
            <w:tcW w:w="1641" w:type="dxa"/>
            <w:tcBorders>
              <w:top w:val="single" w:sz="4" w:space="0" w:color="auto"/>
              <w:bottom w:val="single" w:sz="4" w:space="0" w:color="auto"/>
            </w:tcBorders>
            <w:shd w:val="clear" w:color="auto" w:fill="auto"/>
          </w:tcPr>
          <w:p w14:paraId="1D58CBC3" w14:textId="1CAA0348" w:rsidR="00575575" w:rsidRPr="0078704A" w:rsidRDefault="00DF7257" w:rsidP="00575575">
            <w:pPr>
              <w:jc w:val="center"/>
              <w:rPr>
                <w:rFonts w:ascii="Arial Narrow" w:hAnsi="Arial Narrow" w:cs="Arial"/>
                <w:sz w:val="22"/>
                <w:szCs w:val="22"/>
              </w:rPr>
            </w:pPr>
            <w:r w:rsidRPr="004F3CAA">
              <w:rPr>
                <w:rFonts w:ascii="Arial Narrow" w:hAnsi="Arial Narrow" w:cs="Arial"/>
                <w:sz w:val="22"/>
                <w:szCs w:val="22"/>
              </w:rPr>
              <w:t>–</w:t>
            </w:r>
          </w:p>
        </w:tc>
        <w:tc>
          <w:tcPr>
            <w:tcW w:w="1641" w:type="dxa"/>
            <w:gridSpan w:val="2"/>
            <w:tcBorders>
              <w:top w:val="single" w:sz="4" w:space="0" w:color="auto"/>
              <w:bottom w:val="single" w:sz="4" w:space="0" w:color="auto"/>
            </w:tcBorders>
            <w:shd w:val="clear" w:color="auto" w:fill="auto"/>
          </w:tcPr>
          <w:p w14:paraId="728DAD7C" w14:textId="77777777" w:rsidR="00575575" w:rsidRPr="0078704A" w:rsidRDefault="00575575" w:rsidP="00575575">
            <w:pPr>
              <w:jc w:val="center"/>
              <w:rPr>
                <w:rFonts w:ascii="Arial Narrow" w:hAnsi="Arial Narrow" w:cs="Arial"/>
                <w:sz w:val="22"/>
                <w:szCs w:val="22"/>
              </w:rPr>
            </w:pPr>
            <w:r w:rsidRPr="0078704A">
              <w:rPr>
                <w:rFonts w:ascii="Arial Narrow" w:hAnsi="Arial Narrow" w:cs="Arial"/>
                <w:sz w:val="22"/>
                <w:szCs w:val="22"/>
              </w:rPr>
              <w:t>18</w:t>
            </w:r>
          </w:p>
        </w:tc>
        <w:tc>
          <w:tcPr>
            <w:tcW w:w="1642" w:type="dxa"/>
            <w:gridSpan w:val="2"/>
            <w:tcBorders>
              <w:top w:val="single" w:sz="4" w:space="0" w:color="auto"/>
              <w:bottom w:val="single" w:sz="4" w:space="0" w:color="auto"/>
              <w:right w:val="single" w:sz="4" w:space="0" w:color="auto"/>
            </w:tcBorders>
            <w:shd w:val="clear" w:color="auto" w:fill="auto"/>
          </w:tcPr>
          <w:p w14:paraId="40457059" w14:textId="76FF8B7F" w:rsidR="00575575" w:rsidRPr="0078704A" w:rsidRDefault="00575575" w:rsidP="00575575">
            <w:pPr>
              <w:jc w:val="center"/>
              <w:rPr>
                <w:rFonts w:ascii="Arial Narrow" w:hAnsi="Arial Narrow" w:cs="Arial"/>
                <w:sz w:val="22"/>
                <w:szCs w:val="22"/>
              </w:rPr>
            </w:pPr>
            <w:r w:rsidRPr="00566319">
              <w:rPr>
                <w:rFonts w:ascii="Arial Narrow" w:hAnsi="Arial Narrow" w:cs="Arial"/>
                <w:sz w:val="22"/>
                <w:szCs w:val="22"/>
              </w:rPr>
              <w:t>–</w:t>
            </w:r>
          </w:p>
        </w:tc>
      </w:tr>
      <w:tr w:rsidR="00575575" w:rsidRPr="0027440C" w14:paraId="1D73A2CF"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033D1EF" w14:textId="77777777" w:rsidR="00575575" w:rsidRDefault="00575575" w:rsidP="00575575">
            <w:pPr>
              <w:rPr>
                <w:rFonts w:ascii="Arial Narrow" w:hAnsi="Arial Narrow" w:cs="Arial"/>
                <w:sz w:val="22"/>
                <w:szCs w:val="22"/>
              </w:rPr>
            </w:pPr>
            <w:r>
              <w:rPr>
                <w:rFonts w:ascii="Arial Narrow" w:hAnsi="Arial Narrow" w:cs="Arial"/>
                <w:sz w:val="22"/>
                <w:szCs w:val="22"/>
              </w:rPr>
              <w:t>Spectroscopy</w:t>
            </w:r>
          </w:p>
        </w:tc>
        <w:tc>
          <w:tcPr>
            <w:tcW w:w="1641" w:type="dxa"/>
            <w:gridSpan w:val="2"/>
            <w:tcBorders>
              <w:top w:val="single" w:sz="4" w:space="0" w:color="auto"/>
              <w:left w:val="single" w:sz="4" w:space="0" w:color="auto"/>
              <w:bottom w:val="single" w:sz="4" w:space="0" w:color="auto"/>
            </w:tcBorders>
            <w:shd w:val="clear" w:color="auto" w:fill="auto"/>
          </w:tcPr>
          <w:p w14:paraId="7F09926A" w14:textId="72802706" w:rsidR="00575575" w:rsidRPr="00AC5407" w:rsidRDefault="00DF7257" w:rsidP="00575575">
            <w:pPr>
              <w:jc w:val="center"/>
              <w:rPr>
                <w:rFonts w:ascii="Arial Narrow" w:hAnsi="Arial Narrow" w:cs="Arial"/>
                <w:sz w:val="22"/>
                <w:szCs w:val="22"/>
              </w:rPr>
            </w:pPr>
            <w:r w:rsidRPr="004F3CAA">
              <w:rPr>
                <w:rFonts w:ascii="Arial Narrow" w:hAnsi="Arial Narrow" w:cs="Arial"/>
                <w:sz w:val="22"/>
                <w:szCs w:val="22"/>
              </w:rPr>
              <w:t>–</w:t>
            </w:r>
          </w:p>
        </w:tc>
        <w:tc>
          <w:tcPr>
            <w:tcW w:w="1641" w:type="dxa"/>
            <w:tcBorders>
              <w:top w:val="single" w:sz="4" w:space="0" w:color="auto"/>
              <w:bottom w:val="single" w:sz="4" w:space="0" w:color="auto"/>
            </w:tcBorders>
            <w:shd w:val="clear" w:color="auto" w:fill="auto"/>
          </w:tcPr>
          <w:p w14:paraId="2D42EF7C" w14:textId="77777777" w:rsidR="00575575" w:rsidRPr="0078704A" w:rsidRDefault="00575575" w:rsidP="00575575">
            <w:pPr>
              <w:jc w:val="center"/>
              <w:rPr>
                <w:rFonts w:ascii="Arial Narrow" w:hAnsi="Arial Narrow" w:cs="Arial"/>
                <w:sz w:val="22"/>
                <w:szCs w:val="22"/>
              </w:rPr>
            </w:pPr>
            <w:r w:rsidRPr="0078704A">
              <w:rPr>
                <w:rFonts w:ascii="Arial Narrow" w:hAnsi="Arial Narrow" w:cs="Arial"/>
                <w:sz w:val="22"/>
                <w:szCs w:val="22"/>
              </w:rPr>
              <w:t>13</w:t>
            </w:r>
          </w:p>
        </w:tc>
        <w:tc>
          <w:tcPr>
            <w:tcW w:w="1641" w:type="dxa"/>
            <w:gridSpan w:val="2"/>
            <w:tcBorders>
              <w:top w:val="single" w:sz="4" w:space="0" w:color="auto"/>
              <w:bottom w:val="single" w:sz="4" w:space="0" w:color="auto"/>
            </w:tcBorders>
            <w:shd w:val="clear" w:color="auto" w:fill="auto"/>
          </w:tcPr>
          <w:p w14:paraId="7BEA2F00" w14:textId="77777777" w:rsidR="00575575" w:rsidRPr="0078704A" w:rsidRDefault="00575575" w:rsidP="00575575">
            <w:pPr>
              <w:jc w:val="center"/>
              <w:rPr>
                <w:rFonts w:ascii="Arial Narrow" w:hAnsi="Arial Narrow" w:cs="Arial"/>
                <w:sz w:val="22"/>
                <w:szCs w:val="22"/>
              </w:rPr>
            </w:pPr>
            <w:r w:rsidRPr="0078704A">
              <w:rPr>
                <w:rFonts w:ascii="Arial Narrow" w:hAnsi="Arial Narrow" w:cs="Arial"/>
                <w:sz w:val="22"/>
                <w:szCs w:val="22"/>
              </w:rPr>
              <w:t>16</w:t>
            </w:r>
          </w:p>
        </w:tc>
        <w:tc>
          <w:tcPr>
            <w:tcW w:w="1642" w:type="dxa"/>
            <w:gridSpan w:val="2"/>
            <w:tcBorders>
              <w:top w:val="single" w:sz="4" w:space="0" w:color="auto"/>
              <w:bottom w:val="single" w:sz="4" w:space="0" w:color="auto"/>
              <w:right w:val="single" w:sz="4" w:space="0" w:color="auto"/>
            </w:tcBorders>
            <w:shd w:val="clear" w:color="auto" w:fill="auto"/>
          </w:tcPr>
          <w:p w14:paraId="621A13BA" w14:textId="025E3B4F" w:rsidR="00575575" w:rsidRPr="004F3CAA" w:rsidRDefault="00575575" w:rsidP="00575575">
            <w:pPr>
              <w:jc w:val="center"/>
              <w:rPr>
                <w:rFonts w:ascii="Arial Narrow" w:hAnsi="Arial Narrow" w:cs="Arial"/>
                <w:sz w:val="22"/>
                <w:szCs w:val="22"/>
              </w:rPr>
            </w:pPr>
            <w:r w:rsidRPr="00566319">
              <w:rPr>
                <w:rFonts w:ascii="Arial Narrow" w:hAnsi="Arial Narrow" w:cs="Arial"/>
                <w:sz w:val="22"/>
                <w:szCs w:val="22"/>
              </w:rPr>
              <w:t>–</w:t>
            </w:r>
          </w:p>
        </w:tc>
      </w:tr>
      <w:tr w:rsidR="002B0547" w:rsidRPr="0027440C" w14:paraId="66E457A5"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839A9AD" w14:textId="77777777" w:rsidR="002B0547" w:rsidRDefault="002B0547" w:rsidP="002B0547">
            <w:pPr>
              <w:rPr>
                <w:rFonts w:ascii="Arial Narrow" w:hAnsi="Arial Narrow" w:cs="Arial"/>
                <w:sz w:val="22"/>
                <w:szCs w:val="22"/>
              </w:rPr>
            </w:pPr>
            <w:r>
              <w:rPr>
                <w:rFonts w:ascii="Arial Narrow" w:hAnsi="Arial Narrow" w:cs="Arial"/>
                <w:sz w:val="22"/>
                <w:szCs w:val="22"/>
              </w:rPr>
              <w:t>Fetal</w:t>
            </w:r>
          </w:p>
        </w:tc>
        <w:tc>
          <w:tcPr>
            <w:tcW w:w="1641" w:type="dxa"/>
            <w:gridSpan w:val="2"/>
            <w:tcBorders>
              <w:top w:val="single" w:sz="4" w:space="0" w:color="auto"/>
              <w:left w:val="single" w:sz="4" w:space="0" w:color="auto"/>
              <w:bottom w:val="single" w:sz="4" w:space="0" w:color="auto"/>
            </w:tcBorders>
            <w:shd w:val="clear" w:color="auto" w:fill="auto"/>
          </w:tcPr>
          <w:p w14:paraId="572F40D1" w14:textId="01CD0B49" w:rsidR="002B0547" w:rsidRPr="00AC5407" w:rsidRDefault="002B0547" w:rsidP="002B0547">
            <w:pPr>
              <w:jc w:val="center"/>
              <w:rPr>
                <w:rFonts w:ascii="Arial Narrow" w:hAnsi="Arial Narrow" w:cs="Arial"/>
                <w:sz w:val="22"/>
                <w:szCs w:val="22"/>
              </w:rPr>
            </w:pPr>
            <w:r w:rsidRPr="00DF6D53">
              <w:rPr>
                <w:rFonts w:ascii="Arial Narrow" w:hAnsi="Arial Narrow" w:cs="Arial"/>
                <w:sz w:val="22"/>
                <w:szCs w:val="22"/>
              </w:rPr>
              <w:t>–</w:t>
            </w:r>
          </w:p>
        </w:tc>
        <w:tc>
          <w:tcPr>
            <w:tcW w:w="1641" w:type="dxa"/>
            <w:tcBorders>
              <w:top w:val="single" w:sz="4" w:space="0" w:color="auto"/>
              <w:bottom w:val="single" w:sz="4" w:space="0" w:color="auto"/>
            </w:tcBorders>
            <w:shd w:val="clear" w:color="auto" w:fill="auto"/>
          </w:tcPr>
          <w:p w14:paraId="4AD66C37" w14:textId="721E2494" w:rsidR="002B0547" w:rsidRPr="0078704A" w:rsidRDefault="002B0547" w:rsidP="002B0547">
            <w:pPr>
              <w:jc w:val="center"/>
              <w:rPr>
                <w:rFonts w:ascii="Arial Narrow" w:hAnsi="Arial Narrow" w:cs="Arial"/>
                <w:sz w:val="22"/>
                <w:szCs w:val="22"/>
              </w:rPr>
            </w:pPr>
            <w:r w:rsidRPr="00DF6D53">
              <w:rPr>
                <w:rFonts w:ascii="Arial Narrow" w:hAnsi="Arial Narrow" w:cs="Arial"/>
                <w:sz w:val="22"/>
                <w:szCs w:val="22"/>
              </w:rPr>
              <w:t>–</w:t>
            </w:r>
          </w:p>
        </w:tc>
        <w:tc>
          <w:tcPr>
            <w:tcW w:w="1641" w:type="dxa"/>
            <w:gridSpan w:val="2"/>
            <w:tcBorders>
              <w:top w:val="single" w:sz="4" w:space="0" w:color="auto"/>
              <w:bottom w:val="single" w:sz="4" w:space="0" w:color="auto"/>
            </w:tcBorders>
            <w:shd w:val="clear" w:color="auto" w:fill="auto"/>
          </w:tcPr>
          <w:p w14:paraId="1F024F1A" w14:textId="66361538" w:rsidR="002B0547" w:rsidRPr="0078704A" w:rsidRDefault="002B0547" w:rsidP="002B0547">
            <w:pPr>
              <w:jc w:val="center"/>
              <w:rPr>
                <w:rFonts w:ascii="Arial Narrow" w:hAnsi="Arial Narrow" w:cs="Arial"/>
                <w:sz w:val="22"/>
                <w:szCs w:val="22"/>
              </w:rPr>
            </w:pPr>
            <w:r w:rsidRPr="00DF6D53">
              <w:rPr>
                <w:rFonts w:ascii="Arial Narrow" w:hAnsi="Arial Narrow" w:cs="Arial"/>
                <w:sz w:val="22"/>
                <w:szCs w:val="22"/>
              </w:rPr>
              <w:t>–</w:t>
            </w:r>
          </w:p>
        </w:tc>
        <w:tc>
          <w:tcPr>
            <w:tcW w:w="1642" w:type="dxa"/>
            <w:gridSpan w:val="2"/>
            <w:tcBorders>
              <w:top w:val="single" w:sz="4" w:space="0" w:color="auto"/>
              <w:bottom w:val="single" w:sz="4" w:space="0" w:color="auto"/>
              <w:right w:val="single" w:sz="4" w:space="0" w:color="auto"/>
            </w:tcBorders>
            <w:shd w:val="clear" w:color="auto" w:fill="auto"/>
          </w:tcPr>
          <w:p w14:paraId="36A1591C" w14:textId="77777777" w:rsidR="002B0547" w:rsidRPr="004F3CAA" w:rsidRDefault="002B0547" w:rsidP="002B0547">
            <w:pPr>
              <w:jc w:val="center"/>
              <w:rPr>
                <w:rFonts w:ascii="Arial Narrow" w:hAnsi="Arial Narrow" w:cs="Arial"/>
                <w:sz w:val="22"/>
                <w:szCs w:val="22"/>
              </w:rPr>
            </w:pPr>
            <w:r w:rsidRPr="004F3CAA">
              <w:rPr>
                <w:rFonts w:ascii="Arial Narrow" w:hAnsi="Arial Narrow" w:cs="Arial"/>
                <w:sz w:val="22"/>
                <w:szCs w:val="22"/>
              </w:rPr>
              <w:t>–</w:t>
            </w:r>
          </w:p>
        </w:tc>
      </w:tr>
      <w:tr w:rsidR="00F35D8D" w:rsidRPr="0027440C" w14:paraId="78601E3A"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610331ED" w14:textId="77777777" w:rsidR="00F35D8D" w:rsidRDefault="00F35D8D" w:rsidP="00F35D8D">
            <w:pPr>
              <w:rPr>
                <w:rFonts w:ascii="Arial Narrow" w:hAnsi="Arial Narrow" w:cs="Arial"/>
                <w:sz w:val="22"/>
                <w:szCs w:val="22"/>
              </w:rPr>
            </w:pPr>
            <w:r>
              <w:rPr>
                <w:rFonts w:ascii="Arial Narrow" w:hAnsi="Arial Narrow" w:cs="Arial"/>
                <w:sz w:val="22"/>
                <w:szCs w:val="22"/>
              </w:rPr>
              <w:lastRenderedPageBreak/>
              <w:t>Elastography</w:t>
            </w:r>
          </w:p>
        </w:tc>
        <w:tc>
          <w:tcPr>
            <w:tcW w:w="1641" w:type="dxa"/>
            <w:gridSpan w:val="2"/>
            <w:tcBorders>
              <w:top w:val="single" w:sz="4" w:space="0" w:color="auto"/>
              <w:left w:val="single" w:sz="4" w:space="0" w:color="auto"/>
              <w:bottom w:val="single" w:sz="4" w:space="0" w:color="auto"/>
            </w:tcBorders>
            <w:shd w:val="clear" w:color="auto" w:fill="auto"/>
          </w:tcPr>
          <w:p w14:paraId="529F3AE5" w14:textId="77777777" w:rsidR="00F35D8D" w:rsidRPr="00AC5407" w:rsidRDefault="00F35D8D" w:rsidP="00F35D8D">
            <w:pPr>
              <w:jc w:val="center"/>
              <w:rPr>
                <w:rFonts w:ascii="Arial Narrow" w:hAnsi="Arial Narrow" w:cs="Arial"/>
                <w:sz w:val="22"/>
                <w:szCs w:val="22"/>
              </w:rPr>
            </w:pPr>
            <w:r w:rsidRPr="00AC5407">
              <w:rPr>
                <w:rFonts w:ascii="Arial Narrow" w:hAnsi="Arial Narrow" w:cs="Arial"/>
                <w:sz w:val="22"/>
                <w:szCs w:val="22"/>
              </w:rPr>
              <w:t>–</w:t>
            </w:r>
          </w:p>
        </w:tc>
        <w:tc>
          <w:tcPr>
            <w:tcW w:w="1641" w:type="dxa"/>
            <w:tcBorders>
              <w:top w:val="single" w:sz="4" w:space="0" w:color="auto"/>
              <w:bottom w:val="single" w:sz="4" w:space="0" w:color="auto"/>
            </w:tcBorders>
            <w:shd w:val="clear" w:color="auto" w:fill="auto"/>
          </w:tcPr>
          <w:p w14:paraId="41A34F50" w14:textId="77777777" w:rsidR="00F35D8D" w:rsidRPr="0078704A" w:rsidRDefault="00F35D8D" w:rsidP="00F35D8D">
            <w:pPr>
              <w:jc w:val="center"/>
              <w:rPr>
                <w:rFonts w:ascii="Arial Narrow" w:hAnsi="Arial Narrow" w:cs="Arial"/>
                <w:sz w:val="22"/>
                <w:szCs w:val="22"/>
              </w:rPr>
            </w:pPr>
            <w:r w:rsidRPr="0078704A">
              <w:rPr>
                <w:rFonts w:ascii="Arial Narrow" w:hAnsi="Arial Narrow" w:cs="Arial"/>
                <w:sz w:val="22"/>
                <w:szCs w:val="22"/>
              </w:rPr>
              <w:t>–</w:t>
            </w:r>
          </w:p>
        </w:tc>
        <w:tc>
          <w:tcPr>
            <w:tcW w:w="1641" w:type="dxa"/>
            <w:gridSpan w:val="2"/>
            <w:tcBorders>
              <w:top w:val="single" w:sz="4" w:space="0" w:color="auto"/>
              <w:bottom w:val="single" w:sz="4" w:space="0" w:color="auto"/>
            </w:tcBorders>
            <w:shd w:val="clear" w:color="auto" w:fill="auto"/>
          </w:tcPr>
          <w:p w14:paraId="31268E06" w14:textId="3517C99F" w:rsidR="00F35D8D" w:rsidRPr="0078704A" w:rsidRDefault="00F35D8D" w:rsidP="00F35D8D">
            <w:pPr>
              <w:jc w:val="center"/>
              <w:rPr>
                <w:rFonts w:ascii="Arial Narrow" w:hAnsi="Arial Narrow" w:cs="Arial"/>
                <w:sz w:val="22"/>
                <w:szCs w:val="22"/>
              </w:rPr>
            </w:pPr>
            <w:r w:rsidRPr="004F3CAA">
              <w:rPr>
                <w:rFonts w:ascii="Arial Narrow" w:hAnsi="Arial Narrow" w:cs="Arial"/>
                <w:sz w:val="22"/>
                <w:szCs w:val="22"/>
              </w:rPr>
              <w:t>–</w:t>
            </w:r>
          </w:p>
        </w:tc>
        <w:tc>
          <w:tcPr>
            <w:tcW w:w="1642" w:type="dxa"/>
            <w:gridSpan w:val="2"/>
            <w:tcBorders>
              <w:top w:val="single" w:sz="4" w:space="0" w:color="auto"/>
              <w:bottom w:val="single" w:sz="4" w:space="0" w:color="auto"/>
              <w:right w:val="single" w:sz="4" w:space="0" w:color="auto"/>
            </w:tcBorders>
            <w:shd w:val="clear" w:color="auto" w:fill="auto"/>
          </w:tcPr>
          <w:p w14:paraId="2F234D7A" w14:textId="607F2DDA" w:rsidR="00F35D8D" w:rsidRPr="004F3CAA" w:rsidRDefault="00F35D8D" w:rsidP="00F35D8D">
            <w:pPr>
              <w:jc w:val="center"/>
              <w:rPr>
                <w:rFonts w:ascii="Arial Narrow" w:hAnsi="Arial Narrow" w:cs="Arial"/>
                <w:sz w:val="22"/>
                <w:szCs w:val="22"/>
              </w:rPr>
            </w:pPr>
            <w:r w:rsidRPr="00996F4B">
              <w:rPr>
                <w:rFonts w:ascii="Arial Narrow" w:hAnsi="Arial Narrow" w:cs="Arial"/>
                <w:sz w:val="22"/>
                <w:szCs w:val="22"/>
              </w:rPr>
              <w:t>–</w:t>
            </w:r>
          </w:p>
        </w:tc>
      </w:tr>
      <w:tr w:rsidR="00F35D8D" w:rsidRPr="0027440C" w14:paraId="08879CF4" w14:textId="77777777" w:rsidTr="00D8130B">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1A74A044" w14:textId="77777777" w:rsidR="00F35D8D" w:rsidRDefault="00F35D8D" w:rsidP="00F35D8D">
            <w:pPr>
              <w:rPr>
                <w:rFonts w:ascii="Arial Narrow" w:hAnsi="Arial Narrow" w:cs="Arial"/>
                <w:sz w:val="22"/>
                <w:szCs w:val="22"/>
              </w:rPr>
            </w:pPr>
            <w:r>
              <w:rPr>
                <w:rFonts w:ascii="Arial Narrow" w:hAnsi="Arial Narrow" w:cs="Arial"/>
                <w:sz w:val="22"/>
                <w:szCs w:val="22"/>
              </w:rPr>
              <w:t>Other</w:t>
            </w:r>
          </w:p>
        </w:tc>
        <w:tc>
          <w:tcPr>
            <w:tcW w:w="1641" w:type="dxa"/>
            <w:gridSpan w:val="2"/>
            <w:tcBorders>
              <w:top w:val="single" w:sz="4" w:space="0" w:color="auto"/>
              <w:left w:val="single" w:sz="4" w:space="0" w:color="auto"/>
              <w:bottom w:val="single" w:sz="4" w:space="0" w:color="auto"/>
            </w:tcBorders>
            <w:shd w:val="clear" w:color="auto" w:fill="auto"/>
          </w:tcPr>
          <w:p w14:paraId="07351AA9" w14:textId="77777777" w:rsidR="00F35D8D" w:rsidRPr="00AC5407" w:rsidRDefault="00F35D8D" w:rsidP="00F35D8D">
            <w:pPr>
              <w:jc w:val="center"/>
              <w:rPr>
                <w:rFonts w:ascii="Arial Narrow" w:hAnsi="Arial Narrow" w:cs="Arial"/>
                <w:sz w:val="22"/>
                <w:szCs w:val="22"/>
              </w:rPr>
            </w:pPr>
            <w:r w:rsidRPr="00AC5407">
              <w:rPr>
                <w:rFonts w:ascii="Arial Narrow" w:hAnsi="Arial Narrow" w:cs="Arial"/>
                <w:sz w:val="22"/>
                <w:szCs w:val="22"/>
              </w:rPr>
              <w:t>157</w:t>
            </w:r>
          </w:p>
        </w:tc>
        <w:tc>
          <w:tcPr>
            <w:tcW w:w="1641" w:type="dxa"/>
            <w:tcBorders>
              <w:top w:val="single" w:sz="4" w:space="0" w:color="auto"/>
              <w:bottom w:val="single" w:sz="4" w:space="0" w:color="auto"/>
            </w:tcBorders>
            <w:shd w:val="clear" w:color="auto" w:fill="auto"/>
          </w:tcPr>
          <w:p w14:paraId="1B4C8396" w14:textId="77777777" w:rsidR="00F35D8D" w:rsidRPr="0078704A" w:rsidRDefault="00F35D8D" w:rsidP="00F35D8D">
            <w:pPr>
              <w:jc w:val="center"/>
              <w:rPr>
                <w:rFonts w:ascii="Arial Narrow" w:hAnsi="Arial Narrow" w:cs="Arial"/>
                <w:sz w:val="22"/>
                <w:szCs w:val="22"/>
              </w:rPr>
            </w:pPr>
            <w:r w:rsidRPr="0078704A">
              <w:rPr>
                <w:rFonts w:ascii="Arial Narrow" w:hAnsi="Arial Narrow" w:cs="Arial"/>
                <w:sz w:val="22"/>
                <w:szCs w:val="22"/>
              </w:rPr>
              <w:t>273</w:t>
            </w:r>
          </w:p>
        </w:tc>
        <w:tc>
          <w:tcPr>
            <w:tcW w:w="1641" w:type="dxa"/>
            <w:gridSpan w:val="2"/>
            <w:tcBorders>
              <w:top w:val="single" w:sz="4" w:space="0" w:color="auto"/>
              <w:bottom w:val="single" w:sz="4" w:space="0" w:color="auto"/>
            </w:tcBorders>
            <w:shd w:val="clear" w:color="auto" w:fill="auto"/>
          </w:tcPr>
          <w:p w14:paraId="6160E230" w14:textId="77777777" w:rsidR="00F35D8D" w:rsidRPr="0078704A" w:rsidRDefault="00F35D8D" w:rsidP="00F35D8D">
            <w:pPr>
              <w:jc w:val="center"/>
              <w:rPr>
                <w:rFonts w:ascii="Arial Narrow" w:hAnsi="Arial Narrow" w:cs="Arial"/>
                <w:sz w:val="22"/>
                <w:szCs w:val="22"/>
              </w:rPr>
            </w:pPr>
            <w:r w:rsidRPr="0078704A">
              <w:rPr>
                <w:rFonts w:ascii="Arial Narrow" w:hAnsi="Arial Narrow" w:cs="Arial"/>
                <w:sz w:val="22"/>
                <w:szCs w:val="22"/>
              </w:rPr>
              <w:t>183</w:t>
            </w:r>
          </w:p>
        </w:tc>
        <w:tc>
          <w:tcPr>
            <w:tcW w:w="1642" w:type="dxa"/>
            <w:gridSpan w:val="2"/>
            <w:tcBorders>
              <w:top w:val="single" w:sz="4" w:space="0" w:color="auto"/>
              <w:bottom w:val="single" w:sz="4" w:space="0" w:color="auto"/>
              <w:right w:val="single" w:sz="4" w:space="0" w:color="auto"/>
            </w:tcBorders>
            <w:shd w:val="clear" w:color="auto" w:fill="auto"/>
          </w:tcPr>
          <w:p w14:paraId="5CD23D54" w14:textId="79CFF543" w:rsidR="00F35D8D" w:rsidRPr="004F3CAA" w:rsidRDefault="00F35D8D" w:rsidP="00F35D8D">
            <w:pPr>
              <w:jc w:val="center"/>
              <w:rPr>
                <w:rFonts w:ascii="Arial Narrow" w:hAnsi="Arial Narrow" w:cs="Arial"/>
                <w:sz w:val="22"/>
                <w:szCs w:val="22"/>
              </w:rPr>
            </w:pPr>
            <w:r w:rsidRPr="00996F4B">
              <w:rPr>
                <w:rFonts w:ascii="Arial Narrow" w:hAnsi="Arial Narrow" w:cs="Arial"/>
                <w:sz w:val="22"/>
                <w:szCs w:val="22"/>
              </w:rPr>
              <w:t>–</w:t>
            </w:r>
          </w:p>
        </w:tc>
      </w:tr>
    </w:tbl>
    <w:p w14:paraId="559D0386" w14:textId="77777777" w:rsidR="00396D68" w:rsidRPr="00E06CAE" w:rsidRDefault="00396D68" w:rsidP="00396D68">
      <w:pPr>
        <w:pStyle w:val="NormalWeb"/>
        <w:spacing w:before="0" w:beforeAutospacing="0" w:after="0" w:afterAutospacing="0"/>
        <w:jc w:val="both"/>
        <w:rPr>
          <w:rFonts w:ascii="Arial" w:hAnsi="Arial" w:cs="Arial"/>
          <w:sz w:val="22"/>
          <w:szCs w:val="22"/>
        </w:rPr>
      </w:pPr>
    </w:p>
    <w:p w14:paraId="039CFF14" w14:textId="03572933" w:rsidR="00396D68" w:rsidRPr="00E06CAE" w:rsidRDefault="007C423E" w:rsidP="00396D68">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 xml:space="preserve">As outlined in </w:t>
      </w:r>
      <w:r w:rsidR="0064654A">
        <w:rPr>
          <w:rFonts w:ascii="Arial" w:hAnsi="Arial" w:cs="Arial"/>
          <w:sz w:val="22"/>
          <w:szCs w:val="22"/>
        </w:rPr>
        <w:t>Table 5</w:t>
      </w:r>
      <w:r w:rsidRPr="00E06CAE">
        <w:rPr>
          <w:rFonts w:ascii="Arial" w:hAnsi="Arial" w:cs="Arial"/>
          <w:sz w:val="22"/>
          <w:szCs w:val="22"/>
        </w:rPr>
        <w:t xml:space="preserve"> from FY20-FY22, total </w:t>
      </w:r>
      <w:r w:rsidRPr="0078704A">
        <w:rPr>
          <w:rFonts w:ascii="Arial" w:hAnsi="Arial" w:cs="Arial"/>
          <w:sz w:val="22"/>
          <w:szCs w:val="22"/>
        </w:rPr>
        <w:t xml:space="preserve">MRI scan volume at BMC increased by </w:t>
      </w:r>
      <w:r w:rsidR="0078704A" w:rsidRPr="0078704A">
        <w:rPr>
          <w:rFonts w:ascii="Arial" w:hAnsi="Arial" w:cs="Arial"/>
          <w:sz w:val="22"/>
          <w:szCs w:val="22"/>
        </w:rPr>
        <w:t>28.9</w:t>
      </w:r>
      <w:r w:rsidRPr="0078704A">
        <w:rPr>
          <w:rFonts w:ascii="Arial" w:hAnsi="Arial" w:cs="Arial"/>
          <w:sz w:val="22"/>
          <w:szCs w:val="22"/>
        </w:rPr>
        <w:t xml:space="preserve">% (from </w:t>
      </w:r>
      <w:r w:rsidR="0078704A" w:rsidRPr="0078704A">
        <w:rPr>
          <w:rFonts w:ascii="Arial" w:hAnsi="Arial" w:cs="Arial"/>
          <w:sz w:val="22"/>
          <w:szCs w:val="22"/>
        </w:rPr>
        <w:t>18,100</w:t>
      </w:r>
      <w:r w:rsidRPr="0078704A">
        <w:rPr>
          <w:rFonts w:ascii="Arial" w:hAnsi="Arial" w:cs="Arial"/>
          <w:sz w:val="22"/>
          <w:szCs w:val="22"/>
        </w:rPr>
        <w:t xml:space="preserve"> scans in FY20 to </w:t>
      </w:r>
      <w:r w:rsidR="0078704A" w:rsidRPr="0078704A">
        <w:rPr>
          <w:rFonts w:ascii="Arial" w:hAnsi="Arial" w:cs="Arial"/>
          <w:sz w:val="22"/>
          <w:szCs w:val="22"/>
        </w:rPr>
        <w:t xml:space="preserve">23,331 </w:t>
      </w:r>
      <w:r w:rsidRPr="0078704A">
        <w:rPr>
          <w:rFonts w:ascii="Arial" w:hAnsi="Arial" w:cs="Arial"/>
          <w:sz w:val="22"/>
          <w:szCs w:val="22"/>
        </w:rPr>
        <w:t>scans in FY22).</w:t>
      </w:r>
      <w:r w:rsidRPr="00E06CAE">
        <w:rPr>
          <w:rFonts w:ascii="Arial" w:hAnsi="Arial" w:cs="Arial"/>
          <w:sz w:val="22"/>
          <w:szCs w:val="22"/>
        </w:rPr>
        <w:t xml:space="preserve"> In terms of origination, analytics from BMC’s Radiology </w:t>
      </w:r>
      <w:r w:rsidRPr="009B0BF7">
        <w:rPr>
          <w:rFonts w:ascii="Arial" w:hAnsi="Arial" w:cs="Arial"/>
          <w:sz w:val="22"/>
          <w:szCs w:val="22"/>
        </w:rPr>
        <w:t xml:space="preserve">Department for the last three </w:t>
      </w:r>
      <w:r w:rsidR="00F403F6" w:rsidRPr="009B0BF7">
        <w:rPr>
          <w:rFonts w:ascii="Arial" w:hAnsi="Arial" w:cs="Arial"/>
          <w:sz w:val="22"/>
          <w:szCs w:val="22"/>
        </w:rPr>
        <w:t xml:space="preserve">(3) </w:t>
      </w:r>
      <w:r w:rsidRPr="009B0BF7">
        <w:rPr>
          <w:rFonts w:ascii="Arial" w:hAnsi="Arial" w:cs="Arial"/>
          <w:sz w:val="22"/>
          <w:szCs w:val="22"/>
        </w:rPr>
        <w:t xml:space="preserve">fiscal years indicate the following: (1) approximately </w:t>
      </w:r>
      <w:r w:rsidR="00CC5362">
        <w:rPr>
          <w:rFonts w:ascii="Arial" w:hAnsi="Arial" w:cs="Arial"/>
          <w:sz w:val="22"/>
          <w:szCs w:val="22"/>
        </w:rPr>
        <w:t>21.3</w:t>
      </w:r>
      <w:r w:rsidRPr="009B0BF7">
        <w:rPr>
          <w:rFonts w:ascii="Arial" w:hAnsi="Arial" w:cs="Arial"/>
          <w:sz w:val="22"/>
          <w:szCs w:val="22"/>
        </w:rPr>
        <w:t>% of all MRIs ordered originate</w:t>
      </w:r>
      <w:r w:rsidR="00CD5B15">
        <w:rPr>
          <w:rFonts w:ascii="Arial" w:hAnsi="Arial" w:cs="Arial"/>
          <w:sz w:val="22"/>
          <w:szCs w:val="22"/>
        </w:rPr>
        <w:t>d</w:t>
      </w:r>
      <w:r w:rsidRPr="009B0BF7">
        <w:rPr>
          <w:rFonts w:ascii="Arial" w:hAnsi="Arial" w:cs="Arial"/>
          <w:sz w:val="22"/>
          <w:szCs w:val="22"/>
        </w:rPr>
        <w:t xml:space="preserve"> from inpatient services and </w:t>
      </w:r>
      <w:r w:rsidR="00747204">
        <w:rPr>
          <w:rFonts w:ascii="Arial" w:hAnsi="Arial" w:cs="Arial"/>
          <w:sz w:val="22"/>
          <w:szCs w:val="22"/>
        </w:rPr>
        <w:t>78.7</w:t>
      </w:r>
      <w:r w:rsidRPr="009B0BF7">
        <w:rPr>
          <w:rFonts w:ascii="Arial" w:hAnsi="Arial" w:cs="Arial"/>
          <w:sz w:val="22"/>
          <w:szCs w:val="22"/>
        </w:rPr>
        <w:t xml:space="preserve">% from outpatient referrals; (2) inpatient MRI scans increased by </w:t>
      </w:r>
      <w:r w:rsidR="004965F6">
        <w:rPr>
          <w:rFonts w:ascii="Arial" w:hAnsi="Arial" w:cs="Arial"/>
          <w:sz w:val="22"/>
          <w:szCs w:val="22"/>
        </w:rPr>
        <w:t>19.4</w:t>
      </w:r>
      <w:r w:rsidRPr="009B0BF7">
        <w:rPr>
          <w:rFonts w:ascii="Arial" w:hAnsi="Arial" w:cs="Arial"/>
          <w:sz w:val="22"/>
          <w:szCs w:val="22"/>
        </w:rPr>
        <w:t xml:space="preserve">% from FY20-22; and (3) outpatient MRI scans increased by </w:t>
      </w:r>
      <w:r w:rsidR="009E1952">
        <w:rPr>
          <w:rFonts w:ascii="Arial" w:hAnsi="Arial" w:cs="Arial"/>
          <w:sz w:val="22"/>
          <w:szCs w:val="22"/>
        </w:rPr>
        <w:t>31.7</w:t>
      </w:r>
      <w:r w:rsidRPr="009B0BF7">
        <w:rPr>
          <w:rFonts w:ascii="Arial" w:hAnsi="Arial" w:cs="Arial"/>
          <w:sz w:val="22"/>
          <w:szCs w:val="22"/>
        </w:rPr>
        <w:t>% during</w:t>
      </w:r>
      <w:r w:rsidRPr="00E06CAE">
        <w:rPr>
          <w:rFonts w:ascii="Arial" w:hAnsi="Arial" w:cs="Arial"/>
          <w:sz w:val="22"/>
          <w:szCs w:val="22"/>
        </w:rPr>
        <w:t xml:space="preserve"> the same time period. These</w:t>
      </w:r>
      <w:r w:rsidR="00396D68" w:rsidRPr="00E06CAE">
        <w:rPr>
          <w:rFonts w:ascii="Arial" w:hAnsi="Arial" w:cs="Arial"/>
          <w:sz w:val="22"/>
          <w:szCs w:val="22"/>
        </w:rPr>
        <w:t xml:space="preserve"> increase</w:t>
      </w:r>
      <w:r w:rsidRPr="00E06CAE">
        <w:rPr>
          <w:rFonts w:ascii="Arial" w:hAnsi="Arial" w:cs="Arial"/>
          <w:sz w:val="22"/>
          <w:szCs w:val="22"/>
        </w:rPr>
        <w:t>s</w:t>
      </w:r>
      <w:r w:rsidR="00396D68" w:rsidRPr="00E06CAE">
        <w:rPr>
          <w:rFonts w:ascii="Arial" w:hAnsi="Arial" w:cs="Arial"/>
          <w:sz w:val="22"/>
          <w:szCs w:val="22"/>
        </w:rPr>
        <w:t xml:space="preserve"> </w:t>
      </w:r>
      <w:r w:rsidRPr="00E06CAE">
        <w:rPr>
          <w:rFonts w:ascii="Arial" w:hAnsi="Arial" w:cs="Arial"/>
          <w:sz w:val="22"/>
          <w:szCs w:val="22"/>
        </w:rPr>
        <w:t>were</w:t>
      </w:r>
      <w:r w:rsidR="00396D68" w:rsidRPr="00E06CAE">
        <w:rPr>
          <w:rFonts w:ascii="Arial" w:hAnsi="Arial" w:cs="Arial"/>
          <w:sz w:val="22"/>
          <w:szCs w:val="22"/>
        </w:rPr>
        <w:t xml:space="preserve"> the result of increased clinical demand as well as </w:t>
      </w:r>
      <w:r w:rsidR="00CD5B15">
        <w:rPr>
          <w:rFonts w:ascii="Arial" w:hAnsi="Arial" w:cs="Arial"/>
          <w:sz w:val="22"/>
          <w:szCs w:val="22"/>
        </w:rPr>
        <w:t xml:space="preserve">the </w:t>
      </w:r>
      <w:r w:rsidR="00396D68" w:rsidRPr="00E06CAE">
        <w:rPr>
          <w:rFonts w:ascii="Arial" w:hAnsi="Arial" w:cs="Arial"/>
          <w:sz w:val="22"/>
          <w:szCs w:val="22"/>
        </w:rPr>
        <w:t xml:space="preserve">institution of various efficiency improvements which </w:t>
      </w:r>
      <w:r w:rsidR="00E566EB" w:rsidRPr="00E06CAE">
        <w:rPr>
          <w:rFonts w:ascii="Arial" w:hAnsi="Arial" w:cs="Arial"/>
          <w:sz w:val="22"/>
          <w:szCs w:val="22"/>
        </w:rPr>
        <w:t xml:space="preserve">resulted in improved throughput </w:t>
      </w:r>
      <w:r w:rsidR="00396D68" w:rsidRPr="00E06CAE">
        <w:rPr>
          <w:rFonts w:ascii="Arial" w:hAnsi="Arial" w:cs="Arial"/>
          <w:sz w:val="22"/>
          <w:szCs w:val="22"/>
        </w:rPr>
        <w:t xml:space="preserve">and increased </w:t>
      </w:r>
      <w:r w:rsidR="00AD561A" w:rsidRPr="00E06CAE">
        <w:rPr>
          <w:rFonts w:ascii="Arial" w:hAnsi="Arial" w:cs="Arial"/>
          <w:sz w:val="22"/>
          <w:szCs w:val="22"/>
        </w:rPr>
        <w:t>availability</w:t>
      </w:r>
      <w:r w:rsidR="00E566EB" w:rsidRPr="00E06CAE">
        <w:rPr>
          <w:rFonts w:ascii="Arial" w:hAnsi="Arial" w:cs="Arial"/>
          <w:sz w:val="22"/>
          <w:szCs w:val="22"/>
        </w:rPr>
        <w:t xml:space="preserve"> and included the following:</w:t>
      </w:r>
    </w:p>
    <w:p w14:paraId="38F25C1C" w14:textId="77777777" w:rsidR="00E566EB" w:rsidRPr="00E06CAE" w:rsidRDefault="00E566EB">
      <w:pPr>
        <w:pStyle w:val="NormalWeb"/>
        <w:numPr>
          <w:ilvl w:val="0"/>
          <w:numId w:val="31"/>
        </w:numPr>
        <w:spacing w:before="0" w:beforeAutospacing="0" w:after="0" w:afterAutospacing="0"/>
        <w:jc w:val="both"/>
        <w:rPr>
          <w:rFonts w:ascii="Arial" w:hAnsi="Arial" w:cs="Arial"/>
          <w:sz w:val="22"/>
          <w:szCs w:val="22"/>
        </w:rPr>
      </w:pPr>
      <w:r w:rsidRPr="00E06CAE">
        <w:rPr>
          <w:rFonts w:ascii="Arial" w:hAnsi="Arial" w:cs="Arial"/>
          <w:sz w:val="22"/>
          <w:szCs w:val="22"/>
        </w:rPr>
        <w:t>FY19: Weekend outpatient hours established on Saturday and Sunday, 7AM-7:30PM;</w:t>
      </w:r>
    </w:p>
    <w:p w14:paraId="44C480B4" w14:textId="77777777" w:rsidR="00E566EB" w:rsidRPr="00E06CAE" w:rsidRDefault="00E566EB">
      <w:pPr>
        <w:pStyle w:val="NormalWeb"/>
        <w:numPr>
          <w:ilvl w:val="0"/>
          <w:numId w:val="31"/>
        </w:numPr>
        <w:spacing w:before="0" w:beforeAutospacing="0" w:after="0" w:afterAutospacing="0"/>
        <w:jc w:val="both"/>
        <w:rPr>
          <w:rFonts w:ascii="Arial" w:hAnsi="Arial" w:cs="Arial"/>
          <w:sz w:val="22"/>
          <w:szCs w:val="22"/>
        </w:rPr>
      </w:pPr>
      <w:r w:rsidRPr="00E06CAE">
        <w:rPr>
          <w:rFonts w:ascii="Arial" w:hAnsi="Arial" w:cs="Arial"/>
          <w:sz w:val="22"/>
          <w:szCs w:val="22"/>
        </w:rPr>
        <w:t>March 2020: Routine inpatients scheduled during overnight shifts (while not an ideal practice in the industry, BMC ensures that patients’ screening processes are completed and staffs the overnight shift with two technologists);</w:t>
      </w:r>
    </w:p>
    <w:p w14:paraId="418A4DC3" w14:textId="77777777" w:rsidR="00E566EB" w:rsidRPr="00E06CAE" w:rsidRDefault="00E566EB">
      <w:pPr>
        <w:pStyle w:val="NormalWeb"/>
        <w:numPr>
          <w:ilvl w:val="0"/>
          <w:numId w:val="31"/>
        </w:numPr>
        <w:spacing w:before="0" w:beforeAutospacing="0" w:after="0" w:afterAutospacing="0"/>
        <w:jc w:val="both"/>
        <w:rPr>
          <w:rFonts w:ascii="Arial" w:hAnsi="Arial" w:cs="Arial"/>
          <w:sz w:val="22"/>
          <w:szCs w:val="22"/>
        </w:rPr>
      </w:pPr>
      <w:r w:rsidRPr="00E06CAE">
        <w:rPr>
          <w:rFonts w:ascii="Arial" w:hAnsi="Arial" w:cs="Arial"/>
          <w:sz w:val="22"/>
          <w:szCs w:val="22"/>
        </w:rPr>
        <w:t xml:space="preserve">April 2022: Evening outpatient hours extended, Monday-Friday from 7AM-9:30PM; and </w:t>
      </w:r>
    </w:p>
    <w:p w14:paraId="71D5F98B" w14:textId="77777777" w:rsidR="00E566EB" w:rsidRPr="00E06CAE" w:rsidRDefault="00E566EB">
      <w:pPr>
        <w:pStyle w:val="NormalWeb"/>
        <w:numPr>
          <w:ilvl w:val="0"/>
          <w:numId w:val="31"/>
        </w:numPr>
        <w:spacing w:before="0" w:beforeAutospacing="0" w:after="0" w:afterAutospacing="0"/>
        <w:jc w:val="both"/>
        <w:rPr>
          <w:rFonts w:ascii="Arial" w:hAnsi="Arial" w:cs="Arial"/>
          <w:sz w:val="22"/>
          <w:szCs w:val="22"/>
        </w:rPr>
      </w:pPr>
      <w:r w:rsidRPr="00E06CAE">
        <w:rPr>
          <w:rFonts w:ascii="Arial" w:hAnsi="Arial" w:cs="Arial"/>
          <w:sz w:val="22"/>
          <w:szCs w:val="22"/>
        </w:rPr>
        <w:t>October 2022: Protocol clean-up brought throughput to faster than industry standards (30-minute slots versus 40-minute slots for some).</w:t>
      </w:r>
    </w:p>
    <w:p w14:paraId="38D3432E" w14:textId="77777777" w:rsidR="00396D68" w:rsidRPr="00E06CAE" w:rsidRDefault="00396D68" w:rsidP="0054113A">
      <w:pPr>
        <w:pStyle w:val="NormalWeb"/>
        <w:spacing w:before="0" w:beforeAutospacing="0" w:after="0" w:afterAutospacing="0"/>
        <w:jc w:val="both"/>
        <w:rPr>
          <w:rFonts w:ascii="Arial" w:hAnsi="Arial" w:cs="Arial"/>
          <w:sz w:val="22"/>
          <w:szCs w:val="22"/>
        </w:rPr>
      </w:pPr>
    </w:p>
    <w:p w14:paraId="1BC514F4" w14:textId="49A5AFF1" w:rsidR="001B5A47" w:rsidRPr="00E06CAE" w:rsidRDefault="00C45C18" w:rsidP="00325FB3">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 xml:space="preserve">Notwithstanding this improvement work, however, </w:t>
      </w:r>
      <w:r w:rsidR="00325FB3" w:rsidRPr="00E06CAE">
        <w:rPr>
          <w:rFonts w:ascii="Arial" w:hAnsi="Arial" w:cs="Arial"/>
          <w:sz w:val="22"/>
          <w:szCs w:val="22"/>
        </w:rPr>
        <w:t xml:space="preserve">the increased demand for MRI services has impacted utilization of BMC’s existing MRI units, </w:t>
      </w:r>
      <w:r w:rsidR="00325FB3" w:rsidRPr="00CB1757">
        <w:rPr>
          <w:rFonts w:ascii="Arial" w:hAnsi="Arial" w:cs="Arial"/>
          <w:sz w:val="22"/>
          <w:szCs w:val="22"/>
        </w:rPr>
        <w:t xml:space="preserve">leading to high operating capacity and extended wait times. In FY22, </w:t>
      </w:r>
      <w:r w:rsidR="004F1CDE" w:rsidRPr="00CB1757">
        <w:rPr>
          <w:rFonts w:ascii="Arial" w:hAnsi="Arial" w:cs="Arial"/>
          <w:sz w:val="22"/>
          <w:szCs w:val="22"/>
        </w:rPr>
        <w:t xml:space="preserve">all three (3) of the </w:t>
      </w:r>
      <w:r w:rsidR="00DB38B0" w:rsidRPr="00CB1757">
        <w:rPr>
          <w:rFonts w:ascii="Arial" w:hAnsi="Arial" w:cs="Arial"/>
          <w:sz w:val="22"/>
          <w:szCs w:val="22"/>
        </w:rPr>
        <w:t xml:space="preserve">Hospital’s </w:t>
      </w:r>
      <w:r w:rsidR="004F1CDE" w:rsidRPr="00CB1757">
        <w:rPr>
          <w:rFonts w:ascii="Arial" w:hAnsi="Arial" w:cs="Arial"/>
          <w:sz w:val="22"/>
          <w:szCs w:val="22"/>
        </w:rPr>
        <w:t>existing units</w:t>
      </w:r>
      <w:r w:rsidR="00DB38B0" w:rsidRPr="00CB1757">
        <w:rPr>
          <w:rFonts w:ascii="Arial" w:hAnsi="Arial" w:cs="Arial"/>
          <w:sz w:val="22"/>
          <w:szCs w:val="22"/>
        </w:rPr>
        <w:t xml:space="preserve"> operated at </w:t>
      </w:r>
      <w:r w:rsidR="00CB1757" w:rsidRPr="00CB1757">
        <w:rPr>
          <w:rFonts w:ascii="Arial" w:hAnsi="Arial" w:cs="Arial"/>
          <w:sz w:val="22"/>
          <w:szCs w:val="22"/>
        </w:rPr>
        <w:t xml:space="preserve">greater than </w:t>
      </w:r>
      <w:r w:rsidR="004F1CDE" w:rsidRPr="00CB1757">
        <w:rPr>
          <w:rFonts w:ascii="Arial" w:hAnsi="Arial" w:cs="Arial"/>
          <w:sz w:val="22"/>
          <w:szCs w:val="22"/>
        </w:rPr>
        <w:t>90</w:t>
      </w:r>
      <w:r w:rsidR="00DB38B0" w:rsidRPr="00CB1757">
        <w:rPr>
          <w:rFonts w:ascii="Arial" w:hAnsi="Arial" w:cs="Arial"/>
          <w:sz w:val="22"/>
          <w:szCs w:val="22"/>
        </w:rPr>
        <w:t xml:space="preserve">% </w:t>
      </w:r>
      <w:r w:rsidR="00CB1757" w:rsidRPr="00CB1757">
        <w:rPr>
          <w:rFonts w:ascii="Arial" w:hAnsi="Arial" w:cs="Arial"/>
          <w:sz w:val="22"/>
          <w:szCs w:val="22"/>
        </w:rPr>
        <w:t>capacity (approximately 93%).</w:t>
      </w:r>
      <w:r w:rsidR="00DB38B0" w:rsidRPr="00CB1757">
        <w:rPr>
          <w:rFonts w:ascii="Arial" w:hAnsi="Arial" w:cs="Arial"/>
          <w:sz w:val="22"/>
          <w:szCs w:val="22"/>
        </w:rPr>
        <w:t xml:space="preserve"> This high utilization has resulted in long wait times for services. For instance, in FY22, </w:t>
      </w:r>
      <w:r w:rsidR="0054113A" w:rsidRPr="00CB1757">
        <w:rPr>
          <w:rFonts w:ascii="Arial" w:hAnsi="Arial" w:cs="Arial"/>
          <w:sz w:val="22"/>
          <w:szCs w:val="22"/>
        </w:rPr>
        <w:t>in</w:t>
      </w:r>
      <w:r w:rsidR="00DB38B0" w:rsidRPr="00CB1757">
        <w:rPr>
          <w:rFonts w:ascii="Arial" w:hAnsi="Arial" w:cs="Arial"/>
          <w:sz w:val="22"/>
          <w:szCs w:val="22"/>
        </w:rPr>
        <w:t xml:space="preserve">patients seeking MRI services at BMC faced average wait times of </w:t>
      </w:r>
      <w:r w:rsidR="00FD4CDA" w:rsidRPr="00CB1757">
        <w:rPr>
          <w:rFonts w:ascii="Arial" w:hAnsi="Arial" w:cs="Arial"/>
          <w:sz w:val="22"/>
          <w:szCs w:val="22"/>
        </w:rPr>
        <w:t>8.5</w:t>
      </w:r>
      <w:r w:rsidR="00DB38B0" w:rsidRPr="00CB1757">
        <w:rPr>
          <w:rFonts w:ascii="Arial" w:hAnsi="Arial" w:cs="Arial"/>
          <w:sz w:val="22"/>
          <w:szCs w:val="22"/>
        </w:rPr>
        <w:t xml:space="preserve"> hours and</w:t>
      </w:r>
      <w:r w:rsidR="0054113A" w:rsidRPr="00CB1757">
        <w:rPr>
          <w:rFonts w:ascii="Arial" w:hAnsi="Arial" w:cs="Arial"/>
          <w:sz w:val="22"/>
          <w:szCs w:val="22"/>
        </w:rPr>
        <w:t xml:space="preserve"> patients seeking outpatient MRI services faced average wait times of</w:t>
      </w:r>
      <w:r w:rsidR="00DB38B0" w:rsidRPr="00CB1757">
        <w:rPr>
          <w:rFonts w:ascii="Arial" w:hAnsi="Arial" w:cs="Arial"/>
          <w:sz w:val="22"/>
          <w:szCs w:val="22"/>
        </w:rPr>
        <w:t xml:space="preserve"> </w:t>
      </w:r>
      <w:r w:rsidR="00FD4CDA" w:rsidRPr="00CB1757">
        <w:rPr>
          <w:rFonts w:ascii="Arial" w:hAnsi="Arial" w:cs="Arial"/>
          <w:sz w:val="22"/>
          <w:szCs w:val="22"/>
        </w:rPr>
        <w:t>50</w:t>
      </w:r>
      <w:r w:rsidR="00DB38B0" w:rsidRPr="00CB1757">
        <w:rPr>
          <w:rFonts w:ascii="Arial" w:hAnsi="Arial" w:cs="Arial"/>
          <w:sz w:val="22"/>
          <w:szCs w:val="22"/>
        </w:rPr>
        <w:t xml:space="preserve"> days</w:t>
      </w:r>
      <w:r w:rsidR="0054113A" w:rsidRPr="00CB1757">
        <w:rPr>
          <w:rFonts w:ascii="Arial" w:hAnsi="Arial" w:cs="Arial"/>
          <w:sz w:val="22"/>
          <w:szCs w:val="22"/>
        </w:rPr>
        <w:t xml:space="preserve">, which is </w:t>
      </w:r>
      <w:r w:rsidR="006E0EAA" w:rsidRPr="00CB1757">
        <w:rPr>
          <w:rFonts w:ascii="Arial" w:hAnsi="Arial" w:cs="Arial"/>
          <w:sz w:val="22"/>
          <w:szCs w:val="22"/>
        </w:rPr>
        <w:t>20 days greater than</w:t>
      </w:r>
      <w:r w:rsidR="0054113A" w:rsidRPr="00CB1757">
        <w:rPr>
          <w:rFonts w:ascii="Arial" w:hAnsi="Arial" w:cs="Arial"/>
          <w:sz w:val="22"/>
          <w:szCs w:val="22"/>
        </w:rPr>
        <w:t xml:space="preserve"> the target</w:t>
      </w:r>
      <w:r w:rsidR="00DB38B0" w:rsidRPr="00CB1757">
        <w:rPr>
          <w:rFonts w:ascii="Arial" w:hAnsi="Arial" w:cs="Arial"/>
          <w:sz w:val="22"/>
          <w:szCs w:val="22"/>
        </w:rPr>
        <w:t>.</w:t>
      </w:r>
      <w:r w:rsidR="00BF5D32" w:rsidRPr="00CB1757">
        <w:rPr>
          <w:rStyle w:val="FootnoteReference"/>
          <w:rFonts w:ascii="Arial" w:hAnsi="Arial" w:cs="Arial"/>
          <w:sz w:val="22"/>
          <w:szCs w:val="22"/>
        </w:rPr>
        <w:footnoteReference w:id="26"/>
      </w:r>
      <w:r w:rsidR="006E0EAA" w:rsidRPr="00CB1757">
        <w:rPr>
          <w:rFonts w:ascii="Arial" w:hAnsi="Arial" w:cs="Arial"/>
          <w:sz w:val="22"/>
          <w:szCs w:val="22"/>
        </w:rPr>
        <w:t xml:space="preserve"> </w:t>
      </w:r>
      <w:r w:rsidR="00D757DF" w:rsidRPr="00CB1757">
        <w:rPr>
          <w:rFonts w:ascii="Arial" w:hAnsi="Arial" w:cs="Arial"/>
          <w:sz w:val="22"/>
          <w:szCs w:val="22"/>
        </w:rPr>
        <w:t>These delays lead to longer lengths of stay for inpatients</w:t>
      </w:r>
      <w:r w:rsidR="00485366">
        <w:rPr>
          <w:rFonts w:ascii="Arial" w:hAnsi="Arial" w:cs="Arial"/>
          <w:sz w:val="22"/>
          <w:szCs w:val="22"/>
        </w:rPr>
        <w:t>,</w:t>
      </w:r>
      <w:r w:rsidR="00D757DF" w:rsidRPr="00E06CAE">
        <w:rPr>
          <w:rFonts w:ascii="Arial" w:hAnsi="Arial" w:cs="Arial"/>
          <w:sz w:val="22"/>
          <w:szCs w:val="22"/>
        </w:rPr>
        <w:t xml:space="preserve"> as well as delays in diagnosis and treatment for inpatients and outpatients alike, all of which can lead to higher costs and poorer clinical outcomes for BMC’s patients.</w:t>
      </w:r>
    </w:p>
    <w:p w14:paraId="72C194ED" w14:textId="77777777" w:rsidR="001B5A47" w:rsidRPr="00E06CAE" w:rsidRDefault="001B5A47" w:rsidP="00325FB3">
      <w:pPr>
        <w:pStyle w:val="NormalWeb"/>
        <w:spacing w:before="0" w:beforeAutospacing="0" w:after="0" w:afterAutospacing="0"/>
        <w:jc w:val="both"/>
        <w:rPr>
          <w:rFonts w:ascii="Arial" w:hAnsi="Arial" w:cs="Arial"/>
          <w:sz w:val="22"/>
          <w:szCs w:val="22"/>
        </w:rPr>
      </w:pPr>
    </w:p>
    <w:p w14:paraId="077B4276" w14:textId="61F663B2" w:rsidR="008D3444" w:rsidRDefault="004D2382" w:rsidP="00AD1D75">
      <w:pPr>
        <w:pStyle w:val="NormalWeb"/>
        <w:spacing w:before="0" w:beforeAutospacing="0" w:after="0" w:afterAutospacing="0"/>
        <w:jc w:val="both"/>
        <w:rPr>
          <w:rFonts w:ascii="Arial" w:hAnsi="Arial" w:cs="Arial"/>
          <w:sz w:val="22"/>
          <w:szCs w:val="22"/>
        </w:rPr>
      </w:pPr>
      <w:r w:rsidRPr="00E06CAE">
        <w:rPr>
          <w:rFonts w:ascii="Arial" w:hAnsi="Arial" w:cs="Arial"/>
          <w:sz w:val="22"/>
          <w:szCs w:val="22"/>
        </w:rPr>
        <w:t>Further c</w:t>
      </w:r>
      <w:r w:rsidR="002D1D94" w:rsidRPr="00E06CAE">
        <w:rPr>
          <w:rFonts w:ascii="Arial" w:hAnsi="Arial" w:cs="Arial"/>
          <w:sz w:val="22"/>
          <w:szCs w:val="22"/>
        </w:rPr>
        <w:t>ompounding the issue</w:t>
      </w:r>
      <w:r w:rsidR="00813BB9" w:rsidRPr="00E06CAE">
        <w:rPr>
          <w:rFonts w:ascii="Arial" w:hAnsi="Arial" w:cs="Arial"/>
          <w:sz w:val="22"/>
          <w:szCs w:val="22"/>
        </w:rPr>
        <w:t xml:space="preserve"> </w:t>
      </w:r>
      <w:r w:rsidR="00A742CE" w:rsidRPr="00E06CAE">
        <w:rPr>
          <w:rFonts w:ascii="Arial" w:hAnsi="Arial" w:cs="Arial"/>
          <w:sz w:val="22"/>
          <w:szCs w:val="22"/>
        </w:rPr>
        <w:t xml:space="preserve">are concerns related to downtime and system reliability. </w:t>
      </w:r>
      <w:r w:rsidR="00217C53" w:rsidRPr="00E06CAE">
        <w:rPr>
          <w:rFonts w:ascii="Arial" w:hAnsi="Arial" w:cs="Arial"/>
          <w:sz w:val="22"/>
          <w:szCs w:val="22"/>
        </w:rPr>
        <w:t>Specifically, two (2) of BMC’s existing three (3) MRI units experience periodic unscheduled downtime. This is due to age – the existing 1.5T MRI unit is a 16-year-old unit at risk of failure – as well as system-related problems – one (1) of the Hospital’s existing 3T MRI units is a problematic machine with a history of elevated downtime hours.</w:t>
      </w:r>
      <w:r w:rsidR="00842AD7" w:rsidRPr="00E06CAE">
        <w:rPr>
          <w:rFonts w:ascii="Arial" w:hAnsi="Arial" w:cs="Arial"/>
          <w:sz w:val="22"/>
          <w:szCs w:val="22"/>
        </w:rPr>
        <w:t xml:space="preserve"> </w:t>
      </w:r>
      <w:r w:rsidR="00DC4801" w:rsidRPr="00E06CAE">
        <w:rPr>
          <w:rFonts w:ascii="Arial" w:hAnsi="Arial" w:cs="Arial"/>
          <w:sz w:val="22"/>
          <w:szCs w:val="22"/>
        </w:rPr>
        <w:t xml:space="preserve">Industry standard downtime for MRIs is 30-60 hours per year. In FY22, BMC’s MRI downtime far-exceeded this standard, with 624 hours of downtime. Preliminary data for FY23 suggest that this problem continues – FY23 </w:t>
      </w:r>
      <w:r w:rsidR="002302CF" w:rsidRPr="00E06CAE">
        <w:rPr>
          <w:rFonts w:ascii="Arial" w:hAnsi="Arial" w:cs="Arial"/>
          <w:sz w:val="22"/>
          <w:szCs w:val="22"/>
        </w:rPr>
        <w:t xml:space="preserve">data </w:t>
      </w:r>
      <w:r w:rsidR="00DC4801" w:rsidRPr="00E06CAE">
        <w:rPr>
          <w:rFonts w:ascii="Arial" w:hAnsi="Arial" w:cs="Arial"/>
          <w:sz w:val="22"/>
          <w:szCs w:val="22"/>
        </w:rPr>
        <w:t xml:space="preserve">YTD through February 2023 indicate the Hospital’s MRI units </w:t>
      </w:r>
      <w:r w:rsidR="00CB1757">
        <w:rPr>
          <w:rFonts w:ascii="Arial" w:hAnsi="Arial" w:cs="Arial"/>
          <w:sz w:val="22"/>
          <w:szCs w:val="22"/>
        </w:rPr>
        <w:t xml:space="preserve">(2 of the 3 units) </w:t>
      </w:r>
      <w:r w:rsidR="00DC4801" w:rsidRPr="00E06CAE">
        <w:rPr>
          <w:rFonts w:ascii="Arial" w:hAnsi="Arial" w:cs="Arial"/>
          <w:sz w:val="22"/>
          <w:szCs w:val="22"/>
        </w:rPr>
        <w:t xml:space="preserve">have already </w:t>
      </w:r>
      <w:r w:rsidR="002302CF" w:rsidRPr="00E06CAE">
        <w:rPr>
          <w:rFonts w:ascii="Arial" w:hAnsi="Arial" w:cs="Arial"/>
          <w:sz w:val="22"/>
          <w:szCs w:val="22"/>
        </w:rPr>
        <w:t>experienced 120 hours of downtime.</w:t>
      </w:r>
      <w:r w:rsidR="008D3444" w:rsidRPr="00E06CAE">
        <w:rPr>
          <w:rFonts w:ascii="Arial" w:hAnsi="Arial" w:cs="Arial"/>
          <w:sz w:val="22"/>
          <w:szCs w:val="22"/>
        </w:rPr>
        <w:t xml:space="preserve"> When the units experience downtime, patients experience delays in </w:t>
      </w:r>
      <w:r w:rsidR="00D757DF" w:rsidRPr="00E06CAE">
        <w:rPr>
          <w:rFonts w:ascii="Arial" w:hAnsi="Arial" w:cs="Arial"/>
          <w:sz w:val="22"/>
          <w:szCs w:val="22"/>
        </w:rPr>
        <w:t>imaging, which negatively impacts health care costs and outcomes for BMC’s patients</w:t>
      </w:r>
      <w:r w:rsidR="008D3444" w:rsidRPr="00E06CAE">
        <w:rPr>
          <w:rFonts w:ascii="Arial" w:hAnsi="Arial" w:cs="Arial"/>
          <w:sz w:val="22"/>
          <w:szCs w:val="22"/>
        </w:rPr>
        <w:t>. For instance, it is estimated that approximately 400 patients were impacted by the downtime issues in FY22 and approximately 100 patients have been impacted by the downtime issues YTD in FY23.</w:t>
      </w:r>
    </w:p>
    <w:p w14:paraId="1EB14DCF" w14:textId="77777777" w:rsidR="00D84A05" w:rsidRPr="00E06CAE" w:rsidRDefault="00D84A05" w:rsidP="00AD1D75">
      <w:pPr>
        <w:pStyle w:val="NormalWeb"/>
        <w:spacing w:before="0" w:beforeAutospacing="0" w:after="0" w:afterAutospacing="0"/>
        <w:jc w:val="both"/>
        <w:rPr>
          <w:rFonts w:ascii="Arial" w:hAnsi="Arial" w:cs="Arial"/>
          <w:sz w:val="22"/>
          <w:szCs w:val="22"/>
          <w:u w:val="single"/>
        </w:rPr>
      </w:pPr>
    </w:p>
    <w:p w14:paraId="1302C6BC" w14:textId="77777777" w:rsidR="00813BB9" w:rsidRPr="0088535C" w:rsidRDefault="003D5F14" w:rsidP="00AD1D75">
      <w:pPr>
        <w:pStyle w:val="NormalWeb"/>
        <w:numPr>
          <w:ilvl w:val="0"/>
          <w:numId w:val="4"/>
        </w:numPr>
        <w:spacing w:before="0" w:beforeAutospacing="0" w:after="0" w:afterAutospacing="0"/>
        <w:ind w:left="360"/>
        <w:jc w:val="both"/>
        <w:rPr>
          <w:rFonts w:ascii="Arial" w:hAnsi="Arial" w:cs="Arial"/>
          <w:sz w:val="22"/>
          <w:szCs w:val="22"/>
        </w:rPr>
      </w:pPr>
      <w:r w:rsidRPr="0088535C">
        <w:rPr>
          <w:rFonts w:ascii="Arial" w:hAnsi="Arial" w:cs="Arial"/>
          <w:smallCaps/>
          <w:sz w:val="22"/>
          <w:szCs w:val="22"/>
          <w:u w:val="single"/>
        </w:rPr>
        <w:t xml:space="preserve">Projected MRI Demand and </w:t>
      </w:r>
      <w:r w:rsidR="0088535C" w:rsidRPr="0088535C">
        <w:rPr>
          <w:rFonts w:ascii="Arial" w:hAnsi="Arial" w:cs="Arial"/>
          <w:smallCaps/>
          <w:sz w:val="22"/>
          <w:szCs w:val="22"/>
          <w:u w:val="single"/>
        </w:rPr>
        <w:t xml:space="preserve">Related Concerns </w:t>
      </w:r>
    </w:p>
    <w:p w14:paraId="6C8EC72D" w14:textId="77777777" w:rsidR="0088535C" w:rsidRPr="0088535C" w:rsidRDefault="0088535C" w:rsidP="00AD1D75">
      <w:pPr>
        <w:pStyle w:val="NormalWeb"/>
        <w:spacing w:before="0" w:beforeAutospacing="0" w:after="0" w:afterAutospacing="0"/>
        <w:ind w:left="360"/>
        <w:jc w:val="both"/>
        <w:rPr>
          <w:rFonts w:ascii="Arial" w:hAnsi="Arial" w:cs="Arial"/>
          <w:sz w:val="22"/>
          <w:szCs w:val="22"/>
        </w:rPr>
      </w:pPr>
    </w:p>
    <w:p w14:paraId="3C7C01FC" w14:textId="77777777" w:rsidR="00EE0940" w:rsidRPr="00631941" w:rsidRDefault="00EE0940" w:rsidP="00EE0940">
      <w:pPr>
        <w:pStyle w:val="NormalWeb"/>
        <w:spacing w:before="0" w:beforeAutospacing="0" w:after="0" w:afterAutospacing="0"/>
        <w:jc w:val="both"/>
        <w:rPr>
          <w:rFonts w:ascii="Arial" w:hAnsi="Arial" w:cs="Arial"/>
          <w:color w:val="000000" w:themeColor="text1"/>
          <w:sz w:val="22"/>
          <w:szCs w:val="22"/>
        </w:rPr>
      </w:pPr>
      <w:r w:rsidRPr="000B5A88">
        <w:rPr>
          <w:rFonts w:ascii="ArialMT" w:hAnsi="ArialMT"/>
          <w:sz w:val="22"/>
          <w:szCs w:val="22"/>
        </w:rPr>
        <w:t xml:space="preserve">The Hospital anticipates that demand for </w:t>
      </w:r>
      <w:r w:rsidR="00134365" w:rsidRPr="000B5A88">
        <w:rPr>
          <w:rFonts w:ascii="ArialMT" w:hAnsi="ArialMT"/>
          <w:sz w:val="22"/>
          <w:szCs w:val="22"/>
        </w:rPr>
        <w:t>MRI services</w:t>
      </w:r>
      <w:r w:rsidRPr="000B5A88">
        <w:rPr>
          <w:rFonts w:ascii="ArialMT" w:hAnsi="ArialMT"/>
          <w:sz w:val="22"/>
          <w:szCs w:val="22"/>
        </w:rPr>
        <w:t xml:space="preserve"> will continue to </w:t>
      </w:r>
      <w:r w:rsidRPr="000C289B">
        <w:rPr>
          <w:rFonts w:ascii="ArialMT" w:hAnsi="ArialMT"/>
          <w:sz w:val="22"/>
          <w:szCs w:val="22"/>
        </w:rPr>
        <w:t xml:space="preserve">grow into the future. </w:t>
      </w:r>
      <w:r w:rsidR="004E5059">
        <w:rPr>
          <w:rFonts w:ascii="ArialMT" w:hAnsi="ArialMT"/>
          <w:sz w:val="22"/>
          <w:szCs w:val="22"/>
        </w:rPr>
        <w:t>P</w:t>
      </w:r>
      <w:r w:rsidR="00631941" w:rsidRPr="000C289B">
        <w:rPr>
          <w:rFonts w:ascii="ArialMT" w:hAnsi="ArialMT"/>
          <w:sz w:val="22"/>
          <w:szCs w:val="22"/>
        </w:rPr>
        <w:t>rojected demand is based on several factors</w:t>
      </w:r>
      <w:r w:rsidR="00B25AF6" w:rsidRPr="000C289B">
        <w:rPr>
          <w:rFonts w:ascii="ArialMT" w:hAnsi="ArialMT"/>
          <w:sz w:val="22"/>
          <w:szCs w:val="22"/>
        </w:rPr>
        <w:t xml:space="preserve"> </w:t>
      </w:r>
      <w:r w:rsidR="00631941" w:rsidRPr="000C289B">
        <w:rPr>
          <w:rFonts w:ascii="ArialMT" w:hAnsi="ArialMT"/>
          <w:sz w:val="22"/>
          <w:szCs w:val="22"/>
        </w:rPr>
        <w:t>including</w:t>
      </w:r>
      <w:r w:rsidR="00B25AF6" w:rsidRPr="000C289B">
        <w:rPr>
          <w:rFonts w:ascii="ArialMT" w:hAnsi="ArialMT"/>
          <w:sz w:val="22"/>
          <w:szCs w:val="22"/>
        </w:rPr>
        <w:t>,</w:t>
      </w:r>
      <w:r w:rsidR="00631941" w:rsidRPr="000C289B">
        <w:rPr>
          <w:rFonts w:ascii="ArialMT" w:hAnsi="ArialMT"/>
          <w:sz w:val="22"/>
          <w:szCs w:val="22"/>
        </w:rPr>
        <w:t xml:space="preserve"> </w:t>
      </w:r>
      <w:r w:rsidR="00B25AF6" w:rsidRPr="000C289B">
        <w:rPr>
          <w:rFonts w:ascii="ArialMT" w:hAnsi="ArialMT"/>
          <w:sz w:val="22"/>
          <w:szCs w:val="22"/>
        </w:rPr>
        <w:t xml:space="preserve">but not limited to, </w:t>
      </w:r>
      <w:r w:rsidR="008805B1" w:rsidRPr="000C289B">
        <w:rPr>
          <w:rFonts w:ascii="ArialMT" w:hAnsi="ArialMT"/>
          <w:sz w:val="22"/>
          <w:szCs w:val="22"/>
        </w:rPr>
        <w:t xml:space="preserve">the </w:t>
      </w:r>
      <w:r w:rsidR="00631941" w:rsidRPr="000C289B">
        <w:rPr>
          <w:rFonts w:ascii="ArialMT" w:hAnsi="ArialMT"/>
          <w:sz w:val="22"/>
          <w:szCs w:val="22"/>
        </w:rPr>
        <w:t xml:space="preserve">historic trends </w:t>
      </w:r>
      <w:r w:rsidR="00117A76" w:rsidRPr="000C289B">
        <w:rPr>
          <w:rFonts w:ascii="ArialMT" w:hAnsi="ArialMT"/>
          <w:sz w:val="22"/>
          <w:szCs w:val="22"/>
        </w:rPr>
        <w:t xml:space="preserve">and </w:t>
      </w:r>
      <w:r w:rsidR="00117A76" w:rsidRPr="000C289B">
        <w:rPr>
          <w:rFonts w:ascii="ArialMT" w:hAnsi="ArialMT"/>
          <w:sz w:val="22"/>
          <w:szCs w:val="22"/>
        </w:rPr>
        <w:lastRenderedPageBreak/>
        <w:t xml:space="preserve">downtime issues </w:t>
      </w:r>
      <w:r w:rsidR="00631941" w:rsidRPr="000C289B">
        <w:rPr>
          <w:rFonts w:ascii="ArialMT" w:hAnsi="ArialMT"/>
          <w:sz w:val="22"/>
          <w:szCs w:val="22"/>
        </w:rPr>
        <w:t>outlined above, a growing and aging population, BMC’s status as a safety net hospital</w:t>
      </w:r>
      <w:r w:rsidR="00631941" w:rsidRPr="00063251">
        <w:rPr>
          <w:rFonts w:ascii="ArialMT" w:hAnsi="ArialMT"/>
          <w:sz w:val="22"/>
          <w:szCs w:val="22"/>
        </w:rPr>
        <w:t xml:space="preserve">, and the Hospital’s plans to implement </w:t>
      </w:r>
      <w:r w:rsidR="00631941" w:rsidRPr="00063251">
        <w:rPr>
          <w:rFonts w:ascii="Arial" w:hAnsi="Arial" w:cs="Arial"/>
          <w:color w:val="000000" w:themeColor="text1"/>
          <w:sz w:val="22"/>
          <w:szCs w:val="22"/>
        </w:rPr>
        <w:t>approved DoN Project #BMCHS-22080908-HE for expansion of its inpatient services.</w:t>
      </w:r>
      <w:r w:rsidR="008D374A" w:rsidRPr="00063251">
        <w:rPr>
          <w:rFonts w:ascii="Arial" w:hAnsi="Arial" w:cs="Arial"/>
          <w:color w:val="000000" w:themeColor="text1"/>
          <w:sz w:val="22"/>
          <w:szCs w:val="22"/>
        </w:rPr>
        <w:t xml:space="preserve"> Details</w:t>
      </w:r>
      <w:r w:rsidR="008D374A">
        <w:rPr>
          <w:rFonts w:ascii="Arial" w:hAnsi="Arial" w:cs="Arial"/>
          <w:color w:val="000000" w:themeColor="text1"/>
          <w:sz w:val="22"/>
          <w:szCs w:val="22"/>
        </w:rPr>
        <w:t xml:space="preserve"> regarding each of these </w:t>
      </w:r>
      <w:r w:rsidR="001D4EA0">
        <w:rPr>
          <w:rFonts w:ascii="Arial" w:hAnsi="Arial" w:cs="Arial"/>
          <w:color w:val="000000" w:themeColor="text1"/>
          <w:sz w:val="22"/>
          <w:szCs w:val="22"/>
        </w:rPr>
        <w:t xml:space="preserve">contributing </w:t>
      </w:r>
      <w:r w:rsidR="008D374A">
        <w:rPr>
          <w:rFonts w:ascii="Arial" w:hAnsi="Arial" w:cs="Arial"/>
          <w:color w:val="000000" w:themeColor="text1"/>
          <w:sz w:val="22"/>
          <w:szCs w:val="22"/>
        </w:rPr>
        <w:t>factors are provided below.</w:t>
      </w:r>
    </w:p>
    <w:p w14:paraId="7C64E51A" w14:textId="77777777" w:rsidR="00EE0940" w:rsidRDefault="00EE0940" w:rsidP="00856859">
      <w:pPr>
        <w:pStyle w:val="NormalWeb"/>
        <w:spacing w:before="0" w:beforeAutospacing="0" w:after="0" w:afterAutospacing="0"/>
        <w:jc w:val="both"/>
        <w:rPr>
          <w:rFonts w:ascii="Arial" w:hAnsi="Arial" w:cs="Arial"/>
          <w:sz w:val="22"/>
          <w:szCs w:val="22"/>
        </w:rPr>
      </w:pPr>
    </w:p>
    <w:p w14:paraId="45B61E5D" w14:textId="77777777" w:rsidR="00244B5E" w:rsidRPr="006B28BD" w:rsidRDefault="006B28BD">
      <w:pPr>
        <w:pStyle w:val="NormalWeb"/>
        <w:numPr>
          <w:ilvl w:val="0"/>
          <w:numId w:val="32"/>
        </w:numPr>
        <w:spacing w:before="0" w:beforeAutospacing="0" w:after="0" w:afterAutospacing="0"/>
        <w:jc w:val="both"/>
        <w:rPr>
          <w:rFonts w:ascii="ArialMT" w:hAnsi="ArialMT"/>
          <w:sz w:val="22"/>
          <w:szCs w:val="22"/>
        </w:rPr>
      </w:pPr>
      <w:r w:rsidRPr="006B28BD">
        <w:rPr>
          <w:rFonts w:ascii="ArialMT" w:hAnsi="ArialMT"/>
          <w:sz w:val="22"/>
          <w:szCs w:val="22"/>
          <w:u w:val="single"/>
        </w:rPr>
        <w:t xml:space="preserve">A Growing and Aging </w:t>
      </w:r>
      <w:r w:rsidR="00244B5E" w:rsidRPr="006B28BD">
        <w:rPr>
          <w:rFonts w:ascii="ArialMT" w:hAnsi="ArialMT"/>
          <w:sz w:val="22"/>
          <w:szCs w:val="22"/>
          <w:u w:val="single"/>
        </w:rPr>
        <w:t xml:space="preserve">Population </w:t>
      </w:r>
    </w:p>
    <w:p w14:paraId="76B7C2CE" w14:textId="77777777" w:rsidR="006B28BD" w:rsidRPr="006B28BD" w:rsidRDefault="006B28BD" w:rsidP="0038109A">
      <w:pPr>
        <w:pStyle w:val="NormalWeb"/>
        <w:spacing w:before="0" w:beforeAutospacing="0" w:after="0" w:afterAutospacing="0"/>
        <w:ind w:left="720"/>
        <w:jc w:val="both"/>
        <w:rPr>
          <w:rFonts w:ascii="ArialMT" w:hAnsi="ArialMT"/>
          <w:sz w:val="22"/>
          <w:szCs w:val="22"/>
        </w:rPr>
      </w:pPr>
    </w:p>
    <w:p w14:paraId="02B93DB2" w14:textId="77777777" w:rsidR="00355F79" w:rsidRDefault="000B5A88" w:rsidP="00902F61">
      <w:pPr>
        <w:jc w:val="both"/>
        <w:rPr>
          <w:rFonts w:ascii="Arial" w:hAnsi="Arial" w:cs="Arial"/>
          <w:sz w:val="22"/>
          <w:szCs w:val="22"/>
        </w:rPr>
      </w:pPr>
      <w:r w:rsidRPr="005678C3">
        <w:rPr>
          <w:rFonts w:ascii="ArialMT" w:hAnsi="ArialMT"/>
          <w:sz w:val="22"/>
          <w:szCs w:val="22"/>
        </w:rPr>
        <w:t>With regard to population growth,</w:t>
      </w:r>
      <w:r w:rsidR="0038109A">
        <w:rPr>
          <w:rFonts w:ascii="ArialMT" w:hAnsi="ArialMT"/>
          <w:sz w:val="22"/>
          <w:szCs w:val="22"/>
        </w:rPr>
        <w:t xml:space="preserve"> </w:t>
      </w:r>
      <w:r w:rsidR="0038109A" w:rsidRPr="009A302E">
        <w:rPr>
          <w:rFonts w:ascii="Arial" w:hAnsi="Arial" w:cs="Arial"/>
          <w:sz w:val="22"/>
          <w:szCs w:val="22"/>
        </w:rPr>
        <w:t xml:space="preserve">the Applicant highlights the need for BMC to expand its </w:t>
      </w:r>
      <w:r w:rsidR="0038109A">
        <w:rPr>
          <w:rFonts w:ascii="Arial" w:hAnsi="Arial" w:cs="Arial"/>
          <w:sz w:val="22"/>
          <w:szCs w:val="22"/>
        </w:rPr>
        <w:t>MRI</w:t>
      </w:r>
      <w:r w:rsidR="0038109A" w:rsidRPr="009A302E">
        <w:rPr>
          <w:rFonts w:ascii="Arial" w:hAnsi="Arial" w:cs="Arial"/>
          <w:sz w:val="22"/>
          <w:szCs w:val="22"/>
        </w:rPr>
        <w:t xml:space="preserve"> capacity to meet the projected growth in </w:t>
      </w:r>
      <w:r w:rsidR="001D4EA0">
        <w:rPr>
          <w:rFonts w:ascii="Arial" w:hAnsi="Arial" w:cs="Arial"/>
          <w:sz w:val="22"/>
          <w:szCs w:val="22"/>
        </w:rPr>
        <w:t xml:space="preserve">MRI </w:t>
      </w:r>
      <w:r w:rsidR="00D37B66">
        <w:rPr>
          <w:rFonts w:ascii="Arial" w:hAnsi="Arial" w:cs="Arial"/>
          <w:sz w:val="22"/>
          <w:szCs w:val="22"/>
        </w:rPr>
        <w:t>patients</w:t>
      </w:r>
      <w:r w:rsidR="001D0D4A">
        <w:rPr>
          <w:rFonts w:ascii="Arial" w:hAnsi="Arial" w:cs="Arial"/>
          <w:sz w:val="22"/>
          <w:szCs w:val="22"/>
        </w:rPr>
        <w:t xml:space="preserve">, particularly </w:t>
      </w:r>
      <w:r w:rsidR="00D37B66">
        <w:rPr>
          <w:rFonts w:ascii="Arial" w:hAnsi="Arial" w:cs="Arial"/>
          <w:sz w:val="22"/>
          <w:szCs w:val="22"/>
        </w:rPr>
        <w:t>those</w:t>
      </w:r>
      <w:r w:rsidR="001D0D4A">
        <w:rPr>
          <w:rFonts w:ascii="Arial" w:hAnsi="Arial" w:cs="Arial"/>
          <w:sz w:val="22"/>
          <w:szCs w:val="22"/>
        </w:rPr>
        <w:t xml:space="preserve"> 65+</w:t>
      </w:r>
      <w:r w:rsidR="0038109A" w:rsidRPr="009A302E">
        <w:rPr>
          <w:rFonts w:ascii="Arial" w:hAnsi="Arial" w:cs="Arial"/>
          <w:sz w:val="22"/>
          <w:szCs w:val="22"/>
        </w:rPr>
        <w:t xml:space="preserve">. </w:t>
      </w:r>
      <w:r w:rsidR="00293D28">
        <w:rPr>
          <w:rFonts w:ascii="Arial" w:hAnsi="Arial" w:cs="Arial"/>
          <w:sz w:val="22"/>
          <w:szCs w:val="22"/>
        </w:rPr>
        <w:t>T</w:t>
      </w:r>
      <w:r w:rsidR="00D37B66">
        <w:rPr>
          <w:rFonts w:ascii="Arial" w:hAnsi="Arial" w:cs="Arial"/>
          <w:sz w:val="22"/>
          <w:szCs w:val="22"/>
        </w:rPr>
        <w:t>he Applicant notes that c</w:t>
      </w:r>
      <w:r w:rsidR="0038109A" w:rsidRPr="009A302E">
        <w:rPr>
          <w:rFonts w:ascii="Arial" w:hAnsi="Arial" w:cs="Arial"/>
          <w:sz w:val="22"/>
          <w:szCs w:val="22"/>
        </w:rPr>
        <w:t>ontinued growth among BMC’s patient panel is supported by population growth estimates provided by the University of Massachusetts’ Donahue Institute (“UMDI”), a public service, research, and economic organization that contracts with the Secretary of the Commonwealth of Massachusetts to produce population projections for Massachusetts geographies for use in both public and private planning initiatives. According to data provided by UMDI, the Massachusetts statewide population is projected to grow a total of 6.4% from 2020 through 2040, and the Greater Boston region, which is home to the large majority of BMC’s MRI patients, is expected to experience an increase of 14.2% in its overall population in the 2020 to 2040 period</w:t>
      </w:r>
      <w:r w:rsidR="009C0C64">
        <w:rPr>
          <w:rFonts w:ascii="Arial" w:hAnsi="Arial" w:cs="Arial"/>
          <w:sz w:val="22"/>
          <w:szCs w:val="22"/>
        </w:rPr>
        <w:t>.</w:t>
      </w:r>
      <w:r w:rsidR="0038109A" w:rsidRPr="009A302E">
        <w:rPr>
          <w:rStyle w:val="FootnoteReference"/>
          <w:rFonts w:ascii="Arial" w:hAnsi="Arial" w:cs="Arial"/>
          <w:sz w:val="22"/>
          <w:szCs w:val="22"/>
        </w:rPr>
        <w:footnoteReference w:id="27"/>
      </w:r>
      <w:r w:rsidR="001D4EA0">
        <w:rPr>
          <w:rFonts w:ascii="Arial" w:hAnsi="Arial" w:cs="Arial"/>
          <w:sz w:val="22"/>
          <w:szCs w:val="22"/>
        </w:rPr>
        <w:t xml:space="preserve"> Moreover, a close</w:t>
      </w:r>
      <w:r w:rsidR="00DD0A69" w:rsidRPr="009A302E">
        <w:rPr>
          <w:rFonts w:ascii="Arial" w:hAnsi="Arial" w:cs="Arial"/>
          <w:sz w:val="22"/>
          <w:szCs w:val="22"/>
        </w:rPr>
        <w:t xml:space="preserve"> analysis of UMDI’s projections shows that the growth in the Commonwealth and the Greater Boston region’s population is segmented by age sector, that modest growth is attributable to residents ages 0-64, and that the highest percentage of the state and the region’s population growth is attributable to residents ages 65+</w:t>
      </w:r>
      <w:r w:rsidR="009C0C64">
        <w:rPr>
          <w:rFonts w:ascii="Arial" w:hAnsi="Arial" w:cs="Arial"/>
          <w:sz w:val="22"/>
          <w:szCs w:val="22"/>
        </w:rPr>
        <w:t>.</w:t>
      </w:r>
      <w:r w:rsidR="00DD0A69" w:rsidRPr="009A302E">
        <w:rPr>
          <w:rStyle w:val="FootnoteReference"/>
          <w:rFonts w:ascii="Arial" w:hAnsi="Arial" w:cs="Arial"/>
          <w:sz w:val="22"/>
          <w:szCs w:val="22"/>
        </w:rPr>
        <w:footnoteReference w:id="28"/>
      </w:r>
      <w:r w:rsidR="00DD0A69" w:rsidRPr="009A302E">
        <w:rPr>
          <w:rFonts w:ascii="Arial" w:hAnsi="Arial" w:cs="Arial"/>
          <w:sz w:val="22"/>
          <w:szCs w:val="22"/>
        </w:rPr>
        <w:t xml:space="preserve"> For instance, in the Greater Boston region, between 2020 and 2040, the 0-64 age cohort is projected to grow 9.6% and the 65+ age cohort is expected to grow 40.7%</w:t>
      </w:r>
      <w:r w:rsidR="009C0C64">
        <w:rPr>
          <w:rFonts w:ascii="Arial" w:hAnsi="Arial" w:cs="Arial"/>
          <w:sz w:val="22"/>
          <w:szCs w:val="22"/>
        </w:rPr>
        <w:t>.</w:t>
      </w:r>
      <w:r w:rsidR="00DD0A69" w:rsidRPr="009A302E">
        <w:rPr>
          <w:rStyle w:val="FootnoteReference"/>
          <w:rFonts w:ascii="Arial" w:hAnsi="Arial" w:cs="Arial"/>
          <w:sz w:val="22"/>
          <w:szCs w:val="22"/>
        </w:rPr>
        <w:footnoteReference w:id="29"/>
      </w:r>
      <w:r w:rsidR="00902F61" w:rsidRPr="00902F61">
        <w:rPr>
          <w:rFonts w:ascii="Arial" w:hAnsi="Arial" w:cs="Arial"/>
          <w:sz w:val="22"/>
          <w:szCs w:val="22"/>
        </w:rPr>
        <w:t xml:space="preserve"> </w:t>
      </w:r>
    </w:p>
    <w:p w14:paraId="178075A9" w14:textId="77777777" w:rsidR="001D4EA0" w:rsidRDefault="001D4EA0" w:rsidP="00902F61">
      <w:pPr>
        <w:jc w:val="both"/>
        <w:rPr>
          <w:rFonts w:ascii="Arial" w:hAnsi="Arial" w:cs="Arial"/>
          <w:sz w:val="22"/>
          <w:szCs w:val="22"/>
        </w:rPr>
      </w:pPr>
    </w:p>
    <w:p w14:paraId="362E9D61" w14:textId="77777777" w:rsidR="00063251" w:rsidRDefault="002E1F00" w:rsidP="002E1F00">
      <w:pPr>
        <w:jc w:val="both"/>
        <w:rPr>
          <w:rFonts w:ascii="ArialMT" w:hAnsi="ArialMT"/>
          <w:sz w:val="22"/>
          <w:szCs w:val="22"/>
        </w:rPr>
      </w:pPr>
      <w:r>
        <w:rPr>
          <w:rFonts w:ascii="ArialMT" w:hAnsi="ArialMT"/>
          <w:sz w:val="22"/>
          <w:szCs w:val="22"/>
        </w:rPr>
        <w:t>As the number of patients across the state and in the Greater Boston region</w:t>
      </w:r>
      <w:r w:rsidR="002F1CF5">
        <w:rPr>
          <w:rFonts w:ascii="ArialMT" w:hAnsi="ArialMT"/>
          <w:sz w:val="22"/>
          <w:szCs w:val="22"/>
        </w:rPr>
        <w:t xml:space="preserve"> </w:t>
      </w:r>
      <w:r>
        <w:rPr>
          <w:rFonts w:ascii="ArialMT" w:hAnsi="ArialMT"/>
          <w:sz w:val="22"/>
          <w:szCs w:val="22"/>
        </w:rPr>
        <w:t>continues to grow</w:t>
      </w:r>
      <w:r w:rsidR="002F1CF5">
        <w:rPr>
          <w:rFonts w:ascii="ArialMT" w:hAnsi="ArialMT"/>
          <w:sz w:val="22"/>
          <w:szCs w:val="22"/>
        </w:rPr>
        <w:t xml:space="preserve"> and age</w:t>
      </w:r>
      <w:r>
        <w:rPr>
          <w:rFonts w:ascii="ArialMT" w:hAnsi="ArialMT"/>
          <w:sz w:val="22"/>
          <w:szCs w:val="22"/>
        </w:rPr>
        <w:t xml:space="preserve">, the </w:t>
      </w:r>
      <w:r w:rsidR="00063251">
        <w:rPr>
          <w:rFonts w:ascii="ArialMT" w:hAnsi="ArialMT"/>
          <w:sz w:val="22"/>
          <w:szCs w:val="22"/>
        </w:rPr>
        <w:t>Applicant</w:t>
      </w:r>
      <w:r>
        <w:rPr>
          <w:rFonts w:ascii="ArialMT" w:hAnsi="ArialMT"/>
          <w:sz w:val="22"/>
          <w:szCs w:val="22"/>
        </w:rPr>
        <w:t xml:space="preserve"> anticipates that the need for </w:t>
      </w:r>
      <w:r w:rsidR="00063251">
        <w:rPr>
          <w:rFonts w:ascii="ArialMT" w:hAnsi="ArialMT"/>
          <w:sz w:val="22"/>
          <w:szCs w:val="22"/>
        </w:rPr>
        <w:t xml:space="preserve">BMC’s </w:t>
      </w:r>
      <w:r w:rsidRPr="002F1CF5">
        <w:rPr>
          <w:rFonts w:ascii="ArialMT" w:hAnsi="ArialMT"/>
          <w:sz w:val="22"/>
          <w:szCs w:val="22"/>
        </w:rPr>
        <w:t xml:space="preserve">MRI </w:t>
      </w:r>
      <w:r w:rsidR="00063251" w:rsidRPr="002F1CF5">
        <w:rPr>
          <w:rFonts w:ascii="ArialMT" w:hAnsi="ArialMT"/>
          <w:sz w:val="22"/>
          <w:szCs w:val="22"/>
        </w:rPr>
        <w:t xml:space="preserve">services </w:t>
      </w:r>
      <w:r w:rsidRPr="002F1CF5">
        <w:rPr>
          <w:rFonts w:ascii="ArialMT" w:hAnsi="ArialMT"/>
          <w:sz w:val="22"/>
          <w:szCs w:val="22"/>
        </w:rPr>
        <w:t>will increase.</w:t>
      </w:r>
      <w:r w:rsidR="00063251" w:rsidRPr="002F1CF5">
        <w:rPr>
          <w:rFonts w:ascii="ArialMT" w:hAnsi="ArialMT"/>
          <w:sz w:val="22"/>
          <w:szCs w:val="22"/>
        </w:rPr>
        <w:t xml:space="preserve"> To this point, the Applicant specifically highlights that literature on patterns of MRI use indicate that imaging rates tend to be higher among older adults as the imaging modality is beneficial in connection with </w:t>
      </w:r>
      <w:r w:rsidR="002F1CF5" w:rsidRPr="002F1CF5">
        <w:rPr>
          <w:rFonts w:ascii="ArialMT" w:hAnsi="ArialMT"/>
          <w:sz w:val="22"/>
          <w:szCs w:val="22"/>
        </w:rPr>
        <w:t xml:space="preserve">diagnosing and treating </w:t>
      </w:r>
      <w:r w:rsidR="00063251" w:rsidRPr="002F1CF5">
        <w:rPr>
          <w:rFonts w:ascii="ArialMT" w:hAnsi="ArialMT"/>
          <w:sz w:val="22"/>
          <w:szCs w:val="22"/>
        </w:rPr>
        <w:t xml:space="preserve">a variety of </w:t>
      </w:r>
      <w:r w:rsidR="002F1CF5" w:rsidRPr="002F1CF5">
        <w:rPr>
          <w:rFonts w:ascii="ArialMT" w:hAnsi="ArialMT"/>
          <w:sz w:val="22"/>
          <w:szCs w:val="22"/>
        </w:rPr>
        <w:t xml:space="preserve">age-related </w:t>
      </w:r>
      <w:r w:rsidR="00063251" w:rsidRPr="002F1CF5">
        <w:rPr>
          <w:rFonts w:ascii="ArialMT" w:hAnsi="ArialMT"/>
          <w:sz w:val="22"/>
          <w:szCs w:val="22"/>
        </w:rPr>
        <w:t>condition</w:t>
      </w:r>
      <w:r w:rsidR="002F1CF5" w:rsidRPr="002F1CF5">
        <w:rPr>
          <w:rFonts w:ascii="ArialMT" w:hAnsi="ArialMT"/>
          <w:sz w:val="22"/>
          <w:szCs w:val="22"/>
        </w:rPr>
        <w:t>s.</w:t>
      </w:r>
      <w:bookmarkStart w:id="5" w:name="_Ref135141700"/>
      <w:r w:rsidR="002F1CF5" w:rsidRPr="002F1CF5">
        <w:rPr>
          <w:rStyle w:val="FootnoteReference"/>
          <w:rFonts w:ascii="ArialMT" w:hAnsi="ArialMT"/>
          <w:sz w:val="22"/>
          <w:szCs w:val="22"/>
        </w:rPr>
        <w:footnoteReference w:id="30"/>
      </w:r>
      <w:bookmarkEnd w:id="5"/>
      <w:r w:rsidR="002F1CF5" w:rsidRPr="002F1CF5">
        <w:rPr>
          <w:rFonts w:ascii="ArialMT" w:hAnsi="ArialMT"/>
          <w:sz w:val="22"/>
          <w:szCs w:val="22"/>
        </w:rPr>
        <w:t xml:space="preserve"> </w:t>
      </w:r>
      <w:r w:rsidR="00063251" w:rsidRPr="002F1CF5">
        <w:rPr>
          <w:rFonts w:ascii="ArialMT" w:hAnsi="ArialMT"/>
          <w:sz w:val="22"/>
          <w:szCs w:val="22"/>
        </w:rPr>
        <w:t xml:space="preserve">The Hospital’s own historical data </w:t>
      </w:r>
      <w:r w:rsidR="00293D28" w:rsidRPr="002F1CF5">
        <w:rPr>
          <w:rFonts w:ascii="ArialMT" w:hAnsi="ArialMT"/>
          <w:sz w:val="22"/>
          <w:szCs w:val="22"/>
        </w:rPr>
        <w:t xml:space="preserve">appear </w:t>
      </w:r>
      <w:r w:rsidR="00063251" w:rsidRPr="002F1CF5">
        <w:rPr>
          <w:rFonts w:ascii="Arial" w:hAnsi="Arial" w:cs="Arial"/>
          <w:sz w:val="22"/>
          <w:szCs w:val="22"/>
        </w:rPr>
        <w:t xml:space="preserve">consistent with such literature and </w:t>
      </w:r>
      <w:r w:rsidR="00293D28" w:rsidRPr="002F1CF5">
        <w:rPr>
          <w:rFonts w:ascii="Arial" w:hAnsi="Arial" w:cs="Arial"/>
          <w:sz w:val="22"/>
          <w:szCs w:val="22"/>
        </w:rPr>
        <w:t xml:space="preserve">with </w:t>
      </w:r>
      <w:r w:rsidR="00063251" w:rsidRPr="002F1CF5">
        <w:rPr>
          <w:rFonts w:ascii="Arial" w:hAnsi="Arial" w:cs="Arial"/>
          <w:sz w:val="22"/>
          <w:szCs w:val="22"/>
        </w:rPr>
        <w:t xml:space="preserve">the trends projected </w:t>
      </w:r>
      <w:r w:rsidR="00063251">
        <w:rPr>
          <w:rFonts w:ascii="Arial" w:hAnsi="Arial" w:cs="Arial"/>
          <w:sz w:val="22"/>
          <w:szCs w:val="22"/>
        </w:rPr>
        <w:t xml:space="preserve">by UMDI. While </w:t>
      </w:r>
      <w:r w:rsidR="00063251" w:rsidRPr="00943F48">
        <w:rPr>
          <w:rFonts w:ascii="Arial" w:hAnsi="Arial" w:cs="Arial"/>
          <w:sz w:val="22"/>
          <w:szCs w:val="22"/>
        </w:rPr>
        <w:t xml:space="preserve">MRI utilization rates are high across all age cohorts within BMC’s MRI patient panel due to the </w:t>
      </w:r>
      <w:r w:rsidR="00063251" w:rsidRPr="00F16663">
        <w:rPr>
          <w:rFonts w:ascii="Arial" w:hAnsi="Arial" w:cs="Arial"/>
          <w:sz w:val="22"/>
          <w:szCs w:val="22"/>
        </w:rPr>
        <w:t>vulnerable population the Hospital serves, patients 65+ not only account for a significant portion of BMC’s MRI patient panel (24.</w:t>
      </w:r>
      <w:r w:rsidR="00804C63" w:rsidRPr="00F16663">
        <w:rPr>
          <w:rFonts w:ascii="Arial" w:hAnsi="Arial" w:cs="Arial"/>
          <w:sz w:val="22"/>
          <w:szCs w:val="22"/>
        </w:rPr>
        <w:t>5</w:t>
      </w:r>
      <w:r w:rsidR="00063251" w:rsidRPr="00F16663">
        <w:rPr>
          <w:rFonts w:ascii="Arial" w:hAnsi="Arial" w:cs="Arial"/>
          <w:sz w:val="22"/>
          <w:szCs w:val="22"/>
        </w:rPr>
        <w:t xml:space="preserve">% in FY22) but </w:t>
      </w:r>
      <w:r w:rsidR="00293D28" w:rsidRPr="00F16663">
        <w:rPr>
          <w:rFonts w:ascii="Arial" w:hAnsi="Arial" w:cs="Arial"/>
          <w:sz w:val="22"/>
          <w:szCs w:val="22"/>
        </w:rPr>
        <w:t xml:space="preserve">have </w:t>
      </w:r>
      <w:r w:rsidR="00063251" w:rsidRPr="00F16663">
        <w:rPr>
          <w:rFonts w:ascii="Arial" w:hAnsi="Arial" w:cs="Arial"/>
          <w:sz w:val="22"/>
          <w:szCs w:val="22"/>
        </w:rPr>
        <w:t xml:space="preserve">also increased </w:t>
      </w:r>
      <w:r w:rsidR="00063251" w:rsidRPr="00F16663">
        <w:rPr>
          <w:rFonts w:ascii="ArialMT" w:hAnsi="ArialMT"/>
          <w:sz w:val="22"/>
          <w:szCs w:val="22"/>
        </w:rPr>
        <w:t>at a higher rate over the last three (3) fiscal years compared to all other age cohorts (4</w:t>
      </w:r>
      <w:r w:rsidR="00804C63" w:rsidRPr="00F16663">
        <w:rPr>
          <w:rFonts w:ascii="ArialMT" w:hAnsi="ArialMT"/>
          <w:sz w:val="22"/>
          <w:szCs w:val="22"/>
        </w:rPr>
        <w:t>2</w:t>
      </w:r>
      <w:r w:rsidR="00063251" w:rsidRPr="00F16663">
        <w:rPr>
          <w:rFonts w:ascii="ArialMT" w:hAnsi="ArialMT"/>
          <w:sz w:val="22"/>
          <w:szCs w:val="22"/>
        </w:rPr>
        <w:t>.</w:t>
      </w:r>
      <w:r w:rsidR="00804C63" w:rsidRPr="00F16663">
        <w:rPr>
          <w:rFonts w:ascii="ArialMT" w:hAnsi="ArialMT"/>
          <w:sz w:val="22"/>
          <w:szCs w:val="22"/>
        </w:rPr>
        <w:t>6</w:t>
      </w:r>
      <w:r w:rsidR="00063251" w:rsidRPr="00F16663">
        <w:rPr>
          <w:rFonts w:ascii="ArialMT" w:hAnsi="ArialMT"/>
          <w:sz w:val="22"/>
          <w:szCs w:val="22"/>
        </w:rPr>
        <w:t>% growth from FY20 to FY22 compared to 24.</w:t>
      </w:r>
      <w:r w:rsidR="00804C63" w:rsidRPr="00F16663">
        <w:rPr>
          <w:rFonts w:ascii="ArialMT" w:hAnsi="ArialMT"/>
          <w:sz w:val="22"/>
          <w:szCs w:val="22"/>
        </w:rPr>
        <w:t>5</w:t>
      </w:r>
      <w:r w:rsidR="00063251" w:rsidRPr="00F16663">
        <w:rPr>
          <w:rFonts w:ascii="ArialMT" w:hAnsi="ArialMT"/>
          <w:sz w:val="22"/>
          <w:szCs w:val="22"/>
        </w:rPr>
        <w:t>% growth for MRI patients 0-64 over the same time period).</w:t>
      </w:r>
      <w:r w:rsidR="00293D28" w:rsidRPr="00F16663">
        <w:rPr>
          <w:rFonts w:ascii="ArialMT" w:hAnsi="ArialMT"/>
          <w:sz w:val="22"/>
          <w:szCs w:val="22"/>
        </w:rPr>
        <w:t xml:space="preserve"> Moreover, FY23 YTD data suggest that these</w:t>
      </w:r>
      <w:r w:rsidR="00293D28" w:rsidRPr="00D23FDE">
        <w:rPr>
          <w:rFonts w:ascii="ArialMT" w:hAnsi="ArialMT"/>
          <w:sz w:val="22"/>
          <w:szCs w:val="22"/>
        </w:rPr>
        <w:t xml:space="preserve"> trends within BMC’s MRI patient panel will continue into the future</w:t>
      </w:r>
      <w:r w:rsidR="000C289B" w:rsidRPr="00D23FDE">
        <w:rPr>
          <w:rFonts w:ascii="ArialMT" w:hAnsi="ArialMT"/>
          <w:sz w:val="22"/>
          <w:szCs w:val="22"/>
        </w:rPr>
        <w:t>,</w:t>
      </w:r>
      <w:r w:rsidR="008E4218" w:rsidRPr="00D23FDE">
        <w:rPr>
          <w:rFonts w:ascii="ArialMT" w:hAnsi="ArialMT"/>
          <w:sz w:val="22"/>
          <w:szCs w:val="22"/>
        </w:rPr>
        <w:t xml:space="preserve"> with </w:t>
      </w:r>
      <w:r w:rsidR="00C17EE9">
        <w:rPr>
          <w:rFonts w:ascii="ArialMT" w:hAnsi="ArialMT"/>
          <w:sz w:val="22"/>
          <w:szCs w:val="22"/>
        </w:rPr>
        <w:t xml:space="preserve">both </w:t>
      </w:r>
      <w:r w:rsidR="008E4218" w:rsidRPr="00D23FDE">
        <w:rPr>
          <w:rFonts w:ascii="ArialMT" w:hAnsi="ArialMT"/>
          <w:sz w:val="22"/>
          <w:szCs w:val="22"/>
        </w:rPr>
        <w:t xml:space="preserve">the total number of MRI patients </w:t>
      </w:r>
      <w:r w:rsidR="00D23FDE">
        <w:rPr>
          <w:rFonts w:ascii="ArialMT" w:hAnsi="ArialMT"/>
          <w:sz w:val="22"/>
          <w:szCs w:val="22"/>
        </w:rPr>
        <w:t xml:space="preserve">as well as the number of </w:t>
      </w:r>
      <w:r w:rsidR="00D23FDE" w:rsidRPr="00D23FDE">
        <w:rPr>
          <w:rFonts w:ascii="ArialMT" w:hAnsi="ArialMT"/>
          <w:sz w:val="22"/>
          <w:szCs w:val="22"/>
        </w:rPr>
        <w:t xml:space="preserve">MRI patients ages 65+ </w:t>
      </w:r>
      <w:r w:rsidR="00D23FDE">
        <w:rPr>
          <w:rFonts w:ascii="ArialMT" w:hAnsi="ArialMT"/>
          <w:sz w:val="22"/>
          <w:szCs w:val="22"/>
        </w:rPr>
        <w:t xml:space="preserve">expected to </w:t>
      </w:r>
      <w:r w:rsidR="008E4218" w:rsidRPr="00D23FDE">
        <w:rPr>
          <w:rFonts w:ascii="ArialMT" w:hAnsi="ArialMT"/>
          <w:sz w:val="22"/>
          <w:szCs w:val="22"/>
        </w:rPr>
        <w:t>increas</w:t>
      </w:r>
      <w:r w:rsidR="00D23FDE">
        <w:rPr>
          <w:rFonts w:ascii="ArialMT" w:hAnsi="ArialMT"/>
          <w:sz w:val="22"/>
          <w:szCs w:val="22"/>
        </w:rPr>
        <w:t>e</w:t>
      </w:r>
      <w:r w:rsidR="008E4218" w:rsidRPr="00D23FDE">
        <w:rPr>
          <w:rFonts w:ascii="ArialMT" w:hAnsi="ArialMT"/>
          <w:sz w:val="22"/>
          <w:szCs w:val="22"/>
        </w:rPr>
        <w:t>.</w:t>
      </w:r>
    </w:p>
    <w:p w14:paraId="35585992" w14:textId="77777777" w:rsidR="00C27031" w:rsidRDefault="00C27031" w:rsidP="005678C3">
      <w:pPr>
        <w:autoSpaceDE w:val="0"/>
        <w:autoSpaceDN w:val="0"/>
        <w:adjustRightInd w:val="0"/>
        <w:jc w:val="both"/>
        <w:rPr>
          <w:rFonts w:ascii="ArialMT" w:hAnsi="ArialMT"/>
          <w:sz w:val="22"/>
          <w:szCs w:val="22"/>
        </w:rPr>
      </w:pPr>
    </w:p>
    <w:p w14:paraId="19710CE2" w14:textId="77777777" w:rsidR="006B28BD" w:rsidRPr="005678C3" w:rsidRDefault="006B28BD">
      <w:pPr>
        <w:pStyle w:val="NormalWeb"/>
        <w:numPr>
          <w:ilvl w:val="0"/>
          <w:numId w:val="32"/>
        </w:numPr>
        <w:spacing w:before="0" w:beforeAutospacing="0" w:after="0" w:afterAutospacing="0"/>
        <w:jc w:val="both"/>
        <w:rPr>
          <w:rFonts w:ascii="ArialMT" w:hAnsi="ArialMT"/>
          <w:sz w:val="22"/>
          <w:szCs w:val="22"/>
          <w:u w:val="single"/>
        </w:rPr>
      </w:pPr>
      <w:r>
        <w:rPr>
          <w:rFonts w:ascii="ArialMT" w:hAnsi="ArialMT"/>
          <w:sz w:val="22"/>
          <w:szCs w:val="22"/>
          <w:u w:val="single"/>
        </w:rPr>
        <w:t>BMC’s Status as a Safety Net Hospital</w:t>
      </w:r>
    </w:p>
    <w:p w14:paraId="21080196" w14:textId="77777777" w:rsidR="00C27031" w:rsidRDefault="00C27031" w:rsidP="005678C3">
      <w:pPr>
        <w:autoSpaceDE w:val="0"/>
        <w:autoSpaceDN w:val="0"/>
        <w:adjustRightInd w:val="0"/>
        <w:jc w:val="both"/>
        <w:rPr>
          <w:rFonts w:ascii="ArialMT" w:hAnsi="ArialMT"/>
          <w:sz w:val="22"/>
          <w:szCs w:val="22"/>
        </w:rPr>
      </w:pPr>
    </w:p>
    <w:p w14:paraId="4B3195E8" w14:textId="65C620D0" w:rsidR="00E2373C" w:rsidRDefault="00117A76" w:rsidP="0088535C">
      <w:pPr>
        <w:autoSpaceDE w:val="0"/>
        <w:autoSpaceDN w:val="0"/>
        <w:adjustRightInd w:val="0"/>
        <w:jc w:val="both"/>
        <w:rPr>
          <w:rFonts w:ascii="Arial" w:hAnsi="Arial" w:cs="Arial"/>
          <w:sz w:val="22"/>
          <w:szCs w:val="22"/>
        </w:rPr>
      </w:pPr>
      <w:r>
        <w:rPr>
          <w:rFonts w:ascii="ArialMT" w:hAnsi="ArialMT"/>
          <w:sz w:val="22"/>
          <w:szCs w:val="22"/>
        </w:rPr>
        <w:t xml:space="preserve">In addition to age, </w:t>
      </w:r>
      <w:r w:rsidRPr="005678C3">
        <w:rPr>
          <w:rFonts w:ascii="ArialMT" w:hAnsi="ArialMT"/>
          <w:sz w:val="22"/>
          <w:szCs w:val="22"/>
        </w:rPr>
        <w:t xml:space="preserve">the Applicant notes that </w:t>
      </w:r>
      <w:r>
        <w:rPr>
          <w:rFonts w:ascii="ArialMT" w:hAnsi="ArialMT"/>
          <w:sz w:val="22"/>
          <w:szCs w:val="22"/>
        </w:rPr>
        <w:t xml:space="preserve">another </w:t>
      </w:r>
      <w:r w:rsidRPr="005678C3">
        <w:rPr>
          <w:rFonts w:ascii="ArialMT" w:hAnsi="ArialMT"/>
          <w:sz w:val="22"/>
          <w:szCs w:val="22"/>
        </w:rPr>
        <w:t>f</w:t>
      </w:r>
      <w:r w:rsidRPr="005678C3">
        <w:rPr>
          <w:rFonts w:ascii="Arial" w:hAnsi="Arial" w:cs="Arial"/>
          <w:sz w:val="22"/>
          <w:szCs w:val="22"/>
        </w:rPr>
        <w:t>actor that typically contribute</w:t>
      </w:r>
      <w:r>
        <w:rPr>
          <w:rFonts w:ascii="Arial" w:hAnsi="Arial" w:cs="Arial"/>
          <w:sz w:val="22"/>
          <w:szCs w:val="22"/>
        </w:rPr>
        <w:t>s</w:t>
      </w:r>
      <w:r w:rsidRPr="005678C3">
        <w:rPr>
          <w:rFonts w:ascii="Arial" w:hAnsi="Arial" w:cs="Arial"/>
          <w:sz w:val="22"/>
          <w:szCs w:val="22"/>
        </w:rPr>
        <w:t xml:space="preserve"> to increases in utilization of health care services </w:t>
      </w:r>
      <w:r>
        <w:rPr>
          <w:rFonts w:ascii="Arial" w:hAnsi="Arial" w:cs="Arial"/>
          <w:sz w:val="22"/>
          <w:szCs w:val="22"/>
        </w:rPr>
        <w:t>is a</w:t>
      </w:r>
      <w:r w:rsidRPr="005678C3">
        <w:rPr>
          <w:rFonts w:ascii="Arial" w:hAnsi="Arial" w:cs="Arial"/>
          <w:sz w:val="22"/>
          <w:szCs w:val="22"/>
        </w:rPr>
        <w:t xml:space="preserve"> high incidence of </w:t>
      </w:r>
      <w:r>
        <w:rPr>
          <w:rFonts w:ascii="Arial" w:hAnsi="Arial" w:cs="Arial"/>
          <w:sz w:val="22"/>
          <w:szCs w:val="22"/>
        </w:rPr>
        <w:t>vulnerable</w:t>
      </w:r>
      <w:r w:rsidRPr="005678C3">
        <w:rPr>
          <w:rFonts w:ascii="Arial" w:hAnsi="Arial" w:cs="Arial"/>
          <w:sz w:val="22"/>
          <w:szCs w:val="22"/>
        </w:rPr>
        <w:t xml:space="preserve"> patients. </w:t>
      </w:r>
      <w:r>
        <w:rPr>
          <w:rFonts w:ascii="Arial" w:hAnsi="Arial" w:cs="Arial"/>
          <w:sz w:val="22"/>
          <w:szCs w:val="22"/>
        </w:rPr>
        <w:t>This</w:t>
      </w:r>
      <w:r w:rsidRPr="005678C3">
        <w:rPr>
          <w:rFonts w:ascii="Arial" w:hAnsi="Arial" w:cs="Arial"/>
          <w:sz w:val="22"/>
          <w:szCs w:val="22"/>
        </w:rPr>
        <w:t xml:space="preserve"> </w:t>
      </w:r>
      <w:r w:rsidR="00E2373C">
        <w:rPr>
          <w:rFonts w:ascii="Arial" w:hAnsi="Arial" w:cs="Arial"/>
          <w:sz w:val="22"/>
          <w:szCs w:val="22"/>
        </w:rPr>
        <w:t>demographic</w:t>
      </w:r>
      <w:r w:rsidRPr="005678C3">
        <w:rPr>
          <w:rFonts w:ascii="Arial" w:hAnsi="Arial" w:cs="Arial"/>
          <w:sz w:val="22"/>
          <w:szCs w:val="22"/>
        </w:rPr>
        <w:t xml:space="preserve"> </w:t>
      </w:r>
      <w:r>
        <w:rPr>
          <w:rFonts w:ascii="Arial" w:hAnsi="Arial" w:cs="Arial"/>
          <w:sz w:val="22"/>
          <w:szCs w:val="22"/>
        </w:rPr>
        <w:t>is</w:t>
      </w:r>
      <w:r w:rsidRPr="005678C3">
        <w:rPr>
          <w:rFonts w:ascii="Arial" w:hAnsi="Arial" w:cs="Arial"/>
          <w:sz w:val="22"/>
          <w:szCs w:val="22"/>
        </w:rPr>
        <w:t xml:space="preserve"> detailed in the Hospital’s patient panel data. </w:t>
      </w:r>
      <w:r>
        <w:rPr>
          <w:rFonts w:ascii="Arial" w:hAnsi="Arial" w:cs="Arial"/>
          <w:sz w:val="22"/>
          <w:szCs w:val="22"/>
        </w:rPr>
        <w:t xml:space="preserve">Specifically, </w:t>
      </w:r>
      <w:r w:rsidRPr="00117A76">
        <w:rPr>
          <w:rFonts w:ascii="Arial" w:hAnsi="Arial" w:cs="Arial"/>
          <w:sz w:val="22"/>
          <w:szCs w:val="22"/>
        </w:rPr>
        <w:t xml:space="preserve">the majority of communities that BMC serves are Boston census tracts that are federally-designated medically underserved populations, many of which experience </w:t>
      </w:r>
      <w:r w:rsidRPr="00D23FDE">
        <w:rPr>
          <w:rFonts w:ascii="Arial" w:hAnsi="Arial" w:cs="Arial"/>
          <w:sz w:val="22"/>
          <w:szCs w:val="22"/>
        </w:rPr>
        <w:t xml:space="preserve">a high percentage of patients impacted by homelessness and </w:t>
      </w:r>
      <w:r w:rsidR="00861CD4">
        <w:rPr>
          <w:rFonts w:ascii="Arial" w:hAnsi="Arial" w:cs="Arial"/>
          <w:sz w:val="22"/>
          <w:szCs w:val="22"/>
        </w:rPr>
        <w:t>substance use disorders (“</w:t>
      </w:r>
      <w:r w:rsidRPr="00D23FDE">
        <w:rPr>
          <w:rFonts w:ascii="Arial" w:hAnsi="Arial" w:cs="Arial"/>
          <w:sz w:val="22"/>
          <w:szCs w:val="22"/>
        </w:rPr>
        <w:t>SUDs</w:t>
      </w:r>
      <w:r w:rsidR="00861CD4">
        <w:rPr>
          <w:rFonts w:ascii="Arial" w:hAnsi="Arial" w:cs="Arial"/>
          <w:sz w:val="22"/>
          <w:szCs w:val="22"/>
        </w:rPr>
        <w:t>”)</w:t>
      </w:r>
      <w:r w:rsidRPr="00D23FDE">
        <w:rPr>
          <w:rFonts w:ascii="Arial" w:hAnsi="Arial" w:cs="Arial"/>
          <w:sz w:val="22"/>
          <w:szCs w:val="22"/>
        </w:rPr>
        <w:t>.</w:t>
      </w:r>
      <w:r w:rsidR="00E2373C" w:rsidRPr="00D23FDE">
        <w:rPr>
          <w:rFonts w:ascii="Arial" w:hAnsi="Arial" w:cs="Arial"/>
          <w:sz w:val="22"/>
          <w:szCs w:val="22"/>
        </w:rPr>
        <w:t xml:space="preserve"> Additionally, BMC’s patient panel shows that the majority of </w:t>
      </w:r>
      <w:r w:rsidR="00E2373C" w:rsidRPr="00D23FDE">
        <w:rPr>
          <w:rFonts w:ascii="Arial" w:hAnsi="Arial" w:cs="Arial"/>
          <w:sz w:val="22"/>
          <w:szCs w:val="22"/>
        </w:rPr>
        <w:lastRenderedPageBreak/>
        <w:t>its patients</w:t>
      </w:r>
      <w:r w:rsidR="00E2373C" w:rsidRPr="00D23FDE">
        <w:rPr>
          <w:rFonts w:ascii="ArialMT" w:hAnsi="ArialMT"/>
          <w:sz w:val="22"/>
          <w:szCs w:val="22"/>
        </w:rPr>
        <w:t xml:space="preserve"> receive insurance coverage through a public payer, receive free care, or are covered under the HSN (</w:t>
      </w:r>
      <w:r w:rsidR="00367D28" w:rsidRPr="00D23FDE">
        <w:rPr>
          <w:rFonts w:ascii="ArialMT" w:hAnsi="ArialMT"/>
          <w:sz w:val="22"/>
          <w:szCs w:val="22"/>
        </w:rPr>
        <w:t>approximately 57% of BMC’s overall panel and 7</w:t>
      </w:r>
      <w:r w:rsidR="00D23FDE" w:rsidRPr="00D23FDE">
        <w:rPr>
          <w:rFonts w:ascii="ArialMT" w:hAnsi="ArialMT"/>
          <w:sz w:val="22"/>
          <w:szCs w:val="22"/>
        </w:rPr>
        <w:t>1.8</w:t>
      </w:r>
      <w:r w:rsidR="00367D28" w:rsidRPr="00D23FDE">
        <w:rPr>
          <w:rFonts w:ascii="ArialMT" w:hAnsi="ArialMT"/>
          <w:sz w:val="22"/>
          <w:szCs w:val="22"/>
        </w:rPr>
        <w:t>% of BMC’s MRI panel</w:t>
      </w:r>
      <w:r w:rsidR="00E2373C" w:rsidRPr="00D23FDE">
        <w:rPr>
          <w:rFonts w:ascii="ArialMT" w:hAnsi="ArialMT"/>
          <w:sz w:val="22"/>
          <w:szCs w:val="22"/>
        </w:rPr>
        <w:t>)</w:t>
      </w:r>
      <w:r w:rsidR="00367D28" w:rsidRPr="00D23FDE">
        <w:rPr>
          <w:rFonts w:ascii="ArialMT" w:hAnsi="ArialMT"/>
          <w:sz w:val="22"/>
          <w:szCs w:val="22"/>
        </w:rPr>
        <w:t>.</w:t>
      </w:r>
    </w:p>
    <w:p w14:paraId="4850CAE2" w14:textId="77777777" w:rsidR="00E2373C" w:rsidRDefault="00E2373C" w:rsidP="0088535C">
      <w:pPr>
        <w:autoSpaceDE w:val="0"/>
        <w:autoSpaceDN w:val="0"/>
        <w:adjustRightInd w:val="0"/>
        <w:jc w:val="both"/>
        <w:rPr>
          <w:rFonts w:ascii="Arial" w:hAnsi="Arial" w:cs="Arial"/>
          <w:sz w:val="22"/>
          <w:szCs w:val="22"/>
        </w:rPr>
      </w:pPr>
    </w:p>
    <w:p w14:paraId="5E8425A1" w14:textId="77777777" w:rsidR="00E2373C" w:rsidRDefault="00E2373C" w:rsidP="0088535C">
      <w:pPr>
        <w:autoSpaceDE w:val="0"/>
        <w:autoSpaceDN w:val="0"/>
        <w:adjustRightInd w:val="0"/>
        <w:jc w:val="both"/>
        <w:rPr>
          <w:rFonts w:ascii="Arial" w:eastAsiaTheme="minorHAnsi" w:hAnsi="Arial" w:cs="Arial"/>
          <w:sz w:val="22"/>
          <w:szCs w:val="22"/>
        </w:rPr>
      </w:pPr>
      <w:r>
        <w:rPr>
          <w:rFonts w:ascii="Arial" w:hAnsi="Arial" w:cs="Arial"/>
          <w:sz w:val="22"/>
          <w:szCs w:val="22"/>
        </w:rPr>
        <w:t>The Hospital’s</w:t>
      </w:r>
      <w:r w:rsidRPr="00E2373C">
        <w:rPr>
          <w:rFonts w:ascii="Arial" w:hAnsi="Arial" w:cs="Arial"/>
          <w:sz w:val="22"/>
          <w:szCs w:val="22"/>
        </w:rPr>
        <w:t xml:space="preserve"> high incidence of vulnerable patients is reflective of its </w:t>
      </w:r>
      <w:r w:rsidRPr="002F3075">
        <w:rPr>
          <w:rFonts w:ascii="Arial" w:hAnsi="Arial" w:cs="Arial"/>
          <w:sz w:val="22"/>
          <w:szCs w:val="22"/>
        </w:rPr>
        <w:t>status as New England’s largest safety net hospital and further illustrates the need for the Proposed Project.</w:t>
      </w:r>
      <w:r w:rsidR="00434E78" w:rsidRPr="002F3075">
        <w:rPr>
          <w:rFonts w:ascii="Arial" w:hAnsi="Arial" w:cs="Arial"/>
          <w:sz w:val="22"/>
          <w:szCs w:val="22"/>
        </w:rPr>
        <w:t xml:space="preserve"> </w:t>
      </w:r>
      <w:r w:rsidR="00DF0179" w:rsidRPr="002F3075">
        <w:rPr>
          <w:rFonts w:ascii="Arial" w:hAnsi="Arial" w:cs="Arial"/>
          <w:sz w:val="22"/>
          <w:szCs w:val="22"/>
        </w:rPr>
        <w:t xml:space="preserve">Specifically, as </w:t>
      </w:r>
      <w:r w:rsidR="004E3437" w:rsidRPr="002F3075">
        <w:rPr>
          <w:rFonts w:ascii="Arial" w:hAnsi="Arial" w:cs="Arial"/>
          <w:sz w:val="22"/>
          <w:szCs w:val="22"/>
        </w:rPr>
        <w:t xml:space="preserve">detailed in the literature </w:t>
      </w:r>
      <w:r w:rsidR="00DF0179" w:rsidRPr="002F3075">
        <w:rPr>
          <w:rFonts w:ascii="Arial" w:hAnsi="Arial" w:cs="Arial"/>
          <w:sz w:val="22"/>
          <w:szCs w:val="22"/>
        </w:rPr>
        <w:t>d</w:t>
      </w:r>
      <w:r w:rsidR="00434E78" w:rsidRPr="002F3075">
        <w:rPr>
          <w:rFonts w:ascii="Arial" w:hAnsi="Arial" w:cs="Arial"/>
          <w:sz w:val="22"/>
          <w:szCs w:val="22"/>
        </w:rPr>
        <w:t xml:space="preserve">iscussed below in Factor </w:t>
      </w:r>
      <w:r w:rsidR="00434E78" w:rsidRPr="002F3075">
        <w:rPr>
          <w:rFonts w:ascii="Arial" w:eastAsiaTheme="minorHAnsi" w:hAnsi="Arial" w:cs="Arial"/>
          <w:sz w:val="22"/>
          <w:szCs w:val="22"/>
        </w:rPr>
        <w:t>F1.b.i,</w:t>
      </w:r>
      <w:r w:rsidR="00434E78" w:rsidRPr="002F3075">
        <w:rPr>
          <w:rFonts w:ascii="Arial" w:hAnsi="Arial" w:cs="Arial"/>
          <w:color w:val="000000" w:themeColor="text1"/>
          <w:sz w:val="22"/>
          <w:szCs w:val="22"/>
        </w:rPr>
        <w:t xml:space="preserve"> </w:t>
      </w:r>
      <w:r w:rsidR="00DF0179" w:rsidRPr="002F3075">
        <w:rPr>
          <w:rFonts w:ascii="Arial" w:hAnsi="Arial" w:cs="Arial"/>
          <w:color w:val="000000" w:themeColor="text1"/>
          <w:sz w:val="22"/>
          <w:szCs w:val="22"/>
        </w:rPr>
        <w:t xml:space="preserve">it is anticipated that BMC and other safety net hospitals will continue to play a disproportionately large role in providing health care to the area’s most under-resourced patients into the future. </w:t>
      </w:r>
      <w:r w:rsidR="004E3437" w:rsidRPr="002F3075">
        <w:rPr>
          <w:rFonts w:ascii="Arial" w:hAnsi="Arial" w:cs="Arial"/>
          <w:color w:val="000000" w:themeColor="text1"/>
          <w:sz w:val="22"/>
          <w:szCs w:val="22"/>
        </w:rPr>
        <w:t xml:space="preserve">As </w:t>
      </w:r>
      <w:r w:rsidR="002F3075">
        <w:rPr>
          <w:rFonts w:ascii="Arial" w:hAnsi="Arial" w:cs="Arial"/>
          <w:color w:val="000000" w:themeColor="text1"/>
          <w:sz w:val="22"/>
          <w:szCs w:val="22"/>
        </w:rPr>
        <w:t>high numbers of</w:t>
      </w:r>
      <w:r w:rsidR="004E3437" w:rsidRPr="002F3075">
        <w:rPr>
          <w:rFonts w:ascii="Arial" w:hAnsi="Arial" w:cs="Arial"/>
          <w:color w:val="000000" w:themeColor="text1"/>
          <w:sz w:val="22"/>
          <w:szCs w:val="22"/>
        </w:rPr>
        <w:t xml:space="preserve"> disadvantaged patients continue to seek care at BMC, </w:t>
      </w:r>
      <w:r w:rsidR="00434E78" w:rsidRPr="002F3075">
        <w:rPr>
          <w:rFonts w:ascii="Arial" w:hAnsi="Arial" w:cs="Arial"/>
          <w:color w:val="000000" w:themeColor="text1"/>
          <w:sz w:val="22"/>
          <w:szCs w:val="22"/>
        </w:rPr>
        <w:t xml:space="preserve">it is essential to achieving the objectives of equitable care that </w:t>
      </w:r>
      <w:r w:rsidR="004E3437" w:rsidRPr="002F3075">
        <w:rPr>
          <w:rFonts w:ascii="Arial" w:hAnsi="Arial" w:cs="Arial"/>
          <w:color w:val="000000" w:themeColor="text1"/>
          <w:sz w:val="22"/>
          <w:szCs w:val="22"/>
        </w:rPr>
        <w:t>the Hospital</w:t>
      </w:r>
      <w:r w:rsidR="00434E78" w:rsidRPr="002F3075">
        <w:rPr>
          <w:rFonts w:ascii="Arial" w:hAnsi="Arial" w:cs="Arial"/>
          <w:color w:val="000000" w:themeColor="text1"/>
          <w:sz w:val="22"/>
          <w:szCs w:val="22"/>
        </w:rPr>
        <w:t xml:space="preserve"> have the resources and depth of services, such as MRI, that are necessary to provide such patients with timely access to high-quality care that does not jeopardize outcomes.</w:t>
      </w:r>
    </w:p>
    <w:p w14:paraId="0EA4700D" w14:textId="77777777" w:rsidR="00E2373C" w:rsidRPr="00E2373C" w:rsidRDefault="00E2373C" w:rsidP="0088535C">
      <w:pPr>
        <w:autoSpaceDE w:val="0"/>
        <w:autoSpaceDN w:val="0"/>
        <w:adjustRightInd w:val="0"/>
        <w:jc w:val="both"/>
        <w:rPr>
          <w:rFonts w:ascii="ArialMT" w:hAnsi="ArialMT"/>
          <w:sz w:val="22"/>
          <w:szCs w:val="22"/>
        </w:rPr>
      </w:pPr>
    </w:p>
    <w:p w14:paraId="556B5F0A" w14:textId="77777777" w:rsidR="0088535C" w:rsidRPr="00F419AB" w:rsidRDefault="0088535C" w:rsidP="0088535C">
      <w:pPr>
        <w:pStyle w:val="ListParagraph"/>
        <w:numPr>
          <w:ilvl w:val="0"/>
          <w:numId w:val="32"/>
        </w:numPr>
        <w:autoSpaceDE w:val="0"/>
        <w:autoSpaceDN w:val="0"/>
        <w:adjustRightInd w:val="0"/>
        <w:jc w:val="both"/>
        <w:rPr>
          <w:rFonts w:ascii="Arial" w:hAnsi="Arial" w:cs="Arial"/>
          <w:sz w:val="22"/>
          <w:szCs w:val="22"/>
          <w:u w:val="single"/>
        </w:rPr>
      </w:pPr>
      <w:r w:rsidRPr="00F419AB">
        <w:rPr>
          <w:rFonts w:ascii="ArialMT" w:hAnsi="ArialMT"/>
          <w:sz w:val="22"/>
          <w:szCs w:val="22"/>
          <w:u w:val="single"/>
        </w:rPr>
        <w:t xml:space="preserve">Implementation of </w:t>
      </w:r>
      <w:r w:rsidRPr="00F419AB">
        <w:rPr>
          <w:rFonts w:ascii="Arial" w:hAnsi="Arial" w:cs="Arial"/>
          <w:sz w:val="22"/>
          <w:szCs w:val="22"/>
          <w:u w:val="single"/>
        </w:rPr>
        <w:t>DoN Project #BMCHS-22080908-HE for Inpatient Service Expansion</w:t>
      </w:r>
    </w:p>
    <w:p w14:paraId="1329E4F1" w14:textId="77777777" w:rsidR="00E24D42" w:rsidRPr="00F419AB" w:rsidRDefault="00E24D42" w:rsidP="0088535C">
      <w:pPr>
        <w:pStyle w:val="NormalWeb"/>
        <w:spacing w:before="0" w:beforeAutospacing="0" w:after="0" w:afterAutospacing="0"/>
        <w:jc w:val="both"/>
        <w:rPr>
          <w:rFonts w:ascii="Arial" w:hAnsi="Arial" w:cs="Arial"/>
          <w:sz w:val="22"/>
          <w:szCs w:val="22"/>
        </w:rPr>
      </w:pPr>
    </w:p>
    <w:p w14:paraId="4940B104" w14:textId="77777777" w:rsidR="0088535C" w:rsidRDefault="0088535C" w:rsidP="0088535C">
      <w:pPr>
        <w:pStyle w:val="NormalWeb"/>
        <w:spacing w:before="0" w:beforeAutospacing="0" w:after="0" w:afterAutospacing="0"/>
        <w:jc w:val="both"/>
        <w:rPr>
          <w:rFonts w:ascii="Arial" w:hAnsi="Arial" w:cs="Arial"/>
          <w:sz w:val="22"/>
          <w:szCs w:val="22"/>
        </w:rPr>
      </w:pPr>
      <w:r w:rsidRPr="00F277C1">
        <w:rPr>
          <w:rFonts w:ascii="Arial" w:hAnsi="Arial" w:cs="Arial"/>
          <w:sz w:val="22"/>
          <w:szCs w:val="22"/>
        </w:rPr>
        <w:t xml:space="preserve">Finally, </w:t>
      </w:r>
      <w:r w:rsidR="00F277C1" w:rsidRPr="00F277C1">
        <w:rPr>
          <w:rFonts w:ascii="Arial" w:hAnsi="Arial" w:cs="Arial"/>
          <w:sz w:val="22"/>
          <w:szCs w:val="22"/>
        </w:rPr>
        <w:t>the Applicant anticipates that expansion of BMC’s inpatient services associated with implementation of its approved DoN Project #BMCHS-22080908-HE will drive future demand for MRI services.</w:t>
      </w:r>
      <w:r w:rsidR="00F277C1">
        <w:rPr>
          <w:rFonts w:ascii="Arial" w:hAnsi="Arial" w:cs="Arial"/>
          <w:sz w:val="22"/>
          <w:szCs w:val="22"/>
        </w:rPr>
        <w:t xml:space="preserve"> </w:t>
      </w:r>
      <w:r w:rsidR="000C289B">
        <w:rPr>
          <w:rFonts w:ascii="Arial" w:hAnsi="Arial" w:cs="Arial"/>
          <w:sz w:val="22"/>
          <w:szCs w:val="22"/>
        </w:rPr>
        <w:t xml:space="preserve">To this point, the Applicant notes that </w:t>
      </w:r>
      <w:r w:rsidR="000C289B" w:rsidRPr="00F277C1">
        <w:rPr>
          <w:rFonts w:ascii="Arial" w:hAnsi="Arial" w:cs="Arial"/>
          <w:sz w:val="22"/>
          <w:szCs w:val="22"/>
        </w:rPr>
        <w:t>approved DoN Project #BMCHS-22080908-HE</w:t>
      </w:r>
      <w:r w:rsidR="000C289B">
        <w:rPr>
          <w:rFonts w:ascii="Arial" w:hAnsi="Arial" w:cs="Arial"/>
          <w:sz w:val="22"/>
          <w:szCs w:val="22"/>
        </w:rPr>
        <w:t xml:space="preserve"> includes the addition of seventy (70) new inpatient beds as well as the addition of five (5) new inpatient operating rooms (“ORs”), among other project components. The Hospital is in the process of implementing such project, with a projected go-live date in FY24. </w:t>
      </w:r>
    </w:p>
    <w:p w14:paraId="51D3BA86" w14:textId="77777777" w:rsidR="000C289B" w:rsidRDefault="000C289B" w:rsidP="0088535C">
      <w:pPr>
        <w:pStyle w:val="NormalWeb"/>
        <w:spacing w:before="0" w:beforeAutospacing="0" w:after="0" w:afterAutospacing="0"/>
        <w:jc w:val="both"/>
        <w:rPr>
          <w:rFonts w:ascii="Arial" w:hAnsi="Arial" w:cs="Arial"/>
          <w:sz w:val="22"/>
          <w:szCs w:val="22"/>
        </w:rPr>
      </w:pPr>
    </w:p>
    <w:p w14:paraId="42A778E0" w14:textId="77777777" w:rsidR="000C289B" w:rsidRPr="00C76F65" w:rsidRDefault="000C289B" w:rsidP="0088535C">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discussed above, </w:t>
      </w:r>
      <w:r w:rsidR="00C17EE9">
        <w:rPr>
          <w:rFonts w:ascii="Arial" w:hAnsi="Arial" w:cs="Arial"/>
          <w:sz w:val="22"/>
          <w:szCs w:val="22"/>
        </w:rPr>
        <w:t xml:space="preserve">between FY20-FY22, </w:t>
      </w:r>
      <w:r w:rsidRPr="00C17EE9">
        <w:rPr>
          <w:rFonts w:ascii="Arial" w:hAnsi="Arial" w:cs="Arial"/>
          <w:sz w:val="22"/>
          <w:szCs w:val="22"/>
        </w:rPr>
        <w:t xml:space="preserve">approximately </w:t>
      </w:r>
      <w:r w:rsidR="00C17EE9" w:rsidRPr="00C17EE9">
        <w:rPr>
          <w:rFonts w:ascii="Arial" w:hAnsi="Arial" w:cs="Arial"/>
          <w:sz w:val="22"/>
          <w:szCs w:val="22"/>
        </w:rPr>
        <w:t>31.7</w:t>
      </w:r>
      <w:r w:rsidRPr="00C17EE9">
        <w:rPr>
          <w:rFonts w:ascii="Arial" w:hAnsi="Arial" w:cs="Arial"/>
          <w:sz w:val="22"/>
          <w:szCs w:val="22"/>
        </w:rPr>
        <w:t>% of all MRIs ordered</w:t>
      </w:r>
      <w:r w:rsidRPr="00E06CAE">
        <w:rPr>
          <w:rFonts w:ascii="Arial" w:hAnsi="Arial" w:cs="Arial"/>
          <w:sz w:val="22"/>
          <w:szCs w:val="22"/>
        </w:rPr>
        <w:t xml:space="preserve"> </w:t>
      </w:r>
      <w:r>
        <w:rPr>
          <w:rFonts w:ascii="Arial" w:hAnsi="Arial" w:cs="Arial"/>
          <w:sz w:val="22"/>
          <w:szCs w:val="22"/>
        </w:rPr>
        <w:t xml:space="preserve">at BMC </w:t>
      </w:r>
      <w:r w:rsidRPr="00E06CAE">
        <w:rPr>
          <w:rFonts w:ascii="Arial" w:hAnsi="Arial" w:cs="Arial"/>
          <w:sz w:val="22"/>
          <w:szCs w:val="22"/>
        </w:rPr>
        <w:t>originate</w:t>
      </w:r>
      <w:r w:rsidR="00C17EE9">
        <w:rPr>
          <w:rFonts w:ascii="Arial" w:hAnsi="Arial" w:cs="Arial"/>
          <w:sz w:val="22"/>
          <w:szCs w:val="22"/>
        </w:rPr>
        <w:t>d</w:t>
      </w:r>
      <w:r w:rsidRPr="00E06CAE">
        <w:rPr>
          <w:rFonts w:ascii="Arial" w:hAnsi="Arial" w:cs="Arial"/>
          <w:sz w:val="22"/>
          <w:szCs w:val="22"/>
        </w:rPr>
        <w:t xml:space="preserve"> from inpatient services</w:t>
      </w:r>
      <w:r>
        <w:rPr>
          <w:rFonts w:ascii="Arial" w:hAnsi="Arial" w:cs="Arial"/>
          <w:sz w:val="22"/>
          <w:szCs w:val="22"/>
        </w:rPr>
        <w:t xml:space="preserve">. As the number of inpatient beds and inpatient ORs is expanded through implementation of </w:t>
      </w:r>
      <w:r w:rsidRPr="00F277C1">
        <w:rPr>
          <w:rFonts w:ascii="Arial" w:hAnsi="Arial" w:cs="Arial"/>
          <w:sz w:val="22"/>
          <w:szCs w:val="22"/>
        </w:rPr>
        <w:t>DoN Project #BMCHS-22080908-HE</w:t>
      </w:r>
      <w:r>
        <w:rPr>
          <w:rFonts w:ascii="Arial" w:hAnsi="Arial" w:cs="Arial"/>
          <w:sz w:val="22"/>
          <w:szCs w:val="22"/>
        </w:rPr>
        <w:t>, the number of inpatient referrals for MRI services is expected to grow as well. The Applicant anticipates that this growth in inpatient MRI referrals will exacerbate the current capacity constraints discussed herein</w:t>
      </w:r>
      <w:r w:rsidR="00022714">
        <w:rPr>
          <w:rFonts w:ascii="Arial" w:hAnsi="Arial" w:cs="Arial"/>
          <w:sz w:val="22"/>
          <w:szCs w:val="22"/>
        </w:rPr>
        <w:t xml:space="preserve"> and, therefore, emphasizes the need for additional MRI </w:t>
      </w:r>
      <w:r w:rsidR="00022714" w:rsidRPr="00C76F65">
        <w:rPr>
          <w:rFonts w:ascii="Arial" w:hAnsi="Arial" w:cs="Arial"/>
          <w:sz w:val="22"/>
          <w:szCs w:val="22"/>
        </w:rPr>
        <w:t>capacity to accommodate its MRI patient panel upon influx of such new inpatients</w:t>
      </w:r>
      <w:r w:rsidR="00AC2991" w:rsidRPr="00C76F65">
        <w:rPr>
          <w:rFonts w:ascii="Arial" w:hAnsi="Arial" w:cs="Arial"/>
          <w:sz w:val="22"/>
          <w:szCs w:val="22"/>
        </w:rPr>
        <w:t>.</w:t>
      </w:r>
    </w:p>
    <w:p w14:paraId="2DD50D2E" w14:textId="77777777" w:rsidR="00F277C1" w:rsidRPr="00C76F65" w:rsidRDefault="00F277C1" w:rsidP="0088535C">
      <w:pPr>
        <w:pStyle w:val="NormalWeb"/>
        <w:spacing w:before="0" w:beforeAutospacing="0" w:after="0" w:afterAutospacing="0"/>
        <w:jc w:val="both"/>
        <w:rPr>
          <w:rFonts w:ascii="Arial" w:hAnsi="Arial" w:cs="Arial"/>
          <w:sz w:val="22"/>
          <w:szCs w:val="22"/>
        </w:rPr>
      </w:pPr>
    </w:p>
    <w:p w14:paraId="61677573" w14:textId="77777777" w:rsidR="0088535C" w:rsidRPr="00C76F65" w:rsidRDefault="0088535C" w:rsidP="0088535C">
      <w:pPr>
        <w:pStyle w:val="NormalWeb"/>
        <w:numPr>
          <w:ilvl w:val="0"/>
          <w:numId w:val="4"/>
        </w:numPr>
        <w:spacing w:before="0" w:beforeAutospacing="0" w:after="0" w:afterAutospacing="0"/>
        <w:ind w:left="360"/>
        <w:jc w:val="both"/>
        <w:rPr>
          <w:rFonts w:ascii="Arial" w:hAnsi="Arial" w:cs="Arial"/>
          <w:smallCaps/>
          <w:sz w:val="22"/>
          <w:szCs w:val="22"/>
          <w:u w:val="single"/>
        </w:rPr>
      </w:pPr>
      <w:bookmarkStart w:id="6" w:name="_Hlk139471402"/>
      <w:r w:rsidRPr="00C76F65">
        <w:rPr>
          <w:rFonts w:ascii="Arial" w:hAnsi="Arial" w:cs="Arial"/>
          <w:smallCaps/>
          <w:sz w:val="22"/>
          <w:szCs w:val="22"/>
          <w:u w:val="single"/>
        </w:rPr>
        <w:t xml:space="preserve">Meeting </w:t>
      </w:r>
      <w:r w:rsidR="004E3437" w:rsidRPr="00C76F65">
        <w:rPr>
          <w:rFonts w:ascii="Arial" w:hAnsi="Arial" w:cs="Arial"/>
          <w:smallCaps/>
          <w:sz w:val="22"/>
          <w:szCs w:val="22"/>
          <w:u w:val="single"/>
        </w:rPr>
        <w:t xml:space="preserve">Existing and </w:t>
      </w:r>
      <w:r w:rsidRPr="00C76F65">
        <w:rPr>
          <w:rFonts w:ascii="Arial" w:hAnsi="Arial" w:cs="Arial"/>
          <w:smallCaps/>
          <w:sz w:val="22"/>
          <w:szCs w:val="22"/>
          <w:u w:val="single"/>
        </w:rPr>
        <w:t>Future Needs through the Proposed Project</w:t>
      </w:r>
    </w:p>
    <w:p w14:paraId="5911B184" w14:textId="77777777" w:rsidR="00E24D42" w:rsidRDefault="00E24D42" w:rsidP="00E24D42">
      <w:pPr>
        <w:pStyle w:val="NormalWeb"/>
        <w:spacing w:before="0" w:beforeAutospacing="0" w:after="0" w:afterAutospacing="0"/>
        <w:jc w:val="both"/>
        <w:rPr>
          <w:rFonts w:ascii="Arial" w:hAnsi="Arial" w:cs="Arial"/>
          <w:sz w:val="22"/>
          <w:szCs w:val="22"/>
          <w:u w:val="single"/>
        </w:rPr>
      </w:pPr>
    </w:p>
    <w:p w14:paraId="16D3EEA5" w14:textId="77777777" w:rsidR="00A719A1" w:rsidRPr="00A719A1" w:rsidRDefault="00FB7DEE" w:rsidP="002A61C7">
      <w:pPr>
        <w:pStyle w:val="NormalWeb"/>
        <w:spacing w:before="0" w:beforeAutospacing="0" w:after="0" w:afterAutospacing="0"/>
        <w:jc w:val="both"/>
        <w:rPr>
          <w:rFonts w:ascii="Arial" w:hAnsi="Arial" w:cs="Arial"/>
          <w:sz w:val="22"/>
          <w:szCs w:val="22"/>
        </w:rPr>
      </w:pPr>
      <w:r w:rsidRPr="00C76F65">
        <w:rPr>
          <w:rFonts w:ascii="ArialMT" w:hAnsi="ArialMT"/>
          <w:sz w:val="22"/>
          <w:szCs w:val="22"/>
        </w:rPr>
        <w:t>In consideration of the</w:t>
      </w:r>
      <w:r w:rsidR="00117A76" w:rsidRPr="00C76F65">
        <w:rPr>
          <w:rFonts w:ascii="ArialMT" w:hAnsi="ArialMT"/>
          <w:sz w:val="22"/>
          <w:szCs w:val="22"/>
        </w:rPr>
        <w:t xml:space="preserve"> </w:t>
      </w:r>
      <w:r w:rsidR="005322E2" w:rsidRPr="00C76F65">
        <w:rPr>
          <w:rFonts w:ascii="ArialMT" w:hAnsi="ArialMT"/>
          <w:sz w:val="22"/>
          <w:szCs w:val="22"/>
        </w:rPr>
        <w:t xml:space="preserve">historical and forward-looking </w:t>
      </w:r>
      <w:r w:rsidR="00117A76" w:rsidRPr="00C76F65">
        <w:rPr>
          <w:rFonts w:ascii="ArialMT" w:hAnsi="ArialMT"/>
          <w:sz w:val="22"/>
          <w:szCs w:val="22"/>
        </w:rPr>
        <w:t>factors</w:t>
      </w:r>
      <w:r w:rsidR="005322E2" w:rsidRPr="00C76F65">
        <w:rPr>
          <w:rFonts w:ascii="ArialMT" w:hAnsi="ArialMT"/>
          <w:sz w:val="22"/>
          <w:szCs w:val="22"/>
        </w:rPr>
        <w:t xml:space="preserve"> discussed above</w:t>
      </w:r>
      <w:r w:rsidR="00117A76" w:rsidRPr="00C76F65">
        <w:rPr>
          <w:rFonts w:ascii="ArialMT" w:hAnsi="ArialMT"/>
          <w:sz w:val="22"/>
          <w:szCs w:val="22"/>
        </w:rPr>
        <w:t xml:space="preserve">, the Applicant </w:t>
      </w:r>
      <w:r w:rsidR="00117A76" w:rsidRPr="002A61C7">
        <w:rPr>
          <w:rFonts w:ascii="ArialMT" w:hAnsi="ArialMT"/>
          <w:sz w:val="22"/>
          <w:szCs w:val="22"/>
        </w:rPr>
        <w:t xml:space="preserve">proposes the addition of </w:t>
      </w:r>
      <w:r w:rsidR="00D7128B">
        <w:rPr>
          <w:rFonts w:ascii="ArialMT" w:hAnsi="ArialMT"/>
          <w:sz w:val="22"/>
          <w:szCs w:val="22"/>
        </w:rPr>
        <w:t>a fourth</w:t>
      </w:r>
      <w:r w:rsidR="00117A76" w:rsidRPr="002A61C7">
        <w:rPr>
          <w:rFonts w:ascii="ArialMT" w:hAnsi="ArialMT"/>
          <w:sz w:val="22"/>
          <w:szCs w:val="22"/>
        </w:rPr>
        <w:t xml:space="preserve"> </w:t>
      </w:r>
      <w:r w:rsidRPr="002A61C7">
        <w:rPr>
          <w:rFonts w:ascii="ArialMT" w:hAnsi="ArialMT"/>
          <w:sz w:val="22"/>
          <w:szCs w:val="22"/>
        </w:rPr>
        <w:t>MRI unit at BMC’s main hospital campus</w:t>
      </w:r>
      <w:r w:rsidR="00117A76" w:rsidRPr="002A61C7">
        <w:rPr>
          <w:rFonts w:ascii="Arial" w:hAnsi="Arial" w:cs="Arial"/>
          <w:sz w:val="22"/>
          <w:szCs w:val="22"/>
        </w:rPr>
        <w:t xml:space="preserve">. </w:t>
      </w:r>
      <w:r w:rsidR="002A61C7" w:rsidRPr="002A61C7">
        <w:rPr>
          <w:rFonts w:ascii="Arial" w:hAnsi="Arial" w:cs="Arial"/>
          <w:sz w:val="22"/>
          <w:szCs w:val="22"/>
        </w:rPr>
        <w:t xml:space="preserve">Without the Proposed Project, MRI utilization rates will continue to rise to unsustainable levels as patient volumes continue to increase and the Hospital’s existing </w:t>
      </w:r>
      <w:r w:rsidR="00D7128B">
        <w:rPr>
          <w:rFonts w:ascii="Arial" w:hAnsi="Arial" w:cs="Arial"/>
          <w:sz w:val="22"/>
          <w:szCs w:val="22"/>
        </w:rPr>
        <w:t xml:space="preserve">three (3) </w:t>
      </w:r>
      <w:r w:rsidR="002A61C7" w:rsidRPr="002A61C7">
        <w:rPr>
          <w:rFonts w:ascii="Arial" w:hAnsi="Arial" w:cs="Arial"/>
          <w:sz w:val="22"/>
          <w:szCs w:val="22"/>
        </w:rPr>
        <w:t>units are further taxed.</w:t>
      </w:r>
      <w:r w:rsidR="002A61C7">
        <w:rPr>
          <w:rFonts w:ascii="Arial" w:hAnsi="Arial" w:cs="Arial"/>
          <w:sz w:val="22"/>
          <w:szCs w:val="22"/>
        </w:rPr>
        <w:t xml:space="preserve"> </w:t>
      </w:r>
      <w:r w:rsidR="00A719A1" w:rsidRPr="0008546E">
        <w:rPr>
          <w:rFonts w:ascii="Arial" w:eastAsia="Calibri" w:hAnsi="Arial" w:cs="Arial"/>
          <w:sz w:val="22"/>
          <w:szCs w:val="22"/>
        </w:rPr>
        <w:t>As the Hospital’s existing MRI units are overburdened by increased utilization, it is anticipated that the amount of downtime will increase each year, beyond the</w:t>
      </w:r>
      <w:r w:rsidR="00A719A1" w:rsidRPr="0008546E">
        <w:rPr>
          <w:rFonts w:ascii="Arial" w:hAnsi="Arial" w:cs="Arial"/>
          <w:sz w:val="22"/>
          <w:szCs w:val="22"/>
        </w:rPr>
        <w:t xml:space="preserve"> industry standard of 30-60 hours per year.</w:t>
      </w:r>
      <w:r w:rsidR="00A719A1">
        <w:rPr>
          <w:rFonts w:ascii="Arial" w:hAnsi="Arial" w:cs="Arial"/>
          <w:sz w:val="22"/>
          <w:szCs w:val="22"/>
        </w:rPr>
        <w:t xml:space="preserve"> </w:t>
      </w:r>
      <w:r w:rsidR="00A719A1" w:rsidRPr="002A61C7">
        <w:rPr>
          <w:rFonts w:ascii="Arial" w:hAnsi="Arial" w:cs="Arial"/>
          <w:sz w:val="22"/>
          <w:szCs w:val="22"/>
        </w:rPr>
        <w:t>Throughput will continue to be negatively impacted and patients will continue to face increased wait times and delays in diagnosis and treatment, which lead to high costs as well as poorer outcomes.</w:t>
      </w:r>
    </w:p>
    <w:p w14:paraId="5B76F3AD" w14:textId="77777777" w:rsidR="002A61C7" w:rsidRDefault="002A61C7" w:rsidP="00117A76">
      <w:pPr>
        <w:pStyle w:val="NormalWeb"/>
        <w:spacing w:before="0" w:beforeAutospacing="0" w:after="0" w:afterAutospacing="0"/>
        <w:jc w:val="both"/>
        <w:rPr>
          <w:rFonts w:ascii="Arial" w:hAnsi="Arial" w:cs="Arial"/>
          <w:sz w:val="22"/>
          <w:szCs w:val="22"/>
        </w:rPr>
      </w:pPr>
    </w:p>
    <w:p w14:paraId="7D6F157A" w14:textId="77777777" w:rsidR="004E5059" w:rsidRDefault="002A61C7" w:rsidP="00117A76">
      <w:pPr>
        <w:pStyle w:val="NormalWeb"/>
        <w:spacing w:before="0" w:beforeAutospacing="0" w:after="0" w:afterAutospacing="0"/>
        <w:jc w:val="both"/>
        <w:rPr>
          <w:rFonts w:ascii="Arial" w:hAnsi="Arial" w:cs="Arial"/>
          <w:sz w:val="22"/>
          <w:szCs w:val="22"/>
        </w:rPr>
      </w:pPr>
      <w:r w:rsidRPr="002A61C7">
        <w:rPr>
          <w:rFonts w:ascii="Arial" w:hAnsi="Arial" w:cs="Arial"/>
          <w:sz w:val="22"/>
          <w:szCs w:val="22"/>
        </w:rPr>
        <w:t xml:space="preserve">Through the Proposed Project, the Applicant seeks to help alleviate these issues. </w:t>
      </w:r>
      <w:r w:rsidR="004E5059" w:rsidRPr="000C289B">
        <w:rPr>
          <w:rFonts w:ascii="ArialMT" w:hAnsi="ArialMT"/>
          <w:sz w:val="22"/>
          <w:szCs w:val="22"/>
        </w:rPr>
        <w:t xml:space="preserve">Table 6 illustrates the </w:t>
      </w:r>
      <w:r w:rsidR="004E5059" w:rsidRPr="004E5059">
        <w:rPr>
          <w:rFonts w:ascii="Arial" w:hAnsi="Arial" w:cs="Arial"/>
          <w:sz w:val="22"/>
          <w:szCs w:val="22"/>
        </w:rPr>
        <w:t xml:space="preserve">Hospital’s </w:t>
      </w:r>
      <w:r w:rsidR="004E5059" w:rsidRPr="000C289B">
        <w:rPr>
          <w:rFonts w:ascii="ArialMT" w:hAnsi="ArialMT"/>
          <w:sz w:val="22"/>
          <w:szCs w:val="22"/>
        </w:rPr>
        <w:t xml:space="preserve">future year </w:t>
      </w:r>
      <w:r w:rsidR="004E5059">
        <w:rPr>
          <w:rFonts w:ascii="Arial" w:hAnsi="Arial" w:cs="Arial"/>
          <w:sz w:val="22"/>
          <w:szCs w:val="22"/>
        </w:rPr>
        <w:t>MRI</w:t>
      </w:r>
      <w:r w:rsidR="004E5059" w:rsidRPr="004E5059">
        <w:rPr>
          <w:rFonts w:ascii="Arial" w:hAnsi="Arial" w:cs="Arial"/>
          <w:sz w:val="22"/>
          <w:szCs w:val="22"/>
        </w:rPr>
        <w:t xml:space="preserve"> volume projections following implementation of the Proposed Project.</w:t>
      </w:r>
    </w:p>
    <w:p w14:paraId="2997DD29" w14:textId="317236FA" w:rsidR="004E5059" w:rsidRDefault="00DD3D84" w:rsidP="00DD3D84">
      <w:pPr>
        <w:pStyle w:val="NormalWeb"/>
        <w:shd w:val="clear" w:color="auto" w:fill="3964B1"/>
        <w:spacing w:before="0" w:beforeAutospacing="0" w:after="0" w:afterAutospacing="0"/>
        <w:jc w:val="center"/>
        <w:rPr>
          <w:rFonts w:ascii="Arial" w:hAnsi="Arial" w:cs="Arial"/>
          <w:sz w:val="22"/>
          <w:szCs w:val="22"/>
        </w:rPr>
      </w:pPr>
      <w:r w:rsidRPr="0027440C">
        <w:rPr>
          <w:rFonts w:ascii="Arial Narrow" w:hAnsi="Arial Narrow" w:cs="Arial"/>
          <w:b/>
          <w:bCs/>
          <w:color w:val="FFFFFF"/>
          <w:sz w:val="22"/>
          <w:szCs w:val="22"/>
        </w:rPr>
        <w:t xml:space="preserve">Table </w:t>
      </w:r>
      <w:r>
        <w:rPr>
          <w:rFonts w:ascii="Arial Narrow" w:hAnsi="Arial Narrow" w:cs="Arial"/>
          <w:b/>
          <w:bCs/>
          <w:color w:val="FFFFFF"/>
          <w:sz w:val="22"/>
          <w:szCs w:val="22"/>
        </w:rPr>
        <w:t>6</w:t>
      </w:r>
      <w:r w:rsidRPr="0027440C">
        <w:rPr>
          <w:rFonts w:ascii="Arial Narrow" w:hAnsi="Arial Narrow" w:cs="Arial"/>
          <w:b/>
          <w:bCs/>
          <w:color w:val="FFFFFF"/>
          <w:sz w:val="22"/>
          <w:szCs w:val="22"/>
        </w:rPr>
        <w:t xml:space="preserve">: BMC </w:t>
      </w:r>
      <w:r>
        <w:rPr>
          <w:rFonts w:ascii="Arial Narrow" w:hAnsi="Arial Narrow" w:cs="Arial"/>
          <w:b/>
          <w:bCs/>
          <w:color w:val="FFFFFF"/>
          <w:sz w:val="22"/>
          <w:szCs w:val="22"/>
        </w:rPr>
        <w:t xml:space="preserve">Projected </w:t>
      </w:r>
      <w:r w:rsidRPr="0027440C">
        <w:rPr>
          <w:rFonts w:ascii="Arial Narrow" w:hAnsi="Arial Narrow" w:cs="Arial"/>
          <w:b/>
          <w:bCs/>
          <w:color w:val="FFFFFF"/>
          <w:sz w:val="22"/>
          <w:szCs w:val="22"/>
        </w:rPr>
        <w:t xml:space="preserve">MRI </w:t>
      </w:r>
      <w:r>
        <w:rPr>
          <w:rFonts w:ascii="Arial Narrow" w:hAnsi="Arial Narrow" w:cs="Arial"/>
          <w:b/>
          <w:bCs/>
          <w:color w:val="FFFFFF"/>
          <w:sz w:val="22"/>
          <w:szCs w:val="22"/>
        </w:rPr>
        <w:t>Scan Volume</w:t>
      </w:r>
    </w:p>
    <w:tbl>
      <w:tblPr>
        <w:tblStyle w:val="TableGrid"/>
        <w:tblW w:w="9350" w:type="dxa"/>
        <w:jc w:val="center"/>
        <w:tblLayout w:type="fixed"/>
        <w:tblLook w:val="04A0" w:firstRow="1" w:lastRow="0" w:firstColumn="1" w:lastColumn="0" w:noHBand="0" w:noVBand="1"/>
      </w:tblPr>
      <w:tblGrid>
        <w:gridCol w:w="1870"/>
        <w:gridCol w:w="1870"/>
        <w:gridCol w:w="1870"/>
        <w:gridCol w:w="1870"/>
        <w:gridCol w:w="1870"/>
      </w:tblGrid>
      <w:tr w:rsidR="004E5059" w:rsidRPr="0027440C" w14:paraId="1613C66D" w14:textId="77777777" w:rsidTr="0011122E">
        <w:trPr>
          <w:trHeight w:val="20"/>
          <w:jc w:val="center"/>
        </w:trPr>
        <w:tc>
          <w:tcPr>
            <w:tcW w:w="1870" w:type="dxa"/>
            <w:tcBorders>
              <w:top w:val="single" w:sz="4" w:space="0" w:color="auto"/>
              <w:left w:val="single" w:sz="4" w:space="0" w:color="auto"/>
              <w:bottom w:val="single" w:sz="4" w:space="0" w:color="auto"/>
              <w:right w:val="single" w:sz="4" w:space="0" w:color="auto"/>
            </w:tcBorders>
            <w:shd w:val="clear" w:color="auto" w:fill="8DA9DB"/>
            <w:vAlign w:val="center"/>
          </w:tcPr>
          <w:p w14:paraId="52649D8B" w14:textId="77777777" w:rsidR="004E5059" w:rsidRPr="0027440C" w:rsidRDefault="004E5059" w:rsidP="0011122E">
            <w:pPr>
              <w:jc w:val="center"/>
              <w:rPr>
                <w:rFonts w:ascii="Arial Narrow" w:hAnsi="Arial Narrow" w:cs="Arial"/>
                <w:sz w:val="22"/>
                <w:szCs w:val="22"/>
              </w:rPr>
            </w:pPr>
            <w:r w:rsidRPr="0027440C">
              <w:rPr>
                <w:rFonts w:ascii="Arial Narrow" w:hAnsi="Arial Narrow" w:cs="Arial"/>
                <w:b/>
                <w:bCs/>
                <w:sz w:val="22"/>
                <w:szCs w:val="22"/>
              </w:rPr>
              <w:t>FY</w:t>
            </w:r>
            <w:r>
              <w:rPr>
                <w:rFonts w:ascii="Arial Narrow" w:hAnsi="Arial Narrow" w:cs="Arial"/>
                <w:b/>
                <w:bCs/>
                <w:sz w:val="22"/>
                <w:szCs w:val="22"/>
              </w:rPr>
              <w:t>24</w:t>
            </w:r>
          </w:p>
        </w:tc>
        <w:tc>
          <w:tcPr>
            <w:tcW w:w="1870" w:type="dxa"/>
            <w:tcBorders>
              <w:top w:val="single" w:sz="4" w:space="0" w:color="auto"/>
              <w:left w:val="single" w:sz="4" w:space="0" w:color="auto"/>
              <w:bottom w:val="single" w:sz="4" w:space="0" w:color="auto"/>
            </w:tcBorders>
            <w:shd w:val="clear" w:color="auto" w:fill="8DA9DB"/>
            <w:vAlign w:val="center"/>
          </w:tcPr>
          <w:p w14:paraId="78FCAFB0" w14:textId="77777777" w:rsidR="004E5059" w:rsidRPr="0027440C" w:rsidRDefault="004E5059" w:rsidP="0011122E">
            <w:pPr>
              <w:ind w:left="-128" w:right="-146"/>
              <w:jc w:val="center"/>
              <w:rPr>
                <w:rFonts w:ascii="Arial Narrow" w:hAnsi="Arial Narrow" w:cs="Arial"/>
                <w:sz w:val="22"/>
                <w:szCs w:val="22"/>
              </w:rPr>
            </w:pPr>
            <w:r w:rsidRPr="0027440C">
              <w:rPr>
                <w:rFonts w:ascii="Arial Narrow" w:hAnsi="Arial Narrow" w:cs="Arial"/>
                <w:b/>
                <w:bCs/>
                <w:sz w:val="22"/>
                <w:szCs w:val="22"/>
              </w:rPr>
              <w:t>FY2</w:t>
            </w:r>
            <w:r>
              <w:rPr>
                <w:rFonts w:ascii="Arial Narrow" w:hAnsi="Arial Narrow" w:cs="Arial"/>
                <w:b/>
                <w:bCs/>
                <w:sz w:val="22"/>
                <w:szCs w:val="22"/>
              </w:rPr>
              <w:t>5</w:t>
            </w:r>
          </w:p>
        </w:tc>
        <w:tc>
          <w:tcPr>
            <w:tcW w:w="1870" w:type="dxa"/>
            <w:tcBorders>
              <w:top w:val="single" w:sz="4" w:space="0" w:color="auto"/>
              <w:bottom w:val="single" w:sz="4" w:space="0" w:color="auto"/>
            </w:tcBorders>
            <w:shd w:val="clear" w:color="auto" w:fill="8DA9DB"/>
            <w:vAlign w:val="center"/>
          </w:tcPr>
          <w:p w14:paraId="10ECFD1C" w14:textId="77777777" w:rsidR="004E5059" w:rsidRPr="0027440C" w:rsidRDefault="004E5059" w:rsidP="0011122E">
            <w:pPr>
              <w:jc w:val="center"/>
              <w:rPr>
                <w:rFonts w:ascii="Arial Narrow" w:hAnsi="Arial Narrow" w:cs="Arial"/>
                <w:sz w:val="22"/>
                <w:szCs w:val="22"/>
              </w:rPr>
            </w:pPr>
            <w:r w:rsidRPr="0027440C">
              <w:rPr>
                <w:rFonts w:ascii="Arial Narrow" w:hAnsi="Arial Narrow" w:cs="Arial"/>
                <w:b/>
                <w:bCs/>
                <w:sz w:val="22"/>
                <w:szCs w:val="22"/>
              </w:rPr>
              <w:t>FY</w:t>
            </w:r>
            <w:r>
              <w:rPr>
                <w:rFonts w:ascii="Arial Narrow" w:hAnsi="Arial Narrow" w:cs="Arial"/>
                <w:b/>
                <w:bCs/>
                <w:sz w:val="22"/>
                <w:szCs w:val="22"/>
              </w:rPr>
              <w:t>26</w:t>
            </w:r>
          </w:p>
        </w:tc>
        <w:tc>
          <w:tcPr>
            <w:tcW w:w="1870" w:type="dxa"/>
            <w:tcBorders>
              <w:top w:val="single" w:sz="4" w:space="0" w:color="auto"/>
              <w:bottom w:val="single" w:sz="4" w:space="0" w:color="auto"/>
            </w:tcBorders>
            <w:shd w:val="clear" w:color="auto" w:fill="8DA9DB"/>
            <w:vAlign w:val="center"/>
          </w:tcPr>
          <w:p w14:paraId="6EB6CC8C" w14:textId="77777777" w:rsidR="004E5059" w:rsidRPr="0027440C" w:rsidRDefault="004E5059" w:rsidP="0011122E">
            <w:pPr>
              <w:jc w:val="center"/>
              <w:rPr>
                <w:rFonts w:ascii="Arial Narrow" w:hAnsi="Arial Narrow" w:cs="Arial"/>
                <w:sz w:val="22"/>
                <w:szCs w:val="22"/>
              </w:rPr>
            </w:pPr>
            <w:r w:rsidRPr="0027440C">
              <w:rPr>
                <w:rFonts w:ascii="Arial Narrow" w:hAnsi="Arial Narrow" w:cs="Arial"/>
                <w:b/>
                <w:bCs/>
                <w:sz w:val="22"/>
                <w:szCs w:val="22"/>
              </w:rPr>
              <w:t>FY</w:t>
            </w:r>
            <w:r>
              <w:rPr>
                <w:rFonts w:ascii="Arial Narrow" w:hAnsi="Arial Narrow" w:cs="Arial"/>
                <w:b/>
                <w:bCs/>
                <w:sz w:val="22"/>
                <w:szCs w:val="22"/>
              </w:rPr>
              <w:t>27</w:t>
            </w:r>
          </w:p>
        </w:tc>
        <w:tc>
          <w:tcPr>
            <w:tcW w:w="1870" w:type="dxa"/>
            <w:tcBorders>
              <w:top w:val="single" w:sz="4" w:space="0" w:color="auto"/>
              <w:bottom w:val="single" w:sz="4" w:space="0" w:color="auto"/>
              <w:right w:val="single" w:sz="4" w:space="0" w:color="auto"/>
            </w:tcBorders>
            <w:shd w:val="clear" w:color="auto" w:fill="8DA9DB"/>
            <w:vAlign w:val="center"/>
          </w:tcPr>
          <w:p w14:paraId="75D20B98" w14:textId="77777777" w:rsidR="004E5059" w:rsidRPr="004F7BEA" w:rsidRDefault="004E5059" w:rsidP="0011122E">
            <w:pPr>
              <w:jc w:val="center"/>
              <w:rPr>
                <w:rFonts w:ascii="Arial Narrow" w:hAnsi="Arial Narrow" w:cs="Arial"/>
                <w:b/>
                <w:bCs/>
                <w:sz w:val="22"/>
                <w:szCs w:val="22"/>
              </w:rPr>
            </w:pPr>
            <w:r w:rsidRPr="004F7BEA">
              <w:rPr>
                <w:rFonts w:ascii="Arial Narrow" w:hAnsi="Arial Narrow" w:cs="Arial"/>
                <w:b/>
                <w:bCs/>
                <w:sz w:val="22"/>
                <w:szCs w:val="22"/>
              </w:rPr>
              <w:t>FY28</w:t>
            </w:r>
          </w:p>
        </w:tc>
      </w:tr>
      <w:tr w:rsidR="004E5059" w:rsidRPr="0027440C" w14:paraId="41C1D597" w14:textId="77777777" w:rsidTr="0011122E">
        <w:trPr>
          <w:trHeight w:val="20"/>
          <w:jc w:val="center"/>
        </w:trPr>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0FAFEEFC" w14:textId="77777777" w:rsidR="004E5059" w:rsidRPr="009C1BDD" w:rsidRDefault="009C1BDD" w:rsidP="0011122E">
            <w:pPr>
              <w:jc w:val="center"/>
              <w:rPr>
                <w:rFonts w:ascii="Arial Narrow" w:hAnsi="Arial Narrow" w:cs="Arial"/>
                <w:b/>
                <w:bCs/>
                <w:sz w:val="22"/>
                <w:szCs w:val="22"/>
              </w:rPr>
            </w:pPr>
            <w:r w:rsidRPr="009C1BDD">
              <w:rPr>
                <w:rFonts w:ascii="Arial Narrow" w:hAnsi="Arial Narrow" w:cs="Arial"/>
                <w:sz w:val="22"/>
                <w:szCs w:val="22"/>
              </w:rPr>
              <w:t>25,234</w:t>
            </w:r>
          </w:p>
        </w:tc>
        <w:tc>
          <w:tcPr>
            <w:tcW w:w="1870" w:type="dxa"/>
            <w:tcBorders>
              <w:top w:val="single" w:sz="4" w:space="0" w:color="auto"/>
              <w:left w:val="single" w:sz="4" w:space="0" w:color="auto"/>
              <w:bottom w:val="single" w:sz="4" w:space="0" w:color="auto"/>
            </w:tcBorders>
            <w:shd w:val="clear" w:color="auto" w:fill="auto"/>
          </w:tcPr>
          <w:p w14:paraId="6B6FF38A" w14:textId="77777777" w:rsidR="004E5059" w:rsidRPr="009C1BDD" w:rsidRDefault="009C1BDD" w:rsidP="0011122E">
            <w:pPr>
              <w:jc w:val="center"/>
              <w:rPr>
                <w:rFonts w:ascii="Arial Narrow" w:hAnsi="Arial Narrow" w:cs="Arial"/>
                <w:sz w:val="22"/>
                <w:szCs w:val="22"/>
              </w:rPr>
            </w:pPr>
            <w:r w:rsidRPr="009C1BDD">
              <w:rPr>
                <w:rFonts w:ascii="Arial Narrow" w:hAnsi="Arial Narrow" w:cs="Arial"/>
                <w:sz w:val="22"/>
                <w:szCs w:val="22"/>
              </w:rPr>
              <w:t>30,728</w:t>
            </w:r>
          </w:p>
        </w:tc>
        <w:tc>
          <w:tcPr>
            <w:tcW w:w="1870" w:type="dxa"/>
            <w:tcBorders>
              <w:top w:val="single" w:sz="4" w:space="0" w:color="auto"/>
              <w:bottom w:val="single" w:sz="4" w:space="0" w:color="auto"/>
            </w:tcBorders>
            <w:shd w:val="clear" w:color="auto" w:fill="auto"/>
          </w:tcPr>
          <w:p w14:paraId="40DEE59A" w14:textId="77777777" w:rsidR="004E5059" w:rsidRPr="009C1BDD" w:rsidRDefault="009C1BDD" w:rsidP="0011122E">
            <w:pPr>
              <w:jc w:val="center"/>
              <w:rPr>
                <w:rFonts w:ascii="Arial Narrow" w:hAnsi="Arial Narrow" w:cs="Arial"/>
                <w:sz w:val="22"/>
                <w:szCs w:val="22"/>
              </w:rPr>
            </w:pPr>
            <w:r w:rsidRPr="009C1BDD">
              <w:rPr>
                <w:rFonts w:ascii="Arial Narrow" w:hAnsi="Arial Narrow" w:cs="Arial"/>
                <w:sz w:val="22"/>
                <w:szCs w:val="22"/>
              </w:rPr>
              <w:t>31,670</w:t>
            </w:r>
          </w:p>
        </w:tc>
        <w:tc>
          <w:tcPr>
            <w:tcW w:w="1870" w:type="dxa"/>
            <w:tcBorders>
              <w:top w:val="single" w:sz="4" w:space="0" w:color="auto"/>
              <w:bottom w:val="single" w:sz="4" w:space="0" w:color="auto"/>
            </w:tcBorders>
            <w:shd w:val="clear" w:color="auto" w:fill="auto"/>
          </w:tcPr>
          <w:p w14:paraId="421B1126" w14:textId="4BAB6C7E" w:rsidR="004E5059" w:rsidRPr="009C1BDD" w:rsidRDefault="004A7EC4" w:rsidP="0011122E">
            <w:pPr>
              <w:jc w:val="center"/>
              <w:rPr>
                <w:rFonts w:ascii="Arial Narrow" w:hAnsi="Arial Narrow" w:cs="Arial"/>
                <w:sz w:val="22"/>
                <w:szCs w:val="22"/>
              </w:rPr>
            </w:pPr>
            <w:r>
              <w:rPr>
                <w:rFonts w:ascii="Arial Narrow" w:hAnsi="Arial Narrow" w:cs="Arial"/>
                <w:sz w:val="22"/>
                <w:szCs w:val="22"/>
              </w:rPr>
              <w:t>32,597</w:t>
            </w:r>
          </w:p>
        </w:tc>
        <w:tc>
          <w:tcPr>
            <w:tcW w:w="1870" w:type="dxa"/>
            <w:tcBorders>
              <w:top w:val="single" w:sz="4" w:space="0" w:color="auto"/>
              <w:bottom w:val="single" w:sz="4" w:space="0" w:color="auto"/>
              <w:right w:val="single" w:sz="4" w:space="0" w:color="auto"/>
            </w:tcBorders>
            <w:shd w:val="clear" w:color="auto" w:fill="auto"/>
          </w:tcPr>
          <w:p w14:paraId="236DAE3B" w14:textId="17620EB0" w:rsidR="004E5059" w:rsidRPr="009C1BDD" w:rsidRDefault="004A7EC4" w:rsidP="0011122E">
            <w:pPr>
              <w:jc w:val="center"/>
              <w:rPr>
                <w:rFonts w:ascii="Arial Narrow" w:hAnsi="Arial Narrow" w:cs="Arial"/>
                <w:sz w:val="22"/>
                <w:szCs w:val="22"/>
              </w:rPr>
            </w:pPr>
            <w:r w:rsidRPr="004A7EC4">
              <w:rPr>
                <w:rFonts w:ascii="Arial Narrow" w:hAnsi="Arial Narrow" w:cs="Arial"/>
                <w:sz w:val="22"/>
                <w:szCs w:val="22"/>
              </w:rPr>
              <w:t>32,597</w:t>
            </w:r>
          </w:p>
        </w:tc>
      </w:tr>
    </w:tbl>
    <w:p w14:paraId="442BD89F" w14:textId="77777777" w:rsidR="004E5059" w:rsidRDefault="004E5059" w:rsidP="00117A76">
      <w:pPr>
        <w:pStyle w:val="NormalWeb"/>
        <w:spacing w:before="0" w:beforeAutospacing="0" w:after="0" w:afterAutospacing="0"/>
        <w:jc w:val="both"/>
        <w:rPr>
          <w:rFonts w:ascii="Arial" w:hAnsi="Arial" w:cs="Arial"/>
          <w:sz w:val="22"/>
          <w:szCs w:val="22"/>
        </w:rPr>
      </w:pPr>
    </w:p>
    <w:p w14:paraId="612232A3" w14:textId="191BB078" w:rsidR="00117A76" w:rsidRPr="00867405" w:rsidRDefault="00117A76" w:rsidP="00117A76">
      <w:pPr>
        <w:pStyle w:val="NormalWeb"/>
        <w:spacing w:before="0" w:beforeAutospacing="0" w:after="0" w:afterAutospacing="0"/>
        <w:jc w:val="both"/>
        <w:rPr>
          <w:rFonts w:ascii="Arial" w:hAnsi="Arial" w:cs="Arial"/>
          <w:sz w:val="22"/>
          <w:szCs w:val="22"/>
        </w:rPr>
      </w:pPr>
      <w:r w:rsidRPr="002A61C7">
        <w:rPr>
          <w:rFonts w:ascii="Arial" w:hAnsi="Arial" w:cs="Arial"/>
          <w:sz w:val="22"/>
          <w:szCs w:val="22"/>
        </w:rPr>
        <w:t>Th</w:t>
      </w:r>
      <w:r w:rsidR="002A61C7" w:rsidRPr="002A61C7">
        <w:rPr>
          <w:rFonts w:ascii="Arial" w:hAnsi="Arial" w:cs="Arial"/>
          <w:sz w:val="22"/>
          <w:szCs w:val="22"/>
        </w:rPr>
        <w:t>e</w:t>
      </w:r>
      <w:r w:rsidRPr="002A61C7">
        <w:rPr>
          <w:rFonts w:ascii="Arial" w:hAnsi="Arial" w:cs="Arial"/>
          <w:sz w:val="22"/>
          <w:szCs w:val="22"/>
        </w:rPr>
        <w:t xml:space="preserve"> expansion </w:t>
      </w:r>
      <w:r w:rsidR="00FB7DEE" w:rsidRPr="002A61C7">
        <w:rPr>
          <w:rFonts w:ascii="Arial" w:hAnsi="Arial" w:cs="Arial"/>
          <w:sz w:val="22"/>
          <w:szCs w:val="22"/>
        </w:rPr>
        <w:t xml:space="preserve">of MRI services will accommodate </w:t>
      </w:r>
      <w:r w:rsidR="00C76F65" w:rsidRPr="002A61C7">
        <w:rPr>
          <w:rFonts w:ascii="Arial" w:hAnsi="Arial" w:cs="Arial"/>
          <w:sz w:val="22"/>
          <w:szCs w:val="22"/>
        </w:rPr>
        <w:t xml:space="preserve">BMC’s </w:t>
      </w:r>
      <w:r w:rsidR="00FB7DEE" w:rsidRPr="002A61C7">
        <w:rPr>
          <w:rFonts w:ascii="Arial" w:hAnsi="Arial" w:cs="Arial"/>
          <w:sz w:val="22"/>
          <w:szCs w:val="22"/>
        </w:rPr>
        <w:t xml:space="preserve">organic </w:t>
      </w:r>
      <w:r w:rsidR="00C76F65" w:rsidRPr="002A61C7">
        <w:rPr>
          <w:rFonts w:ascii="Arial" w:hAnsi="Arial" w:cs="Arial"/>
          <w:sz w:val="22"/>
          <w:szCs w:val="22"/>
        </w:rPr>
        <w:t xml:space="preserve">patient population </w:t>
      </w:r>
      <w:r w:rsidR="00FB7DEE" w:rsidRPr="002A61C7">
        <w:rPr>
          <w:rFonts w:ascii="Arial" w:hAnsi="Arial" w:cs="Arial"/>
          <w:sz w:val="22"/>
          <w:szCs w:val="22"/>
        </w:rPr>
        <w:t>growth</w:t>
      </w:r>
      <w:r w:rsidR="00C76F65" w:rsidRPr="002A61C7">
        <w:rPr>
          <w:rFonts w:ascii="Arial" w:hAnsi="Arial" w:cs="Arial"/>
          <w:sz w:val="22"/>
          <w:szCs w:val="22"/>
        </w:rPr>
        <w:t>,</w:t>
      </w:r>
      <w:r w:rsidR="00FB7DEE" w:rsidRPr="002A61C7">
        <w:rPr>
          <w:rFonts w:ascii="Arial" w:hAnsi="Arial" w:cs="Arial"/>
          <w:sz w:val="22"/>
          <w:szCs w:val="22"/>
        </w:rPr>
        <w:t xml:space="preserve"> particularly </w:t>
      </w:r>
      <w:r w:rsidR="00C76F65" w:rsidRPr="002A61C7">
        <w:rPr>
          <w:rFonts w:ascii="Arial" w:hAnsi="Arial" w:cs="Arial"/>
          <w:sz w:val="22"/>
          <w:szCs w:val="22"/>
        </w:rPr>
        <w:t>with regard to patients</w:t>
      </w:r>
      <w:r w:rsidR="00C76F65" w:rsidRPr="00C76F65">
        <w:rPr>
          <w:rFonts w:ascii="Arial" w:hAnsi="Arial" w:cs="Arial"/>
          <w:sz w:val="22"/>
          <w:szCs w:val="22"/>
        </w:rPr>
        <w:t xml:space="preserve"> </w:t>
      </w:r>
      <w:r w:rsidR="00FB7DEE" w:rsidRPr="00C76F65">
        <w:rPr>
          <w:rFonts w:ascii="Arial" w:hAnsi="Arial" w:cs="Arial"/>
          <w:sz w:val="22"/>
          <w:szCs w:val="22"/>
        </w:rPr>
        <w:t xml:space="preserve">65+; </w:t>
      </w:r>
      <w:r w:rsidRPr="00C76F65">
        <w:rPr>
          <w:rFonts w:ascii="Arial" w:hAnsi="Arial" w:cs="Arial"/>
          <w:sz w:val="22"/>
          <w:szCs w:val="22"/>
        </w:rPr>
        <w:t xml:space="preserve">allow for timely access to high-quality </w:t>
      </w:r>
      <w:r w:rsidR="00FB7DEE" w:rsidRPr="00C76F65">
        <w:rPr>
          <w:rFonts w:ascii="Arial" w:hAnsi="Arial" w:cs="Arial"/>
          <w:sz w:val="22"/>
          <w:szCs w:val="22"/>
        </w:rPr>
        <w:t>imaging</w:t>
      </w:r>
      <w:r w:rsidRPr="00C76F65">
        <w:rPr>
          <w:rFonts w:ascii="Arial" w:hAnsi="Arial" w:cs="Arial"/>
          <w:sz w:val="22"/>
          <w:szCs w:val="22"/>
        </w:rPr>
        <w:t xml:space="preserve"> services in New England’s largest safety net hospital</w:t>
      </w:r>
      <w:r w:rsidR="00E26684" w:rsidRPr="00C76F65">
        <w:rPr>
          <w:rFonts w:ascii="Arial" w:hAnsi="Arial" w:cs="Arial"/>
          <w:sz w:val="22"/>
          <w:szCs w:val="22"/>
        </w:rPr>
        <w:t xml:space="preserve"> and thereby</w:t>
      </w:r>
      <w:r w:rsidR="00FB7DEE" w:rsidRPr="00C76F65">
        <w:rPr>
          <w:rFonts w:ascii="Arial" w:hAnsi="Arial" w:cs="Arial"/>
          <w:sz w:val="22"/>
          <w:szCs w:val="22"/>
        </w:rPr>
        <w:t xml:space="preserve"> ensure </w:t>
      </w:r>
      <w:r w:rsidR="00C76F65" w:rsidRPr="00C76F65">
        <w:rPr>
          <w:rFonts w:ascii="Arial" w:hAnsi="Arial" w:cs="Arial"/>
          <w:sz w:val="22"/>
          <w:szCs w:val="22"/>
        </w:rPr>
        <w:t xml:space="preserve">the provision of </w:t>
      </w:r>
      <w:r w:rsidR="00FB7DEE" w:rsidRPr="00C76F65">
        <w:rPr>
          <w:rFonts w:ascii="Arial" w:hAnsi="Arial" w:cs="Arial"/>
          <w:sz w:val="22"/>
          <w:szCs w:val="22"/>
        </w:rPr>
        <w:t>equitable care</w:t>
      </w:r>
      <w:r w:rsidR="00C76F65" w:rsidRPr="00C76F65">
        <w:rPr>
          <w:rFonts w:ascii="Arial" w:hAnsi="Arial" w:cs="Arial"/>
          <w:sz w:val="22"/>
          <w:szCs w:val="22"/>
        </w:rPr>
        <w:t xml:space="preserve"> to BMC’s diverse population</w:t>
      </w:r>
      <w:r w:rsidR="00FB7DEE" w:rsidRPr="00C76F65">
        <w:rPr>
          <w:rFonts w:ascii="Arial" w:hAnsi="Arial" w:cs="Arial"/>
          <w:sz w:val="22"/>
          <w:szCs w:val="22"/>
        </w:rPr>
        <w:t xml:space="preserve">; </w:t>
      </w:r>
      <w:r w:rsidR="00C76F65" w:rsidRPr="00C76F65">
        <w:rPr>
          <w:rFonts w:ascii="ArialMT" w:hAnsi="ArialMT"/>
          <w:sz w:val="22"/>
          <w:szCs w:val="22"/>
        </w:rPr>
        <w:t>ease the strain on the Hospital’s existing MRI units and</w:t>
      </w:r>
      <w:r w:rsidR="00C76F65" w:rsidRPr="00C76F65">
        <w:rPr>
          <w:rFonts w:ascii="Arial" w:hAnsi="Arial" w:cs="Arial"/>
          <w:sz w:val="22"/>
          <w:szCs w:val="22"/>
        </w:rPr>
        <w:t xml:space="preserve"> </w:t>
      </w:r>
      <w:r w:rsidR="00FB7DEE" w:rsidRPr="00C76F65">
        <w:rPr>
          <w:rFonts w:ascii="Arial" w:hAnsi="Arial" w:cs="Arial"/>
          <w:sz w:val="22"/>
          <w:szCs w:val="22"/>
        </w:rPr>
        <w:t>help deal with downtime issues</w:t>
      </w:r>
      <w:r w:rsidR="00E26684" w:rsidRPr="00C76F65">
        <w:rPr>
          <w:rFonts w:ascii="Arial" w:hAnsi="Arial" w:cs="Arial"/>
          <w:sz w:val="22"/>
          <w:szCs w:val="22"/>
        </w:rPr>
        <w:t xml:space="preserve"> which </w:t>
      </w:r>
      <w:r w:rsidR="00C76F65" w:rsidRPr="00C76F65">
        <w:rPr>
          <w:rFonts w:ascii="Arial" w:hAnsi="Arial" w:cs="Arial"/>
          <w:sz w:val="22"/>
          <w:szCs w:val="22"/>
        </w:rPr>
        <w:t xml:space="preserve">exacerbate wait times, </w:t>
      </w:r>
      <w:r w:rsidR="00E26684" w:rsidRPr="00C76F65">
        <w:rPr>
          <w:rFonts w:ascii="Arial" w:hAnsi="Arial" w:cs="Arial"/>
          <w:sz w:val="22"/>
          <w:szCs w:val="22"/>
        </w:rPr>
        <w:t>disrupt patient care</w:t>
      </w:r>
      <w:r w:rsidR="00C76F65" w:rsidRPr="00C76F65">
        <w:rPr>
          <w:rFonts w:ascii="Arial" w:hAnsi="Arial" w:cs="Arial"/>
          <w:sz w:val="22"/>
          <w:szCs w:val="22"/>
        </w:rPr>
        <w:t>,</w:t>
      </w:r>
      <w:r w:rsidR="00E26684" w:rsidRPr="00C76F65">
        <w:rPr>
          <w:rFonts w:ascii="Arial" w:hAnsi="Arial" w:cs="Arial"/>
          <w:sz w:val="22"/>
          <w:szCs w:val="22"/>
        </w:rPr>
        <w:t xml:space="preserve"> and precipitate leakage</w:t>
      </w:r>
      <w:r w:rsidR="00D7128B">
        <w:rPr>
          <w:rFonts w:ascii="Arial" w:hAnsi="Arial" w:cs="Arial"/>
          <w:sz w:val="22"/>
          <w:szCs w:val="22"/>
        </w:rPr>
        <w:t xml:space="preserve"> to </w:t>
      </w:r>
      <w:r w:rsidR="00D7128B">
        <w:rPr>
          <w:rFonts w:ascii="Arial" w:hAnsi="Arial" w:cs="Arial"/>
          <w:sz w:val="22"/>
          <w:szCs w:val="22"/>
        </w:rPr>
        <w:lastRenderedPageBreak/>
        <w:t>higher-cost providers</w:t>
      </w:r>
      <w:r w:rsidR="00E26684" w:rsidRPr="00C76F65">
        <w:rPr>
          <w:rFonts w:ascii="Arial" w:hAnsi="Arial" w:cs="Arial"/>
          <w:sz w:val="22"/>
          <w:szCs w:val="22"/>
        </w:rPr>
        <w:t>;</w:t>
      </w:r>
      <w:r w:rsidR="002A61C7">
        <w:rPr>
          <w:rFonts w:ascii="Arial" w:hAnsi="Arial" w:cs="Arial"/>
          <w:sz w:val="22"/>
          <w:szCs w:val="22"/>
        </w:rPr>
        <w:t xml:space="preserve"> and </w:t>
      </w:r>
      <w:r w:rsidR="00E26684" w:rsidRPr="00C76F65">
        <w:rPr>
          <w:rFonts w:ascii="Arial" w:hAnsi="Arial" w:cs="Arial"/>
          <w:sz w:val="22"/>
          <w:szCs w:val="22"/>
        </w:rPr>
        <w:t xml:space="preserve">accommodate </w:t>
      </w:r>
      <w:r w:rsidR="00C76F65" w:rsidRPr="00C76F65">
        <w:rPr>
          <w:rFonts w:ascii="Arial" w:hAnsi="Arial" w:cs="Arial"/>
          <w:sz w:val="22"/>
          <w:szCs w:val="22"/>
        </w:rPr>
        <w:t xml:space="preserve">the </w:t>
      </w:r>
      <w:r w:rsidR="00E26684" w:rsidRPr="00C76F65">
        <w:rPr>
          <w:rFonts w:ascii="Arial" w:hAnsi="Arial" w:cs="Arial"/>
          <w:sz w:val="22"/>
          <w:szCs w:val="22"/>
        </w:rPr>
        <w:t xml:space="preserve">increased </w:t>
      </w:r>
      <w:r w:rsidR="00C76F65" w:rsidRPr="00C76F65">
        <w:rPr>
          <w:rFonts w:ascii="Arial" w:hAnsi="Arial" w:cs="Arial"/>
          <w:sz w:val="22"/>
          <w:szCs w:val="22"/>
        </w:rPr>
        <w:t>number</w:t>
      </w:r>
      <w:r w:rsidR="00E26684" w:rsidRPr="00C76F65">
        <w:rPr>
          <w:rFonts w:ascii="Arial" w:hAnsi="Arial" w:cs="Arial"/>
          <w:sz w:val="22"/>
          <w:szCs w:val="22"/>
        </w:rPr>
        <w:t xml:space="preserve"> of inpatient</w:t>
      </w:r>
      <w:r w:rsidR="00C76F65" w:rsidRPr="00C76F65">
        <w:rPr>
          <w:rFonts w:ascii="Arial" w:hAnsi="Arial" w:cs="Arial"/>
          <w:sz w:val="22"/>
          <w:szCs w:val="22"/>
        </w:rPr>
        <w:t xml:space="preserve"> MRI referrals</w:t>
      </w:r>
      <w:r w:rsidR="00E26684" w:rsidRPr="00C76F65">
        <w:rPr>
          <w:rFonts w:ascii="Arial" w:hAnsi="Arial" w:cs="Arial"/>
          <w:sz w:val="22"/>
          <w:szCs w:val="22"/>
        </w:rPr>
        <w:t xml:space="preserve"> anticipated </w:t>
      </w:r>
      <w:r w:rsidR="00C76F65" w:rsidRPr="00C76F65">
        <w:rPr>
          <w:rFonts w:ascii="Arial" w:hAnsi="Arial" w:cs="Arial"/>
          <w:sz w:val="22"/>
          <w:szCs w:val="22"/>
        </w:rPr>
        <w:t xml:space="preserve">upon implementation of BMC’s approved DoN Project #BMCHS-22080908-HE for </w:t>
      </w:r>
      <w:r w:rsidR="00C76F65" w:rsidRPr="00C73EF8">
        <w:rPr>
          <w:rFonts w:ascii="Arial" w:hAnsi="Arial" w:cs="Arial"/>
          <w:sz w:val="22"/>
          <w:szCs w:val="22"/>
        </w:rPr>
        <w:t xml:space="preserve">inpatient service expansion. Specifically, the Hospital anticipates </w:t>
      </w:r>
      <w:r w:rsidR="002A61C7" w:rsidRPr="00C73EF8">
        <w:rPr>
          <w:rFonts w:ascii="Arial" w:hAnsi="Arial" w:cs="Arial"/>
          <w:sz w:val="22"/>
          <w:szCs w:val="22"/>
        </w:rPr>
        <w:t xml:space="preserve">that the additional MRI unit, </w:t>
      </w:r>
      <w:r w:rsidR="002A61C7" w:rsidRPr="00FF30ED">
        <w:rPr>
          <w:rFonts w:ascii="Arial" w:hAnsi="Arial" w:cs="Arial"/>
          <w:sz w:val="22"/>
          <w:szCs w:val="22"/>
        </w:rPr>
        <w:t xml:space="preserve">which will operate thirteen (13) hours per day, </w:t>
      </w:r>
      <w:r w:rsidR="0063564D" w:rsidRPr="00FF30ED">
        <w:rPr>
          <w:rFonts w:ascii="Arial" w:hAnsi="Arial" w:cs="Arial"/>
          <w:sz w:val="22"/>
          <w:szCs w:val="22"/>
        </w:rPr>
        <w:t>seven (</w:t>
      </w:r>
      <w:r w:rsidR="002A61C7" w:rsidRPr="00FF30ED">
        <w:rPr>
          <w:rFonts w:ascii="Arial" w:hAnsi="Arial" w:cs="Arial"/>
          <w:sz w:val="22"/>
          <w:szCs w:val="22"/>
        </w:rPr>
        <w:t>7</w:t>
      </w:r>
      <w:r w:rsidR="0063564D" w:rsidRPr="00FF30ED">
        <w:rPr>
          <w:rFonts w:ascii="Arial" w:hAnsi="Arial" w:cs="Arial"/>
          <w:sz w:val="22"/>
          <w:szCs w:val="22"/>
        </w:rPr>
        <w:t>)</w:t>
      </w:r>
      <w:r w:rsidR="002A61C7" w:rsidRPr="00FF30ED">
        <w:rPr>
          <w:rFonts w:ascii="Arial" w:hAnsi="Arial" w:cs="Arial"/>
          <w:sz w:val="22"/>
          <w:szCs w:val="22"/>
        </w:rPr>
        <w:t xml:space="preserve"> days per week</w:t>
      </w:r>
      <w:r w:rsidR="00FF30ED">
        <w:rPr>
          <w:rStyle w:val="FootnoteReference"/>
          <w:rFonts w:ascii="Arial" w:hAnsi="Arial" w:cs="Arial"/>
          <w:sz w:val="22"/>
          <w:szCs w:val="22"/>
        </w:rPr>
        <w:footnoteReference w:id="31"/>
      </w:r>
      <w:r w:rsidR="00A41B19" w:rsidRPr="00FF30ED">
        <w:rPr>
          <w:rFonts w:ascii="Arial" w:hAnsi="Arial" w:cs="Arial"/>
          <w:sz w:val="22"/>
          <w:szCs w:val="22"/>
        </w:rPr>
        <w:t xml:space="preserve"> </w:t>
      </w:r>
      <w:r w:rsidR="00FF30ED">
        <w:rPr>
          <w:rFonts w:ascii="Arial" w:hAnsi="Arial" w:cs="Arial"/>
          <w:sz w:val="22"/>
          <w:szCs w:val="22"/>
        </w:rPr>
        <w:t>for</w:t>
      </w:r>
      <w:r w:rsidR="00A41B19" w:rsidRPr="00FF30ED">
        <w:rPr>
          <w:rFonts w:ascii="Arial" w:hAnsi="Arial" w:cs="Arial"/>
          <w:sz w:val="22"/>
          <w:szCs w:val="22"/>
        </w:rPr>
        <w:t xml:space="preserve"> outpatient </w:t>
      </w:r>
      <w:r w:rsidR="00FF30ED">
        <w:rPr>
          <w:rFonts w:ascii="Arial" w:hAnsi="Arial" w:cs="Arial"/>
          <w:sz w:val="22"/>
          <w:szCs w:val="22"/>
        </w:rPr>
        <w:t xml:space="preserve">referrals, as well as </w:t>
      </w:r>
      <w:r w:rsidR="00A41B19" w:rsidRPr="00FF30ED">
        <w:rPr>
          <w:rFonts w:ascii="Arial" w:hAnsi="Arial" w:cs="Arial"/>
          <w:sz w:val="22"/>
          <w:szCs w:val="22"/>
        </w:rPr>
        <w:t>additional time for inpatient</w:t>
      </w:r>
      <w:r w:rsidR="00FF30ED">
        <w:rPr>
          <w:rFonts w:ascii="Arial" w:hAnsi="Arial" w:cs="Arial"/>
          <w:sz w:val="22"/>
          <w:szCs w:val="22"/>
        </w:rPr>
        <w:t xml:space="preserve"> scans </w:t>
      </w:r>
      <w:r w:rsidR="002A61C7" w:rsidRPr="00FF30ED">
        <w:rPr>
          <w:rFonts w:ascii="Arial" w:hAnsi="Arial" w:cs="Arial"/>
          <w:sz w:val="22"/>
          <w:szCs w:val="22"/>
        </w:rPr>
        <w:t>allow</w:t>
      </w:r>
      <w:r w:rsidR="00FF30ED">
        <w:rPr>
          <w:rFonts w:ascii="Arial" w:hAnsi="Arial" w:cs="Arial"/>
          <w:sz w:val="22"/>
          <w:szCs w:val="22"/>
        </w:rPr>
        <w:t>ing</w:t>
      </w:r>
      <w:r w:rsidR="002A61C7" w:rsidRPr="00FF30ED">
        <w:rPr>
          <w:rFonts w:ascii="Arial" w:hAnsi="Arial" w:cs="Arial"/>
          <w:sz w:val="22"/>
          <w:szCs w:val="22"/>
        </w:rPr>
        <w:t xml:space="preserve"> for </w:t>
      </w:r>
      <w:r w:rsidR="00FF30ED">
        <w:rPr>
          <w:rFonts w:ascii="Arial" w:hAnsi="Arial" w:cs="Arial"/>
          <w:sz w:val="22"/>
          <w:szCs w:val="22"/>
        </w:rPr>
        <w:t xml:space="preserve">approximately </w:t>
      </w:r>
      <w:r w:rsidR="00A41B19" w:rsidRPr="00FF30ED">
        <w:rPr>
          <w:rFonts w:ascii="Arial" w:hAnsi="Arial" w:cs="Arial"/>
          <w:sz w:val="22"/>
          <w:szCs w:val="22"/>
        </w:rPr>
        <w:t>8,300</w:t>
      </w:r>
      <w:r w:rsidR="002A61C7" w:rsidRPr="00FF30ED">
        <w:rPr>
          <w:rFonts w:ascii="Arial" w:hAnsi="Arial" w:cs="Arial"/>
          <w:sz w:val="22"/>
          <w:szCs w:val="22"/>
        </w:rPr>
        <w:t xml:space="preserve"> </w:t>
      </w:r>
      <w:r w:rsidR="00FF30ED">
        <w:rPr>
          <w:rFonts w:ascii="Arial" w:hAnsi="Arial" w:cs="Arial"/>
          <w:sz w:val="22"/>
          <w:szCs w:val="22"/>
        </w:rPr>
        <w:t xml:space="preserve">more </w:t>
      </w:r>
      <w:r w:rsidR="002A61C7" w:rsidRPr="00FF30ED">
        <w:rPr>
          <w:rFonts w:ascii="Arial" w:hAnsi="Arial" w:cs="Arial"/>
          <w:sz w:val="22"/>
          <w:szCs w:val="22"/>
        </w:rPr>
        <w:t xml:space="preserve">MRI scans per year which equates to approximately a </w:t>
      </w:r>
      <w:r w:rsidR="00F62080" w:rsidRPr="00FF30ED">
        <w:rPr>
          <w:rFonts w:ascii="Arial" w:hAnsi="Arial" w:cs="Arial"/>
          <w:sz w:val="22"/>
          <w:szCs w:val="22"/>
        </w:rPr>
        <w:t>29</w:t>
      </w:r>
      <w:r w:rsidR="002A61C7" w:rsidRPr="00FF30ED">
        <w:rPr>
          <w:rFonts w:ascii="Arial" w:hAnsi="Arial" w:cs="Arial"/>
          <w:sz w:val="22"/>
          <w:szCs w:val="22"/>
        </w:rPr>
        <w:t xml:space="preserve">% increase in MRI capacity. </w:t>
      </w:r>
      <w:r w:rsidR="00D7128B" w:rsidRPr="00FF30ED">
        <w:rPr>
          <w:rFonts w:ascii="Arial" w:hAnsi="Arial" w:cs="Arial"/>
          <w:sz w:val="22"/>
          <w:szCs w:val="22"/>
        </w:rPr>
        <w:t>In total, s</w:t>
      </w:r>
      <w:r w:rsidR="002A61C7" w:rsidRPr="00FF30ED">
        <w:rPr>
          <w:rFonts w:ascii="Arial" w:hAnsi="Arial" w:cs="Arial"/>
          <w:sz w:val="22"/>
          <w:szCs w:val="22"/>
        </w:rPr>
        <w:t xml:space="preserve">uch expansion will </w:t>
      </w:r>
      <w:r w:rsidR="00D7128B" w:rsidRPr="00FF30ED">
        <w:rPr>
          <w:rFonts w:ascii="Arial" w:hAnsi="Arial" w:cs="Arial"/>
          <w:sz w:val="22"/>
          <w:szCs w:val="22"/>
        </w:rPr>
        <w:t xml:space="preserve">ensure improved access to high-quality MRI services for all BMC patients with appropriate clinical indications, which, in turn, will lead to higher patient satisfaction, improved health outcomes, and decreased costs. Accordingly, the Applicant proposes to expand MRI capacity through the addition of one (1) </w:t>
      </w:r>
      <w:r w:rsidR="00F62080" w:rsidRPr="00FF30ED">
        <w:rPr>
          <w:rFonts w:ascii="Arial" w:hAnsi="Arial" w:cs="Arial"/>
          <w:sz w:val="22"/>
          <w:szCs w:val="22"/>
        </w:rPr>
        <w:t>1.5</w:t>
      </w:r>
      <w:r w:rsidR="00D7128B" w:rsidRPr="00FF30ED">
        <w:rPr>
          <w:rFonts w:ascii="Arial" w:hAnsi="Arial" w:cs="Arial"/>
          <w:sz w:val="22"/>
          <w:szCs w:val="22"/>
        </w:rPr>
        <w:t>T MRI unit at BMC.</w:t>
      </w:r>
    </w:p>
    <w:bookmarkEnd w:id="6"/>
    <w:p w14:paraId="77FD801D" w14:textId="77777777" w:rsidR="005C5911" w:rsidRPr="00867405" w:rsidRDefault="005C5911" w:rsidP="00E24D42">
      <w:pPr>
        <w:pStyle w:val="NormalWeb"/>
        <w:spacing w:before="0" w:beforeAutospacing="0" w:after="0" w:afterAutospacing="0"/>
        <w:jc w:val="both"/>
        <w:rPr>
          <w:rFonts w:ascii="Arial" w:hAnsi="Arial" w:cs="Arial"/>
          <w:sz w:val="22"/>
          <w:szCs w:val="22"/>
        </w:rPr>
      </w:pPr>
    </w:p>
    <w:p w14:paraId="5328BDC3" w14:textId="77777777" w:rsidR="005C5911" w:rsidRPr="00867405" w:rsidRDefault="005C5911" w:rsidP="009A7F8F">
      <w:pPr>
        <w:ind w:left="1080" w:hanging="1080"/>
        <w:jc w:val="both"/>
        <w:rPr>
          <w:rStyle w:val="eop"/>
          <w:rFonts w:ascii="Arial" w:hAnsi="Arial" w:cs="Arial"/>
          <w:sz w:val="22"/>
          <w:szCs w:val="22"/>
        </w:rPr>
      </w:pPr>
      <w:r w:rsidRPr="00867405">
        <w:rPr>
          <w:rStyle w:val="normaltextrun"/>
          <w:rFonts w:ascii="Arial" w:hAnsi="Arial" w:cs="Arial"/>
          <w:b/>
          <w:bCs/>
          <w:sz w:val="22"/>
          <w:szCs w:val="22"/>
        </w:rPr>
        <w:t>F1.a.iii</w:t>
      </w:r>
      <w:r w:rsidRPr="00867405">
        <w:rPr>
          <w:rStyle w:val="tabchar"/>
          <w:rFonts w:ascii="Calibri" w:hAnsi="Calibri" w:cs="Calibri"/>
          <w:sz w:val="22"/>
          <w:szCs w:val="22"/>
        </w:rPr>
        <w:tab/>
      </w:r>
      <w:r w:rsidRPr="00867405">
        <w:rPr>
          <w:rStyle w:val="normaltextrun"/>
          <w:rFonts w:ascii="Arial" w:hAnsi="Arial" w:cs="Arial"/>
          <w:b/>
          <w:bCs/>
          <w:sz w:val="22"/>
          <w:szCs w:val="22"/>
          <w:u w:val="single"/>
        </w:rPr>
        <w:t>Competition</w:t>
      </w:r>
      <w:r w:rsidRPr="00867405">
        <w:rPr>
          <w:rStyle w:val="normaltextrun"/>
          <w:rFonts w:ascii="Arial" w:hAnsi="Arial" w:cs="Arial"/>
          <w:b/>
          <w:bCs/>
          <w:sz w:val="22"/>
          <w:szCs w:val="22"/>
        </w:rPr>
        <w:t>:</w:t>
      </w:r>
      <w:r w:rsidRPr="00867405">
        <w:rPr>
          <w:rStyle w:val="scxw132659955"/>
          <w:rFonts w:ascii="Arial" w:hAnsi="Arial" w:cs="Arial"/>
          <w:sz w:val="22"/>
          <w:szCs w:val="22"/>
        </w:rPr>
        <w:t> </w:t>
      </w:r>
      <w:r w:rsidRPr="00867405">
        <w:rPr>
          <w:rFonts w:ascii="Arial" w:hAnsi="Arial" w:cs="Arial"/>
          <w:sz w:val="22"/>
          <w:szCs w:val="22"/>
        </w:rPr>
        <w:br/>
      </w:r>
      <w:r w:rsidRPr="00867405">
        <w:rPr>
          <w:rStyle w:val="normaltextrun"/>
          <w:rFonts w:ascii="Arial" w:hAnsi="Arial" w:cs="Arial"/>
          <w:b/>
          <w:bCs/>
          <w:sz w:val="22"/>
          <w:szCs w:val="22"/>
        </w:rPr>
        <w:t>Provide evidence that the Proposed Project will compete on the basis of price, total medical expenses, provider costs, and other recognized measures of health care spending. When responding to this question, please consider Factor 4, Financial Feasibility and Reasonableness of Costs.</w:t>
      </w:r>
      <w:r w:rsidRPr="00867405">
        <w:rPr>
          <w:rStyle w:val="normaltextrun"/>
          <w:rFonts w:ascii="Arial" w:hAnsi="Arial" w:cs="Arial"/>
          <w:sz w:val="22"/>
          <w:szCs w:val="22"/>
        </w:rPr>
        <w:t> </w:t>
      </w:r>
      <w:r w:rsidRPr="00867405">
        <w:rPr>
          <w:rStyle w:val="eop"/>
          <w:rFonts w:ascii="Arial" w:hAnsi="Arial" w:cs="Arial"/>
          <w:sz w:val="22"/>
          <w:szCs w:val="22"/>
        </w:rPr>
        <w:t> </w:t>
      </w:r>
    </w:p>
    <w:p w14:paraId="5D04CAF6" w14:textId="77777777" w:rsidR="003E54B5" w:rsidRPr="00867405" w:rsidRDefault="003E54B5" w:rsidP="009A7F8F">
      <w:pPr>
        <w:ind w:left="1080" w:hanging="1080"/>
        <w:jc w:val="both"/>
        <w:rPr>
          <w:rStyle w:val="eop"/>
          <w:rFonts w:ascii="Arial" w:hAnsi="Arial" w:cs="Arial"/>
          <w:sz w:val="22"/>
          <w:szCs w:val="22"/>
        </w:rPr>
      </w:pPr>
    </w:p>
    <w:p w14:paraId="1BEB3981" w14:textId="77777777" w:rsidR="00DD6A75" w:rsidRDefault="00907510" w:rsidP="00CF77C3">
      <w:pPr>
        <w:jc w:val="both"/>
        <w:rPr>
          <w:rFonts w:ascii="Arial" w:eastAsiaTheme="minorHAnsi" w:hAnsi="Arial" w:cs="Arial"/>
          <w:sz w:val="22"/>
          <w:szCs w:val="22"/>
        </w:rPr>
      </w:pPr>
      <w:r w:rsidRPr="00867405">
        <w:rPr>
          <w:rFonts w:ascii="Arial" w:eastAsiaTheme="minorHAnsi" w:hAnsi="Arial" w:cs="Arial"/>
          <w:sz w:val="22"/>
          <w:szCs w:val="22"/>
        </w:rPr>
        <w:t xml:space="preserve">The Proposed Project competes on the basis of price, </w:t>
      </w:r>
      <w:r w:rsidR="005354A0" w:rsidRPr="00867405">
        <w:rPr>
          <w:rFonts w:ascii="Arial" w:eastAsiaTheme="minorHAnsi" w:hAnsi="Arial" w:cs="Arial"/>
          <w:sz w:val="22"/>
          <w:szCs w:val="22"/>
        </w:rPr>
        <w:t>TME</w:t>
      </w:r>
      <w:r w:rsidRPr="00867405">
        <w:rPr>
          <w:rFonts w:ascii="Arial" w:eastAsiaTheme="minorHAnsi" w:hAnsi="Arial" w:cs="Arial"/>
          <w:sz w:val="22"/>
          <w:szCs w:val="22"/>
        </w:rPr>
        <w:t xml:space="preserve">, provider costs, and other recognized measures of health care spending by addressing BMC’s current capacity constraints and providing timely access to </w:t>
      </w:r>
      <w:r w:rsidR="00867405" w:rsidRPr="00867405">
        <w:rPr>
          <w:rFonts w:ascii="Arial" w:eastAsiaTheme="minorHAnsi" w:hAnsi="Arial" w:cs="Arial"/>
          <w:sz w:val="22"/>
          <w:szCs w:val="22"/>
        </w:rPr>
        <w:t xml:space="preserve">MRI </w:t>
      </w:r>
      <w:r w:rsidRPr="00867405">
        <w:rPr>
          <w:rFonts w:ascii="Arial" w:eastAsiaTheme="minorHAnsi" w:hAnsi="Arial" w:cs="Arial"/>
          <w:sz w:val="22"/>
          <w:szCs w:val="22"/>
        </w:rPr>
        <w:t xml:space="preserve">services for all patients, including the </w:t>
      </w:r>
      <w:r w:rsidR="005354A0" w:rsidRPr="00867405">
        <w:rPr>
          <w:rFonts w:ascii="Arial" w:eastAsiaTheme="minorHAnsi" w:hAnsi="Arial" w:cs="Arial"/>
          <w:sz w:val="22"/>
          <w:szCs w:val="22"/>
        </w:rPr>
        <w:t>H</w:t>
      </w:r>
      <w:r w:rsidRPr="00867405">
        <w:rPr>
          <w:rFonts w:ascii="Arial" w:eastAsiaTheme="minorHAnsi" w:hAnsi="Arial" w:cs="Arial"/>
          <w:sz w:val="22"/>
          <w:szCs w:val="22"/>
        </w:rPr>
        <w:t>ospital’s large under-resourced patient population.</w:t>
      </w:r>
      <w:r w:rsidR="000824B7" w:rsidRPr="000824B7">
        <w:t xml:space="preserve"> </w:t>
      </w:r>
      <w:r w:rsidR="000824B7">
        <w:rPr>
          <w:rFonts w:ascii="Arial" w:eastAsiaTheme="minorHAnsi" w:hAnsi="Arial" w:cs="Arial"/>
          <w:sz w:val="22"/>
          <w:szCs w:val="22"/>
        </w:rPr>
        <w:t>W</w:t>
      </w:r>
      <w:r w:rsidR="000824B7" w:rsidRPr="000824B7">
        <w:rPr>
          <w:rFonts w:ascii="Arial" w:eastAsiaTheme="minorHAnsi" w:hAnsi="Arial" w:cs="Arial"/>
          <w:sz w:val="22"/>
          <w:szCs w:val="22"/>
        </w:rPr>
        <w:t xml:space="preserve">hen patients have </w:t>
      </w:r>
      <w:r w:rsidR="003D48E8">
        <w:rPr>
          <w:rFonts w:ascii="Arial" w:eastAsiaTheme="minorHAnsi" w:hAnsi="Arial" w:cs="Arial"/>
          <w:sz w:val="22"/>
          <w:szCs w:val="22"/>
        </w:rPr>
        <w:t xml:space="preserve">timely </w:t>
      </w:r>
      <w:r w:rsidR="000824B7" w:rsidRPr="000824B7">
        <w:rPr>
          <w:rFonts w:ascii="Arial" w:eastAsiaTheme="minorHAnsi" w:hAnsi="Arial" w:cs="Arial"/>
          <w:sz w:val="22"/>
          <w:szCs w:val="22"/>
        </w:rPr>
        <w:t xml:space="preserve">access to appropriate imaging modalities, clinicians can </w:t>
      </w:r>
      <w:r w:rsidR="00AA1AA5">
        <w:rPr>
          <w:rFonts w:ascii="Arial" w:eastAsiaTheme="minorHAnsi" w:hAnsi="Arial" w:cs="Arial"/>
          <w:sz w:val="22"/>
          <w:szCs w:val="22"/>
        </w:rPr>
        <w:t>improve health outcome</w:t>
      </w:r>
      <w:r w:rsidR="009A49E5">
        <w:rPr>
          <w:rFonts w:ascii="Arial" w:eastAsiaTheme="minorHAnsi" w:hAnsi="Arial" w:cs="Arial"/>
          <w:sz w:val="22"/>
          <w:szCs w:val="22"/>
        </w:rPr>
        <w:t>s through expedited diagnoses and more accurate</w:t>
      </w:r>
      <w:r w:rsidR="00C23F55">
        <w:rPr>
          <w:rFonts w:ascii="Arial" w:eastAsiaTheme="minorHAnsi" w:hAnsi="Arial" w:cs="Arial"/>
          <w:sz w:val="22"/>
          <w:szCs w:val="22"/>
        </w:rPr>
        <w:t>ly</w:t>
      </w:r>
      <w:r w:rsidR="009A49E5">
        <w:rPr>
          <w:rFonts w:ascii="Arial" w:eastAsiaTheme="minorHAnsi" w:hAnsi="Arial" w:cs="Arial"/>
          <w:sz w:val="22"/>
          <w:szCs w:val="22"/>
        </w:rPr>
        <w:t xml:space="preserve"> scree</w:t>
      </w:r>
      <w:r w:rsidR="00C23F55">
        <w:rPr>
          <w:rFonts w:ascii="Arial" w:eastAsiaTheme="minorHAnsi" w:hAnsi="Arial" w:cs="Arial"/>
          <w:sz w:val="22"/>
          <w:szCs w:val="22"/>
        </w:rPr>
        <w:t>n</w:t>
      </w:r>
      <w:r w:rsidR="009A49E5">
        <w:rPr>
          <w:rFonts w:ascii="Arial" w:eastAsiaTheme="minorHAnsi" w:hAnsi="Arial" w:cs="Arial"/>
          <w:sz w:val="22"/>
          <w:szCs w:val="22"/>
        </w:rPr>
        <w:t xml:space="preserve"> </w:t>
      </w:r>
      <w:r w:rsidR="00481BC4">
        <w:rPr>
          <w:rFonts w:ascii="Arial" w:eastAsiaTheme="minorHAnsi" w:hAnsi="Arial" w:cs="Arial"/>
          <w:sz w:val="22"/>
          <w:szCs w:val="22"/>
        </w:rPr>
        <w:t>for certain conditions,</w:t>
      </w:r>
      <w:r w:rsidR="00EF05CA">
        <w:rPr>
          <w:rFonts w:ascii="Arial" w:eastAsiaTheme="minorHAnsi" w:hAnsi="Arial" w:cs="Arial"/>
          <w:sz w:val="22"/>
          <w:szCs w:val="22"/>
        </w:rPr>
        <w:t xml:space="preserve"> </w:t>
      </w:r>
      <w:r w:rsidR="007C08A5">
        <w:rPr>
          <w:rFonts w:ascii="Arial" w:eastAsiaTheme="minorHAnsi" w:hAnsi="Arial" w:cs="Arial"/>
          <w:sz w:val="22"/>
          <w:szCs w:val="22"/>
        </w:rPr>
        <w:t xml:space="preserve">such as cancer, </w:t>
      </w:r>
      <w:r w:rsidR="00481BC4">
        <w:rPr>
          <w:rFonts w:ascii="Arial" w:eastAsiaTheme="minorHAnsi" w:hAnsi="Arial" w:cs="Arial"/>
          <w:sz w:val="22"/>
          <w:szCs w:val="22"/>
        </w:rPr>
        <w:t xml:space="preserve">leading </w:t>
      </w:r>
      <w:r w:rsidR="000824B7" w:rsidRPr="000824B7">
        <w:rPr>
          <w:rFonts w:ascii="Arial" w:eastAsiaTheme="minorHAnsi" w:hAnsi="Arial" w:cs="Arial"/>
          <w:sz w:val="22"/>
          <w:szCs w:val="22"/>
        </w:rPr>
        <w:t>to more appropriate therapeutic interventions and the effective monitoring of the efficacy of treatment</w:t>
      </w:r>
      <w:r w:rsidR="00EF05CA">
        <w:rPr>
          <w:rFonts w:ascii="Arial" w:eastAsiaTheme="minorHAnsi" w:hAnsi="Arial" w:cs="Arial"/>
          <w:sz w:val="22"/>
          <w:szCs w:val="22"/>
        </w:rPr>
        <w:t>, all of which lead to reduced costs</w:t>
      </w:r>
      <w:r w:rsidR="000824B7" w:rsidRPr="000824B7">
        <w:rPr>
          <w:rFonts w:ascii="Arial" w:eastAsiaTheme="minorHAnsi" w:hAnsi="Arial" w:cs="Arial"/>
          <w:sz w:val="22"/>
          <w:szCs w:val="22"/>
        </w:rPr>
        <w:t>.</w:t>
      </w:r>
      <w:r w:rsidR="00D856F6">
        <w:rPr>
          <w:rStyle w:val="FootnoteReference"/>
          <w:rFonts w:ascii="Arial" w:eastAsiaTheme="minorHAnsi" w:hAnsi="Arial" w:cs="Arial"/>
          <w:sz w:val="22"/>
          <w:szCs w:val="22"/>
        </w:rPr>
        <w:footnoteReference w:id="32"/>
      </w:r>
    </w:p>
    <w:p w14:paraId="2A09C030" w14:textId="77777777" w:rsidR="0015068E" w:rsidRDefault="0015068E" w:rsidP="00CF77C3">
      <w:pPr>
        <w:jc w:val="both"/>
        <w:rPr>
          <w:rFonts w:ascii="Arial" w:eastAsiaTheme="minorHAnsi" w:hAnsi="Arial" w:cs="Arial"/>
          <w:sz w:val="22"/>
          <w:szCs w:val="22"/>
        </w:rPr>
      </w:pPr>
    </w:p>
    <w:p w14:paraId="531EBF5D" w14:textId="664285FD" w:rsidR="0015068E" w:rsidRDefault="00F94EA1" w:rsidP="00665E59">
      <w:pPr>
        <w:jc w:val="both"/>
        <w:rPr>
          <w:rFonts w:ascii="Arial" w:eastAsiaTheme="minorHAnsi" w:hAnsi="Arial" w:cs="Arial"/>
          <w:sz w:val="22"/>
          <w:szCs w:val="22"/>
        </w:rPr>
      </w:pPr>
      <w:r>
        <w:rPr>
          <w:rFonts w:ascii="Arial" w:eastAsiaTheme="minorHAnsi" w:hAnsi="Arial" w:cs="Arial"/>
          <w:sz w:val="22"/>
          <w:szCs w:val="22"/>
        </w:rPr>
        <w:t xml:space="preserve">In regard to reducing overall TME, </w:t>
      </w:r>
      <w:r w:rsidR="007076DA">
        <w:rPr>
          <w:rFonts w:ascii="Arial" w:eastAsiaTheme="minorHAnsi" w:hAnsi="Arial" w:cs="Arial"/>
          <w:sz w:val="22"/>
          <w:szCs w:val="22"/>
        </w:rPr>
        <w:t>numerous</w:t>
      </w:r>
      <w:r w:rsidR="00AB65D8">
        <w:rPr>
          <w:rFonts w:ascii="Arial" w:eastAsiaTheme="minorHAnsi" w:hAnsi="Arial" w:cs="Arial"/>
          <w:sz w:val="22"/>
          <w:szCs w:val="22"/>
        </w:rPr>
        <w:t xml:space="preserve"> studies have found that more timely access to </w:t>
      </w:r>
      <w:r w:rsidR="00724A99">
        <w:rPr>
          <w:rFonts w:ascii="Arial" w:eastAsiaTheme="minorHAnsi" w:hAnsi="Arial" w:cs="Arial"/>
          <w:sz w:val="22"/>
          <w:szCs w:val="22"/>
        </w:rPr>
        <w:t>diagnostic tools, such as MRI</w:t>
      </w:r>
      <w:r w:rsidR="00166657">
        <w:rPr>
          <w:rFonts w:ascii="Arial" w:eastAsiaTheme="minorHAnsi" w:hAnsi="Arial" w:cs="Arial"/>
          <w:sz w:val="22"/>
          <w:szCs w:val="22"/>
        </w:rPr>
        <w:t>s</w:t>
      </w:r>
      <w:r w:rsidR="00724A99">
        <w:rPr>
          <w:rFonts w:ascii="Arial" w:eastAsiaTheme="minorHAnsi" w:hAnsi="Arial" w:cs="Arial"/>
          <w:sz w:val="22"/>
          <w:szCs w:val="22"/>
        </w:rPr>
        <w:t xml:space="preserve"> reduce costs</w:t>
      </w:r>
      <w:r w:rsidR="00166657">
        <w:rPr>
          <w:rFonts w:ascii="Arial" w:eastAsiaTheme="minorHAnsi" w:hAnsi="Arial" w:cs="Arial"/>
          <w:sz w:val="22"/>
          <w:szCs w:val="22"/>
        </w:rPr>
        <w:t xml:space="preserve"> due to expedited care and more accurate staging</w:t>
      </w:r>
      <w:r w:rsidR="00724A99">
        <w:rPr>
          <w:rFonts w:ascii="Arial" w:eastAsiaTheme="minorHAnsi" w:hAnsi="Arial" w:cs="Arial"/>
          <w:sz w:val="22"/>
          <w:szCs w:val="22"/>
        </w:rPr>
        <w:t>.</w:t>
      </w:r>
      <w:r w:rsidR="002A75E7">
        <w:rPr>
          <w:rStyle w:val="FootnoteReference"/>
          <w:rFonts w:ascii="Arial" w:eastAsiaTheme="minorHAnsi" w:hAnsi="Arial" w:cs="Arial"/>
          <w:sz w:val="22"/>
          <w:szCs w:val="22"/>
        </w:rPr>
        <w:footnoteReference w:id="33"/>
      </w:r>
      <w:r w:rsidR="00FF30ED">
        <w:rPr>
          <w:rFonts w:ascii="Arial" w:eastAsiaTheme="minorHAnsi" w:hAnsi="Arial" w:cs="Arial"/>
          <w:sz w:val="22"/>
          <w:szCs w:val="22"/>
        </w:rPr>
        <w:t xml:space="preserve"> </w:t>
      </w:r>
      <w:r w:rsidR="00887136">
        <w:rPr>
          <w:rStyle w:val="FootnoteReference"/>
          <w:rFonts w:ascii="Arial" w:eastAsiaTheme="minorHAnsi" w:hAnsi="Arial" w:cs="Arial"/>
          <w:sz w:val="22"/>
          <w:szCs w:val="22"/>
        </w:rPr>
        <w:footnoteReference w:id="34"/>
      </w:r>
      <w:r w:rsidR="00724A99">
        <w:rPr>
          <w:rFonts w:ascii="Arial" w:eastAsiaTheme="minorHAnsi" w:hAnsi="Arial" w:cs="Arial"/>
          <w:sz w:val="22"/>
          <w:szCs w:val="22"/>
        </w:rPr>
        <w:t xml:space="preserve"> Researchers at Harvard Medical School have found </w:t>
      </w:r>
      <w:r w:rsidR="00B84C5E">
        <w:rPr>
          <w:rFonts w:ascii="Arial" w:eastAsiaTheme="minorHAnsi" w:hAnsi="Arial" w:cs="Arial"/>
          <w:sz w:val="22"/>
          <w:szCs w:val="22"/>
        </w:rPr>
        <w:t>a correlation between</w:t>
      </w:r>
      <w:r w:rsidR="00724A99">
        <w:rPr>
          <w:rFonts w:ascii="Arial" w:eastAsiaTheme="minorHAnsi" w:hAnsi="Arial" w:cs="Arial"/>
          <w:sz w:val="22"/>
          <w:szCs w:val="22"/>
        </w:rPr>
        <w:t xml:space="preserve"> </w:t>
      </w:r>
      <w:r w:rsidR="008567BF">
        <w:rPr>
          <w:rFonts w:ascii="Arial" w:eastAsiaTheme="minorHAnsi" w:hAnsi="Arial" w:cs="Arial"/>
          <w:sz w:val="22"/>
          <w:szCs w:val="22"/>
        </w:rPr>
        <w:t xml:space="preserve">monies </w:t>
      </w:r>
      <w:r w:rsidR="00665E59" w:rsidRPr="00665E59">
        <w:rPr>
          <w:rFonts w:ascii="Arial" w:eastAsiaTheme="minorHAnsi" w:hAnsi="Arial" w:cs="Arial"/>
          <w:sz w:val="22"/>
          <w:szCs w:val="22"/>
        </w:rPr>
        <w:t xml:space="preserve">spent on in-patient imaging </w:t>
      </w:r>
      <w:r w:rsidR="00E02241">
        <w:rPr>
          <w:rFonts w:ascii="Arial" w:eastAsiaTheme="minorHAnsi" w:hAnsi="Arial" w:cs="Arial"/>
          <w:sz w:val="22"/>
          <w:szCs w:val="22"/>
        </w:rPr>
        <w:t>and overall cost savings, specifically for ever</w:t>
      </w:r>
      <w:r w:rsidR="00887136">
        <w:rPr>
          <w:rFonts w:ascii="Arial" w:eastAsiaTheme="minorHAnsi" w:hAnsi="Arial" w:cs="Arial"/>
          <w:sz w:val="22"/>
          <w:szCs w:val="22"/>
        </w:rPr>
        <w:t>y</w:t>
      </w:r>
      <w:r w:rsidR="00E02241">
        <w:rPr>
          <w:rFonts w:ascii="Arial" w:eastAsiaTheme="minorHAnsi" w:hAnsi="Arial" w:cs="Arial"/>
          <w:sz w:val="22"/>
          <w:szCs w:val="22"/>
        </w:rPr>
        <w:t xml:space="preserve"> $1 spent on this type of imaging, $3 is saved.</w:t>
      </w:r>
      <w:r w:rsidR="00887136">
        <w:rPr>
          <w:rStyle w:val="FootnoteReference"/>
          <w:rFonts w:ascii="Arial" w:eastAsiaTheme="minorHAnsi" w:hAnsi="Arial" w:cs="Arial"/>
          <w:sz w:val="22"/>
          <w:szCs w:val="22"/>
        </w:rPr>
        <w:footnoteReference w:id="35"/>
      </w:r>
      <w:r w:rsidR="00E02241">
        <w:rPr>
          <w:rFonts w:ascii="Arial" w:eastAsiaTheme="minorHAnsi" w:hAnsi="Arial" w:cs="Arial"/>
          <w:sz w:val="22"/>
          <w:szCs w:val="22"/>
        </w:rPr>
        <w:t xml:space="preserve"> </w:t>
      </w:r>
      <w:r w:rsidR="00887136">
        <w:rPr>
          <w:rFonts w:ascii="Arial" w:eastAsiaTheme="minorHAnsi" w:hAnsi="Arial" w:cs="Arial"/>
          <w:sz w:val="22"/>
          <w:szCs w:val="22"/>
        </w:rPr>
        <w:t>Additionally,</w:t>
      </w:r>
      <w:r w:rsidR="00665E59" w:rsidRPr="00665E59">
        <w:rPr>
          <w:rFonts w:ascii="Arial" w:eastAsiaTheme="minorHAnsi" w:hAnsi="Arial" w:cs="Arial"/>
          <w:sz w:val="22"/>
          <w:szCs w:val="22"/>
        </w:rPr>
        <w:t xml:space="preserve"> every $385 spent on imaging decreases a patient’s hospital stay by one day, saving approximately $3,000 per patient.</w:t>
      </w:r>
      <w:r w:rsidR="00CE52A6">
        <w:rPr>
          <w:rStyle w:val="FootnoteReference"/>
          <w:rFonts w:ascii="Arial" w:eastAsiaTheme="minorHAnsi" w:hAnsi="Arial" w:cs="Arial"/>
          <w:sz w:val="22"/>
          <w:szCs w:val="22"/>
        </w:rPr>
        <w:footnoteReference w:id="36"/>
      </w:r>
      <w:r w:rsidR="00442AC5">
        <w:rPr>
          <w:rFonts w:ascii="Arial" w:eastAsiaTheme="minorHAnsi" w:hAnsi="Arial" w:cs="Arial"/>
          <w:sz w:val="22"/>
          <w:szCs w:val="22"/>
        </w:rPr>
        <w:t xml:space="preserve"> </w:t>
      </w:r>
      <w:r w:rsidR="00665E59" w:rsidRPr="00665E59">
        <w:rPr>
          <w:rFonts w:ascii="Arial" w:eastAsiaTheme="minorHAnsi" w:hAnsi="Arial" w:cs="Arial"/>
          <w:sz w:val="22"/>
          <w:szCs w:val="22"/>
        </w:rPr>
        <w:t>Other</w:t>
      </w:r>
      <w:r w:rsidR="00442AC5">
        <w:rPr>
          <w:rFonts w:ascii="Arial" w:eastAsiaTheme="minorHAnsi" w:hAnsi="Arial" w:cs="Arial"/>
          <w:sz w:val="22"/>
          <w:szCs w:val="22"/>
        </w:rPr>
        <w:t xml:space="preserve"> </w:t>
      </w:r>
      <w:r w:rsidR="00665E59" w:rsidRPr="00665E59">
        <w:rPr>
          <w:rFonts w:ascii="Arial" w:eastAsiaTheme="minorHAnsi" w:hAnsi="Arial" w:cs="Arial"/>
          <w:sz w:val="22"/>
          <w:szCs w:val="22"/>
        </w:rPr>
        <w:t xml:space="preserve">disease specific studies have found that increased imaging </w:t>
      </w:r>
      <w:r w:rsidR="006B6DFD">
        <w:rPr>
          <w:rFonts w:ascii="Arial" w:eastAsiaTheme="minorHAnsi" w:hAnsi="Arial" w:cs="Arial"/>
          <w:sz w:val="22"/>
          <w:szCs w:val="22"/>
        </w:rPr>
        <w:t>may</w:t>
      </w:r>
      <w:r w:rsidR="00665E59" w:rsidRPr="00665E59">
        <w:rPr>
          <w:rFonts w:ascii="Arial" w:eastAsiaTheme="minorHAnsi" w:hAnsi="Arial" w:cs="Arial"/>
          <w:sz w:val="22"/>
          <w:szCs w:val="22"/>
        </w:rPr>
        <w:t xml:space="preserve"> save up to $1.2 billion annually in the treatment of </w:t>
      </w:r>
      <w:r w:rsidR="0086063C">
        <w:rPr>
          <w:rFonts w:ascii="Arial" w:eastAsiaTheme="minorHAnsi" w:hAnsi="Arial" w:cs="Arial"/>
          <w:sz w:val="22"/>
          <w:szCs w:val="22"/>
        </w:rPr>
        <w:t>certain</w:t>
      </w:r>
      <w:r w:rsidR="00665E59" w:rsidRPr="00665E59">
        <w:rPr>
          <w:rFonts w:ascii="Arial" w:eastAsiaTheme="minorHAnsi" w:hAnsi="Arial" w:cs="Arial"/>
          <w:sz w:val="22"/>
          <w:szCs w:val="22"/>
        </w:rPr>
        <w:t xml:space="preserve"> patients</w:t>
      </w:r>
      <w:r w:rsidR="0086063C">
        <w:rPr>
          <w:rFonts w:ascii="Arial" w:eastAsiaTheme="minorHAnsi" w:hAnsi="Arial" w:cs="Arial"/>
          <w:sz w:val="22"/>
          <w:szCs w:val="22"/>
        </w:rPr>
        <w:t>, such as those who have suffered strokes</w:t>
      </w:r>
      <w:r w:rsidR="00665E59" w:rsidRPr="00665E59">
        <w:rPr>
          <w:rFonts w:ascii="Arial" w:eastAsiaTheme="minorHAnsi" w:hAnsi="Arial" w:cs="Arial"/>
          <w:sz w:val="22"/>
          <w:szCs w:val="22"/>
        </w:rPr>
        <w:t>.</w:t>
      </w:r>
      <w:r w:rsidR="007F729F">
        <w:rPr>
          <w:rStyle w:val="FootnoteReference"/>
          <w:rFonts w:ascii="Arial" w:eastAsiaTheme="minorHAnsi" w:hAnsi="Arial" w:cs="Arial"/>
          <w:sz w:val="22"/>
          <w:szCs w:val="22"/>
        </w:rPr>
        <w:footnoteReference w:id="37"/>
      </w:r>
    </w:p>
    <w:p w14:paraId="5DA02907" w14:textId="77777777" w:rsidR="00665E59" w:rsidRDefault="00665E59" w:rsidP="00CF77C3">
      <w:pPr>
        <w:jc w:val="both"/>
        <w:rPr>
          <w:rFonts w:ascii="Arial" w:eastAsiaTheme="minorHAnsi" w:hAnsi="Arial" w:cs="Arial"/>
          <w:sz w:val="22"/>
          <w:szCs w:val="22"/>
        </w:rPr>
      </w:pPr>
    </w:p>
    <w:p w14:paraId="6452CE01" w14:textId="77777777" w:rsidR="00193228" w:rsidRPr="00044E8D" w:rsidRDefault="004D3F15" w:rsidP="00CF77C3">
      <w:pPr>
        <w:jc w:val="both"/>
        <w:rPr>
          <w:rFonts w:ascii="Arial" w:hAnsi="Arial" w:cs="Arial"/>
          <w:color w:val="212121"/>
          <w:sz w:val="22"/>
          <w:szCs w:val="22"/>
          <w:shd w:val="clear" w:color="auto" w:fill="FFFFFF"/>
        </w:rPr>
      </w:pPr>
      <w:r>
        <w:rPr>
          <w:rFonts w:ascii="Arial" w:hAnsi="Arial" w:cs="Arial"/>
          <w:color w:val="212121"/>
          <w:sz w:val="22"/>
          <w:szCs w:val="22"/>
          <w:shd w:val="clear" w:color="auto" w:fill="FFFFFF"/>
        </w:rPr>
        <w:t>M</w:t>
      </w:r>
      <w:r w:rsidR="007520B6" w:rsidRPr="007520B6">
        <w:rPr>
          <w:rFonts w:ascii="Arial" w:hAnsi="Arial" w:cs="Arial"/>
          <w:color w:val="212121"/>
          <w:sz w:val="22"/>
          <w:szCs w:val="22"/>
          <w:shd w:val="clear" w:color="auto" w:fill="FFFFFF"/>
        </w:rPr>
        <w:t xml:space="preserve">edical imaging modalities such as MRI and CT have </w:t>
      </w:r>
      <w:r w:rsidR="002222CF">
        <w:rPr>
          <w:rFonts w:ascii="Arial" w:hAnsi="Arial" w:cs="Arial"/>
          <w:color w:val="212121"/>
          <w:sz w:val="22"/>
          <w:szCs w:val="22"/>
          <w:shd w:val="clear" w:color="auto" w:fill="FFFFFF"/>
        </w:rPr>
        <w:t>“</w:t>
      </w:r>
      <w:r w:rsidR="007520B6" w:rsidRPr="007520B6">
        <w:rPr>
          <w:rFonts w:ascii="Arial" w:hAnsi="Arial" w:cs="Arial"/>
          <w:color w:val="212121"/>
          <w:sz w:val="22"/>
          <w:szCs w:val="22"/>
          <w:shd w:val="clear" w:color="auto" w:fill="FFFFFF"/>
        </w:rPr>
        <w:t xml:space="preserve">revolutionized healthcare so profoundly that most physicians would have trouble imagining how </w:t>
      </w:r>
      <w:r w:rsidR="002222CF">
        <w:rPr>
          <w:rFonts w:ascii="Arial" w:hAnsi="Arial" w:cs="Arial"/>
          <w:color w:val="212121"/>
          <w:sz w:val="22"/>
          <w:szCs w:val="22"/>
          <w:shd w:val="clear" w:color="auto" w:fill="FFFFFF"/>
        </w:rPr>
        <w:t>[to]</w:t>
      </w:r>
      <w:r w:rsidR="007520B6" w:rsidRPr="007520B6">
        <w:rPr>
          <w:rFonts w:ascii="Arial" w:hAnsi="Arial" w:cs="Arial"/>
          <w:color w:val="212121"/>
          <w:sz w:val="22"/>
          <w:szCs w:val="22"/>
          <w:shd w:val="clear" w:color="auto" w:fill="FFFFFF"/>
        </w:rPr>
        <w:t xml:space="preserve"> take proper care of patients without access to these essential diagnostic tools.</w:t>
      </w:r>
      <w:r w:rsidR="002222CF">
        <w:rPr>
          <w:rFonts w:ascii="Arial" w:hAnsi="Arial" w:cs="Arial"/>
          <w:color w:val="212121"/>
          <w:sz w:val="22"/>
          <w:szCs w:val="22"/>
          <w:shd w:val="clear" w:color="auto" w:fill="FFFFFF"/>
        </w:rPr>
        <w:t>”</w:t>
      </w:r>
      <w:r w:rsidR="00D90581">
        <w:rPr>
          <w:rStyle w:val="FootnoteReference"/>
          <w:rFonts w:ascii="Arial" w:hAnsi="Arial" w:cs="Arial"/>
          <w:color w:val="212121"/>
          <w:sz w:val="22"/>
          <w:szCs w:val="22"/>
          <w:shd w:val="clear" w:color="auto" w:fill="FFFFFF"/>
        </w:rPr>
        <w:footnoteReference w:id="38"/>
      </w:r>
      <w:r w:rsidR="007520B6" w:rsidRPr="007520B6">
        <w:rPr>
          <w:rFonts w:ascii="Arial" w:hAnsi="Arial" w:cs="Arial"/>
          <w:color w:val="212121"/>
          <w:sz w:val="22"/>
          <w:szCs w:val="22"/>
          <w:shd w:val="clear" w:color="auto" w:fill="FFFFFF"/>
        </w:rPr>
        <w:t xml:space="preserve"> </w:t>
      </w:r>
      <w:r w:rsidR="00CB0941" w:rsidRPr="00CB0941">
        <w:rPr>
          <w:rFonts w:ascii="Arial" w:hAnsi="Arial" w:cs="Arial"/>
          <w:color w:val="212121"/>
          <w:sz w:val="22"/>
          <w:szCs w:val="22"/>
          <w:shd w:val="clear" w:color="auto" w:fill="FFFFFF"/>
        </w:rPr>
        <w:t xml:space="preserve">It is well </w:t>
      </w:r>
      <w:r w:rsidR="009C7004">
        <w:rPr>
          <w:rFonts w:ascii="Arial" w:hAnsi="Arial" w:cs="Arial"/>
          <w:color w:val="212121"/>
          <w:sz w:val="22"/>
          <w:szCs w:val="22"/>
          <w:shd w:val="clear" w:color="auto" w:fill="FFFFFF"/>
        </w:rPr>
        <w:t>established</w:t>
      </w:r>
      <w:r w:rsidR="00CB0941" w:rsidRPr="00CB0941">
        <w:rPr>
          <w:rFonts w:ascii="Arial" w:hAnsi="Arial" w:cs="Arial"/>
          <w:color w:val="212121"/>
          <w:sz w:val="22"/>
          <w:szCs w:val="22"/>
          <w:shd w:val="clear" w:color="auto" w:fill="FFFFFF"/>
        </w:rPr>
        <w:t xml:space="preserve"> that noninvasive imaging tests, such as MRI, have led to a significant reduction of invasive testing, such as exploratory surgery</w:t>
      </w:r>
      <w:r w:rsidR="009C015E">
        <w:rPr>
          <w:rFonts w:ascii="Arial" w:hAnsi="Arial" w:cs="Arial"/>
          <w:color w:val="212121"/>
          <w:sz w:val="22"/>
          <w:szCs w:val="22"/>
          <w:shd w:val="clear" w:color="auto" w:fill="FFFFFF"/>
        </w:rPr>
        <w:t xml:space="preserve">, </w:t>
      </w:r>
      <w:r w:rsidR="009C015E">
        <w:rPr>
          <w:rFonts w:ascii="Arial" w:hAnsi="Arial" w:cs="Arial"/>
          <w:color w:val="212121"/>
          <w:sz w:val="22"/>
          <w:szCs w:val="22"/>
          <w:shd w:val="clear" w:color="auto" w:fill="FFFFFF"/>
        </w:rPr>
        <w:lastRenderedPageBreak/>
        <w:t>leading to reduced costs</w:t>
      </w:r>
      <w:r w:rsidR="00CB0941" w:rsidRPr="00CB0941">
        <w:rPr>
          <w:rFonts w:ascii="Arial" w:hAnsi="Arial" w:cs="Arial"/>
          <w:color w:val="212121"/>
          <w:sz w:val="22"/>
          <w:szCs w:val="22"/>
          <w:shd w:val="clear" w:color="auto" w:fill="FFFFFF"/>
        </w:rPr>
        <w:t>.</w:t>
      </w:r>
      <w:r w:rsidR="001C0073">
        <w:rPr>
          <w:rStyle w:val="FootnoteReference"/>
          <w:rFonts w:ascii="Arial" w:hAnsi="Arial" w:cs="Arial"/>
          <w:color w:val="212121"/>
          <w:sz w:val="22"/>
          <w:szCs w:val="22"/>
          <w:shd w:val="clear" w:color="auto" w:fill="FFFFFF"/>
        </w:rPr>
        <w:footnoteReference w:id="39"/>
      </w:r>
      <w:r w:rsidR="00CB0941" w:rsidRPr="00CB0941">
        <w:rPr>
          <w:rFonts w:ascii="Arial" w:hAnsi="Arial" w:cs="Arial"/>
          <w:color w:val="212121"/>
          <w:sz w:val="22"/>
          <w:szCs w:val="22"/>
          <w:shd w:val="clear" w:color="auto" w:fill="FFFFFF"/>
        </w:rPr>
        <w:t xml:space="preserve"> Imaging </w:t>
      </w:r>
      <w:r w:rsidR="009C015E">
        <w:rPr>
          <w:rFonts w:ascii="Arial" w:hAnsi="Arial" w:cs="Arial"/>
          <w:color w:val="212121"/>
          <w:sz w:val="22"/>
          <w:szCs w:val="22"/>
          <w:shd w:val="clear" w:color="auto" w:fill="FFFFFF"/>
        </w:rPr>
        <w:t>also can</w:t>
      </w:r>
      <w:r w:rsidR="00CB0941" w:rsidRPr="00CB0941">
        <w:rPr>
          <w:rFonts w:ascii="Arial" w:hAnsi="Arial" w:cs="Arial"/>
          <w:color w:val="212121"/>
          <w:sz w:val="22"/>
          <w:szCs w:val="22"/>
          <w:shd w:val="clear" w:color="auto" w:fill="FFFFFF"/>
        </w:rPr>
        <w:t xml:space="preserve"> be valuable merely by contributing information that is needed to guide patient management and optimizing patient care</w:t>
      </w:r>
      <w:r w:rsidR="00044E8D">
        <w:rPr>
          <w:rFonts w:ascii="Arial" w:hAnsi="Arial" w:cs="Arial"/>
          <w:color w:val="212121"/>
          <w:sz w:val="22"/>
          <w:szCs w:val="22"/>
          <w:shd w:val="clear" w:color="auto" w:fill="FFFFFF"/>
        </w:rPr>
        <w:t xml:space="preserve">. In fact, </w:t>
      </w:r>
      <w:r w:rsidR="007520B6" w:rsidRPr="007520B6">
        <w:rPr>
          <w:rFonts w:ascii="Arial" w:hAnsi="Arial" w:cs="Arial"/>
          <w:color w:val="212121"/>
          <w:sz w:val="22"/>
          <w:szCs w:val="22"/>
          <w:shd w:val="clear" w:color="auto" w:fill="FFFFFF"/>
        </w:rPr>
        <w:t>MRI and CT</w:t>
      </w:r>
      <w:r w:rsidR="00044E8D">
        <w:rPr>
          <w:rFonts w:ascii="Arial" w:hAnsi="Arial" w:cs="Arial"/>
          <w:color w:val="212121"/>
          <w:sz w:val="22"/>
          <w:szCs w:val="22"/>
          <w:shd w:val="clear" w:color="auto" w:fill="FFFFFF"/>
        </w:rPr>
        <w:t xml:space="preserve"> scan</w:t>
      </w:r>
      <w:r w:rsidR="008857B8">
        <w:rPr>
          <w:rFonts w:ascii="Arial" w:hAnsi="Arial" w:cs="Arial"/>
          <w:color w:val="212121"/>
          <w:sz w:val="22"/>
          <w:szCs w:val="22"/>
          <w:shd w:val="clear" w:color="auto" w:fill="FFFFFF"/>
        </w:rPr>
        <w:t xml:space="preserve"> cost</w:t>
      </w:r>
      <w:r w:rsidR="00ED708E">
        <w:rPr>
          <w:rFonts w:ascii="Arial" w:hAnsi="Arial" w:cs="Arial"/>
          <w:color w:val="212121"/>
          <w:sz w:val="22"/>
          <w:szCs w:val="22"/>
          <w:shd w:val="clear" w:color="auto" w:fill="FFFFFF"/>
        </w:rPr>
        <w:t>s</w:t>
      </w:r>
      <w:r w:rsidR="007520B6" w:rsidRPr="007520B6">
        <w:rPr>
          <w:rFonts w:ascii="Arial" w:hAnsi="Arial" w:cs="Arial"/>
          <w:color w:val="212121"/>
          <w:sz w:val="22"/>
          <w:szCs w:val="22"/>
          <w:shd w:val="clear" w:color="auto" w:fill="FFFFFF"/>
        </w:rPr>
        <w:t xml:space="preserve"> accounts for less than 3% of Medicare spending in the US </w:t>
      </w:r>
      <w:r w:rsidR="003A40AE">
        <w:rPr>
          <w:rFonts w:ascii="Arial" w:hAnsi="Arial" w:cs="Arial"/>
          <w:color w:val="212121"/>
          <w:sz w:val="22"/>
          <w:szCs w:val="22"/>
          <w:shd w:val="clear" w:color="auto" w:fill="FFFFFF"/>
        </w:rPr>
        <w:t>especially since</w:t>
      </w:r>
      <w:r w:rsidR="00CD6DF6">
        <w:rPr>
          <w:rFonts w:ascii="Arial" w:hAnsi="Arial" w:cs="Arial"/>
          <w:color w:val="212121"/>
          <w:sz w:val="22"/>
          <w:szCs w:val="22"/>
          <w:shd w:val="clear" w:color="auto" w:fill="FFFFFF"/>
        </w:rPr>
        <w:t xml:space="preserve"> frequently</w:t>
      </w:r>
      <w:r w:rsidR="007520B6" w:rsidRPr="007520B6">
        <w:rPr>
          <w:rFonts w:ascii="Arial" w:hAnsi="Arial" w:cs="Arial"/>
          <w:color w:val="212121"/>
          <w:sz w:val="22"/>
          <w:szCs w:val="22"/>
          <w:shd w:val="clear" w:color="auto" w:fill="FFFFFF"/>
        </w:rPr>
        <w:t xml:space="preserve"> these modalities replace more invasive and expensive tests</w:t>
      </w:r>
      <w:r w:rsidR="007520B6">
        <w:rPr>
          <w:rFonts w:ascii="Arial" w:hAnsi="Arial" w:cs="Arial"/>
          <w:color w:val="212121"/>
          <w:sz w:val="22"/>
          <w:szCs w:val="22"/>
          <w:shd w:val="clear" w:color="auto" w:fill="FFFFFF"/>
        </w:rPr>
        <w:t>.</w:t>
      </w:r>
      <w:r w:rsidR="00CF1FCF">
        <w:rPr>
          <w:rStyle w:val="FootnoteReference"/>
          <w:rFonts w:ascii="Arial" w:hAnsi="Arial" w:cs="Arial"/>
          <w:color w:val="212121"/>
          <w:sz w:val="22"/>
          <w:szCs w:val="22"/>
          <w:shd w:val="clear" w:color="auto" w:fill="FFFFFF"/>
        </w:rPr>
        <w:footnoteReference w:id="40"/>
      </w:r>
      <w:r w:rsidR="007520B6">
        <w:rPr>
          <w:rFonts w:ascii="Arial" w:hAnsi="Arial" w:cs="Arial"/>
          <w:color w:val="212121"/>
          <w:sz w:val="22"/>
          <w:szCs w:val="22"/>
          <w:shd w:val="clear" w:color="auto" w:fill="FFFFFF"/>
        </w:rPr>
        <w:t xml:space="preserve"> </w:t>
      </w:r>
      <w:r w:rsidR="00193228">
        <w:rPr>
          <w:rFonts w:ascii="Arial" w:hAnsi="Arial" w:cs="Arial"/>
          <w:color w:val="212121"/>
          <w:sz w:val="22"/>
          <w:szCs w:val="22"/>
          <w:shd w:val="clear" w:color="auto" w:fill="FFFFFF"/>
        </w:rPr>
        <w:t>Given that additional scanning capacity at BMC will reduce wait time</w:t>
      </w:r>
      <w:r w:rsidR="00294C94">
        <w:rPr>
          <w:rFonts w:ascii="Arial" w:hAnsi="Arial" w:cs="Arial"/>
          <w:color w:val="212121"/>
          <w:sz w:val="22"/>
          <w:szCs w:val="22"/>
          <w:shd w:val="clear" w:color="auto" w:fill="FFFFFF"/>
        </w:rPr>
        <w:t xml:space="preserve">s leading </w:t>
      </w:r>
      <w:r w:rsidR="00193228">
        <w:rPr>
          <w:rFonts w:ascii="Arial" w:hAnsi="Arial" w:cs="Arial"/>
          <w:color w:val="212121"/>
          <w:sz w:val="22"/>
          <w:szCs w:val="22"/>
          <w:shd w:val="clear" w:color="auto" w:fill="FFFFFF"/>
        </w:rPr>
        <w:t xml:space="preserve">to more timely care, </w:t>
      </w:r>
      <w:r w:rsidR="00816497">
        <w:rPr>
          <w:rFonts w:ascii="Arial" w:hAnsi="Arial" w:cs="Arial"/>
          <w:color w:val="212121"/>
          <w:sz w:val="22"/>
          <w:szCs w:val="22"/>
          <w:shd w:val="clear" w:color="auto" w:fill="FFFFFF"/>
        </w:rPr>
        <w:t xml:space="preserve">the Proposed Project will compete on the basis of price and other cost factors. </w:t>
      </w:r>
      <w:r w:rsidR="00294C94">
        <w:rPr>
          <w:rFonts w:ascii="Arial" w:hAnsi="Arial" w:cs="Arial"/>
          <w:color w:val="212121"/>
          <w:sz w:val="22"/>
          <w:szCs w:val="22"/>
          <w:shd w:val="clear" w:color="auto" w:fill="FFFFFF"/>
        </w:rPr>
        <w:t xml:space="preserve"> </w:t>
      </w:r>
    </w:p>
    <w:p w14:paraId="57B5DBBF" w14:textId="77777777" w:rsidR="007520B6" w:rsidRPr="00A53A83" w:rsidRDefault="007520B6" w:rsidP="00CF77C3">
      <w:pPr>
        <w:jc w:val="both"/>
        <w:rPr>
          <w:rFonts w:ascii="Arial" w:eastAsiaTheme="minorHAnsi" w:hAnsi="Arial" w:cs="Arial"/>
          <w:sz w:val="22"/>
          <w:szCs w:val="22"/>
        </w:rPr>
      </w:pPr>
    </w:p>
    <w:p w14:paraId="76BC10FD" w14:textId="77777777" w:rsidR="00907510" w:rsidRPr="00A53A83" w:rsidRDefault="00907510" w:rsidP="00AF3ADF">
      <w:pPr>
        <w:jc w:val="both"/>
        <w:rPr>
          <w:rFonts w:ascii="Arial" w:eastAsiaTheme="minorHAnsi" w:hAnsi="Arial" w:cs="Arial"/>
          <w:sz w:val="22"/>
          <w:szCs w:val="22"/>
        </w:rPr>
      </w:pPr>
      <w:r w:rsidRPr="00A53A83">
        <w:rPr>
          <w:rFonts w:ascii="Arial" w:eastAsiaTheme="minorHAnsi" w:hAnsi="Arial" w:cs="Arial"/>
          <w:sz w:val="22"/>
          <w:szCs w:val="22"/>
        </w:rPr>
        <w:t>The Proposed Project also competes on the basis of recognized measures of health</w:t>
      </w:r>
      <w:r w:rsidR="00CF77C3" w:rsidRPr="00A53A83">
        <w:rPr>
          <w:rFonts w:ascii="Arial" w:eastAsiaTheme="minorHAnsi" w:hAnsi="Arial" w:cs="Arial"/>
          <w:sz w:val="22"/>
          <w:szCs w:val="22"/>
        </w:rPr>
        <w:t xml:space="preserve"> </w:t>
      </w:r>
      <w:r w:rsidRPr="00A53A83">
        <w:rPr>
          <w:rFonts w:ascii="Arial" w:eastAsiaTheme="minorHAnsi" w:hAnsi="Arial" w:cs="Arial"/>
          <w:sz w:val="22"/>
          <w:szCs w:val="22"/>
        </w:rPr>
        <w:t>care spending by allowing BMC to extrapolate upon successful population health management and value-based reimbursement successes – by screening and assisting more patients with costs associated with the social drivers of health. A report from the American Hospital Association provides that socioeconomic factors are responsible for approximately 40% of a patient’s health, while access to care and overall quality care account for only 20%</w:t>
      </w:r>
      <w:bookmarkStart w:id="8" w:name="_Ref109130348"/>
      <w:r w:rsidR="0087600F" w:rsidRPr="00A53A83">
        <w:rPr>
          <w:rFonts w:ascii="Arial" w:eastAsiaTheme="minorHAnsi" w:hAnsi="Arial" w:cs="Arial"/>
          <w:sz w:val="22"/>
          <w:szCs w:val="22"/>
        </w:rPr>
        <w:t>.</w:t>
      </w:r>
      <w:r w:rsidRPr="00A53A83">
        <w:rPr>
          <w:rFonts w:ascii="Arial" w:eastAsiaTheme="minorHAnsi" w:hAnsi="Arial" w:cs="Arial"/>
          <w:sz w:val="22"/>
          <w:szCs w:val="22"/>
          <w:vertAlign w:val="superscript"/>
        </w:rPr>
        <w:footnoteReference w:id="41"/>
      </w:r>
      <w:bookmarkEnd w:id="8"/>
      <w:r w:rsidRPr="00A53A83">
        <w:rPr>
          <w:rFonts w:ascii="Arial" w:eastAsiaTheme="minorHAnsi" w:hAnsi="Arial" w:cs="Arial"/>
          <w:sz w:val="22"/>
          <w:szCs w:val="22"/>
        </w:rPr>
        <w:t xml:space="preserve"> Consequently, by addressing patients’</w:t>
      </w:r>
      <w:r w:rsidR="00C850C2" w:rsidRPr="00A53A83">
        <w:rPr>
          <w:rFonts w:ascii="Arial" w:eastAsiaTheme="minorHAnsi" w:hAnsi="Arial" w:cs="Arial"/>
          <w:sz w:val="22"/>
          <w:szCs w:val="22"/>
        </w:rPr>
        <w:t xml:space="preserve"> SDoH</w:t>
      </w:r>
      <w:r w:rsidRPr="00A53A83">
        <w:rPr>
          <w:rFonts w:ascii="Arial" w:eastAsiaTheme="minorHAnsi" w:hAnsi="Arial" w:cs="Arial"/>
          <w:sz w:val="22"/>
          <w:szCs w:val="22"/>
        </w:rPr>
        <w:t xml:space="preserve"> needs</w:t>
      </w:r>
      <w:r w:rsidR="00CF77C3" w:rsidRPr="00A53A83">
        <w:rPr>
          <w:rFonts w:ascii="Arial" w:eastAsiaTheme="minorHAnsi" w:hAnsi="Arial" w:cs="Arial"/>
          <w:sz w:val="22"/>
          <w:szCs w:val="22"/>
        </w:rPr>
        <w:t>,</w:t>
      </w:r>
      <w:r w:rsidRPr="00A53A83">
        <w:rPr>
          <w:rFonts w:ascii="Arial" w:eastAsiaTheme="minorHAnsi" w:hAnsi="Arial" w:cs="Arial"/>
          <w:sz w:val="22"/>
          <w:szCs w:val="22"/>
        </w:rPr>
        <w:t xml:space="preserve"> providers can significantly reduce health</w:t>
      </w:r>
      <w:r w:rsidR="00CF77C3" w:rsidRPr="00A53A83">
        <w:rPr>
          <w:rFonts w:ascii="Arial" w:eastAsiaTheme="minorHAnsi" w:hAnsi="Arial" w:cs="Arial"/>
          <w:sz w:val="22"/>
          <w:szCs w:val="22"/>
        </w:rPr>
        <w:t xml:space="preserve"> </w:t>
      </w:r>
      <w:r w:rsidRPr="00A53A83">
        <w:rPr>
          <w:rFonts w:ascii="Arial" w:eastAsiaTheme="minorHAnsi" w:hAnsi="Arial" w:cs="Arial"/>
          <w:sz w:val="22"/>
          <w:szCs w:val="22"/>
        </w:rPr>
        <w:t>care costs. Examples of programs that reduce health</w:t>
      </w:r>
      <w:r w:rsidR="00CF77C3" w:rsidRPr="00A53A83">
        <w:rPr>
          <w:rFonts w:ascii="Arial" w:eastAsiaTheme="minorHAnsi" w:hAnsi="Arial" w:cs="Arial"/>
          <w:sz w:val="22"/>
          <w:szCs w:val="22"/>
        </w:rPr>
        <w:t xml:space="preserve"> </w:t>
      </w:r>
      <w:r w:rsidRPr="00A53A83">
        <w:rPr>
          <w:rFonts w:ascii="Arial" w:eastAsiaTheme="minorHAnsi" w:hAnsi="Arial" w:cs="Arial"/>
          <w:sz w:val="22"/>
          <w:szCs w:val="22"/>
        </w:rPr>
        <w:t>care costs overall include addressing food insecurity through available food resource programs and lower-cost grocery stores, providing access to affordable housing, and creating transportation programs that make accessing health care and other social support services easier</w:t>
      </w:r>
      <w:r w:rsidR="0087600F" w:rsidRPr="00A53A83">
        <w:rPr>
          <w:rFonts w:ascii="Arial" w:eastAsiaTheme="minorHAnsi" w:hAnsi="Arial" w:cs="Arial"/>
          <w:sz w:val="22"/>
          <w:szCs w:val="22"/>
        </w:rPr>
        <w:t>.</w:t>
      </w:r>
      <w:r w:rsidRPr="00A53A83">
        <w:rPr>
          <w:rFonts w:ascii="Arial" w:eastAsiaTheme="minorHAnsi" w:hAnsi="Arial" w:cs="Arial"/>
          <w:sz w:val="22"/>
          <w:szCs w:val="22"/>
          <w:vertAlign w:val="superscript"/>
        </w:rPr>
        <w:footnoteReference w:id="42"/>
      </w:r>
      <w:r w:rsidRPr="00A53A83">
        <w:rPr>
          <w:rFonts w:ascii="Arial" w:eastAsiaTheme="minorHAnsi" w:hAnsi="Arial" w:cs="Arial"/>
          <w:sz w:val="22"/>
          <w:szCs w:val="22"/>
        </w:rPr>
        <w:t xml:space="preserve"> </w:t>
      </w:r>
    </w:p>
    <w:p w14:paraId="27E4BB9D" w14:textId="77777777" w:rsidR="00907510" w:rsidRPr="00A53A83" w:rsidRDefault="00907510" w:rsidP="00907510">
      <w:pPr>
        <w:rPr>
          <w:rFonts w:ascii="Arial" w:eastAsiaTheme="minorHAnsi" w:hAnsi="Arial" w:cs="Arial"/>
          <w:sz w:val="22"/>
          <w:szCs w:val="22"/>
        </w:rPr>
      </w:pPr>
    </w:p>
    <w:p w14:paraId="0CFE39B3" w14:textId="6692EF38" w:rsidR="00907510" w:rsidRPr="00A53A83" w:rsidRDefault="00907510" w:rsidP="00AF3ADF">
      <w:pPr>
        <w:jc w:val="both"/>
        <w:rPr>
          <w:rFonts w:ascii="Arial" w:eastAsiaTheme="minorHAnsi" w:hAnsi="Arial" w:cs="Arial"/>
          <w:sz w:val="22"/>
          <w:szCs w:val="22"/>
        </w:rPr>
      </w:pPr>
      <w:r w:rsidRPr="00A53A83">
        <w:rPr>
          <w:rFonts w:ascii="Arial" w:eastAsiaTheme="minorHAnsi" w:hAnsi="Arial" w:cs="Arial"/>
          <w:sz w:val="22"/>
          <w:szCs w:val="22"/>
        </w:rPr>
        <w:t>For many years, BMC has been a leader in Massachusetts</w:t>
      </w:r>
      <w:r w:rsidR="00F33C2A" w:rsidRPr="00A53A83">
        <w:rPr>
          <w:rFonts w:ascii="Arial" w:eastAsiaTheme="minorHAnsi" w:hAnsi="Arial" w:cs="Arial"/>
          <w:sz w:val="22"/>
          <w:szCs w:val="22"/>
        </w:rPr>
        <w:t xml:space="preserve"> by</w:t>
      </w:r>
      <w:r w:rsidRPr="00A53A83">
        <w:rPr>
          <w:rFonts w:ascii="Arial" w:eastAsiaTheme="minorHAnsi" w:hAnsi="Arial" w:cs="Arial"/>
          <w:sz w:val="22"/>
          <w:szCs w:val="22"/>
        </w:rPr>
        <w:t xml:space="preserve"> integrating SDoH programming into its clinical models</w:t>
      </w:r>
      <w:r w:rsidR="00F33C2A" w:rsidRPr="00A53A83">
        <w:rPr>
          <w:rFonts w:ascii="Arial" w:eastAsiaTheme="minorHAnsi" w:hAnsi="Arial" w:cs="Arial"/>
          <w:sz w:val="22"/>
          <w:szCs w:val="22"/>
        </w:rPr>
        <w:t xml:space="preserve"> and</w:t>
      </w:r>
      <w:r w:rsidRPr="00A53A83">
        <w:rPr>
          <w:rFonts w:ascii="Arial" w:eastAsiaTheme="minorHAnsi" w:hAnsi="Arial" w:cs="Arial"/>
          <w:sz w:val="22"/>
          <w:szCs w:val="22"/>
        </w:rPr>
        <w:t xml:space="preserve"> ensuring that patients’ health care and SDoH needs are addressed. The </w:t>
      </w:r>
      <w:r w:rsidR="00004CC7" w:rsidRPr="00A53A83">
        <w:rPr>
          <w:rFonts w:ascii="Arial" w:eastAsiaTheme="minorHAnsi" w:hAnsi="Arial" w:cs="Arial"/>
          <w:sz w:val="22"/>
          <w:szCs w:val="22"/>
        </w:rPr>
        <w:t>Hospital</w:t>
      </w:r>
      <w:r w:rsidRPr="00A53A83">
        <w:rPr>
          <w:rFonts w:ascii="Arial" w:eastAsiaTheme="minorHAnsi" w:hAnsi="Arial" w:cs="Arial"/>
          <w:sz w:val="22"/>
          <w:szCs w:val="22"/>
        </w:rPr>
        <w:t xml:space="preserve"> has invested in a diverse group of community partnerships throughout its various targeted neighborhoods. Some of these investments include: $1 million for a no-interest loan and a $400,000 operating subsidy to support a new, Good Food Markets in a new housing development in Roxbury; $1 million for a stabilization fund that will provide grants to community-based organizations to help families avoid eviction in and around Boston; and $1 million to Pine Street Inn, Boston Health Care for the Homeless Program</w:t>
      </w:r>
      <w:r w:rsidR="00F33C2A" w:rsidRPr="00A53A83">
        <w:rPr>
          <w:rFonts w:ascii="Arial" w:eastAsiaTheme="minorHAnsi" w:hAnsi="Arial" w:cs="Arial"/>
          <w:sz w:val="22"/>
          <w:szCs w:val="22"/>
        </w:rPr>
        <w:t>,</w:t>
      </w:r>
      <w:r w:rsidRPr="00A53A83">
        <w:rPr>
          <w:rFonts w:ascii="Arial" w:eastAsiaTheme="minorHAnsi" w:hAnsi="Arial" w:cs="Arial"/>
          <w:sz w:val="22"/>
          <w:szCs w:val="22"/>
        </w:rPr>
        <w:t xml:space="preserve"> and other community partners to create a housing stabilization program for individuals with complex medical problems, including </w:t>
      </w:r>
      <w:r w:rsidR="00004CC7" w:rsidRPr="00A53A83">
        <w:rPr>
          <w:rFonts w:ascii="Arial" w:eastAsiaTheme="minorHAnsi" w:hAnsi="Arial" w:cs="Arial"/>
          <w:sz w:val="22"/>
          <w:szCs w:val="22"/>
        </w:rPr>
        <w:t>SUDs</w:t>
      </w:r>
      <w:r w:rsidRPr="00A53A83">
        <w:rPr>
          <w:rFonts w:ascii="Arial" w:eastAsiaTheme="minorHAnsi" w:hAnsi="Arial" w:cs="Arial"/>
          <w:sz w:val="22"/>
          <w:szCs w:val="22"/>
        </w:rPr>
        <w:t xml:space="preserve">. The Proposed Project will allow BMC to screen additional patients for SDoH and further invest in social programming, ultimately leading to reductions in health care costs. </w:t>
      </w:r>
    </w:p>
    <w:p w14:paraId="0FF83C55" w14:textId="77777777" w:rsidR="00907510" w:rsidRPr="00A53A83" w:rsidRDefault="00907510" w:rsidP="00907510">
      <w:pPr>
        <w:rPr>
          <w:rFonts w:ascii="Arial" w:eastAsiaTheme="minorHAnsi" w:hAnsi="Arial" w:cs="Arial"/>
          <w:sz w:val="22"/>
          <w:szCs w:val="22"/>
        </w:rPr>
      </w:pPr>
    </w:p>
    <w:p w14:paraId="412F341D" w14:textId="77777777" w:rsidR="003E54B5" w:rsidRPr="00A53A83" w:rsidRDefault="00907510" w:rsidP="00AF3ADF">
      <w:pPr>
        <w:jc w:val="both"/>
        <w:rPr>
          <w:rFonts w:ascii="Arial" w:eastAsiaTheme="minorHAnsi" w:hAnsi="Arial" w:cs="Arial"/>
          <w:sz w:val="22"/>
          <w:szCs w:val="22"/>
        </w:rPr>
      </w:pPr>
      <w:r w:rsidRPr="00A53A83">
        <w:rPr>
          <w:rFonts w:ascii="Arial" w:eastAsiaTheme="minorHAnsi" w:hAnsi="Arial" w:cs="Arial"/>
          <w:sz w:val="22"/>
          <w:szCs w:val="22"/>
        </w:rPr>
        <w:t xml:space="preserve">Accordingly, the Proposed Project is reasonable and competes on the basis of recognized measures of health care spending. </w:t>
      </w:r>
    </w:p>
    <w:p w14:paraId="4AEF0EF5" w14:textId="77777777" w:rsidR="005C5911" w:rsidRPr="00BF0100" w:rsidRDefault="005C5911" w:rsidP="00E24D42">
      <w:pPr>
        <w:pStyle w:val="NormalWeb"/>
        <w:spacing w:before="0" w:beforeAutospacing="0" w:after="0" w:afterAutospacing="0"/>
        <w:jc w:val="both"/>
        <w:rPr>
          <w:rFonts w:ascii="Arial" w:hAnsi="Arial" w:cs="Arial"/>
          <w:sz w:val="22"/>
          <w:szCs w:val="22"/>
          <w:u w:val="single"/>
        </w:rPr>
      </w:pPr>
    </w:p>
    <w:p w14:paraId="501D9F59" w14:textId="77777777" w:rsidR="005C5911" w:rsidRPr="00BF0100" w:rsidRDefault="005C5911" w:rsidP="009A7F8F">
      <w:pPr>
        <w:pStyle w:val="paragraph"/>
        <w:spacing w:before="0" w:beforeAutospacing="0" w:after="0" w:afterAutospacing="0"/>
        <w:ind w:left="1080" w:hanging="1080"/>
        <w:jc w:val="both"/>
        <w:textAlignment w:val="baseline"/>
        <w:rPr>
          <w:rFonts w:ascii="Segoe UI" w:hAnsi="Segoe UI" w:cs="Segoe UI"/>
          <w:sz w:val="18"/>
          <w:szCs w:val="18"/>
        </w:rPr>
      </w:pPr>
      <w:r w:rsidRPr="00BF0100">
        <w:rPr>
          <w:rStyle w:val="normaltextrun"/>
          <w:rFonts w:ascii="Arial" w:hAnsi="Arial" w:cs="Arial"/>
          <w:b/>
          <w:bCs/>
          <w:sz w:val="22"/>
          <w:szCs w:val="22"/>
        </w:rPr>
        <w:t>F1.b.i</w:t>
      </w:r>
      <w:r w:rsidRPr="00BF0100">
        <w:rPr>
          <w:rStyle w:val="normaltextrun"/>
          <w:rFonts w:ascii="Arial" w:hAnsi="Arial" w:cs="Arial"/>
          <w:sz w:val="22"/>
          <w:szCs w:val="22"/>
        </w:rPr>
        <w:t xml:space="preserve"> </w:t>
      </w:r>
      <w:r w:rsidRPr="00BF0100">
        <w:rPr>
          <w:rStyle w:val="tabchar"/>
          <w:rFonts w:ascii="Calibri" w:hAnsi="Calibri" w:cs="Calibri"/>
          <w:sz w:val="22"/>
          <w:szCs w:val="22"/>
        </w:rPr>
        <w:tab/>
      </w:r>
      <w:r w:rsidRPr="00BF0100">
        <w:rPr>
          <w:rStyle w:val="normaltextrun"/>
          <w:rFonts w:ascii="Arial" w:hAnsi="Arial" w:cs="Arial"/>
          <w:b/>
          <w:bCs/>
          <w:sz w:val="22"/>
          <w:szCs w:val="22"/>
          <w:u w:val="single"/>
        </w:rPr>
        <w:t>Public Health Value/Evidence-Based:</w:t>
      </w:r>
      <w:r w:rsidRPr="00BF0100">
        <w:rPr>
          <w:rStyle w:val="eop"/>
          <w:rFonts w:ascii="Arial" w:hAnsi="Arial" w:cs="Arial"/>
          <w:sz w:val="22"/>
          <w:szCs w:val="22"/>
        </w:rPr>
        <w:t> </w:t>
      </w:r>
    </w:p>
    <w:p w14:paraId="1B770B13" w14:textId="77777777" w:rsidR="005C5911" w:rsidRPr="00BF0100" w:rsidRDefault="005C5911" w:rsidP="009A7F8F">
      <w:pPr>
        <w:pStyle w:val="paragraph"/>
        <w:spacing w:before="0" w:beforeAutospacing="0" w:after="0" w:afterAutospacing="0"/>
        <w:ind w:left="1080"/>
        <w:jc w:val="both"/>
        <w:textAlignment w:val="baseline"/>
        <w:rPr>
          <w:rFonts w:ascii="Segoe UI" w:hAnsi="Segoe UI" w:cs="Segoe UI"/>
          <w:sz w:val="18"/>
          <w:szCs w:val="18"/>
        </w:rPr>
      </w:pPr>
      <w:r w:rsidRPr="00BF0100">
        <w:rPr>
          <w:rStyle w:val="normaltextrun"/>
          <w:rFonts w:ascii="Arial" w:hAnsi="Arial" w:cs="Arial"/>
          <w:b/>
          <w:bCs/>
          <w:sz w:val="22"/>
          <w:szCs w:val="22"/>
        </w:rPr>
        <w:t>Provide information on the evidence-base for the Proposed Project. That is, how does the Proposed Project address the Need that Applicant has identified. </w:t>
      </w:r>
      <w:r w:rsidRPr="00BF0100">
        <w:rPr>
          <w:rStyle w:val="eop"/>
          <w:rFonts w:ascii="Arial" w:hAnsi="Arial" w:cs="Arial"/>
          <w:sz w:val="22"/>
          <w:szCs w:val="22"/>
        </w:rPr>
        <w:t> </w:t>
      </w:r>
    </w:p>
    <w:p w14:paraId="40F0A767" w14:textId="77777777" w:rsidR="005C5911" w:rsidRPr="00BF0100" w:rsidRDefault="005C5911" w:rsidP="00E24D42">
      <w:pPr>
        <w:pStyle w:val="NormalWeb"/>
        <w:spacing w:before="0" w:beforeAutospacing="0" w:after="0" w:afterAutospacing="0"/>
        <w:jc w:val="both"/>
        <w:rPr>
          <w:rFonts w:ascii="Arial" w:hAnsi="Arial" w:cs="Arial"/>
          <w:sz w:val="22"/>
          <w:szCs w:val="22"/>
          <w:u w:val="single"/>
        </w:rPr>
      </w:pPr>
    </w:p>
    <w:p w14:paraId="6B52E98A" w14:textId="77777777" w:rsidR="00095891" w:rsidRDefault="00DF35E4" w:rsidP="00E24D42">
      <w:pPr>
        <w:pStyle w:val="NormalWeb"/>
        <w:spacing w:before="0" w:beforeAutospacing="0" w:after="0" w:afterAutospacing="0"/>
        <w:jc w:val="both"/>
        <w:rPr>
          <w:rFonts w:ascii="Arial" w:hAnsi="Arial" w:cs="Arial"/>
          <w:color w:val="000000" w:themeColor="text1"/>
          <w:sz w:val="22"/>
          <w:szCs w:val="22"/>
        </w:rPr>
      </w:pPr>
      <w:r w:rsidRPr="00D10C24">
        <w:rPr>
          <w:rFonts w:ascii="Arial" w:hAnsi="Arial" w:cs="Arial"/>
          <w:sz w:val="22"/>
          <w:szCs w:val="22"/>
        </w:rPr>
        <w:t xml:space="preserve">Through the Proposed Project, the Applicant seeks to </w:t>
      </w:r>
      <w:r w:rsidRPr="00D10C24">
        <w:rPr>
          <w:rFonts w:ascii="Arial" w:hAnsi="Arial" w:cs="Arial"/>
          <w:color w:val="000000" w:themeColor="text1"/>
          <w:sz w:val="22"/>
          <w:szCs w:val="22"/>
        </w:rPr>
        <w:t xml:space="preserve">address the existing and future needs of BMC’s unique patient panel by providing increased access to timely, high-quality MRI services. Specifically, the Proposed Project is designed to </w:t>
      </w:r>
      <w:r w:rsidRPr="00D10C24">
        <w:rPr>
          <w:rFonts w:ascii="Arial" w:hAnsi="Arial" w:cs="Arial"/>
          <w:sz w:val="22"/>
          <w:szCs w:val="22"/>
        </w:rPr>
        <w:t>meet the growing demand for MRI services, positively impact throughput and operations, increase patient satisfaction and health outcomes, and ensure timely access to New England’s largest safety net hospital.</w:t>
      </w:r>
      <w:r w:rsidRPr="00D10C24">
        <w:rPr>
          <w:rFonts w:ascii="Arial" w:hAnsi="Arial" w:cs="Arial"/>
          <w:color w:val="000000" w:themeColor="text1"/>
          <w:sz w:val="22"/>
          <w:szCs w:val="22"/>
        </w:rPr>
        <w:t xml:space="preserve"> </w:t>
      </w:r>
      <w:r w:rsidRPr="00D10C24">
        <w:rPr>
          <w:rFonts w:ascii="Arial" w:hAnsi="Arial" w:cs="Arial"/>
          <w:sz w:val="22"/>
          <w:szCs w:val="22"/>
        </w:rPr>
        <w:t xml:space="preserve">Factors F1.a.ii and F1.a.iii describe how the Proposed Project will contribute to these goals and </w:t>
      </w:r>
      <w:r w:rsidRPr="00D10C24">
        <w:rPr>
          <w:rFonts w:ascii="Arial" w:hAnsi="Arial" w:cs="Arial"/>
          <w:color w:val="000000" w:themeColor="text1"/>
          <w:sz w:val="22"/>
          <w:szCs w:val="22"/>
        </w:rPr>
        <w:t xml:space="preserve">meet the Applicant’s patient </w:t>
      </w:r>
      <w:r w:rsidRPr="00D10C24">
        <w:rPr>
          <w:rFonts w:ascii="Arial" w:hAnsi="Arial" w:cs="Arial"/>
          <w:color w:val="000000" w:themeColor="text1"/>
          <w:sz w:val="22"/>
          <w:szCs w:val="22"/>
        </w:rPr>
        <w:lastRenderedPageBreak/>
        <w:t>panel need in a cost-effective manner. As detailed herein, the Proposed Project is also supported by evidence-based literature that illustrates the essential role that safety net hospitals, like BMC, play in the health care system and details the utility of MRI as well as the importance of adequate MRI capacity on hospital operations and patient satisfaction and outcomes.</w:t>
      </w:r>
    </w:p>
    <w:p w14:paraId="66D64C24" w14:textId="77777777" w:rsidR="00DF35E4" w:rsidRPr="00DF35E4" w:rsidRDefault="00DF35E4" w:rsidP="00E24D42">
      <w:pPr>
        <w:pStyle w:val="NormalWeb"/>
        <w:spacing w:before="0" w:beforeAutospacing="0" w:after="0" w:afterAutospacing="0"/>
        <w:jc w:val="both"/>
        <w:rPr>
          <w:rFonts w:ascii="Arial" w:hAnsi="Arial" w:cs="Arial"/>
          <w:color w:val="000000" w:themeColor="text1"/>
          <w:sz w:val="22"/>
          <w:szCs w:val="22"/>
        </w:rPr>
      </w:pPr>
    </w:p>
    <w:p w14:paraId="4633E867" w14:textId="77777777" w:rsidR="002B03F3" w:rsidRPr="00FA6D49" w:rsidRDefault="002B03F3">
      <w:pPr>
        <w:pStyle w:val="NormalWeb"/>
        <w:numPr>
          <w:ilvl w:val="0"/>
          <w:numId w:val="6"/>
        </w:numPr>
        <w:spacing w:before="0" w:beforeAutospacing="0" w:after="0" w:afterAutospacing="0"/>
        <w:ind w:left="360"/>
        <w:jc w:val="both"/>
        <w:rPr>
          <w:rFonts w:ascii="Arial" w:hAnsi="Arial" w:cs="Arial"/>
          <w:smallCaps/>
          <w:sz w:val="22"/>
          <w:szCs w:val="22"/>
          <w:u w:val="single"/>
        </w:rPr>
      </w:pPr>
      <w:r w:rsidRPr="00FA6D49">
        <w:rPr>
          <w:rFonts w:ascii="Arial" w:hAnsi="Arial" w:cs="Arial"/>
          <w:smallCaps/>
          <w:sz w:val="22"/>
          <w:szCs w:val="22"/>
          <w:u w:val="single"/>
        </w:rPr>
        <w:t>Importance of Safety Net Hospitals, Including BMC</w:t>
      </w:r>
    </w:p>
    <w:p w14:paraId="5067A3C3" w14:textId="77777777" w:rsidR="002B03F3" w:rsidRPr="00FA6D49" w:rsidRDefault="002B03F3" w:rsidP="009B2E2C">
      <w:pPr>
        <w:pStyle w:val="NormalWeb"/>
        <w:spacing w:before="0" w:beforeAutospacing="0" w:after="0" w:afterAutospacing="0"/>
        <w:jc w:val="both"/>
        <w:rPr>
          <w:rFonts w:ascii="Arial" w:hAnsi="Arial" w:cs="Arial"/>
          <w:color w:val="000000" w:themeColor="text1"/>
          <w:sz w:val="22"/>
          <w:szCs w:val="22"/>
        </w:rPr>
      </w:pPr>
    </w:p>
    <w:p w14:paraId="330262B5" w14:textId="77777777" w:rsidR="00DF35E4" w:rsidRDefault="00DF35E4" w:rsidP="00DF35E4">
      <w:pPr>
        <w:jc w:val="both"/>
        <w:rPr>
          <w:rFonts w:ascii="Arial" w:hAnsi="Arial" w:cs="Arial"/>
          <w:color w:val="000000" w:themeColor="text1"/>
          <w:sz w:val="22"/>
          <w:szCs w:val="22"/>
        </w:rPr>
      </w:pPr>
      <w:r w:rsidRPr="00D10C24">
        <w:rPr>
          <w:rFonts w:ascii="Arial" w:hAnsi="Arial" w:cs="Arial"/>
          <w:color w:val="000000" w:themeColor="text1"/>
          <w:sz w:val="22"/>
          <w:szCs w:val="22"/>
        </w:rPr>
        <w:t>BMC and other safety net hospitals play an essential role in the United States and the Massachusetts health care systems by providing indispensable care to low-income and vulnerable populations, including the uninsured and individuals with Medicaid as well as populations facing health inequities, such as racial and ethnic minorities. Despite the significant reduction in uninsurance levels in Massachusetts that occurred with health care reform, the demand for care at safety net facilities continues to rise</w:t>
      </w:r>
      <w:bookmarkStart w:id="9" w:name="_Ref109198267"/>
      <w:r>
        <w:rPr>
          <w:rFonts w:ascii="Arial" w:hAnsi="Arial" w:cs="Arial"/>
          <w:color w:val="000000" w:themeColor="text1"/>
          <w:sz w:val="22"/>
          <w:szCs w:val="22"/>
        </w:rPr>
        <w:t>.</w:t>
      </w:r>
      <w:bookmarkStart w:id="10" w:name="_Ref134939691"/>
      <w:r w:rsidRPr="00D10C24">
        <w:rPr>
          <w:rStyle w:val="FootnoteReference"/>
          <w:rFonts w:ascii="Arial" w:hAnsi="Arial" w:cs="Arial"/>
          <w:color w:val="000000" w:themeColor="text1"/>
          <w:sz w:val="22"/>
          <w:szCs w:val="22"/>
        </w:rPr>
        <w:footnoteReference w:id="43"/>
      </w:r>
      <w:bookmarkEnd w:id="9"/>
      <w:bookmarkEnd w:id="10"/>
      <w:r w:rsidRPr="00D10C24">
        <w:rPr>
          <w:rFonts w:ascii="Arial" w:hAnsi="Arial" w:cs="Arial"/>
          <w:color w:val="000000" w:themeColor="text1"/>
          <w:sz w:val="22"/>
          <w:szCs w:val="22"/>
        </w:rPr>
        <w:t xml:space="preserve"> Most safety net patients do not view these facilities as providers of last resort; rather, they prefer the types of care that are offered there and use the facilities </w:t>
      </w:r>
      <w:r w:rsidRPr="003C3B68">
        <w:rPr>
          <w:rFonts w:ascii="Arial" w:hAnsi="Arial" w:cs="Arial"/>
          <w:color w:val="000000" w:themeColor="text1"/>
          <w:sz w:val="22"/>
          <w:szCs w:val="22"/>
        </w:rPr>
        <w:t>willingly.</w:t>
      </w:r>
      <w:r w:rsidRPr="003C3B68">
        <w:rPr>
          <w:rStyle w:val="FootnoteReference"/>
          <w:rFonts w:ascii="Arial" w:hAnsi="Arial" w:cs="Arial"/>
          <w:color w:val="000000" w:themeColor="text1"/>
          <w:sz w:val="22"/>
          <w:szCs w:val="22"/>
        </w:rPr>
        <w:footnoteReference w:id="44"/>
      </w:r>
      <w:r w:rsidRPr="003C3B68">
        <w:rPr>
          <w:rFonts w:ascii="Arial" w:hAnsi="Arial" w:cs="Arial"/>
          <w:color w:val="000000" w:themeColor="text1"/>
          <w:sz w:val="22"/>
          <w:szCs w:val="22"/>
        </w:rPr>
        <w:t xml:space="preserve"> Being that BMC and other safety net hospitals are anticipated to continue to play a disproportionately large role in providing inpatient, emergency, and ambulatory care to the area’s most under-resourced patients into the future, it is essential to achieving the objectives of equitable care that such hospitals have the resources and depth of services, such as MRI services, that are necessary to provide such disadvantaged patients with timely access to high-quality care that does not jeopardize patient outcomes</w:t>
      </w:r>
      <w:bookmarkStart w:id="11" w:name="_Ref109305374"/>
      <w:r w:rsidRPr="003C3B68">
        <w:rPr>
          <w:rFonts w:ascii="Arial" w:hAnsi="Arial" w:cs="Arial"/>
          <w:color w:val="000000" w:themeColor="text1"/>
          <w:sz w:val="22"/>
          <w:szCs w:val="22"/>
        </w:rPr>
        <w:t>.</w:t>
      </w:r>
      <w:r w:rsidRPr="003C3B68">
        <w:rPr>
          <w:rStyle w:val="FootnoteReference"/>
          <w:rFonts w:ascii="Arial" w:hAnsi="Arial" w:cs="Arial"/>
          <w:color w:val="000000" w:themeColor="text1"/>
          <w:sz w:val="22"/>
          <w:szCs w:val="22"/>
        </w:rPr>
        <w:footnoteReference w:id="45"/>
      </w:r>
      <w:bookmarkEnd w:id="11"/>
      <w:r w:rsidRPr="003C3B68">
        <w:rPr>
          <w:rFonts w:ascii="Arial" w:hAnsi="Arial" w:cs="Arial"/>
          <w:color w:val="000000" w:themeColor="text1"/>
          <w:sz w:val="22"/>
          <w:szCs w:val="22"/>
        </w:rPr>
        <w:t xml:space="preserve"> The Proposed Project seeks to facilitate these goals.</w:t>
      </w:r>
    </w:p>
    <w:p w14:paraId="7D917EAF" w14:textId="77777777" w:rsidR="00563B35" w:rsidRPr="003C3B68" w:rsidRDefault="00563B35" w:rsidP="00DF35E4">
      <w:pPr>
        <w:jc w:val="both"/>
        <w:rPr>
          <w:rFonts w:ascii="Arial" w:hAnsi="Arial" w:cs="Arial"/>
          <w:color w:val="000000" w:themeColor="text1"/>
          <w:sz w:val="22"/>
          <w:szCs w:val="22"/>
        </w:rPr>
      </w:pPr>
    </w:p>
    <w:p w14:paraId="51B603F9" w14:textId="77777777" w:rsidR="00A3774F" w:rsidRPr="003C3B68" w:rsidRDefault="00A3774F" w:rsidP="002B03F3">
      <w:pPr>
        <w:pStyle w:val="NormalWeb"/>
        <w:spacing w:before="0" w:beforeAutospacing="0" w:after="0" w:afterAutospacing="0"/>
        <w:jc w:val="both"/>
        <w:rPr>
          <w:rFonts w:ascii="Arial" w:hAnsi="Arial" w:cs="Arial"/>
          <w:smallCaps/>
          <w:color w:val="000000" w:themeColor="text1"/>
          <w:sz w:val="22"/>
          <w:szCs w:val="22"/>
          <w:u w:val="single"/>
        </w:rPr>
      </w:pPr>
    </w:p>
    <w:p w14:paraId="4EC33FCC" w14:textId="77777777" w:rsidR="005C5911" w:rsidRPr="003C3B68" w:rsidRDefault="005C5911">
      <w:pPr>
        <w:pStyle w:val="NormalWeb"/>
        <w:numPr>
          <w:ilvl w:val="0"/>
          <w:numId w:val="6"/>
        </w:numPr>
        <w:spacing w:before="0" w:beforeAutospacing="0" w:after="0" w:afterAutospacing="0"/>
        <w:ind w:left="360"/>
        <w:jc w:val="both"/>
        <w:rPr>
          <w:rFonts w:ascii="Arial" w:hAnsi="Arial" w:cs="Arial"/>
          <w:smallCaps/>
          <w:color w:val="000000" w:themeColor="text1"/>
          <w:sz w:val="22"/>
          <w:szCs w:val="22"/>
          <w:u w:val="single"/>
        </w:rPr>
      </w:pPr>
      <w:r w:rsidRPr="003C3B68">
        <w:rPr>
          <w:rFonts w:ascii="Arial" w:hAnsi="Arial" w:cs="Arial"/>
          <w:smallCaps/>
          <w:color w:val="000000" w:themeColor="text1"/>
          <w:sz w:val="22"/>
          <w:szCs w:val="22"/>
          <w:u w:val="single"/>
        </w:rPr>
        <w:t xml:space="preserve">Evidence Supporting the Proposed </w:t>
      </w:r>
      <w:r w:rsidR="00BF0100" w:rsidRPr="003C3B68">
        <w:rPr>
          <w:rFonts w:ascii="Arial" w:hAnsi="Arial" w:cs="Arial"/>
          <w:smallCaps/>
          <w:color w:val="000000" w:themeColor="text1"/>
          <w:sz w:val="22"/>
          <w:szCs w:val="22"/>
          <w:u w:val="single"/>
        </w:rPr>
        <w:t>MRI</w:t>
      </w:r>
      <w:r w:rsidRPr="003C3B68">
        <w:rPr>
          <w:rFonts w:ascii="Arial" w:hAnsi="Arial" w:cs="Arial"/>
          <w:smallCaps/>
          <w:color w:val="000000" w:themeColor="text1"/>
          <w:sz w:val="22"/>
          <w:szCs w:val="22"/>
          <w:u w:val="single"/>
        </w:rPr>
        <w:t xml:space="preserve"> Expansion</w:t>
      </w:r>
    </w:p>
    <w:p w14:paraId="337354DE" w14:textId="77777777" w:rsidR="00200CC6" w:rsidRPr="003C3B68" w:rsidRDefault="00200CC6" w:rsidP="00B05CF9">
      <w:pPr>
        <w:pStyle w:val="NormalWeb"/>
        <w:spacing w:before="0" w:beforeAutospacing="0" w:after="0" w:afterAutospacing="0"/>
        <w:jc w:val="both"/>
        <w:rPr>
          <w:rFonts w:ascii="Arial" w:hAnsi="Arial" w:cs="Arial"/>
          <w:color w:val="000000" w:themeColor="text1"/>
          <w:sz w:val="22"/>
          <w:szCs w:val="22"/>
        </w:rPr>
      </w:pPr>
    </w:p>
    <w:p w14:paraId="6A8BA7BB" w14:textId="77777777" w:rsidR="00DD39D2" w:rsidRPr="00DD39D2" w:rsidRDefault="00DD39D2" w:rsidP="00DD39D2">
      <w:pPr>
        <w:pStyle w:val="NormalWeb"/>
        <w:numPr>
          <w:ilvl w:val="0"/>
          <w:numId w:val="37"/>
        </w:numPr>
        <w:spacing w:before="0" w:beforeAutospacing="0" w:after="0" w:afterAutospacing="0"/>
        <w:jc w:val="both"/>
        <w:rPr>
          <w:rStyle w:val="glossary-link"/>
          <w:rFonts w:ascii="Arial" w:hAnsi="Arial" w:cs="Arial"/>
          <w:color w:val="000000" w:themeColor="text1"/>
          <w:sz w:val="22"/>
          <w:szCs w:val="22"/>
          <w:u w:val="single"/>
          <w:shd w:val="clear" w:color="auto" w:fill="FFFFFF"/>
        </w:rPr>
      </w:pPr>
      <w:r w:rsidRPr="00DD39D2">
        <w:rPr>
          <w:rStyle w:val="glossary-link"/>
          <w:rFonts w:ascii="Arial" w:hAnsi="Arial" w:cs="Arial"/>
          <w:color w:val="000000" w:themeColor="text1"/>
          <w:sz w:val="22"/>
          <w:szCs w:val="22"/>
          <w:u w:val="single"/>
        </w:rPr>
        <w:t xml:space="preserve">MRI Technology </w:t>
      </w:r>
    </w:p>
    <w:p w14:paraId="0AAE9E08" w14:textId="77777777" w:rsidR="00DD39D2" w:rsidRDefault="00DD39D2" w:rsidP="00DD39D2">
      <w:pPr>
        <w:pStyle w:val="NormalWeb"/>
        <w:spacing w:before="0" w:beforeAutospacing="0" w:after="0" w:afterAutospacing="0"/>
        <w:jc w:val="both"/>
        <w:rPr>
          <w:rStyle w:val="glossary-link"/>
          <w:rFonts w:ascii="Arial" w:hAnsi="Arial" w:cs="Arial"/>
          <w:color w:val="000000" w:themeColor="text1"/>
          <w:sz w:val="22"/>
          <w:szCs w:val="22"/>
          <w:shd w:val="clear" w:color="auto" w:fill="FFFFFF"/>
        </w:rPr>
      </w:pPr>
    </w:p>
    <w:p w14:paraId="67F15E5D" w14:textId="067C0383" w:rsidR="00867405" w:rsidRPr="00DD39D2" w:rsidRDefault="00867405" w:rsidP="00DD39D2">
      <w:pPr>
        <w:pStyle w:val="NormalWeb"/>
        <w:spacing w:before="0" w:beforeAutospacing="0" w:after="0" w:afterAutospacing="0"/>
        <w:jc w:val="both"/>
        <w:rPr>
          <w:rFonts w:ascii="Arial" w:hAnsi="Arial" w:cs="Arial"/>
          <w:color w:val="000000" w:themeColor="text1"/>
          <w:sz w:val="22"/>
          <w:szCs w:val="22"/>
          <w:shd w:val="clear" w:color="auto" w:fill="FFFFFF"/>
        </w:rPr>
      </w:pPr>
      <w:r w:rsidRPr="00DD39D2">
        <w:rPr>
          <w:rStyle w:val="glossary-link"/>
          <w:rFonts w:ascii="Arial" w:hAnsi="Arial" w:cs="Arial"/>
          <w:color w:val="000000" w:themeColor="text1"/>
          <w:sz w:val="22"/>
          <w:szCs w:val="22"/>
        </w:rPr>
        <w:t>MRI</w:t>
      </w:r>
      <w:r w:rsidRPr="00DD39D2">
        <w:rPr>
          <w:rStyle w:val="apple-converted-space"/>
          <w:rFonts w:ascii="Arial" w:hAnsi="Arial" w:cs="Arial"/>
          <w:color w:val="000000" w:themeColor="text1"/>
          <w:sz w:val="22"/>
          <w:szCs w:val="22"/>
          <w:shd w:val="clear" w:color="auto" w:fill="FFFFFF"/>
        </w:rPr>
        <w:t> </w:t>
      </w:r>
      <w:r w:rsidRPr="00DD39D2">
        <w:rPr>
          <w:rFonts w:ascii="Arial" w:hAnsi="Arial" w:cs="Arial"/>
          <w:color w:val="000000" w:themeColor="text1"/>
          <w:sz w:val="22"/>
          <w:szCs w:val="22"/>
          <w:shd w:val="clear" w:color="auto" w:fill="FFFFFF"/>
        </w:rPr>
        <w:t>is a non-invasive imaging technology that is used to investigate anatomy and function of the body without the use of damaging ionizing radiation.</w:t>
      </w:r>
      <w:bookmarkStart w:id="12" w:name="_Ref134940635"/>
      <w:r w:rsidRPr="003C3B68">
        <w:rPr>
          <w:rStyle w:val="FootnoteReference"/>
          <w:rFonts w:ascii="Arial" w:hAnsi="Arial" w:cs="Arial"/>
          <w:color w:val="000000" w:themeColor="text1"/>
          <w:sz w:val="22"/>
          <w:szCs w:val="22"/>
          <w:shd w:val="clear" w:color="auto" w:fill="FFFFFF"/>
        </w:rPr>
        <w:footnoteReference w:id="46"/>
      </w:r>
      <w:bookmarkEnd w:id="12"/>
      <w:r w:rsidRPr="00DD39D2">
        <w:rPr>
          <w:rFonts w:ascii="Arial" w:hAnsi="Arial" w:cs="Arial"/>
          <w:color w:val="000000" w:themeColor="text1"/>
          <w:sz w:val="22"/>
          <w:szCs w:val="22"/>
        </w:rPr>
        <w:t xml:space="preserve"> </w:t>
      </w:r>
      <w:r w:rsidR="000049DE">
        <w:rPr>
          <w:rFonts w:ascii="Arial" w:hAnsi="Arial" w:cs="Arial"/>
          <w:color w:val="000000" w:themeColor="text1"/>
          <w:sz w:val="22"/>
          <w:szCs w:val="22"/>
        </w:rPr>
        <w:t>Rather than</w:t>
      </w:r>
      <w:r w:rsidRPr="00DD39D2">
        <w:rPr>
          <w:rFonts w:ascii="Arial" w:hAnsi="Arial" w:cs="Arial"/>
          <w:color w:val="000000" w:themeColor="text1"/>
          <w:sz w:val="22"/>
          <w:szCs w:val="22"/>
        </w:rPr>
        <w:t xml:space="preserve"> emit</w:t>
      </w:r>
      <w:r w:rsidR="00F831B9">
        <w:rPr>
          <w:rFonts w:ascii="Arial" w:hAnsi="Arial" w:cs="Arial"/>
          <w:color w:val="000000" w:themeColor="text1"/>
          <w:sz w:val="22"/>
          <w:szCs w:val="22"/>
        </w:rPr>
        <w:t>ting</w:t>
      </w:r>
      <w:r w:rsidRPr="00DD39D2">
        <w:rPr>
          <w:rFonts w:ascii="Arial" w:hAnsi="Arial" w:cs="Arial"/>
          <w:color w:val="000000" w:themeColor="text1"/>
          <w:sz w:val="22"/>
          <w:szCs w:val="22"/>
        </w:rPr>
        <w:t xml:space="preserve"> ionizing radiation, </w:t>
      </w:r>
      <w:r w:rsidR="00F831B9">
        <w:rPr>
          <w:rFonts w:ascii="Arial" w:hAnsi="Arial" w:cs="Arial"/>
          <w:color w:val="000000" w:themeColor="text1"/>
          <w:sz w:val="22"/>
          <w:szCs w:val="22"/>
        </w:rPr>
        <w:t xml:space="preserve">MRI </w:t>
      </w:r>
      <w:r w:rsidRPr="00DD39D2">
        <w:rPr>
          <w:rFonts w:ascii="Arial" w:hAnsi="Arial" w:cs="Arial"/>
          <w:color w:val="000000" w:themeColor="text1"/>
          <w:sz w:val="22"/>
          <w:szCs w:val="22"/>
        </w:rPr>
        <w:t xml:space="preserve">relies on a magnetic field and radio frequencies, </w:t>
      </w:r>
      <w:r w:rsidR="00B00E5C">
        <w:rPr>
          <w:rFonts w:ascii="Arial" w:hAnsi="Arial" w:cs="Arial"/>
          <w:color w:val="000000" w:themeColor="text1"/>
          <w:sz w:val="22"/>
          <w:szCs w:val="22"/>
        </w:rPr>
        <w:t>making it a</w:t>
      </w:r>
      <w:r w:rsidRPr="00DD39D2">
        <w:rPr>
          <w:rFonts w:ascii="Arial" w:hAnsi="Arial" w:cs="Arial"/>
          <w:color w:val="000000" w:themeColor="text1"/>
          <w:sz w:val="22"/>
          <w:szCs w:val="22"/>
        </w:rPr>
        <w:t xml:space="preserve"> safe alternative to many other imaging modalities.</w:t>
      </w:r>
      <w:r w:rsidRPr="003C3B68">
        <w:rPr>
          <w:rStyle w:val="FootnoteReference"/>
          <w:rFonts w:ascii="Arial" w:hAnsi="Arial" w:cs="Arial"/>
          <w:color w:val="000000" w:themeColor="text1"/>
          <w:sz w:val="22"/>
          <w:szCs w:val="22"/>
        </w:rPr>
        <w:footnoteReference w:id="47"/>
      </w:r>
      <w:r w:rsidRPr="00DD39D2">
        <w:rPr>
          <w:rFonts w:ascii="Arial" w:hAnsi="Arial" w:cs="Arial"/>
          <w:color w:val="000000" w:themeColor="text1"/>
          <w:sz w:val="22"/>
          <w:szCs w:val="22"/>
        </w:rPr>
        <w:t xml:space="preserve"> </w:t>
      </w:r>
      <w:r w:rsidRPr="00DD39D2">
        <w:rPr>
          <w:rFonts w:ascii="Arial" w:hAnsi="Arial" w:cs="Arial"/>
          <w:color w:val="000000" w:themeColor="text1"/>
          <w:sz w:val="22"/>
          <w:szCs w:val="22"/>
          <w:shd w:val="clear" w:color="auto" w:fill="FFFFFF"/>
        </w:rPr>
        <w:t xml:space="preserve">Specifically, </w:t>
      </w:r>
      <w:r w:rsidRPr="00DD39D2">
        <w:rPr>
          <w:rFonts w:ascii="Arial" w:hAnsi="Arial" w:cs="Arial"/>
          <w:color w:val="000000" w:themeColor="text1"/>
          <w:sz w:val="22"/>
          <w:szCs w:val="22"/>
        </w:rPr>
        <w:t>MRI uses a powerful magnetic field and pulses of radio waves to create detailed images of the body's internal organs, tissues, and structures.</w:t>
      </w:r>
      <w:r w:rsidRPr="003C3B68">
        <w:rPr>
          <w:rStyle w:val="FootnoteReference"/>
          <w:rFonts w:ascii="Arial" w:hAnsi="Arial" w:cs="Arial"/>
          <w:color w:val="000000" w:themeColor="text1"/>
          <w:sz w:val="22"/>
          <w:szCs w:val="22"/>
        </w:rPr>
        <w:footnoteReference w:id="48"/>
      </w:r>
      <w:r w:rsidRPr="00DD39D2">
        <w:rPr>
          <w:rFonts w:ascii="Arial" w:hAnsi="Arial" w:cs="Arial"/>
          <w:color w:val="000000" w:themeColor="text1"/>
          <w:position w:val="8"/>
          <w:sz w:val="22"/>
          <w:szCs w:val="22"/>
        </w:rPr>
        <w:t xml:space="preserve"> </w:t>
      </w:r>
      <w:r w:rsidRPr="00DD39D2">
        <w:rPr>
          <w:rFonts w:ascii="Arial" w:hAnsi="Arial" w:cs="Arial"/>
          <w:color w:val="000000" w:themeColor="text1"/>
          <w:sz w:val="22"/>
          <w:szCs w:val="22"/>
        </w:rPr>
        <w:t xml:space="preserve">MRI images provide anatomical and functional information that can be used for </w:t>
      </w:r>
      <w:r w:rsidRPr="00DD39D2">
        <w:rPr>
          <w:rFonts w:ascii="Arial" w:hAnsi="Arial" w:cs="Arial"/>
          <w:color w:val="000000" w:themeColor="text1"/>
          <w:sz w:val="22"/>
          <w:szCs w:val="22"/>
          <w:shd w:val="clear" w:color="auto" w:fill="FFFFFF"/>
        </w:rPr>
        <w:t>disease detection, diagnosis, and treatment monitoring.</w:t>
      </w:r>
      <w:r w:rsidRPr="003C3B68">
        <w:rPr>
          <w:rStyle w:val="FootnoteReference"/>
          <w:rFonts w:ascii="Arial" w:hAnsi="Arial" w:cs="Arial"/>
          <w:color w:val="000000" w:themeColor="text1"/>
          <w:sz w:val="22"/>
          <w:szCs w:val="22"/>
          <w:shd w:val="clear" w:color="auto" w:fill="FFFFFF"/>
        </w:rPr>
        <w:footnoteReference w:id="49"/>
      </w:r>
      <w:r w:rsidRPr="00DD39D2">
        <w:rPr>
          <w:rFonts w:ascii="Arial" w:hAnsi="Arial" w:cs="Arial"/>
          <w:color w:val="000000" w:themeColor="text1"/>
          <w:sz w:val="22"/>
          <w:szCs w:val="22"/>
          <w:shd w:val="clear" w:color="auto" w:fill="FFFFFF"/>
        </w:rPr>
        <w:t xml:space="preserve"> </w:t>
      </w:r>
    </w:p>
    <w:p w14:paraId="31BDFE3D" w14:textId="77777777" w:rsidR="004640E8" w:rsidRDefault="004640E8" w:rsidP="00867405">
      <w:pPr>
        <w:pStyle w:val="NormalWeb"/>
        <w:spacing w:before="0" w:beforeAutospacing="0" w:after="0" w:afterAutospacing="0"/>
        <w:jc w:val="both"/>
        <w:rPr>
          <w:rFonts w:ascii="Arial" w:hAnsi="Arial" w:cs="Arial"/>
          <w:color w:val="000000" w:themeColor="text1"/>
          <w:sz w:val="22"/>
          <w:szCs w:val="22"/>
          <w:shd w:val="clear" w:color="auto" w:fill="FFFFFF"/>
        </w:rPr>
      </w:pPr>
    </w:p>
    <w:p w14:paraId="60CF2594" w14:textId="77777777" w:rsidR="00DD39D2" w:rsidRPr="009E5902" w:rsidRDefault="00DD39D2" w:rsidP="00DD39D2">
      <w:pPr>
        <w:pStyle w:val="NormalWeb"/>
        <w:numPr>
          <w:ilvl w:val="0"/>
          <w:numId w:val="37"/>
        </w:numPr>
        <w:spacing w:before="0" w:beforeAutospacing="0" w:after="0" w:afterAutospacing="0"/>
        <w:jc w:val="both"/>
        <w:rPr>
          <w:rFonts w:ascii="Arial" w:hAnsi="Arial" w:cs="Arial"/>
          <w:color w:val="000000" w:themeColor="text1"/>
          <w:sz w:val="22"/>
          <w:szCs w:val="22"/>
          <w:u w:val="single"/>
          <w:shd w:val="clear" w:color="auto" w:fill="FFFFFF"/>
        </w:rPr>
      </w:pPr>
      <w:r w:rsidRPr="009E5902">
        <w:rPr>
          <w:rFonts w:ascii="Arial" w:hAnsi="Arial" w:cs="Arial"/>
          <w:color w:val="000000" w:themeColor="text1"/>
          <w:sz w:val="22"/>
          <w:szCs w:val="22"/>
          <w:u w:val="single"/>
          <w:shd w:val="clear" w:color="auto" w:fill="FFFFFF"/>
        </w:rPr>
        <w:lastRenderedPageBreak/>
        <w:t xml:space="preserve">Advantages of </w:t>
      </w:r>
      <w:r w:rsidR="009422D1" w:rsidRPr="009E5902">
        <w:rPr>
          <w:rFonts w:ascii="Arial" w:hAnsi="Arial" w:cs="Arial"/>
          <w:color w:val="000000" w:themeColor="text1"/>
          <w:sz w:val="22"/>
          <w:szCs w:val="22"/>
          <w:u w:val="single"/>
          <w:shd w:val="clear" w:color="auto" w:fill="FFFFFF"/>
        </w:rPr>
        <w:t>1.5</w:t>
      </w:r>
      <w:r w:rsidRPr="009E5902">
        <w:rPr>
          <w:rFonts w:ascii="Arial" w:hAnsi="Arial" w:cs="Arial"/>
          <w:color w:val="000000" w:themeColor="text1"/>
          <w:sz w:val="22"/>
          <w:szCs w:val="22"/>
          <w:u w:val="single"/>
          <w:shd w:val="clear" w:color="auto" w:fill="FFFFFF"/>
        </w:rPr>
        <w:t xml:space="preserve">T MRI </w:t>
      </w:r>
      <w:r w:rsidRPr="009E5902">
        <w:rPr>
          <w:rFonts w:ascii="ArialMT" w:hAnsi="ArialMT"/>
          <w:sz w:val="22"/>
          <w:szCs w:val="22"/>
          <w:u w:val="single"/>
        </w:rPr>
        <w:t>Technology</w:t>
      </w:r>
    </w:p>
    <w:p w14:paraId="05E17A2F" w14:textId="77777777" w:rsidR="00DD39D2" w:rsidRDefault="00DD39D2" w:rsidP="00B970CE">
      <w:pPr>
        <w:pStyle w:val="NormalWeb"/>
        <w:spacing w:before="0" w:beforeAutospacing="0" w:after="0" w:afterAutospacing="0"/>
        <w:jc w:val="both"/>
        <w:rPr>
          <w:rFonts w:ascii="Arial" w:hAnsi="Arial" w:cs="Arial"/>
          <w:color w:val="000000" w:themeColor="text1"/>
          <w:sz w:val="22"/>
          <w:szCs w:val="22"/>
          <w:shd w:val="clear" w:color="auto" w:fill="FFFFFF"/>
        </w:rPr>
      </w:pPr>
    </w:p>
    <w:p w14:paraId="36190144" w14:textId="5EE3ED3D" w:rsidR="00F351E6" w:rsidRDefault="004640E8" w:rsidP="00B970CE">
      <w:pPr>
        <w:pStyle w:val="NormalWeb"/>
        <w:spacing w:before="0" w:beforeAutospacing="0" w:after="0" w:afterAutospacing="0"/>
        <w:jc w:val="both"/>
        <w:rPr>
          <w:rFonts w:ascii="Arial" w:hAnsi="Arial" w:cs="Arial"/>
          <w:sz w:val="22"/>
          <w:szCs w:val="22"/>
        </w:rPr>
      </w:pPr>
      <w:r w:rsidRPr="003C3B68">
        <w:rPr>
          <w:rFonts w:ascii="Arial" w:hAnsi="Arial" w:cs="Arial"/>
          <w:color w:val="000000" w:themeColor="text1"/>
          <w:sz w:val="22"/>
          <w:szCs w:val="22"/>
          <w:shd w:val="clear" w:color="auto" w:fill="FFFFFF"/>
        </w:rPr>
        <w:t xml:space="preserve">Since MRI entered the clinical arena in the 1980s, it has experienced dramatic advances associated </w:t>
      </w:r>
      <w:r w:rsidR="00AA0B22" w:rsidRPr="003C3B68">
        <w:rPr>
          <w:rFonts w:ascii="Arial" w:hAnsi="Arial" w:cs="Arial"/>
          <w:color w:val="000000" w:themeColor="text1"/>
          <w:sz w:val="22"/>
          <w:szCs w:val="22"/>
          <w:shd w:val="clear" w:color="auto" w:fill="FFFFFF"/>
        </w:rPr>
        <w:t>with higher</w:t>
      </w:r>
      <w:r w:rsidR="003C3B68" w:rsidRPr="003C3B68">
        <w:rPr>
          <w:rFonts w:ascii="Arial" w:hAnsi="Arial" w:cs="Arial"/>
          <w:color w:val="000000" w:themeColor="text1"/>
          <w:sz w:val="22"/>
          <w:szCs w:val="22"/>
          <w:shd w:val="clear" w:color="auto" w:fill="FFFFFF"/>
        </w:rPr>
        <w:t xml:space="preserve"> field strengths and an </w:t>
      </w:r>
      <w:r w:rsidRPr="003C3B68">
        <w:rPr>
          <w:rFonts w:ascii="Arial" w:hAnsi="Arial" w:cs="Arial"/>
          <w:color w:val="000000" w:themeColor="text1"/>
          <w:sz w:val="22"/>
          <w:szCs w:val="22"/>
          <w:shd w:val="clear" w:color="auto" w:fill="FFFFFF"/>
        </w:rPr>
        <w:t>increasing number of clinical applications</w:t>
      </w:r>
      <w:r w:rsidR="003C3B68" w:rsidRPr="003C3B68">
        <w:rPr>
          <w:rFonts w:ascii="Arial" w:hAnsi="Arial" w:cs="Arial"/>
          <w:color w:val="000000" w:themeColor="text1"/>
          <w:sz w:val="22"/>
          <w:szCs w:val="22"/>
          <w:shd w:val="clear" w:color="auto" w:fill="FFFFFF"/>
        </w:rPr>
        <w:t>.</w:t>
      </w:r>
      <w:r w:rsidR="003C3B68">
        <w:rPr>
          <w:rStyle w:val="FootnoteReference"/>
          <w:rFonts w:ascii="Arial" w:hAnsi="Arial" w:cs="Arial"/>
          <w:color w:val="000000" w:themeColor="text1"/>
          <w:sz w:val="22"/>
          <w:szCs w:val="22"/>
          <w:shd w:val="clear" w:color="auto" w:fill="FFFFFF"/>
        </w:rPr>
        <w:footnoteReference w:id="50"/>
      </w:r>
      <w:r w:rsidR="003C3B68">
        <w:rPr>
          <w:rFonts w:ascii="Arial" w:hAnsi="Arial" w:cs="Arial"/>
          <w:color w:val="000000" w:themeColor="text1"/>
          <w:sz w:val="22"/>
          <w:szCs w:val="22"/>
          <w:shd w:val="clear" w:color="auto" w:fill="FFFFFF"/>
        </w:rPr>
        <w:t xml:space="preserve"> </w:t>
      </w:r>
      <w:r w:rsidR="009E20FB">
        <w:rPr>
          <w:rFonts w:ascii="ArialMT" w:hAnsi="ArialMT"/>
          <w:sz w:val="22"/>
          <w:szCs w:val="22"/>
        </w:rPr>
        <w:t xml:space="preserve">Across the industry today, most clinical MRIs </w:t>
      </w:r>
      <w:r w:rsidR="00F607B5">
        <w:rPr>
          <w:rFonts w:ascii="ArialMT" w:hAnsi="ArialMT"/>
          <w:sz w:val="22"/>
          <w:szCs w:val="22"/>
        </w:rPr>
        <w:t xml:space="preserve">are </w:t>
      </w:r>
      <w:r w:rsidR="009E20FB">
        <w:rPr>
          <w:rFonts w:ascii="ArialMT" w:hAnsi="ArialMT"/>
          <w:sz w:val="22"/>
          <w:szCs w:val="22"/>
        </w:rPr>
        <w:t xml:space="preserve">1.5T or 3T, although there are varying </w:t>
      </w:r>
      <w:r w:rsidR="004332A4">
        <w:rPr>
          <w:rFonts w:ascii="Arial" w:hAnsi="Arial" w:cs="Arial"/>
          <w:sz w:val="22"/>
          <w:szCs w:val="22"/>
        </w:rPr>
        <w:t>units</w:t>
      </w:r>
      <w:r w:rsidR="00E155A6">
        <w:rPr>
          <w:rFonts w:ascii="Arial" w:hAnsi="Arial" w:cs="Arial"/>
          <w:sz w:val="22"/>
          <w:szCs w:val="22"/>
        </w:rPr>
        <w:t xml:space="preserve"> above and below these</w:t>
      </w:r>
      <w:r w:rsidR="004332A4">
        <w:rPr>
          <w:rFonts w:ascii="Arial" w:hAnsi="Arial" w:cs="Arial"/>
          <w:sz w:val="22"/>
          <w:szCs w:val="22"/>
        </w:rPr>
        <w:t xml:space="preserve"> field </w:t>
      </w:r>
      <w:r w:rsidR="001A06FB">
        <w:rPr>
          <w:rFonts w:ascii="Arial" w:hAnsi="Arial" w:cs="Arial"/>
          <w:sz w:val="22"/>
          <w:szCs w:val="22"/>
        </w:rPr>
        <w:t>strengths</w:t>
      </w:r>
      <w:r w:rsidR="009E20FB" w:rsidRPr="009E20FB">
        <w:rPr>
          <w:rFonts w:ascii="Arial" w:hAnsi="Arial" w:cs="Arial"/>
          <w:sz w:val="22"/>
          <w:szCs w:val="22"/>
        </w:rPr>
        <w:t>.</w:t>
      </w:r>
      <w:bookmarkStart w:id="13" w:name="_Ref134943731"/>
      <w:r w:rsidR="009E20FB">
        <w:rPr>
          <w:rStyle w:val="FootnoteReference"/>
          <w:rFonts w:ascii="Arial" w:hAnsi="Arial" w:cs="Arial"/>
          <w:sz w:val="22"/>
          <w:szCs w:val="22"/>
        </w:rPr>
        <w:footnoteReference w:id="51"/>
      </w:r>
      <w:bookmarkEnd w:id="13"/>
      <w:r w:rsidR="00CA64F8">
        <w:rPr>
          <w:rFonts w:ascii="Arial" w:hAnsi="Arial" w:cs="Arial"/>
          <w:sz w:val="22"/>
          <w:szCs w:val="22"/>
        </w:rPr>
        <w:t xml:space="preserve"> </w:t>
      </w:r>
      <w:r w:rsidR="00DE299F">
        <w:rPr>
          <w:rFonts w:ascii="Arial" w:hAnsi="Arial" w:cs="Arial"/>
          <w:sz w:val="22"/>
          <w:szCs w:val="22"/>
        </w:rPr>
        <w:t xml:space="preserve">The 1.5T MRI is the standard imaging method for most routine scans. </w:t>
      </w:r>
      <w:r w:rsidR="008B488C">
        <w:rPr>
          <w:rFonts w:ascii="Arial" w:hAnsi="Arial" w:cs="Arial"/>
          <w:sz w:val="22"/>
          <w:szCs w:val="22"/>
        </w:rPr>
        <w:t xml:space="preserve">There are several benefits to </w:t>
      </w:r>
      <w:r w:rsidR="00F54E39">
        <w:rPr>
          <w:rFonts w:ascii="Arial" w:hAnsi="Arial" w:cs="Arial"/>
          <w:sz w:val="22"/>
          <w:szCs w:val="22"/>
        </w:rPr>
        <w:t xml:space="preserve">a 1.5T MRI </w:t>
      </w:r>
      <w:r w:rsidR="002E52AD">
        <w:rPr>
          <w:rFonts w:ascii="Arial" w:hAnsi="Arial" w:cs="Arial"/>
          <w:sz w:val="22"/>
          <w:szCs w:val="22"/>
        </w:rPr>
        <w:t xml:space="preserve">including </w:t>
      </w:r>
      <w:r w:rsidR="00D81E1F">
        <w:rPr>
          <w:rFonts w:ascii="Arial" w:hAnsi="Arial" w:cs="Arial"/>
          <w:sz w:val="22"/>
          <w:szCs w:val="22"/>
        </w:rPr>
        <w:t xml:space="preserve">the ability to scan the largest number of patients and still obtain </w:t>
      </w:r>
      <w:r w:rsidR="00550251">
        <w:rPr>
          <w:rFonts w:ascii="Arial" w:hAnsi="Arial" w:cs="Arial"/>
          <w:sz w:val="22"/>
          <w:szCs w:val="22"/>
        </w:rPr>
        <w:t>high quality images.</w:t>
      </w:r>
      <w:r w:rsidR="005B3B6A">
        <w:rPr>
          <w:rStyle w:val="FootnoteReference"/>
          <w:rFonts w:ascii="Arial" w:hAnsi="Arial" w:cs="Arial"/>
          <w:sz w:val="22"/>
          <w:szCs w:val="22"/>
        </w:rPr>
        <w:footnoteReference w:id="52"/>
      </w:r>
      <w:r w:rsidR="00550251">
        <w:rPr>
          <w:rFonts w:ascii="Arial" w:hAnsi="Arial" w:cs="Arial"/>
          <w:sz w:val="22"/>
          <w:szCs w:val="22"/>
        </w:rPr>
        <w:t xml:space="preserve"> </w:t>
      </w:r>
      <w:r w:rsidR="00550251" w:rsidRPr="00550251">
        <w:rPr>
          <w:rFonts w:ascii="Arial" w:hAnsi="Arial" w:cs="Arial"/>
          <w:sz w:val="22"/>
          <w:szCs w:val="22"/>
        </w:rPr>
        <w:t xml:space="preserve">MRI enables high resolution </w:t>
      </w:r>
      <w:r w:rsidR="00396007">
        <w:rPr>
          <w:rFonts w:ascii="Arial" w:hAnsi="Arial" w:cs="Arial"/>
          <w:sz w:val="22"/>
          <w:szCs w:val="22"/>
        </w:rPr>
        <w:t>evaluation</w:t>
      </w:r>
      <w:r w:rsidR="00550251" w:rsidRPr="00550251">
        <w:rPr>
          <w:rFonts w:ascii="Arial" w:hAnsi="Arial" w:cs="Arial"/>
          <w:sz w:val="22"/>
          <w:szCs w:val="22"/>
        </w:rPr>
        <w:t xml:space="preserve"> of soft tissues without the use of ionizing radiation.</w:t>
      </w:r>
      <w:r w:rsidR="00773C2F">
        <w:rPr>
          <w:rStyle w:val="FootnoteReference"/>
          <w:rFonts w:ascii="Arial" w:hAnsi="Arial" w:cs="Arial"/>
          <w:sz w:val="22"/>
          <w:szCs w:val="22"/>
        </w:rPr>
        <w:footnoteReference w:id="53"/>
      </w:r>
      <w:r w:rsidR="006B7C97">
        <w:rPr>
          <w:rFonts w:ascii="Arial" w:hAnsi="Arial" w:cs="Arial"/>
          <w:sz w:val="22"/>
          <w:szCs w:val="22"/>
        </w:rPr>
        <w:t xml:space="preserve"> G</w:t>
      </w:r>
      <w:r w:rsidR="00492848">
        <w:rPr>
          <w:rFonts w:ascii="Arial" w:hAnsi="Arial" w:cs="Arial"/>
          <w:sz w:val="22"/>
          <w:szCs w:val="22"/>
        </w:rPr>
        <w:t xml:space="preserve">iven these capabilities, </w:t>
      </w:r>
      <w:r w:rsidR="00550251" w:rsidRPr="00550251">
        <w:rPr>
          <w:rFonts w:ascii="Arial" w:hAnsi="Arial" w:cs="Arial"/>
          <w:sz w:val="22"/>
          <w:szCs w:val="22"/>
        </w:rPr>
        <w:t>MRI is the imaging modality of choice for diagnosing neurologic, musculoskeletal, and cardiovascular disease.</w:t>
      </w:r>
      <w:r w:rsidR="00396007">
        <w:rPr>
          <w:rStyle w:val="FootnoteReference"/>
          <w:rFonts w:ascii="Arial" w:hAnsi="Arial" w:cs="Arial"/>
          <w:sz w:val="22"/>
          <w:szCs w:val="22"/>
        </w:rPr>
        <w:footnoteReference w:id="54"/>
      </w:r>
      <w:r w:rsidR="00550251" w:rsidRPr="00550251">
        <w:rPr>
          <w:rFonts w:ascii="Arial" w:hAnsi="Arial" w:cs="Arial"/>
          <w:sz w:val="22"/>
          <w:szCs w:val="22"/>
        </w:rPr>
        <w:t xml:space="preserve"> </w:t>
      </w:r>
    </w:p>
    <w:p w14:paraId="78525D46" w14:textId="77777777" w:rsidR="00F351E6" w:rsidRDefault="00F351E6" w:rsidP="00B970CE">
      <w:pPr>
        <w:pStyle w:val="NormalWeb"/>
        <w:spacing w:before="0" w:beforeAutospacing="0" w:after="0" w:afterAutospacing="0"/>
        <w:jc w:val="both"/>
        <w:rPr>
          <w:rFonts w:ascii="Arial" w:hAnsi="Arial" w:cs="Arial"/>
          <w:sz w:val="22"/>
          <w:szCs w:val="22"/>
        </w:rPr>
      </w:pPr>
    </w:p>
    <w:p w14:paraId="0AD142E4" w14:textId="0C22BD34" w:rsidR="00584E89" w:rsidRDefault="00FF4F2F" w:rsidP="00B970CE">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Although MRI has many uses, this modality </w:t>
      </w:r>
      <w:r w:rsidR="00402D80">
        <w:rPr>
          <w:rFonts w:ascii="Arial" w:hAnsi="Arial" w:cs="Arial"/>
          <w:sz w:val="22"/>
          <w:szCs w:val="22"/>
        </w:rPr>
        <w:t xml:space="preserve">has </w:t>
      </w:r>
      <w:r w:rsidR="00550251" w:rsidRPr="00550251">
        <w:rPr>
          <w:rFonts w:ascii="Arial" w:hAnsi="Arial" w:cs="Arial"/>
          <w:sz w:val="22"/>
          <w:szCs w:val="22"/>
        </w:rPr>
        <w:t>long been considered a contraindication in patients with cardiovascular implanted electronic devices (</w:t>
      </w:r>
      <w:r w:rsidR="00074306">
        <w:rPr>
          <w:rFonts w:ascii="Arial" w:hAnsi="Arial" w:cs="Arial"/>
          <w:sz w:val="22"/>
          <w:szCs w:val="22"/>
        </w:rPr>
        <w:t>“</w:t>
      </w:r>
      <w:r w:rsidR="00550251" w:rsidRPr="00550251">
        <w:rPr>
          <w:rFonts w:ascii="Arial" w:hAnsi="Arial" w:cs="Arial"/>
          <w:sz w:val="22"/>
          <w:szCs w:val="22"/>
        </w:rPr>
        <w:t>CIEDs</w:t>
      </w:r>
      <w:r w:rsidR="00074306">
        <w:rPr>
          <w:rFonts w:ascii="Arial" w:hAnsi="Arial" w:cs="Arial"/>
          <w:sz w:val="22"/>
          <w:szCs w:val="22"/>
        </w:rPr>
        <w:t>”</w:t>
      </w:r>
      <w:r w:rsidR="00550251" w:rsidRPr="00550251">
        <w:rPr>
          <w:rFonts w:ascii="Arial" w:hAnsi="Arial" w:cs="Arial"/>
          <w:sz w:val="22"/>
          <w:szCs w:val="22"/>
        </w:rPr>
        <w:t>)</w:t>
      </w:r>
      <w:r w:rsidR="005E79BC">
        <w:rPr>
          <w:rFonts w:ascii="Arial" w:hAnsi="Arial" w:cs="Arial"/>
          <w:sz w:val="22"/>
          <w:szCs w:val="22"/>
        </w:rPr>
        <w:t xml:space="preserve">, </w:t>
      </w:r>
      <w:r w:rsidR="00550251" w:rsidRPr="00550251">
        <w:rPr>
          <w:rFonts w:ascii="Arial" w:hAnsi="Arial" w:cs="Arial"/>
          <w:sz w:val="22"/>
          <w:szCs w:val="22"/>
        </w:rPr>
        <w:t xml:space="preserve">such as cardiac pacemakers and cardioverter defibrillators, </w:t>
      </w:r>
      <w:r w:rsidR="00A81F31">
        <w:rPr>
          <w:rFonts w:ascii="Arial" w:hAnsi="Arial" w:cs="Arial"/>
          <w:sz w:val="22"/>
          <w:szCs w:val="22"/>
        </w:rPr>
        <w:t xml:space="preserve">as well as </w:t>
      </w:r>
      <w:r w:rsidR="00E3168A">
        <w:rPr>
          <w:rFonts w:ascii="Arial" w:hAnsi="Arial" w:cs="Arial"/>
          <w:sz w:val="22"/>
          <w:szCs w:val="22"/>
        </w:rPr>
        <w:t>other foreign objects (shrapnel</w:t>
      </w:r>
      <w:r w:rsidR="00772256">
        <w:rPr>
          <w:rFonts w:ascii="Arial" w:hAnsi="Arial" w:cs="Arial"/>
          <w:sz w:val="22"/>
          <w:szCs w:val="22"/>
        </w:rPr>
        <w:t>, etc.</w:t>
      </w:r>
      <w:r w:rsidR="00E3168A">
        <w:rPr>
          <w:rFonts w:ascii="Arial" w:hAnsi="Arial" w:cs="Arial"/>
          <w:sz w:val="22"/>
          <w:szCs w:val="22"/>
        </w:rPr>
        <w:t xml:space="preserve">) </w:t>
      </w:r>
      <w:r w:rsidR="00550251" w:rsidRPr="00550251">
        <w:rPr>
          <w:rFonts w:ascii="Arial" w:hAnsi="Arial" w:cs="Arial"/>
          <w:sz w:val="22"/>
          <w:szCs w:val="22"/>
        </w:rPr>
        <w:t>because the MR field may interact with the device</w:t>
      </w:r>
      <w:r w:rsidR="00A5565D">
        <w:rPr>
          <w:rFonts w:ascii="Arial" w:hAnsi="Arial" w:cs="Arial"/>
          <w:sz w:val="22"/>
          <w:szCs w:val="22"/>
        </w:rPr>
        <w:t xml:space="preserve">/object </w:t>
      </w:r>
      <w:r w:rsidR="00550251" w:rsidRPr="00550251">
        <w:rPr>
          <w:rFonts w:ascii="Arial" w:hAnsi="Arial" w:cs="Arial"/>
          <w:sz w:val="22"/>
          <w:szCs w:val="22"/>
        </w:rPr>
        <w:t>with catastrophic consequences, leading to severe complications and even death</w:t>
      </w:r>
      <w:r w:rsidR="00A5565D">
        <w:rPr>
          <w:rFonts w:ascii="Arial" w:hAnsi="Arial" w:cs="Arial"/>
          <w:sz w:val="22"/>
          <w:szCs w:val="22"/>
        </w:rPr>
        <w:t>.</w:t>
      </w:r>
      <w:r w:rsidR="00A5565D">
        <w:rPr>
          <w:rStyle w:val="FootnoteReference"/>
          <w:rFonts w:ascii="Arial" w:hAnsi="Arial" w:cs="Arial"/>
          <w:sz w:val="22"/>
          <w:szCs w:val="22"/>
        </w:rPr>
        <w:footnoteReference w:id="55"/>
      </w:r>
      <w:r w:rsidR="00A5565D">
        <w:rPr>
          <w:rFonts w:ascii="Arial" w:hAnsi="Arial" w:cs="Arial"/>
          <w:sz w:val="22"/>
          <w:szCs w:val="22"/>
        </w:rPr>
        <w:t xml:space="preserve"> </w:t>
      </w:r>
      <w:r w:rsidR="008B3638">
        <w:rPr>
          <w:rFonts w:ascii="Arial" w:hAnsi="Arial" w:cs="Arial"/>
          <w:sz w:val="22"/>
          <w:szCs w:val="22"/>
        </w:rPr>
        <w:t xml:space="preserve">However, </w:t>
      </w:r>
      <w:r w:rsidR="00BF00ED">
        <w:rPr>
          <w:rFonts w:ascii="Arial" w:hAnsi="Arial" w:cs="Arial"/>
          <w:sz w:val="22"/>
          <w:szCs w:val="22"/>
        </w:rPr>
        <w:t>within the</w:t>
      </w:r>
      <w:r w:rsidR="00F178EF">
        <w:rPr>
          <w:rFonts w:ascii="Arial" w:hAnsi="Arial" w:cs="Arial"/>
          <w:sz w:val="22"/>
          <w:szCs w:val="22"/>
        </w:rPr>
        <w:t xml:space="preserve"> last </w:t>
      </w:r>
      <w:r w:rsidR="0030216B">
        <w:rPr>
          <w:rFonts w:ascii="Arial" w:hAnsi="Arial" w:cs="Arial"/>
          <w:sz w:val="22"/>
          <w:szCs w:val="22"/>
        </w:rPr>
        <w:t>decade</w:t>
      </w:r>
      <w:r w:rsidR="00F178EF">
        <w:rPr>
          <w:rFonts w:ascii="Arial" w:hAnsi="Arial" w:cs="Arial"/>
          <w:sz w:val="22"/>
          <w:szCs w:val="22"/>
        </w:rPr>
        <w:t xml:space="preserve">, studies have found </w:t>
      </w:r>
      <w:r w:rsidR="00F16A0D">
        <w:rPr>
          <w:rFonts w:ascii="Arial" w:hAnsi="Arial" w:cs="Arial"/>
          <w:sz w:val="22"/>
          <w:szCs w:val="22"/>
        </w:rPr>
        <w:t xml:space="preserve">that some implants or foreign objects are safe </w:t>
      </w:r>
      <w:r w:rsidR="00BE3D61">
        <w:rPr>
          <w:rFonts w:ascii="Arial" w:hAnsi="Arial" w:cs="Arial"/>
          <w:sz w:val="22"/>
          <w:szCs w:val="22"/>
        </w:rPr>
        <w:t>for insertion in a</w:t>
      </w:r>
      <w:r w:rsidR="00F16A0D">
        <w:rPr>
          <w:rFonts w:ascii="Arial" w:hAnsi="Arial" w:cs="Arial"/>
          <w:sz w:val="22"/>
          <w:szCs w:val="22"/>
        </w:rPr>
        <w:t xml:space="preserve"> 1.5T MRI</w:t>
      </w:r>
      <w:r w:rsidR="00AE5018">
        <w:rPr>
          <w:rFonts w:ascii="Arial" w:hAnsi="Arial" w:cs="Arial"/>
          <w:sz w:val="22"/>
          <w:szCs w:val="22"/>
        </w:rPr>
        <w:t xml:space="preserve">, but </w:t>
      </w:r>
      <w:r w:rsidR="00292C63">
        <w:rPr>
          <w:rFonts w:ascii="Arial" w:hAnsi="Arial" w:cs="Arial"/>
          <w:sz w:val="22"/>
          <w:szCs w:val="22"/>
        </w:rPr>
        <w:t>are not appropriate for placement</w:t>
      </w:r>
      <w:r w:rsidR="00F16A0D">
        <w:rPr>
          <w:rFonts w:ascii="Arial" w:hAnsi="Arial" w:cs="Arial"/>
          <w:sz w:val="22"/>
          <w:szCs w:val="22"/>
        </w:rPr>
        <w:t xml:space="preserve"> in higher magnet machines, such as 3T MRIs</w:t>
      </w:r>
      <w:r w:rsidR="00AE5018">
        <w:rPr>
          <w:rFonts w:ascii="Arial" w:hAnsi="Arial" w:cs="Arial"/>
          <w:sz w:val="22"/>
          <w:szCs w:val="22"/>
        </w:rPr>
        <w:t>,</w:t>
      </w:r>
      <w:r w:rsidR="00F63D94">
        <w:rPr>
          <w:rFonts w:ascii="Arial" w:hAnsi="Arial" w:cs="Arial"/>
          <w:sz w:val="22"/>
          <w:szCs w:val="22"/>
        </w:rPr>
        <w:t xml:space="preserve"> due to the </w:t>
      </w:r>
      <w:r w:rsidR="00F63D94" w:rsidRPr="00F63D94">
        <w:rPr>
          <w:rFonts w:ascii="Arial" w:hAnsi="Arial" w:cs="Arial"/>
          <w:sz w:val="22"/>
          <w:szCs w:val="22"/>
        </w:rPr>
        <w:t xml:space="preserve">potential interaction of </w:t>
      </w:r>
      <w:r w:rsidR="00F63D94">
        <w:rPr>
          <w:rFonts w:ascii="Arial" w:hAnsi="Arial" w:cs="Arial"/>
          <w:sz w:val="22"/>
          <w:szCs w:val="22"/>
        </w:rPr>
        <w:t xml:space="preserve">the </w:t>
      </w:r>
      <w:r w:rsidR="00F63D94" w:rsidRPr="00F63D94">
        <w:rPr>
          <w:rFonts w:ascii="Arial" w:hAnsi="Arial" w:cs="Arial"/>
          <w:sz w:val="22"/>
          <w:szCs w:val="22"/>
        </w:rPr>
        <w:t>implanted device</w:t>
      </w:r>
      <w:r w:rsidR="003142EA">
        <w:rPr>
          <w:rFonts w:ascii="Arial" w:hAnsi="Arial" w:cs="Arial"/>
          <w:sz w:val="22"/>
          <w:szCs w:val="22"/>
        </w:rPr>
        <w:t>(</w:t>
      </w:r>
      <w:r w:rsidR="00F63D94" w:rsidRPr="00F63D94">
        <w:rPr>
          <w:rFonts w:ascii="Arial" w:hAnsi="Arial" w:cs="Arial"/>
          <w:sz w:val="22"/>
          <w:szCs w:val="22"/>
        </w:rPr>
        <w:t>s</w:t>
      </w:r>
      <w:r w:rsidR="003142EA">
        <w:rPr>
          <w:rFonts w:ascii="Arial" w:hAnsi="Arial" w:cs="Arial"/>
          <w:sz w:val="22"/>
          <w:szCs w:val="22"/>
        </w:rPr>
        <w:t>)</w:t>
      </w:r>
      <w:r w:rsidR="00F63D94">
        <w:rPr>
          <w:rFonts w:ascii="Arial" w:hAnsi="Arial" w:cs="Arial"/>
          <w:sz w:val="22"/>
          <w:szCs w:val="22"/>
        </w:rPr>
        <w:t xml:space="preserve"> and/or foreign object</w:t>
      </w:r>
      <w:r w:rsidR="003142EA">
        <w:rPr>
          <w:rFonts w:ascii="Arial" w:hAnsi="Arial" w:cs="Arial"/>
          <w:sz w:val="22"/>
          <w:szCs w:val="22"/>
        </w:rPr>
        <w:t>(</w:t>
      </w:r>
      <w:r w:rsidR="00BF00ED">
        <w:rPr>
          <w:rFonts w:ascii="Arial" w:hAnsi="Arial" w:cs="Arial"/>
          <w:sz w:val="22"/>
          <w:szCs w:val="22"/>
        </w:rPr>
        <w:t>s</w:t>
      </w:r>
      <w:r w:rsidR="003142EA">
        <w:rPr>
          <w:rFonts w:ascii="Arial" w:hAnsi="Arial" w:cs="Arial"/>
          <w:sz w:val="22"/>
          <w:szCs w:val="22"/>
        </w:rPr>
        <w:t>)</w:t>
      </w:r>
      <w:r w:rsidR="00F63D94" w:rsidRPr="00F63D94">
        <w:rPr>
          <w:rFonts w:ascii="Arial" w:hAnsi="Arial" w:cs="Arial"/>
          <w:sz w:val="22"/>
          <w:szCs w:val="22"/>
        </w:rPr>
        <w:t xml:space="preserve"> with </w:t>
      </w:r>
      <w:r w:rsidR="00F63D94">
        <w:rPr>
          <w:rFonts w:ascii="Arial" w:hAnsi="Arial" w:cs="Arial"/>
          <w:sz w:val="22"/>
          <w:szCs w:val="22"/>
        </w:rPr>
        <w:t>the</w:t>
      </w:r>
      <w:r w:rsidR="00F63D94" w:rsidRPr="00F63D94">
        <w:rPr>
          <w:rFonts w:ascii="Arial" w:hAnsi="Arial" w:cs="Arial"/>
          <w:sz w:val="22"/>
          <w:szCs w:val="22"/>
        </w:rPr>
        <w:t xml:space="preserve"> external magnetic field </w:t>
      </w:r>
      <w:r w:rsidR="005B2258">
        <w:rPr>
          <w:rFonts w:ascii="Arial" w:hAnsi="Arial" w:cs="Arial"/>
          <w:sz w:val="22"/>
          <w:szCs w:val="22"/>
        </w:rPr>
        <w:t>which may cause</w:t>
      </w:r>
      <w:r w:rsidR="00F63D94" w:rsidRPr="00F63D94">
        <w:rPr>
          <w:rFonts w:ascii="Arial" w:hAnsi="Arial" w:cs="Arial"/>
          <w:sz w:val="22"/>
          <w:szCs w:val="22"/>
        </w:rPr>
        <w:t xml:space="preserve"> movement and dislocation of the device</w:t>
      </w:r>
      <w:r w:rsidR="00BA2F4C">
        <w:rPr>
          <w:rFonts w:ascii="Arial" w:hAnsi="Arial" w:cs="Arial"/>
          <w:sz w:val="22"/>
          <w:szCs w:val="22"/>
        </w:rPr>
        <w:t xml:space="preserve"> or other severe reactions</w:t>
      </w:r>
      <w:r w:rsidR="00F63D94" w:rsidRPr="00F63D94">
        <w:rPr>
          <w:rFonts w:ascii="Arial" w:hAnsi="Arial" w:cs="Arial"/>
          <w:sz w:val="22"/>
          <w:szCs w:val="22"/>
        </w:rPr>
        <w:t xml:space="preserve"> because of</w:t>
      </w:r>
      <w:r w:rsidR="00BA2F4C">
        <w:rPr>
          <w:rFonts w:ascii="Arial" w:hAnsi="Arial" w:cs="Arial"/>
          <w:sz w:val="22"/>
          <w:szCs w:val="22"/>
        </w:rPr>
        <w:t xml:space="preserve"> the</w:t>
      </w:r>
      <w:r w:rsidR="00F63D94" w:rsidRPr="00F63D94">
        <w:rPr>
          <w:rFonts w:ascii="Arial" w:hAnsi="Arial" w:cs="Arial"/>
          <w:sz w:val="22"/>
          <w:szCs w:val="22"/>
        </w:rPr>
        <w:t xml:space="preserve"> magnetic forc</w:t>
      </w:r>
      <w:r w:rsidR="005B2258">
        <w:rPr>
          <w:rFonts w:ascii="Arial" w:hAnsi="Arial" w:cs="Arial"/>
          <w:sz w:val="22"/>
          <w:szCs w:val="22"/>
        </w:rPr>
        <w:t>e</w:t>
      </w:r>
      <w:r w:rsidR="00E7587A">
        <w:rPr>
          <w:rFonts w:ascii="Arial" w:hAnsi="Arial" w:cs="Arial"/>
          <w:sz w:val="22"/>
          <w:szCs w:val="22"/>
        </w:rPr>
        <w:t>.</w:t>
      </w:r>
      <w:r w:rsidR="00EA0E4D">
        <w:rPr>
          <w:rStyle w:val="FootnoteReference"/>
          <w:rFonts w:ascii="Arial" w:hAnsi="Arial" w:cs="Arial"/>
          <w:sz w:val="22"/>
          <w:szCs w:val="22"/>
        </w:rPr>
        <w:footnoteReference w:id="56"/>
      </w:r>
      <w:r w:rsidR="00E7587A">
        <w:rPr>
          <w:rFonts w:ascii="Arial" w:hAnsi="Arial" w:cs="Arial"/>
          <w:sz w:val="22"/>
          <w:szCs w:val="22"/>
        </w:rPr>
        <w:t xml:space="preserve"> </w:t>
      </w:r>
      <w:r w:rsidR="00BA2F4C">
        <w:rPr>
          <w:rFonts w:ascii="Arial" w:hAnsi="Arial" w:cs="Arial"/>
          <w:sz w:val="22"/>
          <w:szCs w:val="22"/>
        </w:rPr>
        <w:t xml:space="preserve">The lower strength of the 1.5T MRI </w:t>
      </w:r>
      <w:r w:rsidR="003C2659">
        <w:rPr>
          <w:rFonts w:ascii="Arial" w:hAnsi="Arial" w:cs="Arial"/>
          <w:sz w:val="22"/>
          <w:szCs w:val="22"/>
        </w:rPr>
        <w:t xml:space="preserve">enables patients with implanted devices/foreign objects to have </w:t>
      </w:r>
      <w:r w:rsidR="006E39FC">
        <w:rPr>
          <w:rFonts w:ascii="Arial" w:hAnsi="Arial" w:cs="Arial"/>
          <w:sz w:val="22"/>
          <w:szCs w:val="22"/>
        </w:rPr>
        <w:t xml:space="preserve">necessary </w:t>
      </w:r>
      <w:r w:rsidR="003C2659">
        <w:rPr>
          <w:rFonts w:ascii="Arial" w:hAnsi="Arial" w:cs="Arial"/>
          <w:sz w:val="22"/>
          <w:szCs w:val="22"/>
        </w:rPr>
        <w:t xml:space="preserve">scans. Moreover, artifacts </w:t>
      </w:r>
      <w:r w:rsidR="00BC77CF">
        <w:rPr>
          <w:rFonts w:ascii="Arial" w:hAnsi="Arial" w:cs="Arial"/>
          <w:sz w:val="22"/>
          <w:szCs w:val="22"/>
        </w:rPr>
        <w:t>from devices or foreign objects are less prominent in 1.5T MRIs, allowing for higher quality images.</w:t>
      </w:r>
      <w:r w:rsidR="00BC77CF">
        <w:rPr>
          <w:rStyle w:val="FootnoteReference"/>
          <w:rFonts w:ascii="Arial" w:hAnsi="Arial" w:cs="Arial"/>
          <w:sz w:val="22"/>
          <w:szCs w:val="22"/>
        </w:rPr>
        <w:footnoteReference w:id="57"/>
      </w:r>
    </w:p>
    <w:p w14:paraId="18FFCD11" w14:textId="77777777" w:rsidR="00584E89" w:rsidRDefault="00584E89" w:rsidP="00B970CE">
      <w:pPr>
        <w:pStyle w:val="NormalWeb"/>
        <w:spacing w:before="0" w:beforeAutospacing="0" w:after="0" w:afterAutospacing="0"/>
        <w:jc w:val="both"/>
        <w:rPr>
          <w:rFonts w:ascii="Arial" w:hAnsi="Arial" w:cs="Arial"/>
          <w:sz w:val="22"/>
          <w:szCs w:val="22"/>
        </w:rPr>
      </w:pPr>
    </w:p>
    <w:p w14:paraId="286ACD69" w14:textId="7AEC9DEB" w:rsidR="00DA43F9" w:rsidRPr="003A2B15" w:rsidRDefault="00A8531C" w:rsidP="00B970CE">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Additionally, </w:t>
      </w:r>
      <w:r w:rsidR="00340F4F">
        <w:rPr>
          <w:rFonts w:ascii="Arial" w:hAnsi="Arial" w:cs="Arial"/>
          <w:sz w:val="22"/>
          <w:szCs w:val="22"/>
        </w:rPr>
        <w:t xml:space="preserve">1.5T </w:t>
      </w:r>
      <w:r w:rsidR="00B970CE">
        <w:rPr>
          <w:rFonts w:ascii="ArialMT" w:hAnsi="ArialMT"/>
          <w:sz w:val="22"/>
          <w:szCs w:val="22"/>
        </w:rPr>
        <w:t>MRI</w:t>
      </w:r>
      <w:r w:rsidR="00BE1074">
        <w:rPr>
          <w:rFonts w:ascii="ArialMT" w:hAnsi="ArialMT"/>
          <w:sz w:val="22"/>
          <w:szCs w:val="22"/>
        </w:rPr>
        <w:t>s</w:t>
      </w:r>
      <w:r w:rsidR="00073F0F">
        <w:rPr>
          <w:rFonts w:ascii="ArialMT" w:hAnsi="ArialMT"/>
          <w:sz w:val="22"/>
          <w:szCs w:val="22"/>
        </w:rPr>
        <w:t xml:space="preserve"> are </w:t>
      </w:r>
      <w:r w:rsidR="00C23910">
        <w:rPr>
          <w:rFonts w:ascii="ArialMT" w:hAnsi="ArialMT"/>
          <w:sz w:val="22"/>
          <w:szCs w:val="22"/>
        </w:rPr>
        <w:t xml:space="preserve">efficient and are </w:t>
      </w:r>
      <w:r w:rsidR="00073F0F">
        <w:rPr>
          <w:rFonts w:ascii="ArialMT" w:hAnsi="ArialMT"/>
          <w:sz w:val="22"/>
          <w:szCs w:val="22"/>
        </w:rPr>
        <w:t>associated with faster exam times</w:t>
      </w:r>
      <w:r w:rsidR="003A2B15">
        <w:rPr>
          <w:rFonts w:ascii="ArialMT" w:hAnsi="ArialMT"/>
          <w:sz w:val="22"/>
          <w:szCs w:val="22"/>
        </w:rPr>
        <w:t xml:space="preserve"> (than machines with magnets of lesser strengths)</w:t>
      </w:r>
      <w:r w:rsidR="00073F0F">
        <w:rPr>
          <w:rFonts w:ascii="ArialMT" w:hAnsi="ArialMT"/>
          <w:sz w:val="22"/>
          <w:szCs w:val="22"/>
        </w:rPr>
        <w:t>, which</w:t>
      </w:r>
      <w:r w:rsidR="00C23910">
        <w:rPr>
          <w:rFonts w:ascii="ArialMT" w:hAnsi="ArialMT"/>
          <w:sz w:val="22"/>
          <w:szCs w:val="22"/>
        </w:rPr>
        <w:t xml:space="preserve"> </w:t>
      </w:r>
      <w:r w:rsidR="006B37BC">
        <w:rPr>
          <w:rFonts w:ascii="ArialMT" w:hAnsi="ArialMT"/>
          <w:sz w:val="22"/>
          <w:szCs w:val="22"/>
        </w:rPr>
        <w:t>facilitate</w:t>
      </w:r>
      <w:r w:rsidR="00C23910">
        <w:rPr>
          <w:rFonts w:ascii="ArialMT" w:hAnsi="ArialMT"/>
          <w:sz w:val="22"/>
          <w:szCs w:val="22"/>
        </w:rPr>
        <w:t xml:space="preserve"> improved throughput, </w:t>
      </w:r>
      <w:r w:rsidR="00C23910" w:rsidRPr="00DA43F9">
        <w:rPr>
          <w:rFonts w:ascii="ArialMT" w:hAnsi="ArialMT"/>
          <w:sz w:val="22"/>
          <w:szCs w:val="22"/>
        </w:rPr>
        <w:t xml:space="preserve">workflow, and </w:t>
      </w:r>
      <w:r w:rsidR="00384FA1">
        <w:rPr>
          <w:rFonts w:ascii="ArialMT" w:hAnsi="ArialMT"/>
          <w:sz w:val="22"/>
          <w:szCs w:val="22"/>
        </w:rPr>
        <w:t xml:space="preserve">accessibility, </w:t>
      </w:r>
      <w:r w:rsidR="00C23910" w:rsidRPr="00DA43F9">
        <w:rPr>
          <w:rFonts w:ascii="ArialMT" w:hAnsi="ArialMT"/>
          <w:sz w:val="22"/>
          <w:szCs w:val="22"/>
        </w:rPr>
        <w:t>as well as</w:t>
      </w:r>
      <w:r w:rsidR="00DA43F9" w:rsidRPr="00DA43F9">
        <w:rPr>
          <w:rFonts w:ascii="ArialMT" w:hAnsi="ArialMT"/>
          <w:sz w:val="22"/>
          <w:szCs w:val="22"/>
        </w:rPr>
        <w:t xml:space="preserve"> quicker diagnosis</w:t>
      </w:r>
      <w:r w:rsidR="00384FA1">
        <w:rPr>
          <w:rFonts w:ascii="ArialMT" w:hAnsi="ArialMT"/>
          <w:sz w:val="22"/>
          <w:szCs w:val="22"/>
        </w:rPr>
        <w:t xml:space="preserve">, </w:t>
      </w:r>
      <w:r w:rsidR="00DA43F9" w:rsidRPr="00DA43F9">
        <w:rPr>
          <w:rFonts w:ascii="ArialMT" w:hAnsi="ArialMT"/>
          <w:sz w:val="22"/>
          <w:szCs w:val="22"/>
        </w:rPr>
        <w:t>treatment</w:t>
      </w:r>
      <w:r w:rsidR="00384FA1">
        <w:rPr>
          <w:rFonts w:ascii="ArialMT" w:hAnsi="ArialMT"/>
          <w:sz w:val="22"/>
          <w:szCs w:val="22"/>
        </w:rPr>
        <w:t>,</w:t>
      </w:r>
      <w:r w:rsidR="00DA43F9" w:rsidRPr="00DA43F9">
        <w:rPr>
          <w:rFonts w:ascii="ArialMT" w:hAnsi="ArialMT"/>
          <w:sz w:val="22"/>
          <w:szCs w:val="22"/>
        </w:rPr>
        <w:t xml:space="preserve"> and</w:t>
      </w:r>
      <w:r w:rsidR="00C23910" w:rsidRPr="00DA43F9">
        <w:rPr>
          <w:rFonts w:ascii="ArialMT" w:hAnsi="ArialMT"/>
          <w:sz w:val="22"/>
          <w:szCs w:val="22"/>
        </w:rPr>
        <w:t xml:space="preserve"> increased patient and</w:t>
      </w:r>
      <w:r w:rsidR="00DB3B5F">
        <w:rPr>
          <w:rFonts w:ascii="ArialMT" w:hAnsi="ArialMT"/>
          <w:sz w:val="22"/>
          <w:szCs w:val="22"/>
        </w:rPr>
        <w:t>/or</w:t>
      </w:r>
      <w:r w:rsidR="00C23910" w:rsidRPr="00DA43F9">
        <w:rPr>
          <w:rFonts w:ascii="ArialMT" w:hAnsi="ArialMT"/>
          <w:sz w:val="22"/>
          <w:szCs w:val="22"/>
        </w:rPr>
        <w:t xml:space="preserve"> provider satisfaction.</w:t>
      </w:r>
      <w:r w:rsidR="00C23910" w:rsidRPr="00DA43F9">
        <w:rPr>
          <w:rStyle w:val="FootnoteReference"/>
          <w:rFonts w:ascii="ArialMT" w:hAnsi="ArialMT"/>
          <w:sz w:val="22"/>
          <w:szCs w:val="22"/>
        </w:rPr>
        <w:footnoteReference w:id="58"/>
      </w:r>
      <w:r w:rsidR="00C23910" w:rsidRPr="00DA43F9">
        <w:rPr>
          <w:rFonts w:ascii="ArialMT" w:hAnsi="ArialMT"/>
          <w:sz w:val="22"/>
          <w:szCs w:val="22"/>
        </w:rPr>
        <w:t xml:space="preserve"> </w:t>
      </w:r>
      <w:r w:rsidR="00DA43F9" w:rsidRPr="00DA43F9">
        <w:rPr>
          <w:rFonts w:ascii="Arial" w:hAnsi="Arial" w:cs="Arial"/>
          <w:sz w:val="22"/>
          <w:szCs w:val="22"/>
        </w:rPr>
        <w:t xml:space="preserve">This </w:t>
      </w:r>
      <w:r w:rsidR="00DB3B5F">
        <w:rPr>
          <w:rFonts w:ascii="Arial" w:hAnsi="Arial" w:cs="Arial"/>
          <w:sz w:val="22"/>
          <w:szCs w:val="22"/>
        </w:rPr>
        <w:t xml:space="preserve">efficiency </w:t>
      </w:r>
      <w:r w:rsidR="00DA43F9" w:rsidRPr="00DA43F9">
        <w:rPr>
          <w:rFonts w:ascii="Arial" w:hAnsi="Arial" w:cs="Arial"/>
          <w:sz w:val="22"/>
          <w:szCs w:val="22"/>
        </w:rPr>
        <w:t xml:space="preserve">is particularly significant with regard to BMC which, as discussed in Factor F1.a.ii, has identified a need for increased MRI capacity to meet patient panel demand and ensure its </w:t>
      </w:r>
      <w:r w:rsidR="006B37BC">
        <w:rPr>
          <w:rFonts w:ascii="Arial" w:hAnsi="Arial" w:cs="Arial"/>
          <w:sz w:val="22"/>
          <w:szCs w:val="22"/>
        </w:rPr>
        <w:t xml:space="preserve">continued </w:t>
      </w:r>
      <w:r w:rsidR="00DA43F9" w:rsidRPr="00DA43F9">
        <w:rPr>
          <w:rFonts w:ascii="Arial" w:hAnsi="Arial" w:cs="Arial"/>
          <w:sz w:val="22"/>
          <w:szCs w:val="22"/>
        </w:rPr>
        <w:t>ability to serve the area’s most vulnerable populations including the elderly and under-resourced.</w:t>
      </w:r>
    </w:p>
    <w:p w14:paraId="2456EC85" w14:textId="77777777" w:rsidR="00B970CE" w:rsidRDefault="00B970CE" w:rsidP="00B970CE">
      <w:pPr>
        <w:pStyle w:val="NormalWeb"/>
        <w:spacing w:before="0" w:beforeAutospacing="0" w:after="0" w:afterAutospacing="0"/>
        <w:jc w:val="both"/>
        <w:rPr>
          <w:rFonts w:ascii="ArialMT" w:hAnsi="ArialMT"/>
          <w:sz w:val="22"/>
          <w:szCs w:val="22"/>
        </w:rPr>
      </w:pPr>
    </w:p>
    <w:p w14:paraId="35BC66B6" w14:textId="6709D1D7" w:rsidR="00DD39D2" w:rsidRPr="00DD39D2" w:rsidRDefault="00DD39D2" w:rsidP="00DD39D2">
      <w:pPr>
        <w:pStyle w:val="NormalWeb"/>
        <w:numPr>
          <w:ilvl w:val="0"/>
          <w:numId w:val="37"/>
        </w:numPr>
        <w:spacing w:before="0" w:beforeAutospacing="0" w:after="0" w:afterAutospacing="0"/>
        <w:jc w:val="both"/>
        <w:rPr>
          <w:rFonts w:ascii="ArialMT" w:hAnsi="ArialMT"/>
          <w:sz w:val="22"/>
          <w:szCs w:val="22"/>
          <w:u w:val="single"/>
        </w:rPr>
      </w:pPr>
      <w:r w:rsidRPr="00DD39D2">
        <w:rPr>
          <w:rFonts w:ascii="ArialMT" w:hAnsi="ArialMT"/>
          <w:sz w:val="22"/>
          <w:szCs w:val="22"/>
          <w:u w:val="single"/>
        </w:rPr>
        <w:t>Clinical Applications of MRI Technology</w:t>
      </w:r>
    </w:p>
    <w:p w14:paraId="17BD1708" w14:textId="77777777" w:rsidR="00DD39D2" w:rsidRDefault="00DD39D2" w:rsidP="00F20F63">
      <w:pPr>
        <w:pStyle w:val="NormalWeb"/>
        <w:spacing w:before="0" w:beforeAutospacing="0" w:after="0" w:afterAutospacing="0"/>
        <w:jc w:val="both"/>
        <w:rPr>
          <w:rFonts w:ascii="ArialMT" w:hAnsi="ArialMT"/>
          <w:sz w:val="22"/>
          <w:szCs w:val="22"/>
        </w:rPr>
      </w:pPr>
    </w:p>
    <w:p w14:paraId="4C294940" w14:textId="77777777" w:rsidR="00111DFA" w:rsidRPr="007926C2" w:rsidRDefault="00C23910" w:rsidP="001E6C0D">
      <w:pPr>
        <w:pStyle w:val="NormalWeb"/>
        <w:spacing w:before="0" w:beforeAutospacing="0" w:after="0" w:afterAutospacing="0"/>
        <w:jc w:val="both"/>
        <w:rPr>
          <w:rFonts w:ascii="ArialMT" w:hAnsi="ArialMT"/>
          <w:sz w:val="22"/>
          <w:szCs w:val="22"/>
        </w:rPr>
      </w:pPr>
      <w:r>
        <w:rPr>
          <w:rFonts w:ascii="ArialMT" w:hAnsi="ArialMT"/>
          <w:sz w:val="22"/>
          <w:szCs w:val="22"/>
        </w:rPr>
        <w:t xml:space="preserve">In terms of clinical application, </w:t>
      </w:r>
      <w:r w:rsidR="001B19A4">
        <w:rPr>
          <w:rFonts w:ascii="ArialMT" w:hAnsi="ArialMT"/>
          <w:sz w:val="22"/>
          <w:szCs w:val="22"/>
        </w:rPr>
        <w:t xml:space="preserve">the Applicant notes that </w:t>
      </w:r>
      <w:r w:rsidR="00F20F63">
        <w:rPr>
          <w:rFonts w:ascii="ArialMT" w:hAnsi="ArialMT"/>
          <w:sz w:val="22"/>
          <w:szCs w:val="22"/>
        </w:rPr>
        <w:t xml:space="preserve">the utility of MRI technology is extensive and that </w:t>
      </w:r>
      <w:r w:rsidR="002D30FC">
        <w:rPr>
          <w:rFonts w:ascii="ArialMT" w:hAnsi="ArialMT"/>
          <w:sz w:val="22"/>
          <w:szCs w:val="22"/>
        </w:rPr>
        <w:t>MRI</w:t>
      </w:r>
      <w:r w:rsidR="00F20F63">
        <w:rPr>
          <w:rFonts w:ascii="ArialMT" w:hAnsi="ArialMT"/>
          <w:sz w:val="22"/>
          <w:szCs w:val="22"/>
        </w:rPr>
        <w:t xml:space="preserve"> </w:t>
      </w:r>
      <w:r w:rsidR="001B19A4" w:rsidRPr="00C23910">
        <w:rPr>
          <w:rFonts w:ascii="ArialMT" w:hAnsi="ArialMT"/>
          <w:sz w:val="22"/>
          <w:szCs w:val="22"/>
        </w:rPr>
        <w:t xml:space="preserve">has gained widespread acceptance in </w:t>
      </w:r>
      <w:r w:rsidR="00F20F63">
        <w:rPr>
          <w:rFonts w:ascii="ArialMT" w:hAnsi="ArialMT"/>
          <w:sz w:val="22"/>
          <w:szCs w:val="22"/>
        </w:rPr>
        <w:t xml:space="preserve">diagnosing, evaluating, and monitoring </w:t>
      </w:r>
      <w:r w:rsidR="00F20F63">
        <w:rPr>
          <w:rFonts w:ascii="ArialMT" w:hAnsi="ArialMT"/>
          <w:sz w:val="22"/>
          <w:szCs w:val="22"/>
        </w:rPr>
        <w:lastRenderedPageBreak/>
        <w:t xml:space="preserve">treatment of a variety of conditions that fall within </w:t>
      </w:r>
      <w:r w:rsidR="001B19A4" w:rsidRPr="00C23910">
        <w:rPr>
          <w:rFonts w:ascii="ArialMT" w:hAnsi="ArialMT"/>
          <w:sz w:val="22"/>
          <w:szCs w:val="22"/>
        </w:rPr>
        <w:t xml:space="preserve">several </w:t>
      </w:r>
      <w:r w:rsidR="00F20F63">
        <w:rPr>
          <w:rFonts w:ascii="Helvetica" w:hAnsi="Helvetica"/>
          <w:sz w:val="22"/>
          <w:szCs w:val="22"/>
        </w:rPr>
        <w:t>fields</w:t>
      </w:r>
      <w:r w:rsidR="005A4CE6">
        <w:rPr>
          <w:rFonts w:ascii="Helvetica" w:hAnsi="Helvetica"/>
          <w:sz w:val="22"/>
          <w:szCs w:val="22"/>
        </w:rPr>
        <w:t xml:space="preserve"> of medicine</w:t>
      </w:r>
      <w:r w:rsidR="00F20F63">
        <w:rPr>
          <w:rFonts w:ascii="Helvetica" w:hAnsi="Helvetica"/>
          <w:sz w:val="22"/>
          <w:szCs w:val="22"/>
        </w:rPr>
        <w:t>.</w:t>
      </w:r>
      <w:r w:rsidR="005A4CE6">
        <w:rPr>
          <w:rStyle w:val="FootnoteReference"/>
          <w:rFonts w:ascii="Helvetica" w:hAnsi="Helvetica"/>
          <w:sz w:val="22"/>
          <w:szCs w:val="22"/>
        </w:rPr>
        <w:footnoteReference w:id="59"/>
      </w:r>
      <w:r w:rsidR="00F20F63">
        <w:rPr>
          <w:rFonts w:ascii="Helvetica" w:hAnsi="Helvetica"/>
          <w:sz w:val="22"/>
          <w:szCs w:val="22"/>
        </w:rPr>
        <w:t xml:space="preserve"> </w:t>
      </w:r>
      <w:r w:rsidR="005A4CE6">
        <w:rPr>
          <w:rFonts w:ascii="Helvetica" w:hAnsi="Helvetica"/>
          <w:sz w:val="22"/>
          <w:szCs w:val="22"/>
        </w:rPr>
        <w:t>Significant with regard to the Proposed Project, a</w:t>
      </w:r>
      <w:r w:rsidR="005A4CE6">
        <w:rPr>
          <w:rFonts w:ascii="ArialMT" w:hAnsi="ArialMT"/>
          <w:sz w:val="22"/>
          <w:szCs w:val="22"/>
        </w:rPr>
        <w:t xml:space="preserve">s outlined in Factor </w:t>
      </w:r>
      <w:r w:rsidR="005A4CE6" w:rsidRPr="00DA43F9">
        <w:rPr>
          <w:rFonts w:ascii="Arial" w:hAnsi="Arial" w:cs="Arial"/>
          <w:sz w:val="22"/>
          <w:szCs w:val="22"/>
        </w:rPr>
        <w:t xml:space="preserve">F1.a.ii, </w:t>
      </w:r>
      <w:r w:rsidR="005A4CE6" w:rsidRPr="001B19A4">
        <w:rPr>
          <w:rFonts w:ascii="ArialMT" w:hAnsi="ArialMT"/>
          <w:sz w:val="22"/>
          <w:szCs w:val="22"/>
        </w:rPr>
        <w:t>some of the most prevalent conditions for which</w:t>
      </w:r>
      <w:r w:rsidR="005A4CE6" w:rsidRPr="00E85771">
        <w:rPr>
          <w:rFonts w:ascii="ArialMT" w:hAnsi="ArialMT"/>
          <w:sz w:val="22"/>
          <w:szCs w:val="22"/>
        </w:rPr>
        <w:t xml:space="preserve"> </w:t>
      </w:r>
      <w:r w:rsidR="005A4CE6">
        <w:rPr>
          <w:rFonts w:ascii="ArialMT" w:hAnsi="ArialMT"/>
          <w:sz w:val="22"/>
          <w:szCs w:val="22"/>
        </w:rPr>
        <w:t xml:space="preserve">BMC patients sought MRI services between FY20 to FY22 involved the brain, spine, musculoskeletal system, abdomen, pelvis, </w:t>
      </w:r>
      <w:r w:rsidR="005A4CE6" w:rsidRPr="001B19A4">
        <w:rPr>
          <w:rFonts w:ascii="ArialMT" w:hAnsi="ArialMT"/>
          <w:sz w:val="22"/>
          <w:szCs w:val="22"/>
        </w:rPr>
        <w:t xml:space="preserve">breast, </w:t>
      </w:r>
      <w:r w:rsidR="00C843C5">
        <w:rPr>
          <w:rFonts w:ascii="ArialMT" w:hAnsi="ArialMT"/>
          <w:sz w:val="22"/>
          <w:szCs w:val="22"/>
        </w:rPr>
        <w:t>chest</w:t>
      </w:r>
      <w:r w:rsidR="0035486F">
        <w:rPr>
          <w:rFonts w:ascii="ArialMT" w:hAnsi="ArialMT"/>
          <w:sz w:val="22"/>
          <w:szCs w:val="22"/>
        </w:rPr>
        <w:t xml:space="preserve">, </w:t>
      </w:r>
      <w:r w:rsidR="005A4CE6" w:rsidRPr="001B19A4">
        <w:rPr>
          <w:rFonts w:ascii="ArialMT" w:hAnsi="ArialMT"/>
          <w:sz w:val="22"/>
          <w:szCs w:val="22"/>
        </w:rPr>
        <w:t>and heart</w:t>
      </w:r>
      <w:r w:rsidR="005A4CE6">
        <w:rPr>
          <w:rFonts w:ascii="ArialMT" w:hAnsi="ArialMT"/>
          <w:sz w:val="22"/>
          <w:szCs w:val="22"/>
        </w:rPr>
        <w:t xml:space="preserve">. The imaging capabilities of </w:t>
      </w:r>
      <w:r w:rsidR="001B3926">
        <w:rPr>
          <w:rFonts w:ascii="ArialMT" w:hAnsi="ArialMT"/>
          <w:sz w:val="22"/>
          <w:szCs w:val="22"/>
        </w:rPr>
        <w:t>a 1.5</w:t>
      </w:r>
      <w:r w:rsidR="005A4CE6">
        <w:rPr>
          <w:rFonts w:ascii="ArialMT" w:hAnsi="ArialMT"/>
          <w:sz w:val="22"/>
          <w:szCs w:val="22"/>
        </w:rPr>
        <w:t xml:space="preserve">T MRI technology make </w:t>
      </w:r>
      <w:r w:rsidR="00771176">
        <w:rPr>
          <w:rFonts w:ascii="ArialMT" w:hAnsi="ArialMT"/>
          <w:sz w:val="22"/>
          <w:szCs w:val="22"/>
        </w:rPr>
        <w:t>this machine</w:t>
      </w:r>
      <w:r w:rsidR="005A4CE6">
        <w:rPr>
          <w:rFonts w:ascii="ArialMT" w:hAnsi="ArialMT"/>
          <w:sz w:val="22"/>
          <w:szCs w:val="22"/>
        </w:rPr>
        <w:t xml:space="preserve"> the preferred imaging modality for </w:t>
      </w:r>
      <w:r w:rsidR="009C054B">
        <w:rPr>
          <w:rFonts w:ascii="ArialMT" w:hAnsi="ArialMT"/>
          <w:sz w:val="22"/>
          <w:szCs w:val="22"/>
        </w:rPr>
        <w:t>certain</w:t>
      </w:r>
      <w:r w:rsidR="005A4CE6">
        <w:rPr>
          <w:rFonts w:ascii="ArialMT" w:hAnsi="ArialMT"/>
          <w:sz w:val="22"/>
          <w:szCs w:val="22"/>
        </w:rPr>
        <w:t xml:space="preserve"> of these areas </w:t>
      </w:r>
      <w:r w:rsidR="005A4CE6" w:rsidRPr="007926C2">
        <w:rPr>
          <w:rFonts w:ascii="ArialMT" w:hAnsi="ArialMT"/>
          <w:sz w:val="22"/>
          <w:szCs w:val="22"/>
        </w:rPr>
        <w:t>and the conditions that impact them.</w:t>
      </w:r>
      <w:r w:rsidR="000469C4" w:rsidRPr="007926C2">
        <w:rPr>
          <w:rStyle w:val="FootnoteReference"/>
          <w:rFonts w:ascii="ArialMT" w:hAnsi="ArialMT"/>
          <w:sz w:val="22"/>
          <w:szCs w:val="22"/>
        </w:rPr>
        <w:footnoteReference w:id="60"/>
      </w:r>
      <w:r w:rsidR="00223444" w:rsidRPr="007926C2">
        <w:rPr>
          <w:rFonts w:ascii="ArialMT" w:hAnsi="ArialMT"/>
          <w:sz w:val="22"/>
          <w:szCs w:val="22"/>
        </w:rPr>
        <w:t xml:space="preserve"> </w:t>
      </w:r>
    </w:p>
    <w:p w14:paraId="66EBF0B1" w14:textId="77777777" w:rsidR="00111DFA" w:rsidRPr="007926C2" w:rsidRDefault="00111DFA" w:rsidP="001E6C0D">
      <w:pPr>
        <w:pStyle w:val="NormalWeb"/>
        <w:spacing w:before="0" w:beforeAutospacing="0" w:after="0" w:afterAutospacing="0"/>
        <w:jc w:val="both"/>
        <w:rPr>
          <w:rFonts w:ascii="ArialMT" w:hAnsi="ArialMT"/>
          <w:sz w:val="22"/>
          <w:szCs w:val="22"/>
        </w:rPr>
      </w:pPr>
    </w:p>
    <w:p w14:paraId="047DAB58" w14:textId="73392337" w:rsidR="00434336" w:rsidRPr="007926C2" w:rsidRDefault="005A4CE6" w:rsidP="005A4CE6">
      <w:pPr>
        <w:pStyle w:val="NormalWeb"/>
        <w:spacing w:before="0" w:beforeAutospacing="0" w:after="0" w:afterAutospacing="0"/>
        <w:jc w:val="both"/>
        <w:rPr>
          <w:rFonts w:ascii="Arial" w:hAnsi="Arial" w:cs="Arial"/>
          <w:color w:val="000000" w:themeColor="text1"/>
          <w:sz w:val="22"/>
          <w:szCs w:val="22"/>
        </w:rPr>
      </w:pPr>
      <w:r w:rsidRPr="007926C2">
        <w:rPr>
          <w:rFonts w:ascii="Arial" w:hAnsi="Arial" w:cs="Arial"/>
          <w:color w:val="000000" w:themeColor="text1"/>
          <w:sz w:val="22"/>
          <w:szCs w:val="22"/>
        </w:rPr>
        <w:t xml:space="preserve">For instance, </w:t>
      </w:r>
      <w:r w:rsidR="00A61735" w:rsidRPr="007926C2">
        <w:rPr>
          <w:rFonts w:ascii="Arial" w:hAnsi="Arial" w:cs="Arial"/>
          <w:color w:val="000000" w:themeColor="text1"/>
          <w:sz w:val="22"/>
          <w:szCs w:val="22"/>
        </w:rPr>
        <w:t>MRI is the imaging modality of choic</w:t>
      </w:r>
      <w:r w:rsidR="00433A6B" w:rsidRPr="007926C2">
        <w:rPr>
          <w:rFonts w:ascii="Arial" w:hAnsi="Arial" w:cs="Arial"/>
          <w:color w:val="000000" w:themeColor="text1"/>
          <w:sz w:val="22"/>
          <w:szCs w:val="22"/>
        </w:rPr>
        <w:t>e for</w:t>
      </w:r>
      <w:r w:rsidR="00360DBC" w:rsidRPr="007926C2">
        <w:rPr>
          <w:rFonts w:ascii="Arial" w:hAnsi="Arial" w:cs="Arial"/>
          <w:color w:val="000000" w:themeColor="text1"/>
          <w:sz w:val="22"/>
          <w:szCs w:val="22"/>
        </w:rPr>
        <w:t xml:space="preserve"> brain and abdomen imaging, </w:t>
      </w:r>
      <w:r w:rsidR="008824CC" w:rsidRPr="007926C2">
        <w:rPr>
          <w:rFonts w:ascii="Arial" w:hAnsi="Arial" w:cs="Arial"/>
          <w:color w:val="000000" w:themeColor="text1"/>
          <w:sz w:val="22"/>
          <w:szCs w:val="22"/>
        </w:rPr>
        <w:t>with the 1.5T</w:t>
      </w:r>
      <w:r w:rsidR="00244291" w:rsidRPr="007926C2">
        <w:rPr>
          <w:rFonts w:ascii="Arial" w:hAnsi="Arial" w:cs="Arial"/>
          <w:color w:val="000000" w:themeColor="text1"/>
          <w:sz w:val="22"/>
          <w:szCs w:val="22"/>
        </w:rPr>
        <w:t xml:space="preserve"> </w:t>
      </w:r>
      <w:r w:rsidR="008824CC" w:rsidRPr="007926C2">
        <w:rPr>
          <w:rFonts w:ascii="Arial" w:hAnsi="Arial" w:cs="Arial"/>
          <w:color w:val="000000" w:themeColor="text1"/>
          <w:sz w:val="22"/>
          <w:szCs w:val="22"/>
        </w:rPr>
        <w:t>MRI superior for these scan</w:t>
      </w:r>
      <w:r w:rsidR="00244291" w:rsidRPr="007926C2">
        <w:rPr>
          <w:rFonts w:ascii="Arial" w:hAnsi="Arial" w:cs="Arial"/>
          <w:color w:val="000000" w:themeColor="text1"/>
          <w:sz w:val="22"/>
          <w:szCs w:val="22"/>
        </w:rPr>
        <w:t xml:space="preserve">s </w:t>
      </w:r>
      <w:r w:rsidR="008824CC" w:rsidRPr="007926C2">
        <w:rPr>
          <w:rFonts w:ascii="Arial" w:hAnsi="Arial" w:cs="Arial"/>
          <w:color w:val="000000" w:themeColor="text1"/>
          <w:sz w:val="22"/>
          <w:szCs w:val="22"/>
        </w:rPr>
        <w:t>given that artifact</w:t>
      </w:r>
      <w:r w:rsidR="00947687">
        <w:rPr>
          <w:rFonts w:ascii="Arial" w:hAnsi="Arial" w:cs="Arial"/>
          <w:color w:val="000000" w:themeColor="text1"/>
          <w:sz w:val="22"/>
          <w:szCs w:val="22"/>
        </w:rPr>
        <w:t>(s)</w:t>
      </w:r>
      <w:r w:rsidR="008824CC" w:rsidRPr="007926C2">
        <w:rPr>
          <w:rFonts w:ascii="Arial" w:hAnsi="Arial" w:cs="Arial"/>
          <w:color w:val="000000" w:themeColor="text1"/>
          <w:sz w:val="22"/>
          <w:szCs w:val="22"/>
        </w:rPr>
        <w:t xml:space="preserve"> may occur in these two locations.</w:t>
      </w:r>
      <w:r w:rsidR="00244291" w:rsidRPr="007926C2">
        <w:rPr>
          <w:rStyle w:val="FootnoteReference"/>
          <w:rFonts w:ascii="Arial" w:hAnsi="Arial" w:cs="Arial"/>
          <w:color w:val="000000" w:themeColor="text1"/>
          <w:sz w:val="22"/>
          <w:szCs w:val="22"/>
        </w:rPr>
        <w:footnoteReference w:id="61"/>
      </w:r>
      <w:r w:rsidR="006E64E6">
        <w:rPr>
          <w:rFonts w:ascii="Arial" w:hAnsi="Arial" w:cs="Arial"/>
          <w:color w:val="000000" w:themeColor="text1"/>
          <w:sz w:val="22"/>
          <w:szCs w:val="22"/>
        </w:rPr>
        <w:t xml:space="preserve"> </w:t>
      </w:r>
      <w:r w:rsidR="006E64E6">
        <w:rPr>
          <w:rStyle w:val="FootnoteReference"/>
          <w:rFonts w:ascii="Arial" w:hAnsi="Arial" w:cs="Arial"/>
          <w:color w:val="000000" w:themeColor="text1"/>
          <w:sz w:val="22"/>
          <w:szCs w:val="22"/>
        </w:rPr>
        <w:footnoteReference w:id="62"/>
      </w:r>
      <w:r w:rsidR="008824CC" w:rsidRPr="007926C2">
        <w:rPr>
          <w:rFonts w:ascii="Arial" w:hAnsi="Arial" w:cs="Arial"/>
          <w:color w:val="000000" w:themeColor="text1"/>
          <w:sz w:val="22"/>
          <w:szCs w:val="22"/>
        </w:rPr>
        <w:t xml:space="preserve"> </w:t>
      </w:r>
      <w:r w:rsidR="00350AD1" w:rsidRPr="007926C2">
        <w:rPr>
          <w:rFonts w:ascii="Arial" w:hAnsi="Arial" w:cs="Arial"/>
          <w:color w:val="000000" w:themeColor="text1"/>
          <w:sz w:val="22"/>
          <w:szCs w:val="22"/>
        </w:rPr>
        <w:t>MRI</w:t>
      </w:r>
      <w:r w:rsidR="001E6C0D" w:rsidRPr="007926C2">
        <w:rPr>
          <w:rFonts w:ascii="Arial" w:hAnsi="Arial" w:cs="Arial"/>
          <w:color w:val="000000" w:themeColor="text1"/>
          <w:sz w:val="22"/>
          <w:szCs w:val="22"/>
        </w:rPr>
        <w:t xml:space="preserve"> also </w:t>
      </w:r>
      <w:r w:rsidR="00E61529" w:rsidRPr="007926C2">
        <w:rPr>
          <w:rFonts w:ascii="Arial" w:hAnsi="Arial" w:cs="Arial"/>
          <w:color w:val="000000" w:themeColor="text1"/>
          <w:sz w:val="22"/>
          <w:szCs w:val="22"/>
        </w:rPr>
        <w:t xml:space="preserve">is </w:t>
      </w:r>
      <w:r w:rsidR="001E6C0D" w:rsidRPr="007926C2">
        <w:rPr>
          <w:rFonts w:ascii="Arial" w:hAnsi="Arial" w:cs="Arial"/>
          <w:color w:val="000000" w:themeColor="text1"/>
          <w:sz w:val="22"/>
          <w:szCs w:val="22"/>
        </w:rPr>
        <w:t xml:space="preserve">the </w:t>
      </w:r>
      <w:r w:rsidR="001E6C0D" w:rsidRPr="007926C2">
        <w:rPr>
          <w:rFonts w:ascii="Arial" w:hAnsi="Arial" w:cs="Arial"/>
          <w:color w:val="000000" w:themeColor="text1"/>
          <w:sz w:val="22"/>
          <w:szCs w:val="22"/>
          <w:shd w:val="clear" w:color="auto" w:fill="FFFFFF"/>
        </w:rPr>
        <w:t xml:space="preserve">most sensitive imaging test available for the spine and is usually the </w:t>
      </w:r>
      <w:r w:rsidR="001E6C0D" w:rsidRPr="007926C2">
        <w:rPr>
          <w:rFonts w:ascii="Arial" w:hAnsi="Arial" w:cs="Arial"/>
          <w:color w:val="000000" w:themeColor="text1"/>
          <w:sz w:val="22"/>
          <w:szCs w:val="22"/>
        </w:rPr>
        <w:t xml:space="preserve">preferred imaging modality for musculoskeletal and orthopedic conditions due to its ability to </w:t>
      </w:r>
      <w:r w:rsidR="00111DFA" w:rsidRPr="007926C2">
        <w:rPr>
          <w:rFonts w:ascii="Arial" w:hAnsi="Arial" w:cs="Arial"/>
          <w:color w:val="000000" w:themeColor="text1"/>
          <w:sz w:val="22"/>
          <w:szCs w:val="22"/>
        </w:rPr>
        <w:t>provide</w:t>
      </w:r>
      <w:r w:rsidR="001E6C0D" w:rsidRPr="007926C2">
        <w:rPr>
          <w:rFonts w:ascii="Arial" w:hAnsi="Arial" w:cs="Arial"/>
          <w:color w:val="000000" w:themeColor="text1"/>
          <w:sz w:val="22"/>
          <w:szCs w:val="22"/>
        </w:rPr>
        <w:t xml:space="preserve"> </w:t>
      </w:r>
      <w:r w:rsidR="00111DFA" w:rsidRPr="007926C2">
        <w:rPr>
          <w:rFonts w:ascii="Arial" w:hAnsi="Arial" w:cs="Arial"/>
          <w:color w:val="000000" w:themeColor="text1"/>
          <w:sz w:val="22"/>
          <w:szCs w:val="22"/>
        </w:rPr>
        <w:t>high-definition</w:t>
      </w:r>
      <w:r w:rsidR="001E6C0D" w:rsidRPr="007926C2">
        <w:rPr>
          <w:rFonts w:ascii="Arial" w:hAnsi="Arial" w:cs="Arial"/>
          <w:color w:val="000000" w:themeColor="text1"/>
          <w:sz w:val="22"/>
          <w:szCs w:val="22"/>
        </w:rPr>
        <w:t xml:space="preserve"> images of the bones, cartilage, joints, and soft tissues of the extremities (i.e., muscles, tendons, and ligaments)</w:t>
      </w:r>
      <w:r w:rsidR="00111DFA" w:rsidRPr="007926C2">
        <w:rPr>
          <w:rFonts w:ascii="Arial" w:hAnsi="Arial" w:cs="Arial"/>
          <w:color w:val="000000" w:themeColor="text1"/>
          <w:sz w:val="22"/>
          <w:szCs w:val="22"/>
        </w:rPr>
        <w:t>.</w:t>
      </w:r>
      <w:bookmarkStart w:id="15" w:name="_Ref135078813"/>
      <w:r w:rsidR="00350AD1" w:rsidRPr="007926C2">
        <w:rPr>
          <w:rStyle w:val="FootnoteReference"/>
          <w:rFonts w:ascii="Arial" w:hAnsi="Arial" w:cs="Arial"/>
          <w:color w:val="000000" w:themeColor="text1"/>
          <w:sz w:val="22"/>
          <w:szCs w:val="22"/>
        </w:rPr>
        <w:footnoteReference w:id="63"/>
      </w:r>
      <w:bookmarkEnd w:id="15"/>
      <w:r w:rsidR="00350AD1" w:rsidRPr="007926C2">
        <w:rPr>
          <w:rFonts w:ascii="Arial" w:hAnsi="Arial" w:cs="Arial"/>
          <w:color w:val="000000" w:themeColor="text1"/>
          <w:sz w:val="22"/>
          <w:szCs w:val="22"/>
        </w:rPr>
        <w:t xml:space="preserve"> </w:t>
      </w:r>
      <w:r w:rsidR="00CB5350" w:rsidRPr="007926C2">
        <w:rPr>
          <w:rFonts w:ascii="Arial" w:hAnsi="Arial" w:cs="Arial"/>
          <w:color w:val="000000" w:themeColor="text1"/>
          <w:sz w:val="22"/>
          <w:szCs w:val="22"/>
        </w:rPr>
        <w:t>Specifically, MRI is used to assess spine anatomy and alignment; detect defects, infection, compression, inflammation, and tumors in the vertebrae, discs, spinal cord, meninges, nerves</w:t>
      </w:r>
      <w:r w:rsidR="00AD5B19" w:rsidRPr="007926C2">
        <w:rPr>
          <w:rFonts w:ascii="Arial" w:hAnsi="Arial" w:cs="Arial"/>
          <w:color w:val="000000" w:themeColor="text1"/>
          <w:sz w:val="22"/>
          <w:szCs w:val="22"/>
        </w:rPr>
        <w:t>, bones,</w:t>
      </w:r>
      <w:r w:rsidR="00CB5350" w:rsidRPr="007926C2">
        <w:rPr>
          <w:rFonts w:ascii="Arial" w:hAnsi="Arial" w:cs="Arial"/>
          <w:color w:val="000000" w:themeColor="text1"/>
          <w:sz w:val="22"/>
          <w:szCs w:val="22"/>
        </w:rPr>
        <w:t xml:space="preserve"> and soft tissues as well as </w:t>
      </w:r>
      <w:r w:rsidR="00AD5B19" w:rsidRPr="007926C2">
        <w:rPr>
          <w:rFonts w:ascii="Arial" w:hAnsi="Arial" w:cs="Arial"/>
          <w:color w:val="000000" w:themeColor="text1"/>
          <w:sz w:val="22"/>
          <w:szCs w:val="22"/>
        </w:rPr>
        <w:t xml:space="preserve">trauma </w:t>
      </w:r>
      <w:r w:rsidR="00CB5350" w:rsidRPr="007926C2">
        <w:rPr>
          <w:rFonts w:ascii="Arial" w:hAnsi="Arial" w:cs="Arial"/>
          <w:color w:val="000000" w:themeColor="text1"/>
          <w:sz w:val="22"/>
          <w:szCs w:val="22"/>
        </w:rPr>
        <w:t>injury to the bone</w:t>
      </w:r>
      <w:r w:rsidR="00AD5B19" w:rsidRPr="007926C2">
        <w:rPr>
          <w:rFonts w:ascii="Arial" w:hAnsi="Arial" w:cs="Arial"/>
          <w:color w:val="000000" w:themeColor="text1"/>
          <w:sz w:val="22"/>
          <w:szCs w:val="22"/>
        </w:rPr>
        <w:t>s</w:t>
      </w:r>
      <w:r w:rsidR="00CB5350" w:rsidRPr="007926C2">
        <w:rPr>
          <w:rFonts w:ascii="Arial" w:hAnsi="Arial" w:cs="Arial"/>
          <w:color w:val="000000" w:themeColor="text1"/>
          <w:sz w:val="22"/>
          <w:szCs w:val="22"/>
        </w:rPr>
        <w:t>, discs, spinal cord, ligaments</w:t>
      </w:r>
      <w:r w:rsidR="00AD5B19" w:rsidRPr="007926C2">
        <w:rPr>
          <w:rFonts w:ascii="Arial" w:hAnsi="Arial" w:cs="Arial"/>
          <w:color w:val="000000" w:themeColor="text1"/>
          <w:sz w:val="22"/>
          <w:szCs w:val="22"/>
        </w:rPr>
        <w:t>, and tendons</w:t>
      </w:r>
      <w:r w:rsidR="00CB5350" w:rsidRPr="007926C2">
        <w:rPr>
          <w:rFonts w:ascii="Arial" w:hAnsi="Arial" w:cs="Arial"/>
          <w:color w:val="000000" w:themeColor="text1"/>
          <w:sz w:val="22"/>
          <w:szCs w:val="22"/>
        </w:rPr>
        <w:t>; diagnose o</w:t>
      </w:r>
      <w:r w:rsidR="00AD5B19" w:rsidRPr="007926C2">
        <w:rPr>
          <w:rFonts w:ascii="Arial" w:hAnsi="Arial" w:cs="Arial"/>
          <w:color w:val="000000" w:themeColor="text1"/>
          <w:sz w:val="22"/>
          <w:szCs w:val="22"/>
        </w:rPr>
        <w:t>r</w:t>
      </w:r>
      <w:r w:rsidR="00CB5350" w:rsidRPr="007926C2">
        <w:rPr>
          <w:rFonts w:ascii="Arial" w:hAnsi="Arial" w:cs="Arial"/>
          <w:color w:val="000000" w:themeColor="text1"/>
          <w:sz w:val="22"/>
          <w:szCs w:val="22"/>
        </w:rPr>
        <w:t xml:space="preserve"> evaluate joint disorders such as degenerative arthritis</w:t>
      </w:r>
      <w:r w:rsidR="00AD5B19" w:rsidRPr="007926C2">
        <w:rPr>
          <w:rFonts w:ascii="Arial" w:hAnsi="Arial" w:cs="Arial"/>
          <w:color w:val="000000" w:themeColor="text1"/>
          <w:sz w:val="22"/>
          <w:szCs w:val="22"/>
        </w:rPr>
        <w:t xml:space="preserve">; and </w:t>
      </w:r>
      <w:r w:rsidR="00CB5350" w:rsidRPr="007926C2">
        <w:rPr>
          <w:rFonts w:ascii="Arial" w:hAnsi="Arial" w:cs="Arial"/>
          <w:color w:val="000000" w:themeColor="text1"/>
          <w:sz w:val="22"/>
          <w:szCs w:val="22"/>
        </w:rPr>
        <w:t>plan procedures such as decompression of a pinched nerve, spinal fusion, or steroid injections</w:t>
      </w:r>
      <w:r w:rsidR="00AD5B19" w:rsidRPr="007926C2">
        <w:rPr>
          <w:rFonts w:ascii="Arial" w:hAnsi="Arial" w:cs="Arial"/>
          <w:color w:val="000000" w:themeColor="text1"/>
          <w:sz w:val="22"/>
          <w:szCs w:val="22"/>
        </w:rPr>
        <w:t>; among other uses.</w:t>
      </w:r>
      <w:r w:rsidR="00AD5B19" w:rsidRPr="007926C2">
        <w:rPr>
          <w:rStyle w:val="FootnoteReference"/>
          <w:rFonts w:ascii="Arial" w:hAnsi="Arial" w:cs="Arial"/>
          <w:color w:val="000000" w:themeColor="text1"/>
          <w:sz w:val="22"/>
          <w:szCs w:val="22"/>
        </w:rPr>
        <w:footnoteReference w:id="64"/>
      </w:r>
      <w:r w:rsidR="00AD5B19" w:rsidRPr="007926C2">
        <w:rPr>
          <w:rFonts w:ascii="Arial" w:hAnsi="Arial" w:cs="Arial"/>
          <w:color w:val="000000" w:themeColor="text1"/>
          <w:sz w:val="22"/>
          <w:szCs w:val="22"/>
        </w:rPr>
        <w:t xml:space="preserve"> In these areas</w:t>
      </w:r>
      <w:r w:rsidR="00111DFA" w:rsidRPr="007926C2">
        <w:rPr>
          <w:rFonts w:ascii="Arial" w:hAnsi="Arial" w:cs="Arial"/>
          <w:color w:val="000000" w:themeColor="text1"/>
          <w:sz w:val="22"/>
          <w:szCs w:val="22"/>
        </w:rPr>
        <w:t xml:space="preserve">, MRI technology </w:t>
      </w:r>
      <w:r w:rsidR="00AD5B19" w:rsidRPr="007926C2">
        <w:rPr>
          <w:rFonts w:ascii="Arial" w:hAnsi="Arial" w:cs="Arial"/>
          <w:color w:val="000000" w:themeColor="text1"/>
          <w:sz w:val="22"/>
          <w:szCs w:val="22"/>
        </w:rPr>
        <w:t xml:space="preserve">often </w:t>
      </w:r>
      <w:r w:rsidR="00111DFA" w:rsidRPr="007926C2">
        <w:rPr>
          <w:rFonts w:ascii="Arial" w:hAnsi="Arial" w:cs="Arial"/>
          <w:color w:val="000000" w:themeColor="text1"/>
          <w:sz w:val="22"/>
          <w:szCs w:val="22"/>
        </w:rPr>
        <w:t xml:space="preserve">provides </w:t>
      </w:r>
      <w:r w:rsidR="00410C22" w:rsidRPr="007926C2">
        <w:rPr>
          <w:rFonts w:ascii="Arial" w:hAnsi="Arial" w:cs="Arial"/>
          <w:color w:val="000000" w:themeColor="text1"/>
          <w:sz w:val="22"/>
          <w:szCs w:val="22"/>
        </w:rPr>
        <w:t xml:space="preserve">high quality </w:t>
      </w:r>
      <w:r w:rsidR="00111DFA" w:rsidRPr="007926C2">
        <w:rPr>
          <w:rFonts w:ascii="Arial" w:hAnsi="Arial" w:cs="Arial"/>
          <w:color w:val="000000" w:themeColor="text1"/>
          <w:sz w:val="22"/>
          <w:szCs w:val="22"/>
        </w:rPr>
        <w:t>image</w:t>
      </w:r>
      <w:r w:rsidR="00410C22" w:rsidRPr="007926C2">
        <w:rPr>
          <w:rFonts w:ascii="Arial" w:hAnsi="Arial" w:cs="Arial"/>
          <w:color w:val="000000" w:themeColor="text1"/>
          <w:sz w:val="22"/>
          <w:szCs w:val="22"/>
        </w:rPr>
        <w:t>s</w:t>
      </w:r>
      <w:r w:rsidR="00111DFA" w:rsidRPr="007926C2">
        <w:rPr>
          <w:rFonts w:ascii="Arial" w:hAnsi="Arial" w:cs="Arial"/>
          <w:color w:val="000000" w:themeColor="text1"/>
          <w:sz w:val="22"/>
          <w:szCs w:val="22"/>
        </w:rPr>
        <w:t xml:space="preserve"> for better diagnosis and prognosis.</w:t>
      </w:r>
      <w:r w:rsidR="00AD5B19" w:rsidRPr="007926C2">
        <w:rPr>
          <w:rStyle w:val="FootnoteReference"/>
          <w:rFonts w:ascii="Arial" w:hAnsi="Arial" w:cs="Arial"/>
          <w:color w:val="000000" w:themeColor="text1"/>
          <w:sz w:val="22"/>
          <w:szCs w:val="22"/>
        </w:rPr>
        <w:footnoteReference w:id="65"/>
      </w:r>
      <w:r w:rsidR="00111DFA" w:rsidRPr="007926C2">
        <w:rPr>
          <w:rFonts w:ascii="Arial" w:hAnsi="Arial" w:cs="Arial"/>
          <w:color w:val="000000" w:themeColor="text1"/>
          <w:sz w:val="22"/>
          <w:szCs w:val="22"/>
        </w:rPr>
        <w:t xml:space="preserve"> </w:t>
      </w:r>
    </w:p>
    <w:p w14:paraId="6422F7CE" w14:textId="77777777" w:rsidR="0067149A" w:rsidRPr="007926C2" w:rsidRDefault="0067149A" w:rsidP="005A4CE6">
      <w:pPr>
        <w:pStyle w:val="NormalWeb"/>
        <w:spacing w:before="0" w:beforeAutospacing="0" w:after="0" w:afterAutospacing="0"/>
        <w:jc w:val="both"/>
        <w:rPr>
          <w:rFonts w:ascii="Arial" w:hAnsi="Arial" w:cs="Arial"/>
          <w:color w:val="000000" w:themeColor="text1"/>
          <w:sz w:val="22"/>
          <w:szCs w:val="22"/>
        </w:rPr>
      </w:pPr>
    </w:p>
    <w:p w14:paraId="77B44230" w14:textId="77777777" w:rsidR="00904C66" w:rsidRDefault="00CE5059" w:rsidP="001C3970">
      <w:pPr>
        <w:pStyle w:val="NormalWeb"/>
        <w:spacing w:before="0" w:beforeAutospacing="0" w:after="0" w:afterAutospacing="0"/>
        <w:jc w:val="both"/>
        <w:rPr>
          <w:rFonts w:ascii="Arial" w:hAnsi="Arial" w:cs="Arial"/>
          <w:color w:val="000000" w:themeColor="text1"/>
          <w:sz w:val="22"/>
          <w:szCs w:val="22"/>
        </w:rPr>
      </w:pPr>
      <w:r w:rsidRPr="007926C2">
        <w:rPr>
          <w:rFonts w:ascii="Arial" w:hAnsi="Arial" w:cs="Arial"/>
          <w:color w:val="000000" w:themeColor="text1"/>
          <w:sz w:val="22"/>
          <w:szCs w:val="22"/>
        </w:rPr>
        <w:t xml:space="preserve">Additionally, </w:t>
      </w:r>
      <w:r w:rsidR="00803DED" w:rsidRPr="007926C2">
        <w:rPr>
          <w:rFonts w:ascii="Arial" w:hAnsi="Arial" w:cs="Arial"/>
          <w:color w:val="000000" w:themeColor="text1"/>
          <w:sz w:val="22"/>
          <w:szCs w:val="22"/>
        </w:rPr>
        <w:t>MRI has become an essential tool for imaging the abdomen, pelvis, and breast. </w:t>
      </w:r>
      <w:r w:rsidR="0067149A" w:rsidRPr="007926C2">
        <w:rPr>
          <w:rFonts w:ascii="Arial" w:hAnsi="Arial" w:cs="Arial"/>
          <w:color w:val="000000" w:themeColor="text1"/>
          <w:sz w:val="22"/>
          <w:szCs w:val="22"/>
        </w:rPr>
        <w:t>In the abdomen, MRI is performed to evaluate</w:t>
      </w:r>
      <w:r w:rsidR="0055370E" w:rsidRPr="007926C2">
        <w:rPr>
          <w:rFonts w:ascii="Arial" w:hAnsi="Arial" w:cs="Arial"/>
          <w:color w:val="000000" w:themeColor="text1"/>
          <w:sz w:val="22"/>
          <w:szCs w:val="22"/>
        </w:rPr>
        <w:t xml:space="preserve"> the liver, </w:t>
      </w:r>
      <w:r w:rsidR="0067149A" w:rsidRPr="007926C2">
        <w:rPr>
          <w:rFonts w:ascii="Arial" w:hAnsi="Arial" w:cs="Arial"/>
          <w:color w:val="000000" w:themeColor="text1"/>
          <w:sz w:val="22"/>
          <w:szCs w:val="22"/>
        </w:rPr>
        <w:t>biliary</w:t>
      </w:r>
      <w:r w:rsidR="0055370E" w:rsidRPr="007926C2">
        <w:rPr>
          <w:rFonts w:ascii="Arial" w:hAnsi="Arial" w:cs="Arial"/>
          <w:color w:val="000000" w:themeColor="text1"/>
          <w:sz w:val="22"/>
          <w:szCs w:val="22"/>
        </w:rPr>
        <w:t xml:space="preserve"> tract, kidneys, spleen, bowel, pancreas,</w:t>
      </w:r>
      <w:r w:rsidR="0067149A" w:rsidRPr="007926C2">
        <w:rPr>
          <w:rFonts w:ascii="Arial" w:hAnsi="Arial" w:cs="Arial"/>
          <w:color w:val="000000" w:themeColor="text1"/>
          <w:sz w:val="22"/>
          <w:szCs w:val="22"/>
        </w:rPr>
        <w:t xml:space="preserve"> </w:t>
      </w:r>
      <w:r w:rsidR="0055370E" w:rsidRPr="007926C2">
        <w:rPr>
          <w:rFonts w:ascii="Arial" w:hAnsi="Arial" w:cs="Arial"/>
          <w:color w:val="000000" w:themeColor="text1"/>
          <w:sz w:val="22"/>
          <w:szCs w:val="22"/>
        </w:rPr>
        <w:t xml:space="preserve">and </w:t>
      </w:r>
      <w:r w:rsidR="0067149A" w:rsidRPr="007926C2">
        <w:rPr>
          <w:rFonts w:ascii="Arial" w:hAnsi="Arial" w:cs="Arial"/>
          <w:color w:val="000000" w:themeColor="text1"/>
          <w:sz w:val="22"/>
          <w:szCs w:val="22"/>
        </w:rPr>
        <w:t>adrenal glands</w:t>
      </w:r>
      <w:r w:rsidR="0055370E" w:rsidRPr="007926C2">
        <w:rPr>
          <w:rFonts w:ascii="Arial" w:hAnsi="Arial" w:cs="Arial"/>
          <w:color w:val="000000" w:themeColor="text1"/>
          <w:sz w:val="22"/>
          <w:szCs w:val="22"/>
        </w:rPr>
        <w:t>.</w:t>
      </w:r>
      <w:bookmarkStart w:id="16" w:name="_Ref135083692"/>
      <w:r w:rsidR="0055370E" w:rsidRPr="007926C2">
        <w:rPr>
          <w:rStyle w:val="FootnoteReference"/>
          <w:rFonts w:ascii="Arial" w:hAnsi="Arial" w:cs="Arial"/>
          <w:color w:val="000000" w:themeColor="text1"/>
          <w:sz w:val="22"/>
          <w:szCs w:val="22"/>
        </w:rPr>
        <w:footnoteReference w:id="66"/>
      </w:r>
      <w:bookmarkEnd w:id="16"/>
      <w:r w:rsidR="0055370E" w:rsidRPr="007926C2">
        <w:rPr>
          <w:rFonts w:ascii="Arial" w:hAnsi="Arial" w:cs="Arial"/>
          <w:color w:val="000000" w:themeColor="text1"/>
          <w:sz w:val="22"/>
          <w:szCs w:val="22"/>
        </w:rPr>
        <w:t xml:space="preserve"> </w:t>
      </w:r>
      <w:r w:rsidR="00803DED" w:rsidRPr="007926C2">
        <w:rPr>
          <w:rFonts w:ascii="Arial" w:hAnsi="Arial" w:cs="Arial"/>
          <w:color w:val="000000" w:themeColor="text1"/>
          <w:sz w:val="22"/>
          <w:szCs w:val="22"/>
        </w:rPr>
        <w:t>Specific indications include diagnosing or monitoring treatment for conditions such as tumors of the abdomen, diseases of the liver (e.g., cirrhosis)</w:t>
      </w:r>
      <w:r w:rsidR="00463D71" w:rsidRPr="007926C2">
        <w:rPr>
          <w:rFonts w:ascii="Arial" w:hAnsi="Arial" w:cs="Arial"/>
          <w:color w:val="000000" w:themeColor="text1"/>
          <w:sz w:val="22"/>
          <w:szCs w:val="22"/>
        </w:rPr>
        <w:t>,</w:t>
      </w:r>
      <w:r w:rsidR="00803DED" w:rsidRPr="007926C2">
        <w:rPr>
          <w:rFonts w:ascii="Arial" w:hAnsi="Arial" w:cs="Arial"/>
          <w:color w:val="000000" w:themeColor="text1"/>
          <w:sz w:val="22"/>
          <w:szCs w:val="22"/>
        </w:rPr>
        <w:t xml:space="preserve"> abnormalities of the bile ducts and pancreas, </w:t>
      </w:r>
      <w:r w:rsidR="00463D71" w:rsidRPr="007926C2">
        <w:rPr>
          <w:rFonts w:ascii="Arial" w:hAnsi="Arial" w:cs="Arial"/>
          <w:color w:val="000000" w:themeColor="text1"/>
          <w:sz w:val="22"/>
          <w:szCs w:val="22"/>
        </w:rPr>
        <w:t xml:space="preserve">and </w:t>
      </w:r>
      <w:r w:rsidR="00803DED" w:rsidRPr="007926C2">
        <w:rPr>
          <w:rFonts w:ascii="Arial" w:hAnsi="Arial" w:cs="Arial"/>
          <w:color w:val="000000" w:themeColor="text1"/>
          <w:sz w:val="22"/>
          <w:szCs w:val="22"/>
        </w:rPr>
        <w:t>inflammatory bowel disease</w:t>
      </w:r>
      <w:r w:rsidR="00463D71" w:rsidRPr="007926C2">
        <w:rPr>
          <w:rFonts w:ascii="Arial" w:hAnsi="Arial" w:cs="Arial"/>
          <w:color w:val="000000" w:themeColor="text1"/>
          <w:sz w:val="22"/>
          <w:szCs w:val="22"/>
        </w:rPr>
        <w:t>s</w:t>
      </w:r>
      <w:r w:rsidR="00803DED" w:rsidRPr="007926C2">
        <w:rPr>
          <w:rFonts w:ascii="Arial" w:hAnsi="Arial" w:cs="Arial"/>
          <w:color w:val="000000" w:themeColor="text1"/>
          <w:sz w:val="22"/>
          <w:szCs w:val="22"/>
        </w:rPr>
        <w:t xml:space="preserve"> such as Crohn's disease and ulcerative colitis</w:t>
      </w:r>
      <w:r w:rsidR="00463D71" w:rsidRPr="007926C2">
        <w:rPr>
          <w:rFonts w:ascii="Arial" w:hAnsi="Arial" w:cs="Arial"/>
          <w:color w:val="000000" w:themeColor="text1"/>
          <w:sz w:val="22"/>
          <w:szCs w:val="22"/>
        </w:rPr>
        <w:t>.</w:t>
      </w:r>
      <w:r w:rsidR="007A4F58" w:rsidRPr="007926C2">
        <w:rPr>
          <w:rStyle w:val="FootnoteReference"/>
          <w:rFonts w:ascii="Arial" w:hAnsi="Arial" w:cs="Arial"/>
          <w:color w:val="000000" w:themeColor="text1"/>
          <w:sz w:val="22"/>
          <w:szCs w:val="22"/>
        </w:rPr>
        <w:footnoteReference w:id="67"/>
      </w:r>
      <w:r w:rsidR="00463D71" w:rsidRPr="007926C2">
        <w:rPr>
          <w:rFonts w:ascii="Arial" w:hAnsi="Arial" w:cs="Arial"/>
          <w:color w:val="000000" w:themeColor="text1"/>
          <w:sz w:val="22"/>
          <w:szCs w:val="22"/>
        </w:rPr>
        <w:t xml:space="preserve"> In the pelvis, MRI is performed to evaluate the bladder and the reproductive organs such as the uterus, ovaries, and prostate.</w:t>
      </w:r>
      <w:r w:rsidR="00513837" w:rsidRPr="007926C2">
        <w:rPr>
          <w:rStyle w:val="FootnoteReference"/>
          <w:rFonts w:ascii="Arial" w:hAnsi="Arial" w:cs="Arial"/>
          <w:color w:val="000000" w:themeColor="text1"/>
          <w:sz w:val="22"/>
          <w:szCs w:val="22"/>
        </w:rPr>
        <w:footnoteReference w:id="68"/>
      </w:r>
      <w:r w:rsidR="00463D71" w:rsidRPr="007926C2">
        <w:rPr>
          <w:rFonts w:ascii="Arial" w:hAnsi="Arial" w:cs="Arial"/>
          <w:color w:val="000000" w:themeColor="text1"/>
          <w:sz w:val="22"/>
          <w:szCs w:val="22"/>
        </w:rPr>
        <w:t xml:space="preserve"> </w:t>
      </w:r>
    </w:p>
    <w:p w14:paraId="00EDB560" w14:textId="77777777" w:rsidR="001C3970" w:rsidRPr="009E5207" w:rsidRDefault="001C3970" w:rsidP="001C3970">
      <w:pPr>
        <w:pStyle w:val="NormalWeb"/>
        <w:spacing w:before="0" w:beforeAutospacing="0" w:after="0" w:afterAutospacing="0"/>
        <w:rPr>
          <w:rFonts w:ascii="Arial" w:hAnsi="Arial" w:cs="Arial"/>
          <w:position w:val="6"/>
          <w:sz w:val="22"/>
          <w:szCs w:val="22"/>
        </w:rPr>
      </w:pPr>
    </w:p>
    <w:p w14:paraId="3A53D3D4" w14:textId="77777777" w:rsidR="005D770F" w:rsidRPr="005D770F" w:rsidRDefault="00513837" w:rsidP="005D770F">
      <w:pPr>
        <w:pStyle w:val="NormalWeb"/>
        <w:spacing w:before="0" w:beforeAutospacing="0" w:after="0" w:afterAutospacing="0"/>
        <w:jc w:val="both"/>
        <w:rPr>
          <w:rFonts w:ascii="Arial" w:hAnsi="Arial" w:cs="Arial"/>
          <w:sz w:val="22"/>
          <w:szCs w:val="22"/>
        </w:rPr>
      </w:pPr>
      <w:r w:rsidRPr="009E5207">
        <w:rPr>
          <w:rFonts w:ascii="Arial" w:hAnsi="Arial" w:cs="Arial"/>
          <w:sz w:val="22"/>
          <w:szCs w:val="22"/>
        </w:rPr>
        <w:lastRenderedPageBreak/>
        <w:t>While MRI can be used for all age cohorts</w:t>
      </w:r>
      <w:r w:rsidR="000F2D81" w:rsidRPr="009E5207">
        <w:rPr>
          <w:rFonts w:ascii="Arial" w:hAnsi="Arial" w:cs="Arial"/>
          <w:sz w:val="22"/>
          <w:szCs w:val="22"/>
        </w:rPr>
        <w:t xml:space="preserve"> across these areas</w:t>
      </w:r>
      <w:r w:rsidR="007950AF" w:rsidRPr="009E5207">
        <w:rPr>
          <w:rFonts w:ascii="Arial" w:hAnsi="Arial" w:cs="Arial"/>
          <w:sz w:val="22"/>
          <w:szCs w:val="22"/>
        </w:rPr>
        <w:t xml:space="preserve"> of the body</w:t>
      </w:r>
      <w:r w:rsidRPr="009E5207">
        <w:rPr>
          <w:rFonts w:ascii="Arial" w:hAnsi="Arial" w:cs="Arial"/>
          <w:sz w:val="22"/>
          <w:szCs w:val="22"/>
        </w:rPr>
        <w:t xml:space="preserve">, it is particularly important for older adults </w:t>
      </w:r>
      <w:r w:rsidR="000F2D81" w:rsidRPr="009E5207">
        <w:rPr>
          <w:rFonts w:ascii="Arial" w:hAnsi="Arial" w:cs="Arial"/>
          <w:sz w:val="22"/>
          <w:szCs w:val="22"/>
        </w:rPr>
        <w:t xml:space="preserve">as many of the conditions </w:t>
      </w:r>
      <w:r w:rsidR="007950AF" w:rsidRPr="009E5207">
        <w:rPr>
          <w:rFonts w:ascii="Arial" w:hAnsi="Arial" w:cs="Arial"/>
          <w:sz w:val="22"/>
          <w:szCs w:val="22"/>
        </w:rPr>
        <w:t xml:space="preserve">discussed herein </w:t>
      </w:r>
      <w:r w:rsidR="000F2D81" w:rsidRPr="009E5207">
        <w:rPr>
          <w:rFonts w:ascii="Arial" w:hAnsi="Arial" w:cs="Arial"/>
          <w:sz w:val="22"/>
          <w:szCs w:val="22"/>
        </w:rPr>
        <w:t>are</w:t>
      </w:r>
      <w:r w:rsidRPr="009E5207">
        <w:rPr>
          <w:rFonts w:ascii="Arial" w:hAnsi="Arial" w:cs="Arial"/>
          <w:sz w:val="22"/>
          <w:szCs w:val="22"/>
        </w:rPr>
        <w:t xml:space="preserve"> </w:t>
      </w:r>
      <w:r w:rsidR="009E5207" w:rsidRPr="009E5207">
        <w:rPr>
          <w:rFonts w:ascii="ArialMT" w:hAnsi="ArialMT"/>
          <w:sz w:val="22"/>
          <w:szCs w:val="22"/>
        </w:rPr>
        <w:t>tied to aging</w:t>
      </w:r>
      <w:r w:rsidRPr="009E5207">
        <w:rPr>
          <w:rFonts w:ascii="Arial" w:hAnsi="Arial" w:cs="Arial"/>
          <w:sz w:val="22"/>
          <w:szCs w:val="22"/>
        </w:rPr>
        <w:t>.</w:t>
      </w:r>
      <w:r w:rsidR="009E5207" w:rsidRPr="009E5207">
        <w:rPr>
          <w:rStyle w:val="FootnoteReference"/>
          <w:rFonts w:ascii="Arial" w:hAnsi="Arial" w:cs="Arial"/>
          <w:sz w:val="22"/>
          <w:szCs w:val="22"/>
        </w:rPr>
        <w:footnoteReference w:id="69"/>
      </w:r>
      <w:r w:rsidR="007950AF">
        <w:rPr>
          <w:rFonts w:ascii="Arial" w:hAnsi="Arial" w:cs="Arial"/>
          <w:sz w:val="22"/>
          <w:szCs w:val="22"/>
        </w:rPr>
        <w:t xml:space="preserve"> </w:t>
      </w:r>
      <w:r w:rsidR="002C3288">
        <w:rPr>
          <w:rFonts w:ascii="Arial" w:hAnsi="Arial" w:cs="Arial"/>
          <w:sz w:val="22"/>
          <w:szCs w:val="22"/>
        </w:rPr>
        <w:t>The Applicant highlights this point in connection with BMC’s substantial number of patients 65+. Specifically</w:t>
      </w:r>
      <w:r w:rsidR="002C3288" w:rsidRPr="005D770F">
        <w:rPr>
          <w:rFonts w:ascii="Arial" w:hAnsi="Arial" w:cs="Arial"/>
          <w:sz w:val="22"/>
          <w:szCs w:val="22"/>
        </w:rPr>
        <w:t xml:space="preserve">, </w:t>
      </w:r>
      <w:r w:rsidR="00173E47" w:rsidRPr="005D770F">
        <w:rPr>
          <w:rFonts w:ascii="Arial" w:hAnsi="Arial" w:cs="Arial"/>
          <w:sz w:val="22"/>
          <w:szCs w:val="22"/>
        </w:rPr>
        <w:t xml:space="preserve">given that the demand for these types of scans increases with age and given the </w:t>
      </w:r>
      <w:r w:rsidR="002C3288" w:rsidRPr="005D770F">
        <w:rPr>
          <w:rFonts w:ascii="Arial" w:hAnsi="Arial" w:cs="Arial"/>
          <w:sz w:val="22"/>
          <w:szCs w:val="22"/>
        </w:rPr>
        <w:t>projected continued growth among the older adult cohort of BMC’s patient population</w:t>
      </w:r>
      <w:r w:rsidR="00173E47" w:rsidRPr="005D770F">
        <w:rPr>
          <w:rFonts w:ascii="Arial" w:hAnsi="Arial" w:cs="Arial"/>
          <w:sz w:val="22"/>
          <w:szCs w:val="22"/>
        </w:rPr>
        <w:t xml:space="preserve">, the Applicant anticipates that </w:t>
      </w:r>
      <w:r w:rsidR="00173E47" w:rsidRPr="005D770F">
        <w:rPr>
          <w:rFonts w:ascii="ArialMT" w:hAnsi="ArialMT"/>
          <w:sz w:val="22"/>
          <w:szCs w:val="22"/>
        </w:rPr>
        <w:t xml:space="preserve">demand for MRI services for these specific clinical categories at BMC will </w:t>
      </w:r>
      <w:r w:rsidR="00173E47" w:rsidRPr="005D770F">
        <w:rPr>
          <w:rFonts w:ascii="Arial" w:hAnsi="Arial" w:cs="Arial"/>
          <w:sz w:val="22"/>
          <w:szCs w:val="22"/>
        </w:rPr>
        <w:t>increase into the future</w:t>
      </w:r>
      <w:r w:rsidR="005D770F" w:rsidRPr="005D770F">
        <w:rPr>
          <w:rFonts w:ascii="Arial" w:hAnsi="Arial" w:cs="Arial"/>
          <w:sz w:val="22"/>
          <w:szCs w:val="22"/>
        </w:rPr>
        <w:t>. In consideration of these impacts, and the fact that BMC’s MRI units are already operating at high capacity, the Applicant proposes implementation of the Proposed Project.</w:t>
      </w:r>
    </w:p>
    <w:p w14:paraId="3CF24F72" w14:textId="77777777" w:rsidR="00B970CE" w:rsidRPr="005D770F" w:rsidRDefault="00B970CE" w:rsidP="005D770F">
      <w:pPr>
        <w:pStyle w:val="NormalWeb"/>
        <w:spacing w:before="0" w:beforeAutospacing="0" w:after="0" w:afterAutospacing="0"/>
        <w:jc w:val="both"/>
        <w:rPr>
          <w:rFonts w:ascii="Arial" w:hAnsi="Arial" w:cs="Arial"/>
          <w:sz w:val="22"/>
          <w:szCs w:val="22"/>
        </w:rPr>
      </w:pPr>
    </w:p>
    <w:p w14:paraId="36DEAF24" w14:textId="77777777" w:rsidR="001F5FD9" w:rsidRPr="004640E8" w:rsidRDefault="001F5FD9" w:rsidP="005D770F">
      <w:pPr>
        <w:pStyle w:val="paragraph"/>
        <w:spacing w:before="0" w:beforeAutospacing="0" w:after="0" w:afterAutospacing="0"/>
        <w:ind w:left="1080" w:hanging="1080"/>
        <w:jc w:val="both"/>
        <w:textAlignment w:val="baseline"/>
        <w:rPr>
          <w:rFonts w:ascii="Segoe UI" w:hAnsi="Segoe UI" w:cs="Segoe UI"/>
          <w:sz w:val="18"/>
          <w:szCs w:val="18"/>
        </w:rPr>
      </w:pPr>
      <w:r w:rsidRPr="005D770F">
        <w:rPr>
          <w:rStyle w:val="normaltextrun"/>
          <w:rFonts w:ascii="Arial" w:hAnsi="Arial" w:cs="Arial"/>
          <w:b/>
          <w:bCs/>
          <w:sz w:val="22"/>
          <w:szCs w:val="22"/>
        </w:rPr>
        <w:t xml:space="preserve">F1.b.ii </w:t>
      </w:r>
      <w:r w:rsidRPr="005D770F">
        <w:rPr>
          <w:rStyle w:val="tabchar"/>
          <w:rFonts w:ascii="Arial" w:hAnsi="Arial" w:cs="Arial"/>
          <w:sz w:val="22"/>
          <w:szCs w:val="22"/>
        </w:rPr>
        <w:tab/>
      </w:r>
      <w:r w:rsidRPr="005D770F">
        <w:rPr>
          <w:rStyle w:val="normaltextrun"/>
          <w:rFonts w:ascii="Arial" w:hAnsi="Arial" w:cs="Arial"/>
          <w:b/>
          <w:bCs/>
          <w:sz w:val="22"/>
          <w:szCs w:val="22"/>
          <w:u w:val="single"/>
        </w:rPr>
        <w:t>Public</w:t>
      </w:r>
      <w:r w:rsidRPr="004640E8">
        <w:rPr>
          <w:rStyle w:val="normaltextrun"/>
          <w:rFonts w:ascii="Arial" w:hAnsi="Arial" w:cs="Arial"/>
          <w:b/>
          <w:bCs/>
          <w:sz w:val="22"/>
          <w:szCs w:val="22"/>
          <w:u w:val="single"/>
        </w:rPr>
        <w:t xml:space="preserve"> Health Value/Outcome-Oriented</w:t>
      </w:r>
      <w:r w:rsidRPr="004640E8">
        <w:rPr>
          <w:rStyle w:val="normaltextrun"/>
          <w:rFonts w:ascii="Arial" w:hAnsi="Arial" w:cs="Arial"/>
          <w:b/>
          <w:bCs/>
          <w:sz w:val="22"/>
          <w:szCs w:val="22"/>
        </w:rPr>
        <w:t>:</w:t>
      </w:r>
      <w:r w:rsidRPr="004640E8">
        <w:rPr>
          <w:rStyle w:val="eop"/>
          <w:rFonts w:ascii="Arial" w:hAnsi="Arial" w:cs="Arial"/>
          <w:sz w:val="22"/>
          <w:szCs w:val="22"/>
        </w:rPr>
        <w:t> </w:t>
      </w:r>
    </w:p>
    <w:p w14:paraId="17F1D30B" w14:textId="77777777" w:rsidR="001F5FD9" w:rsidRPr="00E454CE" w:rsidRDefault="001F5FD9" w:rsidP="009A7F8F">
      <w:pPr>
        <w:pStyle w:val="paragraph"/>
        <w:spacing w:before="0" w:beforeAutospacing="0" w:after="0" w:afterAutospacing="0"/>
        <w:ind w:left="1080"/>
        <w:jc w:val="both"/>
        <w:textAlignment w:val="baseline"/>
        <w:rPr>
          <w:rFonts w:ascii="Segoe UI" w:hAnsi="Segoe UI" w:cs="Segoe UI"/>
          <w:sz w:val="18"/>
          <w:szCs w:val="18"/>
        </w:rPr>
      </w:pPr>
      <w:r w:rsidRPr="004640E8">
        <w:rPr>
          <w:rStyle w:val="normaltextrun"/>
          <w:rFonts w:ascii="Arial" w:hAnsi="Arial" w:cs="Arial"/>
          <w:b/>
          <w:bCs/>
          <w:sz w:val="22"/>
          <w:szCs w:val="22"/>
        </w:rPr>
        <w:t>Describe the impact</w:t>
      </w:r>
      <w:r w:rsidRPr="00FA6D49">
        <w:rPr>
          <w:rStyle w:val="normaltextrun"/>
          <w:rFonts w:ascii="Arial" w:hAnsi="Arial" w:cs="Arial"/>
          <w:b/>
          <w:bCs/>
          <w:sz w:val="22"/>
          <w:szCs w:val="22"/>
        </w:rPr>
        <w:t xml:space="preserve"> of the Proposed Project and how the Applicant will assess </w:t>
      </w:r>
      <w:r w:rsidRPr="00E454CE">
        <w:rPr>
          <w:rStyle w:val="normaltextrun"/>
          <w:rFonts w:ascii="Arial" w:hAnsi="Arial" w:cs="Arial"/>
          <w:b/>
          <w:bCs/>
          <w:sz w:val="22"/>
          <w:szCs w:val="22"/>
        </w:rPr>
        <w:t>such impact. Provide projections demonstrating how the Proposed Project will improve health outcomes, quality of life, or health equity. Only measures that can be tracked and reported over time should be utilized. </w:t>
      </w:r>
      <w:r w:rsidRPr="00E454CE">
        <w:rPr>
          <w:rStyle w:val="eop"/>
          <w:rFonts w:ascii="Arial" w:hAnsi="Arial" w:cs="Arial"/>
          <w:sz w:val="22"/>
          <w:szCs w:val="22"/>
        </w:rPr>
        <w:t> </w:t>
      </w:r>
    </w:p>
    <w:p w14:paraId="333A141B" w14:textId="77777777" w:rsidR="001F5FD9" w:rsidRPr="00E454CE" w:rsidRDefault="001F5FD9" w:rsidP="00E24D42">
      <w:pPr>
        <w:pStyle w:val="NormalWeb"/>
        <w:spacing w:before="0" w:beforeAutospacing="0" w:after="0" w:afterAutospacing="0"/>
        <w:jc w:val="both"/>
        <w:rPr>
          <w:rFonts w:ascii="Arial" w:hAnsi="Arial" w:cs="Arial"/>
          <w:sz w:val="22"/>
          <w:szCs w:val="22"/>
          <w:u w:val="single"/>
        </w:rPr>
      </w:pPr>
    </w:p>
    <w:p w14:paraId="562211BF" w14:textId="77777777" w:rsidR="00105849" w:rsidRPr="00E454CE" w:rsidRDefault="00105849" w:rsidP="00105849">
      <w:pPr>
        <w:jc w:val="both"/>
        <w:rPr>
          <w:rStyle w:val="normaltextrun"/>
          <w:rFonts w:ascii="Arial" w:hAnsi="Arial" w:cs="Arial"/>
          <w:sz w:val="22"/>
          <w:szCs w:val="22"/>
        </w:rPr>
      </w:pPr>
      <w:r w:rsidRPr="00E454CE">
        <w:rPr>
          <w:rStyle w:val="normaltextrun"/>
          <w:rFonts w:ascii="Arial" w:hAnsi="Arial" w:cs="Arial"/>
          <w:sz w:val="22"/>
          <w:szCs w:val="22"/>
        </w:rPr>
        <w:t xml:space="preserve">To assess the impact of the Proposed Project, the Applicant has developed the following outcome measures. The Applicant will report this </w:t>
      </w:r>
      <w:r w:rsidR="00BD44B6" w:rsidRPr="00E454CE">
        <w:rPr>
          <w:rStyle w:val="normaltextrun"/>
          <w:rFonts w:ascii="Arial" w:hAnsi="Arial" w:cs="Arial"/>
          <w:sz w:val="22"/>
          <w:szCs w:val="22"/>
        </w:rPr>
        <w:t xml:space="preserve">information </w:t>
      </w:r>
      <w:r w:rsidRPr="00E454CE">
        <w:rPr>
          <w:rStyle w:val="normaltextrun"/>
          <w:rFonts w:ascii="Arial" w:hAnsi="Arial" w:cs="Arial"/>
          <w:sz w:val="22"/>
          <w:szCs w:val="22"/>
        </w:rPr>
        <w:t xml:space="preserve">to </w:t>
      </w:r>
      <w:r w:rsidR="004D0B30" w:rsidRPr="00E454CE">
        <w:rPr>
          <w:rStyle w:val="normaltextrun"/>
          <w:rFonts w:ascii="Arial" w:hAnsi="Arial" w:cs="Arial"/>
          <w:sz w:val="22"/>
          <w:szCs w:val="22"/>
        </w:rPr>
        <w:t xml:space="preserve">the Department’s DoN Program staff as part of its annual report required by 105 CMR 100.310(A)(12) </w:t>
      </w:r>
      <w:r w:rsidR="00E454CE">
        <w:rPr>
          <w:rStyle w:val="normaltextrun"/>
          <w:rFonts w:ascii="Arial" w:hAnsi="Arial" w:cs="Arial"/>
          <w:sz w:val="22"/>
          <w:szCs w:val="22"/>
        </w:rPr>
        <w:t xml:space="preserve">beginning one (1) year </w:t>
      </w:r>
      <w:r w:rsidRPr="00E454CE">
        <w:rPr>
          <w:rStyle w:val="normaltextrun"/>
          <w:rFonts w:ascii="Arial" w:hAnsi="Arial" w:cs="Arial"/>
          <w:sz w:val="22"/>
          <w:szCs w:val="22"/>
        </w:rPr>
        <w:t>following implementation of the Proposed Project.</w:t>
      </w:r>
    </w:p>
    <w:p w14:paraId="740FA03B" w14:textId="77777777" w:rsidR="00105849" w:rsidRPr="00E454CE" w:rsidRDefault="00105849" w:rsidP="00E24D42">
      <w:pPr>
        <w:pStyle w:val="NormalWeb"/>
        <w:spacing w:before="0" w:beforeAutospacing="0" w:after="0" w:afterAutospacing="0"/>
        <w:jc w:val="both"/>
        <w:rPr>
          <w:rFonts w:ascii="Arial" w:hAnsi="Arial" w:cs="Arial"/>
          <w:sz w:val="22"/>
          <w:szCs w:val="22"/>
          <w:u w:val="single"/>
        </w:rPr>
      </w:pPr>
    </w:p>
    <w:p w14:paraId="1682DB17" w14:textId="77777777" w:rsidR="004D0B30" w:rsidRPr="00E454CE" w:rsidRDefault="004D0B30">
      <w:pPr>
        <w:pStyle w:val="ListParagraph"/>
        <w:numPr>
          <w:ilvl w:val="0"/>
          <w:numId w:val="7"/>
        </w:numPr>
        <w:jc w:val="both"/>
        <w:rPr>
          <w:rStyle w:val="normaltextrun"/>
          <w:rFonts w:ascii="Arial" w:hAnsi="Arial" w:cs="Arial"/>
          <w:sz w:val="22"/>
          <w:szCs w:val="22"/>
        </w:rPr>
      </w:pPr>
      <w:r w:rsidRPr="00E454CE">
        <w:rPr>
          <w:rStyle w:val="normaltextrun"/>
          <w:rFonts w:ascii="Arial" w:hAnsi="Arial" w:cs="Arial"/>
          <w:b/>
          <w:bCs/>
          <w:sz w:val="22"/>
          <w:szCs w:val="22"/>
        </w:rPr>
        <w:t xml:space="preserve">Patient Experience and Satisfaction: </w:t>
      </w:r>
      <w:r w:rsidRPr="00E454CE">
        <w:rPr>
          <w:rStyle w:val="normaltextrun"/>
          <w:rFonts w:ascii="Arial" w:hAnsi="Arial" w:cs="Arial"/>
          <w:sz w:val="22"/>
          <w:szCs w:val="22"/>
        </w:rPr>
        <w:t xml:space="preserve">Patients that have positive care experiences are more likely to seek additional </w:t>
      </w:r>
      <w:r w:rsidR="00E454CE">
        <w:rPr>
          <w:rStyle w:val="normaltextrun"/>
          <w:rFonts w:ascii="Arial" w:hAnsi="Arial" w:cs="Arial"/>
          <w:sz w:val="22"/>
          <w:szCs w:val="22"/>
        </w:rPr>
        <w:t>care</w:t>
      </w:r>
      <w:r w:rsidRPr="00E454CE">
        <w:rPr>
          <w:rStyle w:val="normaltextrun"/>
          <w:rFonts w:ascii="Arial" w:hAnsi="Arial" w:cs="Arial"/>
          <w:sz w:val="22"/>
          <w:szCs w:val="22"/>
        </w:rPr>
        <w:t xml:space="preserve"> when necessary</w:t>
      </w:r>
      <w:r w:rsidRPr="00E454CE">
        <w:rPr>
          <w:rStyle w:val="normaltextrun"/>
          <w:rFonts w:ascii="Arial" w:hAnsi="Arial" w:cs="Arial"/>
          <w:color w:val="538135" w:themeColor="accent6" w:themeShade="BF"/>
          <w:sz w:val="22"/>
          <w:szCs w:val="22"/>
        </w:rPr>
        <w:t xml:space="preserve">. </w:t>
      </w:r>
      <w:r w:rsidRPr="00E454CE">
        <w:rPr>
          <w:rStyle w:val="normaltextrun"/>
          <w:rFonts w:ascii="Arial" w:hAnsi="Arial" w:cs="Arial"/>
          <w:sz w:val="22"/>
          <w:szCs w:val="22"/>
        </w:rPr>
        <w:t>BMC collects patient exper</w:t>
      </w:r>
      <w:r w:rsidR="00334815">
        <w:rPr>
          <w:rStyle w:val="normaltextrun"/>
          <w:rFonts w:ascii="Arial" w:hAnsi="Arial" w:cs="Arial"/>
          <w:sz w:val="22"/>
          <w:szCs w:val="22"/>
        </w:rPr>
        <w:t>ience and satisfaction data via NRC Health patient experience surveys</w:t>
      </w:r>
      <w:r w:rsidRPr="00E454CE">
        <w:rPr>
          <w:rStyle w:val="normaltextrun"/>
          <w:rFonts w:ascii="Arial" w:hAnsi="Arial" w:cs="Arial"/>
          <w:sz w:val="22"/>
          <w:szCs w:val="22"/>
        </w:rPr>
        <w:t xml:space="preserve">, which </w:t>
      </w:r>
      <w:r w:rsidR="00D37813">
        <w:rPr>
          <w:rStyle w:val="normaltextrun"/>
          <w:rFonts w:ascii="Arial" w:hAnsi="Arial" w:cs="Arial"/>
          <w:sz w:val="22"/>
          <w:szCs w:val="22"/>
        </w:rPr>
        <w:t>are</w:t>
      </w:r>
      <w:r w:rsidRPr="00E454CE">
        <w:rPr>
          <w:rStyle w:val="normaltextrun"/>
          <w:rFonts w:ascii="Arial" w:hAnsi="Arial" w:cs="Arial"/>
          <w:sz w:val="22"/>
          <w:szCs w:val="22"/>
        </w:rPr>
        <w:t xml:space="preserve"> administered to </w:t>
      </w:r>
      <w:r w:rsidR="00334815">
        <w:rPr>
          <w:rStyle w:val="normaltextrun"/>
          <w:rFonts w:ascii="Arial" w:hAnsi="Arial" w:cs="Arial"/>
          <w:sz w:val="22"/>
          <w:szCs w:val="22"/>
        </w:rPr>
        <w:t xml:space="preserve">outpatients following </w:t>
      </w:r>
      <w:r w:rsidR="007D422A">
        <w:rPr>
          <w:rStyle w:val="normaltextrun"/>
          <w:rFonts w:ascii="Arial" w:hAnsi="Arial" w:cs="Arial"/>
          <w:sz w:val="22"/>
          <w:szCs w:val="22"/>
        </w:rPr>
        <w:t xml:space="preserve">a </w:t>
      </w:r>
      <w:r w:rsidR="00334815">
        <w:rPr>
          <w:rStyle w:val="normaltextrun"/>
          <w:rFonts w:ascii="Arial" w:hAnsi="Arial" w:cs="Arial"/>
          <w:sz w:val="22"/>
          <w:szCs w:val="22"/>
        </w:rPr>
        <w:t>radiology encounter through automated phone calls and emails.</w:t>
      </w:r>
      <w:r w:rsidR="00F33C2A" w:rsidRPr="00E454CE">
        <w:rPr>
          <w:rStyle w:val="normaltextrun"/>
          <w:rFonts w:ascii="Arial" w:hAnsi="Arial" w:cs="Arial"/>
          <w:sz w:val="22"/>
          <w:szCs w:val="22"/>
        </w:rPr>
        <w:t xml:space="preserve"> </w:t>
      </w:r>
      <w:r w:rsidR="00334815">
        <w:rPr>
          <w:rStyle w:val="normaltextrun"/>
          <w:rFonts w:ascii="Arial" w:hAnsi="Arial" w:cs="Arial"/>
          <w:sz w:val="22"/>
          <w:szCs w:val="22"/>
        </w:rPr>
        <w:t xml:space="preserve"> Quantitative and qualitative survey data are compiled on the NRC Health platform, which facilitates reporting and data management.</w:t>
      </w:r>
      <w:r w:rsidR="00D37813">
        <w:rPr>
          <w:rStyle w:val="normaltextrun"/>
          <w:rFonts w:ascii="Arial" w:hAnsi="Arial" w:cs="Arial"/>
          <w:sz w:val="22"/>
          <w:szCs w:val="22"/>
        </w:rPr>
        <w:t xml:space="preserve"> </w:t>
      </w:r>
      <w:r w:rsidRPr="00E454CE">
        <w:rPr>
          <w:rStyle w:val="normaltextrun"/>
          <w:rFonts w:ascii="Arial" w:hAnsi="Arial" w:cs="Arial"/>
          <w:sz w:val="22"/>
          <w:szCs w:val="22"/>
        </w:rPr>
        <w:t xml:space="preserve">Due to the increased number of </w:t>
      </w:r>
      <w:r w:rsidR="00E454CE" w:rsidRPr="00E454CE">
        <w:rPr>
          <w:rStyle w:val="normaltextrun"/>
          <w:rFonts w:ascii="Arial" w:hAnsi="Arial" w:cs="Arial"/>
          <w:sz w:val="22"/>
          <w:szCs w:val="22"/>
        </w:rPr>
        <w:t>MRI units,</w:t>
      </w:r>
      <w:r w:rsidRPr="00E454CE">
        <w:rPr>
          <w:rStyle w:val="normaltextrun"/>
          <w:rFonts w:ascii="Arial" w:hAnsi="Arial" w:cs="Arial"/>
          <w:sz w:val="22"/>
          <w:szCs w:val="22"/>
        </w:rPr>
        <w:t xml:space="preserve"> the Applicant anticipates that patient experience and satisfaction ratings will improve</w:t>
      </w:r>
      <w:r w:rsidR="007D422A">
        <w:rPr>
          <w:rStyle w:val="normaltextrun"/>
          <w:rFonts w:ascii="Arial" w:hAnsi="Arial" w:cs="Arial"/>
          <w:sz w:val="22"/>
          <w:szCs w:val="22"/>
        </w:rPr>
        <w:t xml:space="preserve"> given more timely access to care</w:t>
      </w:r>
      <w:r w:rsidRPr="00E454CE">
        <w:rPr>
          <w:rStyle w:val="normaltextrun"/>
          <w:rFonts w:ascii="Arial" w:hAnsi="Arial" w:cs="Arial"/>
          <w:sz w:val="22"/>
          <w:szCs w:val="22"/>
        </w:rPr>
        <w:t>.</w:t>
      </w:r>
    </w:p>
    <w:p w14:paraId="351BCB50" w14:textId="77777777" w:rsidR="004D0B30" w:rsidRPr="00E454CE" w:rsidRDefault="004D0B30" w:rsidP="004D0B30">
      <w:pPr>
        <w:pStyle w:val="ListParagraph"/>
        <w:jc w:val="both"/>
        <w:rPr>
          <w:rFonts w:ascii="Arial" w:hAnsi="Arial" w:cs="Arial"/>
          <w:sz w:val="22"/>
          <w:szCs w:val="22"/>
        </w:rPr>
      </w:pPr>
    </w:p>
    <w:p w14:paraId="06537A42" w14:textId="77777777" w:rsidR="004D0B30" w:rsidRPr="00E454CE" w:rsidRDefault="004D0B30" w:rsidP="0005508C">
      <w:pPr>
        <w:pStyle w:val="ListParagraph"/>
        <w:ind w:left="1080"/>
        <w:jc w:val="both"/>
        <w:rPr>
          <w:rStyle w:val="eop"/>
          <w:rFonts w:ascii="Arial" w:hAnsi="Arial" w:cs="Arial"/>
          <w:sz w:val="22"/>
          <w:szCs w:val="22"/>
        </w:rPr>
      </w:pPr>
      <w:r w:rsidRPr="00E454CE">
        <w:rPr>
          <w:rStyle w:val="normaltextrun"/>
          <w:rFonts w:ascii="Arial" w:hAnsi="Arial" w:cs="Arial"/>
          <w:b/>
          <w:bCs/>
          <w:sz w:val="22"/>
          <w:szCs w:val="22"/>
        </w:rPr>
        <w:t>Measure:</w:t>
      </w:r>
      <w:r w:rsidRPr="00E454CE">
        <w:rPr>
          <w:rStyle w:val="normaltextrun"/>
          <w:rFonts w:ascii="Arial" w:hAnsi="Arial" w:cs="Arial"/>
          <w:sz w:val="22"/>
          <w:szCs w:val="22"/>
        </w:rPr>
        <w:t xml:space="preserve"> The Applicant will collect and provide data from </w:t>
      </w:r>
      <w:r w:rsidR="00334815">
        <w:rPr>
          <w:rStyle w:val="normaltextrun"/>
          <w:rFonts w:ascii="Arial" w:hAnsi="Arial" w:cs="Arial"/>
          <w:sz w:val="22"/>
          <w:szCs w:val="22"/>
        </w:rPr>
        <w:t xml:space="preserve">the NRC Health survey question “How likely would you be to recommend this facility to your family and friends?”. </w:t>
      </w:r>
    </w:p>
    <w:p w14:paraId="4B85E050" w14:textId="77777777" w:rsidR="004D0B30" w:rsidRPr="00E454CE" w:rsidRDefault="004D0B30" w:rsidP="004D0B30">
      <w:pPr>
        <w:pStyle w:val="ListParagraph"/>
        <w:jc w:val="both"/>
        <w:rPr>
          <w:rFonts w:ascii="Arial" w:hAnsi="Arial" w:cs="Arial"/>
          <w:sz w:val="22"/>
          <w:szCs w:val="22"/>
        </w:rPr>
      </w:pPr>
    </w:p>
    <w:p w14:paraId="69FB2897" w14:textId="77777777" w:rsidR="004D0B30" w:rsidRPr="00D37813" w:rsidRDefault="004D0B30" w:rsidP="0005508C">
      <w:pPr>
        <w:ind w:left="1080"/>
        <w:jc w:val="both"/>
        <w:rPr>
          <w:rFonts w:ascii="Arial" w:hAnsi="Arial" w:cs="Arial"/>
          <w:sz w:val="22"/>
          <w:szCs w:val="22"/>
        </w:rPr>
      </w:pPr>
      <w:r w:rsidRPr="00D37813">
        <w:rPr>
          <w:rStyle w:val="normaltextrun"/>
          <w:rFonts w:ascii="Arial" w:hAnsi="Arial" w:cs="Arial"/>
          <w:b/>
          <w:bCs/>
          <w:sz w:val="22"/>
          <w:szCs w:val="22"/>
        </w:rPr>
        <w:t>Projections</w:t>
      </w:r>
      <w:r w:rsidRPr="00D37813">
        <w:rPr>
          <w:rFonts w:ascii="Arial" w:hAnsi="Arial" w:cs="Arial"/>
          <w:b/>
          <w:bCs/>
          <w:sz w:val="22"/>
          <w:szCs w:val="22"/>
        </w:rPr>
        <w:t>:</w:t>
      </w:r>
      <w:r w:rsidRPr="00D37813">
        <w:rPr>
          <w:rFonts w:ascii="Arial" w:hAnsi="Arial" w:cs="Arial"/>
          <w:sz w:val="22"/>
          <w:szCs w:val="22"/>
        </w:rPr>
        <w:t xml:space="preserve"> </w:t>
      </w:r>
      <w:r w:rsidR="00DC1325" w:rsidRPr="00D37813">
        <w:rPr>
          <w:rFonts w:ascii="Arial" w:hAnsi="Arial" w:cs="Arial"/>
          <w:sz w:val="22"/>
          <w:szCs w:val="22"/>
        </w:rPr>
        <w:t xml:space="preserve">Baseline: </w:t>
      </w:r>
      <w:r w:rsidR="008B7537" w:rsidRPr="00D37813">
        <w:rPr>
          <w:rFonts w:ascii="Arial" w:hAnsi="Arial" w:cs="Arial"/>
          <w:sz w:val="22"/>
          <w:szCs w:val="22"/>
        </w:rPr>
        <w:t>79.9%</w:t>
      </w:r>
      <w:r w:rsidR="00DC1325" w:rsidRPr="00D37813">
        <w:rPr>
          <w:rFonts w:ascii="Arial" w:hAnsi="Arial" w:cs="Arial"/>
          <w:sz w:val="22"/>
          <w:szCs w:val="22"/>
        </w:rPr>
        <w:t>; Year 1:</w:t>
      </w:r>
      <w:r w:rsidR="00232FB2" w:rsidRPr="00D37813">
        <w:rPr>
          <w:rFonts w:ascii="Arial" w:hAnsi="Arial" w:cs="Arial"/>
          <w:sz w:val="22"/>
          <w:szCs w:val="22"/>
        </w:rPr>
        <w:t xml:space="preserve"> </w:t>
      </w:r>
      <w:r w:rsidR="008B7537" w:rsidRPr="00D37813">
        <w:rPr>
          <w:rFonts w:ascii="Arial" w:hAnsi="Arial" w:cs="Arial"/>
          <w:sz w:val="22"/>
          <w:szCs w:val="22"/>
        </w:rPr>
        <w:t>80.1%</w:t>
      </w:r>
      <w:r w:rsidR="00DC1325" w:rsidRPr="00D37813">
        <w:rPr>
          <w:rFonts w:ascii="Arial" w:hAnsi="Arial" w:cs="Arial"/>
          <w:sz w:val="22"/>
          <w:szCs w:val="22"/>
        </w:rPr>
        <w:t>; Year 2:</w:t>
      </w:r>
      <w:r w:rsidR="00FC62F8" w:rsidRPr="00D37813">
        <w:rPr>
          <w:rFonts w:ascii="Arial" w:hAnsi="Arial" w:cs="Arial"/>
          <w:sz w:val="22"/>
          <w:szCs w:val="22"/>
        </w:rPr>
        <w:t xml:space="preserve"> </w:t>
      </w:r>
      <w:r w:rsidR="008B7537" w:rsidRPr="00D37813">
        <w:rPr>
          <w:rFonts w:ascii="Arial" w:hAnsi="Arial" w:cs="Arial"/>
          <w:sz w:val="22"/>
          <w:szCs w:val="22"/>
        </w:rPr>
        <w:t>80.3%</w:t>
      </w:r>
      <w:r w:rsidR="00DC1325" w:rsidRPr="00D37813">
        <w:rPr>
          <w:rFonts w:ascii="Arial" w:hAnsi="Arial" w:cs="Arial"/>
          <w:sz w:val="22"/>
          <w:szCs w:val="22"/>
        </w:rPr>
        <w:t>; Year 3:</w:t>
      </w:r>
      <w:r w:rsidR="00FC62F8" w:rsidRPr="00D37813">
        <w:rPr>
          <w:rFonts w:ascii="Arial" w:hAnsi="Arial" w:cs="Arial"/>
          <w:sz w:val="22"/>
          <w:szCs w:val="22"/>
        </w:rPr>
        <w:t xml:space="preserve"> </w:t>
      </w:r>
      <w:r w:rsidR="008B7537" w:rsidRPr="00D37813">
        <w:rPr>
          <w:rFonts w:ascii="Arial" w:hAnsi="Arial" w:cs="Arial"/>
          <w:sz w:val="22"/>
          <w:szCs w:val="22"/>
        </w:rPr>
        <w:t>80.5%</w:t>
      </w:r>
      <w:r w:rsidRPr="00D37813">
        <w:rPr>
          <w:rFonts w:ascii="Arial" w:hAnsi="Arial" w:cs="Arial"/>
          <w:sz w:val="22"/>
          <w:szCs w:val="22"/>
        </w:rPr>
        <w:t xml:space="preserve">. </w:t>
      </w:r>
    </w:p>
    <w:p w14:paraId="6351064A" w14:textId="77777777" w:rsidR="00E454CE" w:rsidRPr="00D37813" w:rsidRDefault="00E454CE" w:rsidP="0005508C">
      <w:pPr>
        <w:ind w:left="1080"/>
        <w:jc w:val="both"/>
        <w:rPr>
          <w:rFonts w:ascii="Arial" w:hAnsi="Arial" w:cs="Arial"/>
          <w:sz w:val="22"/>
          <w:szCs w:val="22"/>
        </w:rPr>
      </w:pPr>
    </w:p>
    <w:p w14:paraId="366B3221" w14:textId="77777777" w:rsidR="00E454CE" w:rsidRPr="00744C1E" w:rsidRDefault="00E454CE" w:rsidP="0005508C">
      <w:pPr>
        <w:ind w:left="1080"/>
        <w:jc w:val="both"/>
        <w:rPr>
          <w:rFonts w:ascii="Arial" w:hAnsi="Arial" w:cs="Arial"/>
          <w:b/>
          <w:bCs/>
          <w:sz w:val="22"/>
          <w:szCs w:val="22"/>
        </w:rPr>
      </w:pPr>
      <w:r w:rsidRPr="00D37813">
        <w:rPr>
          <w:rFonts w:ascii="Arial" w:hAnsi="Arial" w:cs="Arial"/>
          <w:b/>
          <w:bCs/>
          <w:sz w:val="22"/>
          <w:szCs w:val="22"/>
        </w:rPr>
        <w:t xml:space="preserve">Monitoring: </w:t>
      </w:r>
      <w:r w:rsidRPr="00D37813">
        <w:rPr>
          <w:rStyle w:val="normaltextrun"/>
          <w:rFonts w:ascii="Arial" w:hAnsi="Arial" w:cs="Arial"/>
          <w:sz w:val="22"/>
          <w:szCs w:val="22"/>
        </w:rPr>
        <w:t>The Applicant will collect and provide</w:t>
      </w:r>
      <w:r w:rsidRPr="00E454CE">
        <w:rPr>
          <w:rStyle w:val="normaltextrun"/>
          <w:rFonts w:ascii="Arial" w:hAnsi="Arial" w:cs="Arial"/>
          <w:sz w:val="22"/>
          <w:szCs w:val="22"/>
        </w:rPr>
        <w:t xml:space="preserve"> data to DPH on an annual basis beginning one (1) year following </w:t>
      </w:r>
      <w:r w:rsidRPr="00744C1E">
        <w:rPr>
          <w:rStyle w:val="normaltextrun"/>
          <w:rFonts w:ascii="Arial" w:hAnsi="Arial" w:cs="Arial"/>
          <w:sz w:val="22"/>
          <w:szCs w:val="22"/>
        </w:rPr>
        <w:t>implementation of the Proposed Project.</w:t>
      </w:r>
    </w:p>
    <w:p w14:paraId="496EEF62" w14:textId="77777777" w:rsidR="00CB6000" w:rsidRPr="00744C1E" w:rsidRDefault="00CB6000" w:rsidP="00C562C3">
      <w:pPr>
        <w:jc w:val="both"/>
        <w:rPr>
          <w:rFonts w:ascii="Arial" w:hAnsi="Arial" w:cs="Arial"/>
          <w:sz w:val="22"/>
          <w:szCs w:val="22"/>
        </w:rPr>
      </w:pPr>
    </w:p>
    <w:p w14:paraId="3FE262CF" w14:textId="77777777" w:rsidR="00CB6000" w:rsidRPr="008A1E6E" w:rsidRDefault="00C562C3">
      <w:pPr>
        <w:pStyle w:val="ListParagraph"/>
        <w:numPr>
          <w:ilvl w:val="0"/>
          <w:numId w:val="7"/>
        </w:numPr>
        <w:jc w:val="both"/>
        <w:rPr>
          <w:rStyle w:val="eop"/>
        </w:rPr>
      </w:pPr>
      <w:r w:rsidRPr="00744C1E">
        <w:rPr>
          <w:rFonts w:ascii="Arial" w:hAnsi="Arial" w:cs="Arial"/>
          <w:b/>
          <w:bCs/>
          <w:sz w:val="22"/>
          <w:szCs w:val="22"/>
          <w:shd w:val="clear" w:color="auto" w:fill="FFFFFF"/>
        </w:rPr>
        <w:t>MRI</w:t>
      </w:r>
      <w:r w:rsidR="00CB6000" w:rsidRPr="00744C1E">
        <w:rPr>
          <w:rFonts w:ascii="Arial" w:hAnsi="Arial" w:cs="Arial"/>
          <w:b/>
          <w:bCs/>
          <w:sz w:val="22"/>
          <w:szCs w:val="22"/>
          <w:shd w:val="clear" w:color="auto" w:fill="FFFFFF"/>
        </w:rPr>
        <w:t xml:space="preserve"> Wait Times</w:t>
      </w:r>
      <w:r w:rsidR="00CB6000" w:rsidRPr="00744C1E">
        <w:rPr>
          <w:rFonts w:ascii="Arial" w:hAnsi="Arial" w:cs="Arial"/>
          <w:b/>
          <w:bCs/>
          <w:sz w:val="22"/>
          <w:szCs w:val="22"/>
        </w:rPr>
        <w:t>:</w:t>
      </w:r>
      <w:r w:rsidR="00CB6000" w:rsidRPr="007E1F9A">
        <w:rPr>
          <w:rFonts w:ascii="Arial" w:hAnsi="Arial" w:cs="Arial"/>
          <w:sz w:val="22"/>
          <w:szCs w:val="22"/>
        </w:rPr>
        <w:t xml:space="preserve"> </w:t>
      </w:r>
      <w:r w:rsidR="007E1F9A" w:rsidRPr="007E1F9A">
        <w:rPr>
          <w:rFonts w:ascii="Arial" w:hAnsi="Arial" w:cs="Arial"/>
          <w:sz w:val="22"/>
          <w:szCs w:val="22"/>
        </w:rPr>
        <w:t xml:space="preserve">The Proposed Project </w:t>
      </w:r>
      <w:r w:rsidR="00681BFF">
        <w:rPr>
          <w:rFonts w:ascii="Arial" w:hAnsi="Arial" w:cs="Arial"/>
          <w:color w:val="000000" w:themeColor="text1"/>
          <w:sz w:val="22"/>
          <w:szCs w:val="22"/>
        </w:rPr>
        <w:t>seeks</w:t>
      </w:r>
      <w:r w:rsidR="00681BFF" w:rsidRPr="00E06CAE">
        <w:rPr>
          <w:rFonts w:ascii="Arial" w:hAnsi="Arial" w:cs="Arial"/>
          <w:color w:val="000000" w:themeColor="text1"/>
          <w:sz w:val="22"/>
          <w:szCs w:val="22"/>
        </w:rPr>
        <w:t xml:space="preserve"> to address the existing and future needs of BMC’s unique patient panel by providing increased access to timely, high-quality MRI services</w:t>
      </w:r>
      <w:r w:rsidR="00FE77F0">
        <w:rPr>
          <w:rFonts w:ascii="Arial" w:hAnsi="Arial" w:cs="Arial"/>
          <w:color w:val="000000" w:themeColor="text1"/>
          <w:sz w:val="22"/>
          <w:szCs w:val="22"/>
        </w:rPr>
        <w:t>.</w:t>
      </w:r>
      <w:r w:rsidR="00681BFF" w:rsidRPr="007E1F9A">
        <w:rPr>
          <w:rStyle w:val="normaltextrun"/>
          <w:rFonts w:ascii="Arial" w:hAnsi="Arial" w:cs="Arial"/>
          <w:sz w:val="22"/>
          <w:szCs w:val="22"/>
        </w:rPr>
        <w:t xml:space="preserve"> </w:t>
      </w:r>
      <w:r w:rsidR="00FE77F0">
        <w:rPr>
          <w:rStyle w:val="normaltextrun"/>
          <w:rFonts w:ascii="Arial" w:hAnsi="Arial" w:cs="Arial"/>
          <w:sz w:val="22"/>
          <w:szCs w:val="22"/>
        </w:rPr>
        <w:t>T</w:t>
      </w:r>
      <w:r w:rsidR="00CB6000" w:rsidRPr="00744C1E">
        <w:rPr>
          <w:rStyle w:val="normaltextrun"/>
          <w:rFonts w:ascii="Arial" w:hAnsi="Arial" w:cs="Arial"/>
          <w:sz w:val="22"/>
          <w:szCs w:val="22"/>
        </w:rPr>
        <w:t xml:space="preserve">he Applicant anticipates that </w:t>
      </w:r>
      <w:r w:rsidR="00FE77F0">
        <w:rPr>
          <w:rStyle w:val="normaltextrun"/>
          <w:rFonts w:ascii="Arial" w:hAnsi="Arial" w:cs="Arial"/>
          <w:sz w:val="22"/>
          <w:szCs w:val="22"/>
        </w:rPr>
        <w:t xml:space="preserve">MRI </w:t>
      </w:r>
      <w:r w:rsidR="00CB6000" w:rsidRPr="00744C1E">
        <w:rPr>
          <w:rStyle w:val="normaltextrun"/>
          <w:rFonts w:ascii="Arial" w:hAnsi="Arial" w:cs="Arial"/>
          <w:sz w:val="22"/>
          <w:szCs w:val="22"/>
        </w:rPr>
        <w:t>wait times will be reduced</w:t>
      </w:r>
      <w:r w:rsidR="00FE77F0">
        <w:rPr>
          <w:rStyle w:val="normaltextrun"/>
          <w:rFonts w:ascii="Arial" w:hAnsi="Arial" w:cs="Arial"/>
          <w:sz w:val="22"/>
          <w:szCs w:val="22"/>
        </w:rPr>
        <w:t xml:space="preserve"> following </w:t>
      </w:r>
      <w:r w:rsidR="00FE77F0" w:rsidRPr="008A1E6E">
        <w:rPr>
          <w:rStyle w:val="normaltextrun"/>
          <w:rFonts w:ascii="Arial" w:hAnsi="Arial" w:cs="Arial"/>
          <w:sz w:val="22"/>
          <w:szCs w:val="22"/>
        </w:rPr>
        <w:t>implementation of the Proposed Project due to increased MRI capacity</w:t>
      </w:r>
      <w:r w:rsidR="00B07D02" w:rsidRPr="008A1E6E">
        <w:rPr>
          <w:rStyle w:val="normaltextrun"/>
          <w:rFonts w:ascii="Arial" w:hAnsi="Arial" w:cs="Arial"/>
          <w:sz w:val="22"/>
          <w:szCs w:val="22"/>
        </w:rPr>
        <w:t xml:space="preserve"> through the addition of the fourth MRI unit</w:t>
      </w:r>
      <w:r w:rsidR="0041038D" w:rsidRPr="008A1E6E">
        <w:rPr>
          <w:rStyle w:val="normaltextrun"/>
          <w:rFonts w:ascii="Arial" w:hAnsi="Arial" w:cs="Arial"/>
          <w:sz w:val="22"/>
          <w:szCs w:val="22"/>
        </w:rPr>
        <w:t xml:space="preserve"> on BMC’s main hospital campus</w:t>
      </w:r>
      <w:r w:rsidR="00B07D02" w:rsidRPr="008A1E6E">
        <w:rPr>
          <w:rStyle w:val="normaltextrun"/>
          <w:rFonts w:ascii="Arial" w:hAnsi="Arial" w:cs="Arial"/>
          <w:sz w:val="22"/>
          <w:szCs w:val="22"/>
        </w:rPr>
        <w:t>.</w:t>
      </w:r>
    </w:p>
    <w:p w14:paraId="6AF581BA" w14:textId="77777777" w:rsidR="00CB6000" w:rsidRPr="008A1E6E" w:rsidRDefault="00CB6000" w:rsidP="00CB6000">
      <w:pPr>
        <w:jc w:val="both"/>
      </w:pPr>
    </w:p>
    <w:p w14:paraId="677EB74D" w14:textId="77777777" w:rsidR="00B01913" w:rsidRDefault="00B01913" w:rsidP="00CB66D6">
      <w:pPr>
        <w:pStyle w:val="ListParagraph"/>
        <w:numPr>
          <w:ilvl w:val="0"/>
          <w:numId w:val="34"/>
        </w:numPr>
        <w:jc w:val="both"/>
        <w:rPr>
          <w:rStyle w:val="normaltextrun"/>
          <w:rFonts w:ascii="Arial" w:hAnsi="Arial" w:cs="Arial"/>
          <w:sz w:val="22"/>
          <w:szCs w:val="22"/>
        </w:rPr>
      </w:pPr>
      <w:r w:rsidRPr="005E6D24">
        <w:rPr>
          <w:rStyle w:val="normaltextrun"/>
          <w:rFonts w:ascii="Arial" w:hAnsi="Arial" w:cs="Arial"/>
          <w:b/>
          <w:bCs/>
          <w:sz w:val="22"/>
          <w:szCs w:val="22"/>
        </w:rPr>
        <w:t>Outpatient</w:t>
      </w:r>
      <w:r w:rsidR="007D2DF4" w:rsidRPr="005E6D24">
        <w:rPr>
          <w:rStyle w:val="normaltextrun"/>
          <w:rFonts w:ascii="Arial" w:hAnsi="Arial" w:cs="Arial"/>
          <w:b/>
          <w:bCs/>
          <w:sz w:val="22"/>
          <w:szCs w:val="22"/>
        </w:rPr>
        <w:t xml:space="preserve"> Access to Care: </w:t>
      </w:r>
      <w:r w:rsidR="007D2DF4" w:rsidRPr="005E6D24">
        <w:rPr>
          <w:rStyle w:val="normaltextrun"/>
          <w:rFonts w:ascii="Arial" w:hAnsi="Arial" w:cs="Arial"/>
          <w:sz w:val="22"/>
          <w:szCs w:val="22"/>
        </w:rPr>
        <w:t xml:space="preserve">Time to third </w:t>
      </w:r>
      <w:r w:rsidR="005E6D24" w:rsidRPr="005E6D24">
        <w:rPr>
          <w:rStyle w:val="normaltextrun"/>
          <w:rFonts w:ascii="Arial" w:hAnsi="Arial" w:cs="Arial"/>
          <w:sz w:val="22"/>
          <w:szCs w:val="22"/>
        </w:rPr>
        <w:t>available appointment</w:t>
      </w:r>
      <w:r w:rsidR="005E6D24">
        <w:rPr>
          <w:rStyle w:val="normaltextrun"/>
          <w:rFonts w:ascii="Arial" w:hAnsi="Arial" w:cs="Arial"/>
          <w:sz w:val="22"/>
          <w:szCs w:val="22"/>
        </w:rPr>
        <w:t>.</w:t>
      </w:r>
    </w:p>
    <w:p w14:paraId="034AF332" w14:textId="77777777" w:rsidR="005E6D24" w:rsidRPr="005E6D24" w:rsidRDefault="005E6D24" w:rsidP="005E6D24">
      <w:pPr>
        <w:pStyle w:val="ListParagraph"/>
        <w:ind w:left="1440"/>
        <w:jc w:val="both"/>
        <w:rPr>
          <w:rStyle w:val="normaltextrun"/>
          <w:rFonts w:ascii="Arial" w:hAnsi="Arial" w:cs="Arial"/>
          <w:sz w:val="22"/>
          <w:szCs w:val="22"/>
        </w:rPr>
      </w:pPr>
    </w:p>
    <w:p w14:paraId="6D60800E" w14:textId="77777777" w:rsidR="00CB6000" w:rsidRPr="008A1E6E" w:rsidRDefault="00CB6000" w:rsidP="00B01913">
      <w:pPr>
        <w:pStyle w:val="ListParagraph"/>
        <w:ind w:left="1440"/>
        <w:jc w:val="both"/>
        <w:rPr>
          <w:rStyle w:val="eop"/>
          <w:rFonts w:ascii="Arial" w:hAnsi="Arial" w:cs="Arial"/>
          <w:sz w:val="22"/>
          <w:szCs w:val="22"/>
        </w:rPr>
      </w:pPr>
      <w:r w:rsidRPr="00EB0F3A">
        <w:rPr>
          <w:rStyle w:val="normaltextrun"/>
          <w:rFonts w:ascii="Arial" w:hAnsi="Arial" w:cs="Arial"/>
          <w:b/>
          <w:bCs/>
          <w:sz w:val="22"/>
          <w:szCs w:val="22"/>
        </w:rPr>
        <w:t>Measure:</w:t>
      </w:r>
      <w:r w:rsidR="0054791E" w:rsidRPr="00EB0F3A">
        <w:rPr>
          <w:rStyle w:val="normaltextrun"/>
          <w:rFonts w:ascii="Arial" w:hAnsi="Arial" w:cs="Arial"/>
          <w:sz w:val="22"/>
          <w:szCs w:val="22"/>
        </w:rPr>
        <w:t xml:space="preserve"> This measure will collect data based on the following calculation: </w:t>
      </w:r>
      <w:r w:rsidR="009F663C" w:rsidRPr="00EB0F3A">
        <w:rPr>
          <w:rStyle w:val="normaltextrun"/>
          <w:rFonts w:ascii="Arial" w:hAnsi="Arial" w:cs="Arial"/>
          <w:sz w:val="22"/>
          <w:szCs w:val="22"/>
        </w:rPr>
        <w:t xml:space="preserve">Time interval (in days) from when the </w:t>
      </w:r>
      <w:r w:rsidR="00E41DCC" w:rsidRPr="00EB0F3A">
        <w:rPr>
          <w:rStyle w:val="normaltextrun"/>
          <w:rFonts w:ascii="Arial" w:hAnsi="Arial" w:cs="Arial"/>
          <w:sz w:val="22"/>
          <w:szCs w:val="22"/>
        </w:rPr>
        <w:t xml:space="preserve">outpatient </w:t>
      </w:r>
      <w:r w:rsidR="009F663C" w:rsidRPr="00EB0F3A">
        <w:rPr>
          <w:rStyle w:val="normaltextrun"/>
          <w:rFonts w:ascii="Arial" w:hAnsi="Arial" w:cs="Arial"/>
          <w:sz w:val="22"/>
          <w:szCs w:val="22"/>
        </w:rPr>
        <w:t xml:space="preserve">case was initiated for scheduling in </w:t>
      </w:r>
      <w:r w:rsidR="009F663C" w:rsidRPr="00EB0F3A">
        <w:rPr>
          <w:rStyle w:val="normaltextrun"/>
          <w:rFonts w:ascii="Arial" w:hAnsi="Arial" w:cs="Arial"/>
          <w:sz w:val="22"/>
          <w:szCs w:val="22"/>
        </w:rPr>
        <w:lastRenderedPageBreak/>
        <w:t xml:space="preserve">EPIC to the </w:t>
      </w:r>
      <w:r w:rsidR="00FC62F8" w:rsidRPr="00EB0F3A">
        <w:rPr>
          <w:rStyle w:val="normaltextrun"/>
          <w:rFonts w:ascii="Arial" w:hAnsi="Arial" w:cs="Arial"/>
          <w:sz w:val="22"/>
          <w:szCs w:val="22"/>
        </w:rPr>
        <w:t>third</w:t>
      </w:r>
      <w:r w:rsidR="009F663C" w:rsidRPr="00EB0F3A">
        <w:rPr>
          <w:rStyle w:val="normaltextrun"/>
          <w:rFonts w:ascii="Arial" w:hAnsi="Arial" w:cs="Arial"/>
          <w:sz w:val="22"/>
          <w:szCs w:val="22"/>
        </w:rPr>
        <w:t xml:space="preserve"> available outpatient appointment</w:t>
      </w:r>
      <w:r w:rsidR="0054791E" w:rsidRPr="00EB0F3A">
        <w:rPr>
          <w:rStyle w:val="normaltextrun"/>
          <w:rFonts w:ascii="Arial" w:hAnsi="Arial" w:cs="Arial"/>
          <w:sz w:val="22"/>
          <w:szCs w:val="22"/>
        </w:rPr>
        <w:t>.</w:t>
      </w:r>
      <w:r w:rsidR="000062C7">
        <w:rPr>
          <w:rStyle w:val="FootnoteReference"/>
          <w:rFonts w:ascii="Arial" w:hAnsi="Arial" w:cs="Arial"/>
          <w:sz w:val="22"/>
          <w:szCs w:val="22"/>
        </w:rPr>
        <w:footnoteReference w:id="70"/>
      </w:r>
      <w:r w:rsidR="004126BD" w:rsidRPr="00EB0F3A">
        <w:rPr>
          <w:rStyle w:val="normaltextrun"/>
          <w:rFonts w:ascii="Arial" w:hAnsi="Arial" w:cs="Arial"/>
          <w:sz w:val="22"/>
          <w:szCs w:val="22"/>
        </w:rPr>
        <w:t xml:space="preserve"> </w:t>
      </w:r>
      <w:r w:rsidR="005B197A" w:rsidRPr="00EB0F3A">
        <w:rPr>
          <w:rStyle w:val="normaltextrun"/>
          <w:rFonts w:ascii="Arial" w:hAnsi="Arial" w:cs="Arial"/>
          <w:sz w:val="22"/>
          <w:szCs w:val="22"/>
        </w:rPr>
        <w:t>T</w:t>
      </w:r>
      <w:r w:rsidR="004126BD" w:rsidRPr="00EB0F3A">
        <w:rPr>
          <w:rStyle w:val="normaltextrun"/>
          <w:rFonts w:ascii="Arial" w:hAnsi="Arial" w:cs="Arial"/>
          <w:sz w:val="22"/>
          <w:szCs w:val="22"/>
        </w:rPr>
        <w:t xml:space="preserve">he Applicant will </w:t>
      </w:r>
      <w:r w:rsidR="00DD0CA7" w:rsidRPr="00EB0F3A">
        <w:rPr>
          <w:rStyle w:val="normaltextrun"/>
          <w:rFonts w:ascii="Arial" w:hAnsi="Arial" w:cs="Arial"/>
          <w:sz w:val="22"/>
          <w:szCs w:val="22"/>
        </w:rPr>
        <w:t xml:space="preserve">provide the following data to DPH: Median </w:t>
      </w:r>
      <w:r w:rsidR="005B197A" w:rsidRPr="00EB0F3A">
        <w:rPr>
          <w:rStyle w:val="normaltextrun"/>
          <w:rFonts w:ascii="Arial" w:hAnsi="Arial" w:cs="Arial"/>
          <w:sz w:val="22"/>
          <w:szCs w:val="22"/>
        </w:rPr>
        <w:t xml:space="preserve">number of days </w:t>
      </w:r>
      <w:r w:rsidR="00E41DCC" w:rsidRPr="00EB0F3A">
        <w:rPr>
          <w:rStyle w:val="normaltextrun"/>
          <w:rFonts w:ascii="Arial" w:hAnsi="Arial" w:cs="Arial"/>
          <w:sz w:val="22"/>
          <w:szCs w:val="22"/>
        </w:rPr>
        <w:t xml:space="preserve">between initiating outpatient MRI cases for scheduling </w:t>
      </w:r>
      <w:r w:rsidR="00D12AA0" w:rsidRPr="00EB0F3A">
        <w:rPr>
          <w:rStyle w:val="normaltextrun"/>
          <w:rFonts w:ascii="Arial" w:hAnsi="Arial" w:cs="Arial"/>
          <w:sz w:val="22"/>
          <w:szCs w:val="22"/>
        </w:rPr>
        <w:t>and performing MRI.</w:t>
      </w:r>
    </w:p>
    <w:p w14:paraId="2A1D9073" w14:textId="77777777" w:rsidR="00CB6000" w:rsidRPr="00E454CE" w:rsidRDefault="00CB6000" w:rsidP="00CB6000">
      <w:pPr>
        <w:pStyle w:val="ListParagraph"/>
        <w:jc w:val="both"/>
        <w:rPr>
          <w:rFonts w:ascii="Arial" w:hAnsi="Arial" w:cs="Arial"/>
          <w:sz w:val="22"/>
          <w:szCs w:val="22"/>
        </w:rPr>
      </w:pPr>
    </w:p>
    <w:p w14:paraId="4B3B63D1" w14:textId="77777777" w:rsidR="008A1E6E" w:rsidRPr="00E454CE" w:rsidRDefault="00CB6000" w:rsidP="008A1E6E">
      <w:pPr>
        <w:ind w:left="1440"/>
        <w:jc w:val="both"/>
        <w:rPr>
          <w:rFonts w:ascii="Arial" w:hAnsi="Arial" w:cs="Arial"/>
          <w:sz w:val="22"/>
          <w:szCs w:val="22"/>
        </w:rPr>
      </w:pPr>
      <w:r w:rsidRPr="005E6D24">
        <w:rPr>
          <w:rStyle w:val="normaltextrun"/>
          <w:rFonts w:ascii="Arial" w:hAnsi="Arial" w:cs="Arial"/>
          <w:b/>
          <w:bCs/>
          <w:sz w:val="22"/>
          <w:szCs w:val="22"/>
        </w:rPr>
        <w:t>Projections</w:t>
      </w:r>
      <w:r w:rsidRPr="005E6D24">
        <w:rPr>
          <w:rFonts w:ascii="Arial" w:hAnsi="Arial" w:cs="Arial"/>
          <w:b/>
          <w:bCs/>
          <w:sz w:val="22"/>
          <w:szCs w:val="22"/>
        </w:rPr>
        <w:t>:</w:t>
      </w:r>
      <w:r w:rsidRPr="005E6D24">
        <w:rPr>
          <w:rFonts w:ascii="Arial" w:hAnsi="Arial" w:cs="Arial"/>
          <w:sz w:val="22"/>
          <w:szCs w:val="22"/>
        </w:rPr>
        <w:t xml:space="preserve"> </w:t>
      </w:r>
      <w:r w:rsidR="008A1E6E" w:rsidRPr="005E6D24">
        <w:rPr>
          <w:rFonts w:ascii="Arial" w:hAnsi="Arial" w:cs="Arial"/>
          <w:sz w:val="22"/>
          <w:szCs w:val="22"/>
        </w:rPr>
        <w:t xml:space="preserve">Baseline: </w:t>
      </w:r>
      <w:r w:rsidR="000062C7" w:rsidRPr="005E6D24">
        <w:rPr>
          <w:rFonts w:ascii="Arial" w:hAnsi="Arial" w:cs="Arial"/>
          <w:sz w:val="22"/>
          <w:szCs w:val="22"/>
        </w:rPr>
        <w:t>50</w:t>
      </w:r>
      <w:r w:rsidR="00EB0F3A" w:rsidRPr="005E6D24">
        <w:rPr>
          <w:rFonts w:ascii="Arial" w:hAnsi="Arial" w:cs="Arial"/>
          <w:sz w:val="22"/>
          <w:szCs w:val="22"/>
        </w:rPr>
        <w:t xml:space="preserve"> days</w:t>
      </w:r>
      <w:r w:rsidR="008A1E6E" w:rsidRPr="005E6D24">
        <w:rPr>
          <w:rFonts w:ascii="Arial" w:hAnsi="Arial" w:cs="Arial"/>
          <w:sz w:val="22"/>
          <w:szCs w:val="22"/>
        </w:rPr>
        <w:t xml:space="preserve">; Year 1: </w:t>
      </w:r>
      <w:r w:rsidR="008B7537" w:rsidRPr="005E6D24">
        <w:rPr>
          <w:rFonts w:ascii="Arial" w:hAnsi="Arial" w:cs="Arial"/>
          <w:sz w:val="22"/>
          <w:szCs w:val="22"/>
        </w:rPr>
        <w:t>40</w:t>
      </w:r>
      <w:r w:rsidR="00EB0F3A" w:rsidRPr="005E6D24">
        <w:rPr>
          <w:rFonts w:ascii="Arial" w:hAnsi="Arial" w:cs="Arial"/>
          <w:sz w:val="22"/>
          <w:szCs w:val="22"/>
        </w:rPr>
        <w:t xml:space="preserve"> days</w:t>
      </w:r>
      <w:r w:rsidR="008A1E6E" w:rsidRPr="005E6D24">
        <w:rPr>
          <w:rFonts w:ascii="Arial" w:hAnsi="Arial" w:cs="Arial"/>
          <w:sz w:val="22"/>
          <w:szCs w:val="22"/>
        </w:rPr>
        <w:t xml:space="preserve">; Year 2: </w:t>
      </w:r>
      <w:r w:rsidR="008B7537" w:rsidRPr="005E6D24">
        <w:rPr>
          <w:rFonts w:ascii="Arial" w:hAnsi="Arial" w:cs="Arial"/>
          <w:sz w:val="22"/>
          <w:szCs w:val="22"/>
        </w:rPr>
        <w:t>30</w:t>
      </w:r>
      <w:r w:rsidR="00EB0F3A" w:rsidRPr="005E6D24">
        <w:rPr>
          <w:rFonts w:ascii="Arial" w:hAnsi="Arial" w:cs="Arial"/>
          <w:sz w:val="22"/>
          <w:szCs w:val="22"/>
        </w:rPr>
        <w:t xml:space="preserve"> days</w:t>
      </w:r>
      <w:r w:rsidR="008A1E6E" w:rsidRPr="005E6D24">
        <w:rPr>
          <w:rFonts w:ascii="Arial" w:hAnsi="Arial" w:cs="Arial"/>
          <w:sz w:val="22"/>
          <w:szCs w:val="22"/>
        </w:rPr>
        <w:t>; Year 3:</w:t>
      </w:r>
      <w:r w:rsidR="00EB0F3A" w:rsidRPr="005E6D24">
        <w:rPr>
          <w:rFonts w:ascii="Arial" w:hAnsi="Arial" w:cs="Arial"/>
          <w:sz w:val="22"/>
          <w:szCs w:val="22"/>
        </w:rPr>
        <w:t xml:space="preserve"> </w:t>
      </w:r>
      <w:r w:rsidR="008B7537" w:rsidRPr="005E6D24">
        <w:rPr>
          <w:rFonts w:ascii="Arial" w:hAnsi="Arial" w:cs="Arial"/>
          <w:sz w:val="22"/>
          <w:szCs w:val="22"/>
        </w:rPr>
        <w:t>20</w:t>
      </w:r>
      <w:r w:rsidR="00EB0F3A" w:rsidRPr="005E6D24">
        <w:rPr>
          <w:rFonts w:ascii="Arial" w:hAnsi="Arial" w:cs="Arial"/>
          <w:sz w:val="22"/>
          <w:szCs w:val="22"/>
        </w:rPr>
        <w:t xml:space="preserve"> days</w:t>
      </w:r>
      <w:r w:rsidR="008A1E6E" w:rsidRPr="005E6D24">
        <w:rPr>
          <w:rFonts w:ascii="Arial" w:hAnsi="Arial" w:cs="Arial"/>
          <w:sz w:val="22"/>
          <w:szCs w:val="22"/>
        </w:rPr>
        <w:t>.</w:t>
      </w:r>
      <w:r w:rsidR="008A1E6E" w:rsidRPr="00E454CE">
        <w:rPr>
          <w:rFonts w:ascii="Arial" w:hAnsi="Arial" w:cs="Arial"/>
          <w:sz w:val="22"/>
          <w:szCs w:val="22"/>
        </w:rPr>
        <w:t xml:space="preserve"> </w:t>
      </w:r>
    </w:p>
    <w:p w14:paraId="4071332D" w14:textId="77777777" w:rsidR="00E454CE" w:rsidRPr="00E454CE" w:rsidRDefault="00E454CE" w:rsidP="008A1E6E">
      <w:pPr>
        <w:jc w:val="both"/>
        <w:rPr>
          <w:rFonts w:ascii="Arial" w:hAnsi="Arial" w:cs="Arial"/>
          <w:sz w:val="22"/>
          <w:szCs w:val="22"/>
        </w:rPr>
      </w:pPr>
    </w:p>
    <w:p w14:paraId="51C50E8D" w14:textId="77777777" w:rsidR="00E454CE" w:rsidRDefault="00E454CE" w:rsidP="00B01913">
      <w:pPr>
        <w:ind w:left="1440"/>
        <w:jc w:val="both"/>
        <w:rPr>
          <w:rStyle w:val="normaltextrun"/>
          <w:rFonts w:ascii="Arial" w:hAnsi="Arial" w:cs="Arial"/>
          <w:sz w:val="22"/>
          <w:szCs w:val="22"/>
        </w:rPr>
      </w:pPr>
      <w:r w:rsidRPr="008A1E6E">
        <w:rPr>
          <w:rFonts w:ascii="Arial" w:hAnsi="Arial" w:cs="Arial"/>
          <w:b/>
          <w:bCs/>
          <w:sz w:val="22"/>
          <w:szCs w:val="22"/>
        </w:rPr>
        <w:t xml:space="preserve">Monitoring: </w:t>
      </w:r>
      <w:r w:rsidRPr="008A1E6E">
        <w:rPr>
          <w:rStyle w:val="normaltextrun"/>
          <w:rFonts w:ascii="Arial" w:hAnsi="Arial" w:cs="Arial"/>
          <w:sz w:val="22"/>
          <w:szCs w:val="22"/>
        </w:rPr>
        <w:t>The Applicant will collect and provide data to DPH on an annual basis beginning one (1) year following implementation of the Proposed</w:t>
      </w:r>
      <w:r w:rsidRPr="00E454CE">
        <w:rPr>
          <w:rStyle w:val="normaltextrun"/>
          <w:rFonts w:ascii="Arial" w:hAnsi="Arial" w:cs="Arial"/>
          <w:sz w:val="22"/>
          <w:szCs w:val="22"/>
        </w:rPr>
        <w:t xml:space="preserve"> Project.</w:t>
      </w:r>
    </w:p>
    <w:p w14:paraId="35E87A31" w14:textId="77777777" w:rsidR="00797523" w:rsidRDefault="00797523" w:rsidP="00B01913">
      <w:pPr>
        <w:ind w:left="1440"/>
        <w:jc w:val="both"/>
        <w:rPr>
          <w:rStyle w:val="normaltextrun"/>
          <w:rFonts w:ascii="Arial" w:hAnsi="Arial" w:cs="Arial"/>
          <w:sz w:val="22"/>
          <w:szCs w:val="22"/>
        </w:rPr>
      </w:pPr>
    </w:p>
    <w:p w14:paraId="0FCC22D3" w14:textId="77777777" w:rsidR="002A0902" w:rsidRPr="002A0902" w:rsidRDefault="002A0902" w:rsidP="002A0902">
      <w:pPr>
        <w:pStyle w:val="ListParagraph"/>
        <w:numPr>
          <w:ilvl w:val="0"/>
          <w:numId w:val="34"/>
        </w:numPr>
        <w:jc w:val="both"/>
        <w:rPr>
          <w:rStyle w:val="normaltextrun"/>
          <w:rFonts w:ascii="Arial" w:hAnsi="Arial" w:cs="Arial"/>
          <w:sz w:val="22"/>
          <w:szCs w:val="22"/>
        </w:rPr>
      </w:pPr>
      <w:r w:rsidRPr="00FA5DB6">
        <w:rPr>
          <w:rStyle w:val="normaltextrun"/>
          <w:rFonts w:ascii="Arial" w:hAnsi="Arial" w:cs="Arial"/>
          <w:b/>
          <w:bCs/>
          <w:sz w:val="22"/>
          <w:szCs w:val="22"/>
        </w:rPr>
        <w:t>Outpatient</w:t>
      </w:r>
      <w:r w:rsidR="00FA5DB6" w:rsidRPr="00FA5DB6">
        <w:rPr>
          <w:rStyle w:val="normaltextrun"/>
          <w:rFonts w:ascii="Arial" w:hAnsi="Arial" w:cs="Arial"/>
          <w:b/>
          <w:bCs/>
          <w:sz w:val="22"/>
          <w:szCs w:val="22"/>
        </w:rPr>
        <w:t xml:space="preserve"> Access to Care:</w:t>
      </w:r>
      <w:r w:rsidR="00FA5DB6">
        <w:rPr>
          <w:rStyle w:val="normaltextrun"/>
          <w:rFonts w:ascii="Arial" w:hAnsi="Arial" w:cs="Arial"/>
          <w:sz w:val="22"/>
          <w:szCs w:val="22"/>
        </w:rPr>
        <w:t xml:space="preserve"> Number of patients not attending a scheduled appointment known as the “no show rate.” </w:t>
      </w:r>
      <w:r>
        <w:rPr>
          <w:rStyle w:val="normaltextrun"/>
          <w:rFonts w:ascii="Arial" w:hAnsi="Arial" w:cs="Arial"/>
          <w:sz w:val="22"/>
          <w:szCs w:val="22"/>
        </w:rPr>
        <w:t xml:space="preserve"> </w:t>
      </w:r>
    </w:p>
    <w:p w14:paraId="2560A5D6" w14:textId="77777777" w:rsidR="00B01913" w:rsidRDefault="00B01913" w:rsidP="00B01913">
      <w:pPr>
        <w:jc w:val="both"/>
        <w:rPr>
          <w:rFonts w:ascii="Arial" w:hAnsi="Arial" w:cs="Arial"/>
          <w:b/>
          <w:bCs/>
          <w:sz w:val="22"/>
          <w:szCs w:val="22"/>
        </w:rPr>
      </w:pPr>
    </w:p>
    <w:p w14:paraId="07C6CA87" w14:textId="77777777" w:rsidR="00B01913" w:rsidRPr="00C94C31" w:rsidRDefault="00B01913" w:rsidP="00C94C31">
      <w:pPr>
        <w:pStyle w:val="ListParagraph"/>
        <w:ind w:left="1440"/>
        <w:jc w:val="both"/>
        <w:rPr>
          <w:rStyle w:val="eop"/>
          <w:rFonts w:ascii="Arial" w:hAnsi="Arial" w:cs="Arial"/>
          <w:sz w:val="22"/>
          <w:szCs w:val="22"/>
        </w:rPr>
      </w:pPr>
      <w:r w:rsidRPr="00356792">
        <w:rPr>
          <w:rStyle w:val="normaltextrun"/>
          <w:rFonts w:ascii="Arial" w:hAnsi="Arial" w:cs="Arial"/>
          <w:b/>
          <w:bCs/>
          <w:sz w:val="22"/>
          <w:szCs w:val="22"/>
        </w:rPr>
        <w:t>Measure:</w:t>
      </w:r>
      <w:r w:rsidRPr="00356792">
        <w:rPr>
          <w:rStyle w:val="normaltextrun"/>
          <w:rFonts w:ascii="Arial" w:hAnsi="Arial" w:cs="Arial"/>
          <w:sz w:val="22"/>
          <w:szCs w:val="22"/>
        </w:rPr>
        <w:t xml:space="preserve"> </w:t>
      </w:r>
      <w:r w:rsidR="008A1E6E" w:rsidRPr="00356792">
        <w:rPr>
          <w:rStyle w:val="normaltextrun"/>
          <w:rFonts w:ascii="Arial" w:hAnsi="Arial" w:cs="Arial"/>
          <w:sz w:val="22"/>
          <w:szCs w:val="22"/>
        </w:rPr>
        <w:t xml:space="preserve">This measure will collect data based on the following calculation: </w:t>
      </w:r>
      <w:r w:rsidR="004478CE" w:rsidRPr="004478CE">
        <w:rPr>
          <w:rStyle w:val="normaltextrun"/>
          <w:rFonts w:ascii="Arial" w:hAnsi="Arial" w:cs="Arial"/>
          <w:sz w:val="22"/>
          <w:szCs w:val="22"/>
        </w:rPr>
        <w:t>The percentage of appointment ti</w:t>
      </w:r>
      <w:r w:rsidR="004478CE">
        <w:rPr>
          <w:rStyle w:val="normaltextrun"/>
          <w:rFonts w:ascii="Arial" w:hAnsi="Arial" w:cs="Arial"/>
          <w:sz w:val="22"/>
          <w:szCs w:val="22"/>
        </w:rPr>
        <w:t>me lost because patients do not</w:t>
      </w:r>
      <w:r w:rsidR="004478CE" w:rsidRPr="004478CE">
        <w:rPr>
          <w:rStyle w:val="normaltextrun"/>
          <w:rFonts w:ascii="Arial" w:hAnsi="Arial" w:cs="Arial"/>
          <w:sz w:val="22"/>
          <w:szCs w:val="22"/>
        </w:rPr>
        <w:t xml:space="preserve"> show up o</w:t>
      </w:r>
      <w:r w:rsidR="004478CE">
        <w:rPr>
          <w:rStyle w:val="normaltextrun"/>
          <w:rFonts w:ascii="Arial" w:hAnsi="Arial" w:cs="Arial"/>
          <w:sz w:val="22"/>
          <w:szCs w:val="22"/>
        </w:rPr>
        <w:t xml:space="preserve">r cancel at the last minute. </w:t>
      </w:r>
      <w:r w:rsidR="00FA5DB6">
        <w:rPr>
          <w:rStyle w:val="normaltextrun"/>
          <w:rFonts w:ascii="Arial" w:hAnsi="Arial" w:cs="Arial"/>
          <w:sz w:val="22"/>
          <w:szCs w:val="22"/>
        </w:rPr>
        <w:t>The n</w:t>
      </w:r>
      <w:r w:rsidR="004478CE">
        <w:rPr>
          <w:rStyle w:val="normaltextrun"/>
          <w:rFonts w:ascii="Arial" w:hAnsi="Arial" w:cs="Arial"/>
          <w:sz w:val="22"/>
          <w:szCs w:val="22"/>
        </w:rPr>
        <w:t>o show-</w:t>
      </w:r>
      <w:r w:rsidR="004478CE" w:rsidRPr="004478CE">
        <w:rPr>
          <w:rStyle w:val="normaltextrun"/>
          <w:rFonts w:ascii="Arial" w:hAnsi="Arial" w:cs="Arial"/>
          <w:sz w:val="22"/>
          <w:szCs w:val="22"/>
        </w:rPr>
        <w:t>rate</w:t>
      </w:r>
      <w:r w:rsidR="004478CE">
        <w:rPr>
          <w:rStyle w:val="normaltextrun"/>
          <w:rFonts w:ascii="Arial" w:hAnsi="Arial" w:cs="Arial"/>
          <w:sz w:val="22"/>
          <w:szCs w:val="22"/>
        </w:rPr>
        <w:t xml:space="preserve"> is calculated by dividing</w:t>
      </w:r>
      <w:r w:rsidR="004478CE" w:rsidRPr="004478CE">
        <w:rPr>
          <w:rStyle w:val="normaltextrun"/>
          <w:rFonts w:ascii="Arial" w:hAnsi="Arial" w:cs="Arial"/>
          <w:sz w:val="22"/>
          <w:szCs w:val="22"/>
        </w:rPr>
        <w:t xml:space="preserve"> the number of no-shows (including late cancellations) by </w:t>
      </w:r>
      <w:r w:rsidR="002D1DFF">
        <w:rPr>
          <w:rStyle w:val="normaltextrun"/>
          <w:rFonts w:ascii="Arial" w:hAnsi="Arial" w:cs="Arial"/>
          <w:sz w:val="22"/>
          <w:szCs w:val="22"/>
        </w:rPr>
        <w:t xml:space="preserve">the </w:t>
      </w:r>
      <w:r w:rsidR="004478CE" w:rsidRPr="004478CE">
        <w:rPr>
          <w:rStyle w:val="normaltextrun"/>
          <w:rFonts w:ascii="Arial" w:hAnsi="Arial" w:cs="Arial"/>
          <w:sz w:val="22"/>
          <w:szCs w:val="22"/>
        </w:rPr>
        <w:t>tota</w:t>
      </w:r>
      <w:r w:rsidR="004478CE">
        <w:rPr>
          <w:rStyle w:val="normaltextrun"/>
          <w:rFonts w:ascii="Arial" w:hAnsi="Arial" w:cs="Arial"/>
          <w:sz w:val="22"/>
          <w:szCs w:val="22"/>
        </w:rPr>
        <w:t>l number of daily/weekly/monthly appointments.</w:t>
      </w:r>
      <w:r w:rsidR="00C94C31">
        <w:rPr>
          <w:rStyle w:val="normaltextrun"/>
          <w:rFonts w:ascii="Arial" w:hAnsi="Arial" w:cs="Arial"/>
          <w:sz w:val="22"/>
          <w:szCs w:val="22"/>
        </w:rPr>
        <w:t xml:space="preserve"> </w:t>
      </w:r>
      <w:r w:rsidR="004478CE" w:rsidRPr="00C94C31">
        <w:rPr>
          <w:rStyle w:val="normaltextrun"/>
          <w:rFonts w:ascii="Arial" w:hAnsi="Arial" w:cs="Arial"/>
          <w:sz w:val="22"/>
          <w:szCs w:val="22"/>
        </w:rPr>
        <w:t>The applicant will provide the following data to DPH: MRI No-show rate.</w:t>
      </w:r>
    </w:p>
    <w:p w14:paraId="705450F7" w14:textId="77777777" w:rsidR="00B01913" w:rsidRPr="00E454CE" w:rsidRDefault="00B01913" w:rsidP="00B01913">
      <w:pPr>
        <w:pStyle w:val="ListParagraph"/>
        <w:jc w:val="both"/>
        <w:rPr>
          <w:rFonts w:ascii="Arial" w:hAnsi="Arial" w:cs="Arial"/>
          <w:sz w:val="22"/>
          <w:szCs w:val="22"/>
        </w:rPr>
      </w:pPr>
    </w:p>
    <w:p w14:paraId="6DB30F36" w14:textId="77777777" w:rsidR="00B01913" w:rsidRPr="00E454CE" w:rsidRDefault="00B01913" w:rsidP="00B01913">
      <w:pPr>
        <w:ind w:left="1440"/>
        <w:jc w:val="both"/>
        <w:rPr>
          <w:rFonts w:ascii="Arial" w:hAnsi="Arial" w:cs="Arial"/>
          <w:sz w:val="22"/>
          <w:szCs w:val="22"/>
        </w:rPr>
      </w:pPr>
      <w:r w:rsidRPr="00C94C31">
        <w:rPr>
          <w:rStyle w:val="normaltextrun"/>
          <w:rFonts w:ascii="Arial" w:hAnsi="Arial" w:cs="Arial"/>
          <w:b/>
          <w:bCs/>
          <w:sz w:val="22"/>
          <w:szCs w:val="22"/>
        </w:rPr>
        <w:t>Projections</w:t>
      </w:r>
      <w:r w:rsidRPr="00C94C31">
        <w:rPr>
          <w:rFonts w:ascii="Arial" w:hAnsi="Arial" w:cs="Arial"/>
          <w:b/>
          <w:bCs/>
          <w:sz w:val="22"/>
          <w:szCs w:val="22"/>
        </w:rPr>
        <w:t>:</w:t>
      </w:r>
      <w:r w:rsidR="00FC4498" w:rsidRPr="00C94C31">
        <w:rPr>
          <w:rFonts w:ascii="Arial" w:hAnsi="Arial" w:cs="Arial"/>
          <w:sz w:val="22"/>
          <w:szCs w:val="22"/>
        </w:rPr>
        <w:t xml:space="preserve"> Baseline:</w:t>
      </w:r>
      <w:r w:rsidR="00C94C31" w:rsidRPr="00C94C31">
        <w:rPr>
          <w:rFonts w:ascii="Arial" w:hAnsi="Arial" w:cs="Arial"/>
          <w:sz w:val="22"/>
          <w:szCs w:val="22"/>
        </w:rPr>
        <w:t xml:space="preserve"> </w:t>
      </w:r>
      <w:r w:rsidR="000E7D29" w:rsidRPr="00C94C31">
        <w:rPr>
          <w:rFonts w:ascii="Arial" w:hAnsi="Arial" w:cs="Arial"/>
          <w:sz w:val="22"/>
          <w:szCs w:val="22"/>
        </w:rPr>
        <w:t>26</w:t>
      </w:r>
      <w:r w:rsidR="004478CE" w:rsidRPr="00C94C31">
        <w:rPr>
          <w:rFonts w:ascii="Arial" w:hAnsi="Arial" w:cs="Arial"/>
          <w:sz w:val="22"/>
          <w:szCs w:val="22"/>
        </w:rPr>
        <w:t>%</w:t>
      </w:r>
      <w:r w:rsidR="00FC4498" w:rsidRPr="00C94C31">
        <w:rPr>
          <w:rFonts w:ascii="Arial" w:hAnsi="Arial" w:cs="Arial"/>
          <w:sz w:val="22"/>
          <w:szCs w:val="22"/>
        </w:rPr>
        <w:t xml:space="preserve">; Year 1: </w:t>
      </w:r>
      <w:r w:rsidR="004478CE" w:rsidRPr="00C94C31">
        <w:rPr>
          <w:rFonts w:ascii="Arial" w:hAnsi="Arial" w:cs="Arial"/>
          <w:sz w:val="22"/>
          <w:szCs w:val="22"/>
        </w:rPr>
        <w:t>19%</w:t>
      </w:r>
      <w:r w:rsidR="000E7D29" w:rsidRPr="00C94C31">
        <w:rPr>
          <w:rFonts w:ascii="Arial" w:hAnsi="Arial" w:cs="Arial"/>
          <w:sz w:val="22"/>
          <w:szCs w:val="22"/>
        </w:rPr>
        <w:t>%</w:t>
      </w:r>
      <w:r w:rsidR="00FC4498" w:rsidRPr="00C94C31">
        <w:rPr>
          <w:rFonts w:ascii="Arial" w:hAnsi="Arial" w:cs="Arial"/>
          <w:sz w:val="22"/>
          <w:szCs w:val="22"/>
        </w:rPr>
        <w:t>; Year 2:</w:t>
      </w:r>
      <w:r w:rsidR="00C94C31" w:rsidRPr="00C94C31">
        <w:rPr>
          <w:rFonts w:ascii="Arial" w:hAnsi="Arial" w:cs="Arial"/>
          <w:sz w:val="22"/>
          <w:szCs w:val="22"/>
        </w:rPr>
        <w:t xml:space="preserve"> </w:t>
      </w:r>
      <w:r w:rsidR="004478CE" w:rsidRPr="00C94C31">
        <w:rPr>
          <w:rFonts w:ascii="Arial" w:hAnsi="Arial" w:cs="Arial"/>
          <w:sz w:val="22"/>
          <w:szCs w:val="22"/>
        </w:rPr>
        <w:t>14</w:t>
      </w:r>
      <w:r w:rsidR="001D7E8B">
        <w:rPr>
          <w:rFonts w:ascii="Arial" w:hAnsi="Arial" w:cs="Arial"/>
          <w:sz w:val="22"/>
          <w:szCs w:val="22"/>
        </w:rPr>
        <w:t>%</w:t>
      </w:r>
      <w:r w:rsidR="00FC4498" w:rsidRPr="00C94C31">
        <w:rPr>
          <w:rFonts w:ascii="Arial" w:hAnsi="Arial" w:cs="Arial"/>
          <w:sz w:val="22"/>
          <w:szCs w:val="22"/>
        </w:rPr>
        <w:t>; Year 3:</w:t>
      </w:r>
      <w:r w:rsidR="000E7D29" w:rsidRPr="00C94C31">
        <w:rPr>
          <w:rFonts w:ascii="Arial" w:hAnsi="Arial" w:cs="Arial"/>
          <w:sz w:val="22"/>
          <w:szCs w:val="22"/>
        </w:rPr>
        <w:t>1</w:t>
      </w:r>
      <w:r w:rsidR="00C94C31" w:rsidRPr="00C94C31">
        <w:rPr>
          <w:rFonts w:ascii="Arial" w:hAnsi="Arial" w:cs="Arial"/>
          <w:sz w:val="22"/>
          <w:szCs w:val="22"/>
        </w:rPr>
        <w:t>0%</w:t>
      </w:r>
      <w:r w:rsidRPr="00E454CE">
        <w:rPr>
          <w:rFonts w:ascii="Arial" w:hAnsi="Arial" w:cs="Arial"/>
          <w:sz w:val="22"/>
          <w:szCs w:val="22"/>
        </w:rPr>
        <w:t xml:space="preserve"> </w:t>
      </w:r>
    </w:p>
    <w:p w14:paraId="095B71A6" w14:textId="77777777" w:rsidR="00B01913" w:rsidRPr="00E454CE" w:rsidRDefault="00B01913" w:rsidP="00B01913">
      <w:pPr>
        <w:ind w:left="1080"/>
        <w:jc w:val="both"/>
        <w:rPr>
          <w:rFonts w:ascii="Arial" w:hAnsi="Arial" w:cs="Arial"/>
          <w:sz w:val="22"/>
          <w:szCs w:val="22"/>
        </w:rPr>
      </w:pPr>
    </w:p>
    <w:p w14:paraId="1423977E" w14:textId="77777777" w:rsidR="00B01913" w:rsidRDefault="00B01913" w:rsidP="00B01913">
      <w:pPr>
        <w:ind w:left="1440"/>
        <w:jc w:val="both"/>
        <w:rPr>
          <w:rStyle w:val="normaltextrun"/>
          <w:rFonts w:ascii="Arial" w:hAnsi="Arial" w:cs="Arial"/>
          <w:sz w:val="22"/>
          <w:szCs w:val="22"/>
        </w:rPr>
      </w:pPr>
      <w:r w:rsidRPr="00FC4498">
        <w:rPr>
          <w:rFonts w:ascii="Arial" w:hAnsi="Arial" w:cs="Arial"/>
          <w:b/>
          <w:bCs/>
          <w:sz w:val="22"/>
          <w:szCs w:val="22"/>
        </w:rPr>
        <w:t xml:space="preserve">Monitoring: </w:t>
      </w:r>
      <w:r w:rsidRPr="00FC4498">
        <w:rPr>
          <w:rStyle w:val="normaltextrun"/>
          <w:rFonts w:ascii="Arial" w:hAnsi="Arial" w:cs="Arial"/>
          <w:sz w:val="22"/>
          <w:szCs w:val="22"/>
        </w:rPr>
        <w:t>The Applicant will collect and provide data to DPH on an annual basis beginning one (1) year following implementation of the Proposed</w:t>
      </w:r>
      <w:r w:rsidRPr="00E454CE">
        <w:rPr>
          <w:rStyle w:val="normaltextrun"/>
          <w:rFonts w:ascii="Arial" w:hAnsi="Arial" w:cs="Arial"/>
          <w:sz w:val="22"/>
          <w:szCs w:val="22"/>
        </w:rPr>
        <w:t xml:space="preserve"> Project.</w:t>
      </w:r>
    </w:p>
    <w:p w14:paraId="34777A5E" w14:textId="77777777" w:rsidR="00063458" w:rsidRPr="00E454CE" w:rsidRDefault="00063458" w:rsidP="00063458">
      <w:pPr>
        <w:jc w:val="both"/>
        <w:rPr>
          <w:rFonts w:ascii="Arial" w:hAnsi="Arial" w:cs="Arial"/>
          <w:sz w:val="22"/>
          <w:szCs w:val="22"/>
        </w:rPr>
      </w:pPr>
    </w:p>
    <w:p w14:paraId="669E2776" w14:textId="77777777" w:rsidR="00A7096F" w:rsidRDefault="00DB5ABC" w:rsidP="007B7A49">
      <w:pPr>
        <w:pStyle w:val="ListParagraph"/>
        <w:numPr>
          <w:ilvl w:val="0"/>
          <w:numId w:val="7"/>
        </w:numPr>
        <w:jc w:val="both"/>
        <w:rPr>
          <w:rStyle w:val="normaltextrun"/>
          <w:rFonts w:ascii="Arial" w:hAnsi="Arial" w:cs="Arial"/>
          <w:sz w:val="22"/>
          <w:szCs w:val="22"/>
        </w:rPr>
      </w:pPr>
      <w:r w:rsidRPr="004D5B42">
        <w:rPr>
          <w:rFonts w:ascii="Arial" w:hAnsi="Arial" w:cs="Arial"/>
          <w:b/>
          <w:bCs/>
          <w:sz w:val="22"/>
          <w:szCs w:val="22"/>
        </w:rPr>
        <w:t xml:space="preserve">Critical </w:t>
      </w:r>
      <w:r w:rsidR="00CC5758">
        <w:rPr>
          <w:rFonts w:ascii="Arial" w:hAnsi="Arial" w:cs="Arial"/>
          <w:b/>
          <w:bCs/>
          <w:sz w:val="22"/>
          <w:szCs w:val="22"/>
        </w:rPr>
        <w:t>Findings</w:t>
      </w:r>
      <w:r w:rsidRPr="004D5B42">
        <w:rPr>
          <w:rFonts w:ascii="Arial" w:hAnsi="Arial" w:cs="Arial"/>
          <w:b/>
          <w:bCs/>
          <w:sz w:val="22"/>
          <w:szCs w:val="22"/>
        </w:rPr>
        <w:t xml:space="preserve"> Reporting</w:t>
      </w:r>
      <w:r w:rsidR="00194527" w:rsidRPr="004D5B42">
        <w:rPr>
          <w:rFonts w:ascii="Arial" w:hAnsi="Arial" w:cs="Arial"/>
          <w:b/>
          <w:bCs/>
          <w:sz w:val="22"/>
          <w:szCs w:val="22"/>
        </w:rPr>
        <w:t xml:space="preserve">: </w:t>
      </w:r>
      <w:r w:rsidR="00A7096F" w:rsidRPr="007E1F9A">
        <w:rPr>
          <w:rFonts w:ascii="Arial" w:hAnsi="Arial" w:cs="Arial"/>
          <w:sz w:val="22"/>
          <w:szCs w:val="22"/>
        </w:rPr>
        <w:t xml:space="preserve">The Proposed Project </w:t>
      </w:r>
      <w:r w:rsidR="00A7096F">
        <w:rPr>
          <w:rFonts w:ascii="Arial" w:hAnsi="Arial" w:cs="Arial"/>
          <w:color w:val="000000" w:themeColor="text1"/>
          <w:sz w:val="22"/>
          <w:szCs w:val="22"/>
        </w:rPr>
        <w:t>seeks</w:t>
      </w:r>
      <w:r w:rsidR="00A7096F" w:rsidRPr="00E06CAE">
        <w:rPr>
          <w:rFonts w:ascii="Arial" w:hAnsi="Arial" w:cs="Arial"/>
          <w:color w:val="000000" w:themeColor="text1"/>
          <w:sz w:val="22"/>
          <w:szCs w:val="22"/>
        </w:rPr>
        <w:t xml:space="preserve"> to </w:t>
      </w:r>
      <w:r w:rsidR="00A7096F">
        <w:rPr>
          <w:rFonts w:ascii="Arial" w:hAnsi="Arial" w:cs="Arial"/>
          <w:color w:val="000000" w:themeColor="text1"/>
          <w:sz w:val="22"/>
          <w:szCs w:val="22"/>
        </w:rPr>
        <w:t>ensure timely access to high-quality services</w:t>
      </w:r>
      <w:r w:rsidR="00A7096F" w:rsidRPr="00E06CAE">
        <w:rPr>
          <w:rFonts w:ascii="Arial" w:hAnsi="Arial" w:cs="Arial"/>
          <w:color w:val="000000" w:themeColor="text1"/>
          <w:sz w:val="22"/>
          <w:szCs w:val="22"/>
        </w:rPr>
        <w:t xml:space="preserve"> </w:t>
      </w:r>
      <w:r w:rsidR="00A7096F">
        <w:rPr>
          <w:rFonts w:ascii="Arial" w:hAnsi="Arial" w:cs="Arial"/>
          <w:color w:val="000000" w:themeColor="text1"/>
          <w:sz w:val="22"/>
          <w:szCs w:val="22"/>
        </w:rPr>
        <w:t xml:space="preserve">for BMC’s existing and </w:t>
      </w:r>
      <w:r w:rsidR="00A7096F" w:rsidRPr="00E06CAE">
        <w:rPr>
          <w:rFonts w:ascii="Arial" w:hAnsi="Arial" w:cs="Arial"/>
          <w:color w:val="000000" w:themeColor="text1"/>
          <w:sz w:val="22"/>
          <w:szCs w:val="22"/>
        </w:rPr>
        <w:t>future patient panel</w:t>
      </w:r>
      <w:r w:rsidR="00A7096F">
        <w:rPr>
          <w:rFonts w:ascii="Arial" w:hAnsi="Arial" w:cs="Arial"/>
          <w:color w:val="000000" w:themeColor="text1"/>
          <w:sz w:val="22"/>
          <w:szCs w:val="22"/>
        </w:rPr>
        <w:t>.</w:t>
      </w:r>
      <w:r w:rsidR="00A7096F" w:rsidRPr="007E1F9A">
        <w:rPr>
          <w:rStyle w:val="normaltextrun"/>
          <w:rFonts w:ascii="Arial" w:hAnsi="Arial" w:cs="Arial"/>
          <w:sz w:val="22"/>
          <w:szCs w:val="22"/>
        </w:rPr>
        <w:t xml:space="preserve"> </w:t>
      </w:r>
      <w:r w:rsidR="00A7096F">
        <w:rPr>
          <w:rStyle w:val="normaltextrun"/>
          <w:rFonts w:ascii="Arial" w:hAnsi="Arial" w:cs="Arial"/>
          <w:sz w:val="22"/>
          <w:szCs w:val="22"/>
        </w:rPr>
        <w:t>Currently, BMC has processes in place to ensure quality provision of its MRI services. For instance, when critical findings are registered for a patient, these findings are communicated directly from the radiologist to the ordering provider within 60 minutes.</w:t>
      </w:r>
      <w:r w:rsidR="007B7A49">
        <w:rPr>
          <w:rStyle w:val="normaltextrun"/>
          <w:rFonts w:ascii="Arial" w:hAnsi="Arial" w:cs="Arial"/>
          <w:sz w:val="22"/>
          <w:szCs w:val="22"/>
        </w:rPr>
        <w:t xml:space="preserve"> This process ensures that clinical decisions may be expedited and, therefore, impacts patient outcomes and quality of care. </w:t>
      </w:r>
      <w:r w:rsidR="00A7096F">
        <w:rPr>
          <w:rStyle w:val="normaltextrun"/>
          <w:rFonts w:ascii="Arial" w:hAnsi="Arial" w:cs="Arial"/>
          <w:sz w:val="22"/>
          <w:szCs w:val="22"/>
        </w:rPr>
        <w:t xml:space="preserve">This process will continue following implementation of the Proposed Project. </w:t>
      </w:r>
    </w:p>
    <w:p w14:paraId="5C5CC65D" w14:textId="77777777" w:rsidR="00A7096F" w:rsidRDefault="00A7096F" w:rsidP="00CC5758">
      <w:pPr>
        <w:jc w:val="both"/>
        <w:rPr>
          <w:rFonts w:ascii="Arial" w:hAnsi="Arial" w:cs="Arial"/>
          <w:sz w:val="22"/>
          <w:szCs w:val="22"/>
        </w:rPr>
      </w:pPr>
    </w:p>
    <w:p w14:paraId="6E32B839" w14:textId="77777777" w:rsidR="00194527" w:rsidRPr="000062C7" w:rsidRDefault="00194527" w:rsidP="00194527">
      <w:pPr>
        <w:pStyle w:val="ListParagraph"/>
        <w:ind w:left="1080"/>
        <w:jc w:val="both"/>
        <w:rPr>
          <w:rStyle w:val="eop"/>
          <w:rFonts w:ascii="Arial" w:hAnsi="Arial" w:cs="Arial"/>
          <w:sz w:val="22"/>
          <w:szCs w:val="22"/>
        </w:rPr>
      </w:pPr>
      <w:r w:rsidRPr="00033F88">
        <w:rPr>
          <w:rStyle w:val="normaltextrun"/>
          <w:rFonts w:ascii="Arial" w:hAnsi="Arial" w:cs="Arial"/>
          <w:b/>
          <w:bCs/>
          <w:sz w:val="22"/>
          <w:szCs w:val="22"/>
        </w:rPr>
        <w:t>Measure:</w:t>
      </w:r>
      <w:r w:rsidRPr="00033F88">
        <w:rPr>
          <w:rStyle w:val="normaltextrun"/>
          <w:rFonts w:ascii="Arial" w:hAnsi="Arial" w:cs="Arial"/>
          <w:sz w:val="22"/>
          <w:szCs w:val="22"/>
        </w:rPr>
        <w:t xml:space="preserve"> This measure will collect and provide data </w:t>
      </w:r>
      <w:r w:rsidR="002335BF" w:rsidRPr="00033F88">
        <w:rPr>
          <w:rStyle w:val="normaltextrun"/>
          <w:rFonts w:ascii="Arial" w:hAnsi="Arial" w:cs="Arial"/>
          <w:sz w:val="22"/>
          <w:szCs w:val="22"/>
        </w:rPr>
        <w:t xml:space="preserve">on the number of radiologists </w:t>
      </w:r>
      <w:r w:rsidR="002335BF" w:rsidRPr="000062C7">
        <w:rPr>
          <w:rStyle w:val="normaltextrun"/>
          <w:rFonts w:ascii="Arial" w:hAnsi="Arial" w:cs="Arial"/>
          <w:sz w:val="22"/>
          <w:szCs w:val="22"/>
        </w:rPr>
        <w:t xml:space="preserve">conducting critical </w:t>
      </w:r>
      <w:r w:rsidR="00CC5758">
        <w:rPr>
          <w:rStyle w:val="normaltextrun"/>
          <w:rFonts w:ascii="Arial" w:hAnsi="Arial" w:cs="Arial"/>
          <w:sz w:val="22"/>
          <w:szCs w:val="22"/>
        </w:rPr>
        <w:t>findings</w:t>
      </w:r>
      <w:r w:rsidR="002335BF" w:rsidRPr="000062C7">
        <w:rPr>
          <w:rStyle w:val="normaltextrun"/>
          <w:rFonts w:ascii="Arial" w:hAnsi="Arial" w:cs="Arial"/>
          <w:sz w:val="22"/>
          <w:szCs w:val="22"/>
        </w:rPr>
        <w:t xml:space="preserve"> reporting on cases being interpreted</w:t>
      </w:r>
      <w:r w:rsidRPr="000062C7">
        <w:rPr>
          <w:rStyle w:val="normaltextrun"/>
          <w:rFonts w:ascii="Arial" w:hAnsi="Arial" w:cs="Arial"/>
          <w:sz w:val="22"/>
          <w:szCs w:val="22"/>
        </w:rPr>
        <w:t>.</w:t>
      </w:r>
    </w:p>
    <w:p w14:paraId="2AD245C4" w14:textId="77777777" w:rsidR="00194527" w:rsidRPr="000062C7" w:rsidRDefault="00194527" w:rsidP="00194527">
      <w:pPr>
        <w:pStyle w:val="ListParagraph"/>
        <w:jc w:val="both"/>
        <w:rPr>
          <w:rFonts w:ascii="Arial" w:hAnsi="Arial" w:cs="Arial"/>
          <w:sz w:val="22"/>
          <w:szCs w:val="22"/>
        </w:rPr>
      </w:pPr>
    </w:p>
    <w:p w14:paraId="5FCB28C6" w14:textId="77777777" w:rsidR="00194527" w:rsidRPr="000062C7" w:rsidRDefault="004D5B42" w:rsidP="004D5B42">
      <w:pPr>
        <w:ind w:left="1080"/>
        <w:jc w:val="both"/>
        <w:rPr>
          <w:rFonts w:ascii="Arial" w:hAnsi="Arial" w:cs="Arial"/>
          <w:sz w:val="22"/>
          <w:szCs w:val="22"/>
        </w:rPr>
      </w:pPr>
      <w:r w:rsidRPr="000062C7">
        <w:rPr>
          <w:rStyle w:val="normaltextrun"/>
          <w:rFonts w:ascii="Arial" w:hAnsi="Arial" w:cs="Arial"/>
          <w:b/>
          <w:bCs/>
          <w:sz w:val="22"/>
          <w:szCs w:val="22"/>
        </w:rPr>
        <w:t>Projections</w:t>
      </w:r>
      <w:r w:rsidRPr="000062C7">
        <w:rPr>
          <w:rFonts w:ascii="Arial" w:hAnsi="Arial" w:cs="Arial"/>
          <w:b/>
          <w:bCs/>
          <w:sz w:val="22"/>
          <w:szCs w:val="22"/>
        </w:rPr>
        <w:t>:</w:t>
      </w:r>
      <w:r w:rsidRPr="000062C7">
        <w:rPr>
          <w:rFonts w:ascii="Arial" w:hAnsi="Arial" w:cs="Arial"/>
          <w:sz w:val="22"/>
          <w:szCs w:val="22"/>
        </w:rPr>
        <w:t xml:space="preserve"> Baseline: </w:t>
      </w:r>
      <w:r w:rsidR="000062C7" w:rsidRPr="000062C7">
        <w:rPr>
          <w:rFonts w:ascii="Arial" w:hAnsi="Arial" w:cs="Arial"/>
          <w:sz w:val="22"/>
          <w:szCs w:val="22"/>
        </w:rPr>
        <w:t>100%;</w:t>
      </w:r>
      <w:r w:rsidRPr="000062C7">
        <w:rPr>
          <w:rFonts w:ascii="Arial" w:hAnsi="Arial" w:cs="Arial"/>
          <w:sz w:val="22"/>
          <w:szCs w:val="22"/>
        </w:rPr>
        <w:t xml:space="preserve"> Year 1: </w:t>
      </w:r>
      <w:r w:rsidR="000062C7" w:rsidRPr="000062C7">
        <w:rPr>
          <w:rFonts w:ascii="Arial" w:hAnsi="Arial" w:cs="Arial"/>
          <w:sz w:val="22"/>
          <w:szCs w:val="22"/>
        </w:rPr>
        <w:t>100%</w:t>
      </w:r>
      <w:r w:rsidRPr="000062C7">
        <w:rPr>
          <w:rFonts w:ascii="Arial" w:hAnsi="Arial" w:cs="Arial"/>
          <w:sz w:val="22"/>
          <w:szCs w:val="22"/>
        </w:rPr>
        <w:t xml:space="preserve">; Year 2: </w:t>
      </w:r>
      <w:r w:rsidR="000062C7" w:rsidRPr="000062C7">
        <w:rPr>
          <w:rFonts w:ascii="Arial" w:hAnsi="Arial" w:cs="Arial"/>
          <w:sz w:val="22"/>
          <w:szCs w:val="22"/>
        </w:rPr>
        <w:t>100%</w:t>
      </w:r>
      <w:r w:rsidRPr="000062C7">
        <w:rPr>
          <w:rFonts w:ascii="Arial" w:hAnsi="Arial" w:cs="Arial"/>
          <w:sz w:val="22"/>
          <w:szCs w:val="22"/>
        </w:rPr>
        <w:t xml:space="preserve">; Year 3: </w:t>
      </w:r>
      <w:r w:rsidR="000062C7" w:rsidRPr="000062C7">
        <w:rPr>
          <w:rFonts w:ascii="Arial" w:hAnsi="Arial" w:cs="Arial"/>
          <w:sz w:val="22"/>
          <w:szCs w:val="22"/>
        </w:rPr>
        <w:t>100%</w:t>
      </w:r>
      <w:r w:rsidRPr="000062C7">
        <w:rPr>
          <w:rFonts w:ascii="Arial" w:hAnsi="Arial" w:cs="Arial"/>
          <w:sz w:val="22"/>
          <w:szCs w:val="22"/>
        </w:rPr>
        <w:t xml:space="preserve">. </w:t>
      </w:r>
    </w:p>
    <w:p w14:paraId="0FE81318" w14:textId="77777777" w:rsidR="00E454CE" w:rsidRPr="000062C7" w:rsidRDefault="00E454CE" w:rsidP="004D5B42">
      <w:pPr>
        <w:jc w:val="both"/>
        <w:rPr>
          <w:rFonts w:ascii="Arial" w:hAnsi="Arial" w:cs="Arial"/>
          <w:sz w:val="22"/>
          <w:szCs w:val="22"/>
        </w:rPr>
      </w:pPr>
    </w:p>
    <w:p w14:paraId="5531270E" w14:textId="77777777" w:rsidR="00E454CE" w:rsidRPr="00E454CE" w:rsidRDefault="00E454CE" w:rsidP="00E454CE">
      <w:pPr>
        <w:ind w:left="1080"/>
        <w:jc w:val="both"/>
        <w:rPr>
          <w:rFonts w:ascii="Arial" w:hAnsi="Arial" w:cs="Arial"/>
          <w:b/>
          <w:bCs/>
          <w:sz w:val="22"/>
          <w:szCs w:val="22"/>
        </w:rPr>
      </w:pPr>
      <w:r w:rsidRPr="000062C7">
        <w:rPr>
          <w:rFonts w:ascii="Arial" w:hAnsi="Arial" w:cs="Arial"/>
          <w:b/>
          <w:bCs/>
          <w:sz w:val="22"/>
          <w:szCs w:val="22"/>
        </w:rPr>
        <w:t xml:space="preserve">Monitoring: </w:t>
      </w:r>
      <w:r w:rsidRPr="000062C7">
        <w:rPr>
          <w:rStyle w:val="normaltextrun"/>
          <w:rFonts w:ascii="Arial" w:hAnsi="Arial" w:cs="Arial"/>
          <w:sz w:val="22"/>
          <w:szCs w:val="22"/>
        </w:rPr>
        <w:t>The Applicant will collect and provide data to DPH on an annual basis beginning</w:t>
      </w:r>
      <w:r w:rsidRPr="004D5B42">
        <w:rPr>
          <w:rStyle w:val="normaltextrun"/>
          <w:rFonts w:ascii="Arial" w:hAnsi="Arial" w:cs="Arial"/>
          <w:sz w:val="22"/>
          <w:szCs w:val="22"/>
        </w:rPr>
        <w:t xml:space="preserve"> one (1) year following implementation of the Proposed Project.</w:t>
      </w:r>
    </w:p>
    <w:p w14:paraId="59B42BC9" w14:textId="77777777" w:rsidR="00194527" w:rsidRPr="00FA6D49" w:rsidRDefault="00194527" w:rsidP="00E24D42">
      <w:pPr>
        <w:pStyle w:val="NormalWeb"/>
        <w:spacing w:before="0" w:beforeAutospacing="0" w:after="0" w:afterAutospacing="0"/>
        <w:jc w:val="both"/>
        <w:rPr>
          <w:rFonts w:ascii="Arial" w:hAnsi="Arial" w:cs="Arial"/>
          <w:sz w:val="22"/>
          <w:szCs w:val="22"/>
          <w:u w:val="single"/>
        </w:rPr>
      </w:pPr>
    </w:p>
    <w:p w14:paraId="7000A6D7" w14:textId="77777777" w:rsidR="001F5FD9" w:rsidRPr="00FA6D49" w:rsidRDefault="001F5FD9" w:rsidP="009A7F8F">
      <w:pPr>
        <w:pStyle w:val="paragraph"/>
        <w:spacing w:before="0" w:beforeAutospacing="0" w:after="0" w:afterAutospacing="0"/>
        <w:ind w:left="1080" w:hanging="1080"/>
        <w:jc w:val="both"/>
        <w:textAlignment w:val="baseline"/>
        <w:rPr>
          <w:rFonts w:ascii="Segoe UI" w:hAnsi="Segoe UI" w:cs="Segoe UI"/>
          <w:sz w:val="18"/>
          <w:szCs w:val="18"/>
        </w:rPr>
      </w:pPr>
      <w:r w:rsidRPr="00FA6D49">
        <w:rPr>
          <w:rStyle w:val="normaltextrun"/>
          <w:rFonts w:ascii="Arial" w:hAnsi="Arial" w:cs="Arial"/>
          <w:b/>
          <w:bCs/>
          <w:sz w:val="22"/>
          <w:szCs w:val="22"/>
        </w:rPr>
        <w:t xml:space="preserve">F1.b.iii </w:t>
      </w:r>
      <w:r w:rsidRPr="00FA6D49">
        <w:rPr>
          <w:rStyle w:val="tabchar"/>
          <w:rFonts w:ascii="Calibri" w:hAnsi="Calibri" w:cs="Calibri"/>
          <w:sz w:val="22"/>
          <w:szCs w:val="22"/>
        </w:rPr>
        <w:tab/>
      </w:r>
      <w:r w:rsidRPr="00FA6D49">
        <w:rPr>
          <w:rStyle w:val="normaltextrun"/>
          <w:rFonts w:ascii="Arial" w:hAnsi="Arial" w:cs="Arial"/>
          <w:b/>
          <w:bCs/>
          <w:sz w:val="22"/>
          <w:szCs w:val="22"/>
          <w:u w:val="single"/>
        </w:rPr>
        <w:t>Public Health Value/Health Equity-Focused</w:t>
      </w:r>
      <w:r w:rsidRPr="00FA6D49">
        <w:rPr>
          <w:rStyle w:val="normaltextrun"/>
          <w:rFonts w:ascii="Arial" w:hAnsi="Arial" w:cs="Arial"/>
          <w:b/>
          <w:bCs/>
          <w:sz w:val="22"/>
          <w:szCs w:val="22"/>
        </w:rPr>
        <w:t>:</w:t>
      </w:r>
      <w:r w:rsidRPr="00FA6D49">
        <w:rPr>
          <w:rStyle w:val="eop"/>
          <w:rFonts w:ascii="Arial" w:hAnsi="Arial" w:cs="Arial"/>
          <w:sz w:val="22"/>
          <w:szCs w:val="22"/>
        </w:rPr>
        <w:t> </w:t>
      </w:r>
    </w:p>
    <w:p w14:paraId="640D8ABA" w14:textId="77777777" w:rsidR="001F5FD9" w:rsidRPr="00FA6D49" w:rsidRDefault="001F5FD9" w:rsidP="009A7F8F">
      <w:pPr>
        <w:pStyle w:val="paragraph"/>
        <w:spacing w:before="0" w:beforeAutospacing="0" w:after="0" w:afterAutospacing="0"/>
        <w:ind w:left="1080"/>
        <w:jc w:val="both"/>
        <w:textAlignment w:val="baseline"/>
        <w:rPr>
          <w:rFonts w:ascii="Segoe UI" w:hAnsi="Segoe UI" w:cs="Segoe UI"/>
          <w:sz w:val="18"/>
          <w:szCs w:val="18"/>
        </w:rPr>
      </w:pPr>
      <w:r w:rsidRPr="00FA6D49">
        <w:rPr>
          <w:rStyle w:val="normaltextrun"/>
          <w:rFonts w:ascii="Arial" w:hAnsi="Arial" w:cs="Arial"/>
          <w:b/>
          <w:bCs/>
          <w:sz w:val="22"/>
          <w:szCs w:val="22"/>
        </w:rPr>
        <w:t>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Pr="00FA6D49">
        <w:rPr>
          <w:rStyle w:val="eop"/>
          <w:rFonts w:ascii="Arial" w:hAnsi="Arial" w:cs="Arial"/>
          <w:sz w:val="22"/>
          <w:szCs w:val="22"/>
        </w:rPr>
        <w:t> </w:t>
      </w:r>
    </w:p>
    <w:p w14:paraId="768FEEE3" w14:textId="77777777" w:rsidR="001F5FD9" w:rsidRPr="00FA6D49" w:rsidRDefault="001F5FD9" w:rsidP="00E24D42">
      <w:pPr>
        <w:pStyle w:val="NormalWeb"/>
        <w:spacing w:before="0" w:beforeAutospacing="0" w:after="0" w:afterAutospacing="0"/>
        <w:jc w:val="both"/>
        <w:rPr>
          <w:rFonts w:ascii="Arial" w:hAnsi="Arial" w:cs="Arial"/>
          <w:sz w:val="22"/>
          <w:szCs w:val="22"/>
          <w:u w:val="single"/>
        </w:rPr>
      </w:pPr>
    </w:p>
    <w:p w14:paraId="08A9EF2A" w14:textId="5052E45F" w:rsidR="003422B8" w:rsidRPr="00FA6D49" w:rsidRDefault="00834993" w:rsidP="00834993">
      <w:pPr>
        <w:jc w:val="both"/>
        <w:rPr>
          <w:rFonts w:ascii="Arial" w:hAnsi="Arial" w:cs="Arial"/>
          <w:sz w:val="22"/>
          <w:szCs w:val="22"/>
        </w:rPr>
      </w:pPr>
      <w:r w:rsidRPr="00D76184">
        <w:rPr>
          <w:rFonts w:ascii="Arial" w:hAnsi="Arial" w:cs="Arial"/>
          <w:sz w:val="22"/>
          <w:szCs w:val="22"/>
        </w:rPr>
        <w:t xml:space="preserve">As outlined throughout this narrative, through the Proposed Project, the Applicant seeks to alleviate </w:t>
      </w:r>
      <w:r w:rsidRPr="00D76184">
        <w:rPr>
          <w:rFonts w:ascii="Arial" w:hAnsi="Arial" w:cs="Arial"/>
          <w:color w:val="000000" w:themeColor="text1"/>
          <w:sz w:val="22"/>
          <w:szCs w:val="22"/>
        </w:rPr>
        <w:t xml:space="preserve">capacity constraints and </w:t>
      </w:r>
      <w:r w:rsidR="00EB6334" w:rsidRPr="00D76184">
        <w:rPr>
          <w:rFonts w:ascii="Arial" w:hAnsi="Arial" w:cs="Arial"/>
          <w:color w:val="000000" w:themeColor="text1"/>
          <w:sz w:val="22"/>
          <w:szCs w:val="22"/>
        </w:rPr>
        <w:t xml:space="preserve">wait times </w:t>
      </w:r>
      <w:r w:rsidR="00D76184" w:rsidRPr="00D76184">
        <w:rPr>
          <w:rFonts w:ascii="Arial" w:hAnsi="Arial" w:cs="Arial"/>
          <w:color w:val="000000" w:themeColor="text1"/>
          <w:sz w:val="22"/>
          <w:szCs w:val="22"/>
        </w:rPr>
        <w:t>for MRI scans, leading to greater operational efficiencies</w:t>
      </w:r>
      <w:r w:rsidR="000E7D29" w:rsidRPr="00D76184">
        <w:rPr>
          <w:rFonts w:ascii="Arial" w:hAnsi="Arial" w:cs="Arial"/>
          <w:color w:val="000000" w:themeColor="text1"/>
          <w:sz w:val="22"/>
          <w:szCs w:val="22"/>
        </w:rPr>
        <w:t xml:space="preserve">, </w:t>
      </w:r>
      <w:r w:rsidR="000E7D29" w:rsidRPr="00D76184">
        <w:rPr>
          <w:rFonts w:ascii="Arial" w:hAnsi="Arial" w:cs="Arial"/>
          <w:sz w:val="22"/>
          <w:szCs w:val="22"/>
        </w:rPr>
        <w:t>increased</w:t>
      </w:r>
      <w:r w:rsidRPr="00D76184">
        <w:rPr>
          <w:rFonts w:ascii="Arial" w:hAnsi="Arial" w:cs="Arial"/>
          <w:sz w:val="22"/>
          <w:szCs w:val="22"/>
        </w:rPr>
        <w:t xml:space="preserve"> patient satisfaction and health outcomes. </w:t>
      </w:r>
      <w:r w:rsidRPr="00FA6D49">
        <w:rPr>
          <w:rFonts w:ascii="Arial" w:hAnsi="Arial" w:cs="Arial"/>
          <w:sz w:val="22"/>
          <w:szCs w:val="22"/>
        </w:rPr>
        <w:t xml:space="preserve">In order to achieve these goals, BMC is further dedicated to addressing deep health inequities that exist among the Hospital’s patients and ensuring BMC’s sustainability as an academic safety net hospital providing exceptional care to Boston’s under-resourced population. Details on BMC’s essential role in the community and these efforts are detailed herein. </w:t>
      </w:r>
    </w:p>
    <w:p w14:paraId="2778C11D" w14:textId="77777777" w:rsidR="00834993" w:rsidRPr="00FA6D49" w:rsidRDefault="00834993" w:rsidP="00834993">
      <w:pPr>
        <w:rPr>
          <w:rFonts w:ascii="Arial" w:hAnsi="Arial" w:cs="Arial"/>
          <w:sz w:val="22"/>
          <w:szCs w:val="22"/>
        </w:rPr>
      </w:pPr>
    </w:p>
    <w:p w14:paraId="5E953E24" w14:textId="77777777" w:rsidR="00834993" w:rsidRPr="00FA6D49" w:rsidRDefault="00834993">
      <w:pPr>
        <w:pStyle w:val="ListParagraph"/>
        <w:numPr>
          <w:ilvl w:val="0"/>
          <w:numId w:val="14"/>
        </w:numPr>
        <w:ind w:left="360"/>
        <w:rPr>
          <w:rFonts w:ascii="Arial" w:hAnsi="Arial" w:cs="Arial"/>
          <w:smallCaps/>
          <w:sz w:val="22"/>
          <w:szCs w:val="22"/>
          <w:u w:val="single"/>
        </w:rPr>
      </w:pPr>
      <w:r w:rsidRPr="00FA6D49">
        <w:rPr>
          <w:rFonts w:ascii="Arial" w:hAnsi="Arial" w:cs="Arial"/>
          <w:smallCaps/>
          <w:sz w:val="22"/>
          <w:szCs w:val="22"/>
          <w:u w:val="single"/>
        </w:rPr>
        <w:t>Safety Net Hospital</w:t>
      </w:r>
    </w:p>
    <w:p w14:paraId="1E7DC54B" w14:textId="77777777" w:rsidR="00834993" w:rsidRPr="00FA6D49" w:rsidRDefault="00834993" w:rsidP="00834993">
      <w:pPr>
        <w:rPr>
          <w:rFonts w:ascii="Arial" w:hAnsi="Arial" w:cs="Arial"/>
          <w:sz w:val="22"/>
          <w:szCs w:val="22"/>
        </w:rPr>
      </w:pPr>
    </w:p>
    <w:p w14:paraId="5A069C65" w14:textId="77777777" w:rsidR="00834993" w:rsidRPr="00FA6D49" w:rsidRDefault="00834993" w:rsidP="00834993">
      <w:pPr>
        <w:jc w:val="both"/>
        <w:rPr>
          <w:rFonts w:ascii="ArialMT" w:hAnsi="ArialMT"/>
          <w:sz w:val="22"/>
          <w:szCs w:val="22"/>
        </w:rPr>
      </w:pPr>
      <w:r w:rsidRPr="00FA6D49">
        <w:rPr>
          <w:rFonts w:ascii="Arial" w:hAnsi="Arial" w:cs="Arial"/>
          <w:sz w:val="22"/>
          <w:szCs w:val="22"/>
        </w:rPr>
        <w:t xml:space="preserve">As noted throughout this narrative, BMC is New England’s largest safety net hospital, and as such, is dedicated to providing accessible care for everyone regardless of insurance status or ability to pay. </w:t>
      </w:r>
      <w:r w:rsidRPr="00FA6D49">
        <w:rPr>
          <w:rFonts w:ascii="ArialMT" w:hAnsi="ArialMT"/>
          <w:sz w:val="22"/>
          <w:szCs w:val="22"/>
        </w:rPr>
        <w:t xml:space="preserve">The majority of communities that BMC serves are Boston </w:t>
      </w:r>
      <w:r w:rsidRPr="00FA6D49">
        <w:rPr>
          <w:rFonts w:ascii="Arial" w:hAnsi="Arial" w:cs="Arial"/>
          <w:sz w:val="22"/>
          <w:szCs w:val="22"/>
        </w:rPr>
        <w:t xml:space="preserve">census tracts that are federally-designated medically underserved populations. As detailed in Factor F1.a.i, </w:t>
      </w:r>
      <w:r w:rsidRPr="00367D28">
        <w:rPr>
          <w:rFonts w:ascii="ArialMT" w:hAnsi="ArialMT"/>
          <w:sz w:val="22"/>
          <w:szCs w:val="22"/>
        </w:rPr>
        <w:t>nearly 5</w:t>
      </w:r>
      <w:r w:rsidR="00367D28" w:rsidRPr="00367D28">
        <w:rPr>
          <w:rFonts w:ascii="ArialMT" w:hAnsi="ArialMT"/>
          <w:sz w:val="22"/>
          <w:szCs w:val="22"/>
        </w:rPr>
        <w:t>5</w:t>
      </w:r>
      <w:r w:rsidRPr="00367D28">
        <w:rPr>
          <w:rFonts w:ascii="ArialMT" w:hAnsi="ArialMT"/>
          <w:sz w:val="22"/>
          <w:szCs w:val="22"/>
        </w:rPr>
        <w:t xml:space="preserve">% </w:t>
      </w:r>
      <w:r w:rsidRPr="00FA6D49">
        <w:rPr>
          <w:rFonts w:ascii="ArialMT" w:hAnsi="ArialMT"/>
          <w:sz w:val="22"/>
          <w:szCs w:val="22"/>
        </w:rPr>
        <w:t xml:space="preserve">of BMC’s patients receive insurance coverage through a public payer and </w:t>
      </w:r>
      <w:r w:rsidRPr="00367D28">
        <w:rPr>
          <w:rFonts w:ascii="ArialMT" w:hAnsi="ArialMT"/>
          <w:sz w:val="22"/>
          <w:szCs w:val="22"/>
        </w:rPr>
        <w:t>another 2.</w:t>
      </w:r>
      <w:r w:rsidR="00367D28" w:rsidRPr="00367D28">
        <w:rPr>
          <w:rFonts w:ascii="ArialMT" w:hAnsi="ArialMT"/>
          <w:sz w:val="22"/>
          <w:szCs w:val="22"/>
        </w:rPr>
        <w:t>3</w:t>
      </w:r>
      <w:r w:rsidRPr="00367D28">
        <w:rPr>
          <w:rFonts w:ascii="ArialMT" w:hAnsi="ArialMT"/>
          <w:sz w:val="22"/>
          <w:szCs w:val="22"/>
        </w:rPr>
        <w:t>% receive</w:t>
      </w:r>
      <w:r w:rsidRPr="00FA6D49">
        <w:rPr>
          <w:rFonts w:ascii="ArialMT" w:hAnsi="ArialMT"/>
          <w:sz w:val="22"/>
          <w:szCs w:val="22"/>
        </w:rPr>
        <w:t xml:space="preserve"> free care or are covered under the HSN. Moreover, </w:t>
      </w:r>
      <w:r w:rsidR="00FA6D49" w:rsidRPr="00FA6D49">
        <w:rPr>
          <w:rFonts w:ascii="ArialMT" w:hAnsi="ArialMT"/>
          <w:sz w:val="22"/>
          <w:szCs w:val="22"/>
        </w:rPr>
        <w:t>BMC’s MRI patient panel</w:t>
      </w:r>
      <w:r w:rsidRPr="00FA6D49">
        <w:rPr>
          <w:rFonts w:ascii="ArialMT" w:hAnsi="ArialMT"/>
          <w:sz w:val="22"/>
          <w:szCs w:val="22"/>
        </w:rPr>
        <w:t xml:space="preserve"> </w:t>
      </w:r>
      <w:r w:rsidR="00FA6D49" w:rsidRPr="00FA6D49">
        <w:rPr>
          <w:rFonts w:ascii="ArialMT" w:hAnsi="ArialMT"/>
          <w:sz w:val="22"/>
          <w:szCs w:val="22"/>
        </w:rPr>
        <w:t>s</w:t>
      </w:r>
      <w:r w:rsidRPr="00FA6D49">
        <w:rPr>
          <w:rFonts w:ascii="ArialMT" w:hAnsi="ArialMT"/>
          <w:sz w:val="22"/>
          <w:szCs w:val="22"/>
        </w:rPr>
        <w:t>how</w:t>
      </w:r>
      <w:r w:rsidR="00FA6D49" w:rsidRPr="00FA6D49">
        <w:rPr>
          <w:rFonts w:ascii="ArialMT" w:hAnsi="ArialMT"/>
          <w:sz w:val="22"/>
          <w:szCs w:val="22"/>
        </w:rPr>
        <w:t>s</w:t>
      </w:r>
      <w:r w:rsidRPr="00FA6D49">
        <w:rPr>
          <w:rFonts w:ascii="ArialMT" w:hAnsi="ArialMT"/>
          <w:sz w:val="22"/>
          <w:szCs w:val="22"/>
        </w:rPr>
        <w:t xml:space="preserve"> even higher percentages of patients who receive </w:t>
      </w:r>
      <w:r w:rsidRPr="00367D28">
        <w:rPr>
          <w:rFonts w:ascii="ArialMT" w:hAnsi="ArialMT"/>
          <w:sz w:val="22"/>
          <w:szCs w:val="22"/>
        </w:rPr>
        <w:t>insurance coverage through a public payer – in FY2</w:t>
      </w:r>
      <w:r w:rsidR="00FA6D49" w:rsidRPr="00367D28">
        <w:rPr>
          <w:rFonts w:ascii="ArialMT" w:hAnsi="ArialMT"/>
          <w:sz w:val="22"/>
          <w:szCs w:val="22"/>
        </w:rPr>
        <w:t>2</w:t>
      </w:r>
      <w:r w:rsidRPr="00367D28">
        <w:rPr>
          <w:rFonts w:ascii="ArialMT" w:hAnsi="ArialMT"/>
          <w:sz w:val="22"/>
          <w:szCs w:val="22"/>
        </w:rPr>
        <w:t xml:space="preserve">, BMC’s </w:t>
      </w:r>
      <w:r w:rsidR="00FA6D49" w:rsidRPr="00367D28">
        <w:rPr>
          <w:rFonts w:ascii="ArialMT" w:hAnsi="ArialMT"/>
          <w:sz w:val="22"/>
          <w:szCs w:val="22"/>
        </w:rPr>
        <w:t xml:space="preserve">MRI </w:t>
      </w:r>
      <w:r w:rsidRPr="00367D28">
        <w:rPr>
          <w:rFonts w:ascii="ArialMT" w:hAnsi="ArialMT"/>
          <w:sz w:val="22"/>
          <w:szCs w:val="22"/>
        </w:rPr>
        <w:t xml:space="preserve">public payer mix included </w:t>
      </w:r>
      <w:r w:rsidR="00367D28">
        <w:rPr>
          <w:rFonts w:ascii="ArialMT" w:hAnsi="ArialMT"/>
          <w:sz w:val="22"/>
          <w:szCs w:val="22"/>
        </w:rPr>
        <w:t xml:space="preserve">greater than </w:t>
      </w:r>
      <w:r w:rsidRPr="00367D28">
        <w:rPr>
          <w:rFonts w:ascii="ArialMT" w:hAnsi="ArialMT"/>
          <w:sz w:val="22"/>
          <w:szCs w:val="22"/>
        </w:rPr>
        <w:t>7</w:t>
      </w:r>
      <w:r w:rsidR="00367D28">
        <w:rPr>
          <w:rFonts w:ascii="ArialMT" w:hAnsi="ArialMT"/>
          <w:sz w:val="22"/>
          <w:szCs w:val="22"/>
        </w:rPr>
        <w:t>0</w:t>
      </w:r>
      <w:r w:rsidRPr="00367D28">
        <w:rPr>
          <w:rFonts w:ascii="ArialMT" w:hAnsi="ArialMT"/>
          <w:sz w:val="22"/>
          <w:szCs w:val="22"/>
        </w:rPr>
        <w:t xml:space="preserve">% of all </w:t>
      </w:r>
      <w:r w:rsidR="00FA6D49" w:rsidRPr="00367D28">
        <w:rPr>
          <w:rFonts w:ascii="ArialMT" w:hAnsi="ArialMT"/>
          <w:sz w:val="22"/>
          <w:szCs w:val="22"/>
        </w:rPr>
        <w:t>MRI</w:t>
      </w:r>
      <w:r w:rsidRPr="00367D28">
        <w:rPr>
          <w:rFonts w:ascii="ArialMT" w:hAnsi="ArialMT"/>
          <w:sz w:val="22"/>
          <w:szCs w:val="22"/>
        </w:rPr>
        <w:t xml:space="preserve"> patients.</w:t>
      </w:r>
    </w:p>
    <w:p w14:paraId="4AAAB9D7" w14:textId="77777777" w:rsidR="00834993" w:rsidRPr="00FA6D49" w:rsidRDefault="00834993" w:rsidP="00834993">
      <w:pPr>
        <w:jc w:val="both"/>
        <w:rPr>
          <w:rFonts w:ascii="ArialMT" w:hAnsi="ArialMT"/>
          <w:sz w:val="22"/>
          <w:szCs w:val="22"/>
        </w:rPr>
      </w:pPr>
    </w:p>
    <w:p w14:paraId="12A83D35" w14:textId="77777777" w:rsidR="00834993" w:rsidRPr="00FA6D49" w:rsidRDefault="00834993" w:rsidP="00834993">
      <w:pPr>
        <w:jc w:val="both"/>
        <w:rPr>
          <w:rFonts w:ascii="ArialMT" w:eastAsiaTheme="minorHAnsi" w:hAnsi="ArialMT" w:cstheme="minorBidi"/>
          <w:sz w:val="22"/>
          <w:szCs w:val="22"/>
        </w:rPr>
      </w:pPr>
      <w:r w:rsidRPr="00FA6D49">
        <w:rPr>
          <w:rFonts w:ascii="ArialMT" w:eastAsiaTheme="minorHAnsi" w:hAnsi="ArialMT" w:cstheme="minorBidi"/>
          <w:sz w:val="22"/>
          <w:szCs w:val="22"/>
        </w:rPr>
        <w:t>Notwithstanding widespread health reform efforts in the state from 2006 to 2008 which expanded access to public medical insurance, created a health insurance exchange for more affordable private insurance, and expanded access to care in non-safety net hospitals</w:t>
      </w:r>
      <w:r w:rsidRPr="00FA6D49">
        <w:rPr>
          <w:rFonts w:ascii="ArialMT" w:hAnsi="ArialMT"/>
          <w:sz w:val="22"/>
          <w:szCs w:val="22"/>
        </w:rPr>
        <w:t xml:space="preserve">, research suggests that safety net hospitals like BMC remain an important and vital component of the health care system. Specifically, the research shows that </w:t>
      </w:r>
      <w:r w:rsidRPr="00FA6D49">
        <w:rPr>
          <w:rFonts w:ascii="ArialMT" w:eastAsiaTheme="minorHAnsi" w:hAnsi="ArialMT" w:cstheme="minorBidi"/>
          <w:sz w:val="22"/>
          <w:szCs w:val="22"/>
        </w:rPr>
        <w:t>the proportion of discharges among minority patients receiving inpatient care at minority-serving hospitals in Massachusetts increased after the implementation of health insurance reform measures which expanded access to care in non-safety net hospitals.</w:t>
      </w:r>
      <w:r w:rsidRPr="00FA6D49">
        <w:rPr>
          <w:rFonts w:ascii="ArialMT" w:hAnsi="ArialMT"/>
          <w:sz w:val="22"/>
          <w:szCs w:val="22"/>
        </w:rPr>
        <w:t xml:space="preserve"> </w:t>
      </w:r>
      <w:r w:rsidRPr="00FA6D49">
        <w:rPr>
          <w:rFonts w:ascii="ArialMT" w:eastAsiaTheme="minorHAnsi" w:hAnsi="ArialMT" w:cstheme="minorBidi"/>
          <w:sz w:val="22"/>
          <w:szCs w:val="22"/>
        </w:rPr>
        <w:t>Researchers point to several possible explanations for the increase in the proportion of minorities cared for at minority-serving hospitals in Massachusetts over the study period</w:t>
      </w:r>
      <w:r w:rsidRPr="00FA6D49">
        <w:rPr>
          <w:rFonts w:ascii="ArialMT" w:hAnsi="ArialMT"/>
          <w:sz w:val="22"/>
          <w:szCs w:val="22"/>
        </w:rPr>
        <w:t xml:space="preserve">, </w:t>
      </w:r>
      <w:r w:rsidRPr="00FA6D49">
        <w:rPr>
          <w:rFonts w:ascii="ArialMT" w:eastAsiaTheme="minorHAnsi" w:hAnsi="ArialMT" w:cstheme="minorBidi"/>
          <w:sz w:val="22"/>
          <w:szCs w:val="22"/>
        </w:rPr>
        <w:t>includ</w:t>
      </w:r>
      <w:r w:rsidRPr="00FA6D49">
        <w:rPr>
          <w:rFonts w:ascii="ArialMT" w:hAnsi="ArialMT"/>
          <w:sz w:val="22"/>
          <w:szCs w:val="22"/>
        </w:rPr>
        <w:t>ing</w:t>
      </w:r>
      <w:r w:rsidRPr="00FA6D49">
        <w:rPr>
          <w:rFonts w:ascii="ArialMT" w:eastAsiaTheme="minorHAnsi" w:hAnsi="ArialMT" w:cstheme="minorBidi"/>
          <w:sz w:val="22"/>
          <w:szCs w:val="22"/>
        </w:rPr>
        <w:t xml:space="preserve">, but are not limited to "loyalty" of patients and </w:t>
      </w:r>
      <w:r w:rsidRPr="00FA6D49">
        <w:rPr>
          <w:rFonts w:ascii="ArialMT" w:hAnsi="ArialMT"/>
          <w:sz w:val="22"/>
          <w:szCs w:val="22"/>
        </w:rPr>
        <w:t xml:space="preserve">access to </w:t>
      </w:r>
      <w:r w:rsidRPr="00FA6D49">
        <w:rPr>
          <w:rFonts w:ascii="ArialMT" w:eastAsiaTheme="minorHAnsi" w:hAnsi="ArialMT" w:cstheme="minorBidi"/>
          <w:sz w:val="22"/>
          <w:szCs w:val="22"/>
        </w:rPr>
        <w:t>services such as insurance assistance, interpretation, and intensive case management which are often unavailable at other facilities due to poor reimbursement rates</w:t>
      </w:r>
      <w:r w:rsidR="00706C87">
        <w:rPr>
          <w:rFonts w:ascii="ArialMT" w:eastAsiaTheme="minorHAnsi" w:hAnsi="ArialMT" w:cstheme="minorBidi"/>
          <w:sz w:val="22"/>
          <w:szCs w:val="22"/>
        </w:rPr>
        <w:t>.</w:t>
      </w:r>
      <w:r w:rsidRPr="00FA6D49">
        <w:rPr>
          <w:rStyle w:val="FootnoteReference"/>
          <w:rFonts w:ascii="ArialMT" w:hAnsi="ArialMT"/>
          <w:sz w:val="22"/>
          <w:szCs w:val="22"/>
        </w:rPr>
        <w:footnoteReference w:id="71"/>
      </w:r>
    </w:p>
    <w:p w14:paraId="5B40D466" w14:textId="77777777" w:rsidR="00834993" w:rsidRPr="00FA6D49" w:rsidRDefault="00834993" w:rsidP="00834993">
      <w:pPr>
        <w:jc w:val="both"/>
        <w:rPr>
          <w:rFonts w:ascii="Arial" w:hAnsi="Arial" w:cs="Arial"/>
          <w:sz w:val="22"/>
          <w:szCs w:val="22"/>
        </w:rPr>
      </w:pPr>
    </w:p>
    <w:p w14:paraId="61212518" w14:textId="77777777" w:rsidR="00834993" w:rsidRPr="00FA6D49" w:rsidRDefault="00834993" w:rsidP="00834993">
      <w:pPr>
        <w:jc w:val="both"/>
        <w:rPr>
          <w:rFonts w:ascii="ArialMT" w:eastAsiaTheme="minorHAnsi" w:hAnsi="ArialMT" w:cstheme="minorBidi"/>
          <w:sz w:val="22"/>
          <w:szCs w:val="22"/>
        </w:rPr>
      </w:pPr>
      <w:r w:rsidRPr="00FA6D49">
        <w:rPr>
          <w:rFonts w:ascii="ArialMT" w:hAnsi="ArialMT"/>
          <w:sz w:val="22"/>
          <w:szCs w:val="22"/>
        </w:rPr>
        <w:t>I</w:t>
      </w:r>
      <w:r w:rsidRPr="00FA6D49">
        <w:rPr>
          <w:rFonts w:ascii="ArialMT" w:eastAsiaTheme="minorHAnsi" w:hAnsi="ArialMT" w:cstheme="minorBidi"/>
          <w:sz w:val="22"/>
          <w:szCs w:val="22"/>
        </w:rPr>
        <w:t xml:space="preserve">nterpretation and case management </w:t>
      </w:r>
      <w:r w:rsidRPr="00FA6D49">
        <w:rPr>
          <w:rFonts w:ascii="ArialMT" w:hAnsi="ArialMT"/>
          <w:sz w:val="22"/>
          <w:szCs w:val="22"/>
        </w:rPr>
        <w:t xml:space="preserve">services are detailed below as well as in </w:t>
      </w:r>
      <w:r w:rsidRPr="00FA6D49">
        <w:rPr>
          <w:rFonts w:ascii="ArialMT" w:hAnsi="ArialMT"/>
          <w:color w:val="000000" w:themeColor="text1"/>
          <w:sz w:val="22"/>
          <w:szCs w:val="22"/>
        </w:rPr>
        <w:t xml:space="preserve">Factor </w:t>
      </w:r>
      <w:r w:rsidR="00CB48DC" w:rsidRPr="00FA6D49">
        <w:rPr>
          <w:rFonts w:ascii="ArialMT" w:hAnsi="ArialMT"/>
          <w:color w:val="000000" w:themeColor="text1"/>
          <w:sz w:val="22"/>
          <w:szCs w:val="22"/>
        </w:rPr>
        <w:t>F1.c</w:t>
      </w:r>
      <w:r w:rsidRPr="00FA6D49">
        <w:rPr>
          <w:rFonts w:ascii="ArialMT" w:hAnsi="ArialMT"/>
          <w:color w:val="000000" w:themeColor="text1"/>
          <w:sz w:val="22"/>
          <w:szCs w:val="22"/>
        </w:rPr>
        <w:t xml:space="preserve">. </w:t>
      </w:r>
      <w:r w:rsidRPr="00FA6D49">
        <w:rPr>
          <w:rFonts w:ascii="Arial" w:hAnsi="Arial" w:cs="Arial"/>
          <w:color w:val="000000" w:themeColor="text1"/>
          <w:sz w:val="22"/>
          <w:szCs w:val="22"/>
        </w:rPr>
        <w:t xml:space="preserve">With </w:t>
      </w:r>
      <w:r w:rsidRPr="00FA6D49">
        <w:rPr>
          <w:rFonts w:ascii="Arial" w:hAnsi="Arial" w:cs="Arial"/>
          <w:sz w:val="22"/>
          <w:szCs w:val="22"/>
        </w:rPr>
        <w:t xml:space="preserve">regard to insurance assistance, the Applicant highlights the Hospital’s Patient Financial Assistance Program. The </w:t>
      </w:r>
      <w:r w:rsidRPr="00FA6D49">
        <w:rPr>
          <w:rFonts w:ascii="ArialMT" w:hAnsi="ArialMT" w:cstheme="minorBidi"/>
          <w:sz w:val="22"/>
          <w:szCs w:val="22"/>
        </w:rPr>
        <w:t xml:space="preserve">Hospital, in collaboration with its CHC partners, </w:t>
      </w:r>
      <w:r w:rsidRPr="00FA6D49">
        <w:rPr>
          <w:rFonts w:ascii="ArialMT" w:eastAsiaTheme="minorHAnsi" w:hAnsi="ArialMT" w:cstheme="minorBidi"/>
          <w:sz w:val="22"/>
          <w:szCs w:val="22"/>
        </w:rPr>
        <w:t>provides high quality, accessible, medically necessary services without cost or at a reduced cost to eligible patients.</w:t>
      </w:r>
      <w:r w:rsidRPr="00FA6D49">
        <w:rPr>
          <w:rFonts w:ascii="ArialMT" w:hAnsi="ArialMT"/>
          <w:sz w:val="22"/>
          <w:szCs w:val="22"/>
        </w:rPr>
        <w:t xml:space="preserve"> Specifically, the Hospital helps </w:t>
      </w:r>
      <w:r w:rsidRPr="00FA6D49">
        <w:rPr>
          <w:rFonts w:ascii="ArialMT" w:eastAsiaTheme="minorHAnsi" w:hAnsi="ArialMT" w:cstheme="minorBidi"/>
          <w:sz w:val="22"/>
          <w:szCs w:val="22"/>
        </w:rPr>
        <w:t>uninsured and underinsured individuals apply for health coverage through a public assistance program or the Hospital's financial assistance program (including but not limited to MassHealth, the premium assistance payment program operated by the Health Connector, the Children's Medical Security Program, the HSN, and Medical Hardship)</w:t>
      </w:r>
      <w:r w:rsidRPr="00FA6D49">
        <w:rPr>
          <w:rFonts w:ascii="ArialMT" w:hAnsi="ArialMT"/>
          <w:sz w:val="22"/>
          <w:szCs w:val="22"/>
        </w:rPr>
        <w:t>. The Hospital does</w:t>
      </w:r>
      <w:r w:rsidRPr="00FA6D49">
        <w:rPr>
          <w:rFonts w:ascii="ArialMT" w:eastAsiaTheme="minorHAnsi" w:hAnsi="ArialMT" w:cstheme="minorBidi"/>
          <w:sz w:val="22"/>
          <w:szCs w:val="22"/>
        </w:rPr>
        <w:t xml:space="preserve"> not charge patients deemed eligible under the financial assistance policy more than Amounts Generally Billed for emergency or other medically necessary care</w:t>
      </w:r>
      <w:r w:rsidRPr="00FA6D49">
        <w:rPr>
          <w:rFonts w:ascii="ArialMT" w:hAnsi="ArialMT"/>
          <w:sz w:val="22"/>
          <w:szCs w:val="22"/>
        </w:rPr>
        <w:t xml:space="preserve">, and </w:t>
      </w:r>
      <w:r w:rsidRPr="00FA6D49">
        <w:rPr>
          <w:rFonts w:ascii="ArialMT" w:eastAsiaTheme="minorHAnsi" w:hAnsi="ArialMT" w:cstheme="minorBidi"/>
          <w:sz w:val="22"/>
          <w:szCs w:val="22"/>
        </w:rPr>
        <w:t>provides financial assistance to low-income uninsured and underinsured patients who are Massachusetts residents with incomes up to 300% of the federal poverty level.</w:t>
      </w:r>
    </w:p>
    <w:p w14:paraId="4F98F3F7" w14:textId="77777777" w:rsidR="00834993" w:rsidRPr="00FA6D49" w:rsidRDefault="00834993" w:rsidP="00834993">
      <w:pPr>
        <w:jc w:val="both"/>
        <w:rPr>
          <w:rFonts w:ascii="Arial" w:hAnsi="Arial" w:cs="Arial"/>
          <w:sz w:val="22"/>
          <w:szCs w:val="22"/>
        </w:rPr>
      </w:pPr>
    </w:p>
    <w:p w14:paraId="39D43A4D" w14:textId="77777777" w:rsidR="00834993" w:rsidRPr="00FA6D49" w:rsidRDefault="00F33C2A" w:rsidP="00834993">
      <w:pPr>
        <w:jc w:val="both"/>
        <w:rPr>
          <w:rFonts w:ascii="Arial" w:hAnsi="Arial" w:cs="Arial"/>
          <w:color w:val="000000" w:themeColor="text1"/>
          <w:sz w:val="22"/>
          <w:szCs w:val="22"/>
        </w:rPr>
      </w:pPr>
      <w:r w:rsidRPr="00FA6D49">
        <w:rPr>
          <w:rFonts w:ascii="Arial" w:hAnsi="Arial" w:cs="Arial"/>
          <w:color w:val="000000" w:themeColor="text1"/>
          <w:sz w:val="22"/>
          <w:szCs w:val="22"/>
        </w:rPr>
        <w:t>S</w:t>
      </w:r>
      <w:r w:rsidR="00834993" w:rsidRPr="00FA6D49">
        <w:rPr>
          <w:rFonts w:ascii="Arial" w:hAnsi="Arial" w:cs="Arial"/>
          <w:color w:val="000000" w:themeColor="text1"/>
          <w:sz w:val="22"/>
          <w:szCs w:val="22"/>
        </w:rPr>
        <w:t>afety net hospitals like BMC are anticipated to continue to play a disproportionately large role in providing care to the area’s most under-resourced patients into the future</w:t>
      </w:r>
      <w:r w:rsidRPr="00FA6D49">
        <w:rPr>
          <w:rFonts w:ascii="Arial" w:hAnsi="Arial" w:cs="Arial"/>
          <w:color w:val="000000" w:themeColor="text1"/>
          <w:sz w:val="22"/>
          <w:szCs w:val="22"/>
        </w:rPr>
        <w:t>.</w:t>
      </w:r>
      <w:r w:rsidR="00834993" w:rsidRPr="00FA6D49">
        <w:rPr>
          <w:rFonts w:ascii="Arial" w:hAnsi="Arial" w:cs="Arial"/>
          <w:color w:val="000000" w:themeColor="text1"/>
          <w:sz w:val="22"/>
          <w:szCs w:val="22"/>
        </w:rPr>
        <w:t xml:space="preserve"> </w:t>
      </w:r>
      <w:r w:rsidRPr="00FA6D49">
        <w:rPr>
          <w:rFonts w:ascii="Arial" w:hAnsi="Arial" w:cs="Arial"/>
          <w:color w:val="000000" w:themeColor="text1"/>
          <w:sz w:val="22"/>
          <w:szCs w:val="22"/>
        </w:rPr>
        <w:t>I</w:t>
      </w:r>
      <w:r w:rsidR="00834993" w:rsidRPr="00FA6D49">
        <w:rPr>
          <w:rFonts w:ascii="Arial" w:hAnsi="Arial" w:cs="Arial"/>
          <w:color w:val="000000" w:themeColor="text1"/>
          <w:sz w:val="22"/>
          <w:szCs w:val="22"/>
        </w:rPr>
        <w:t>t is</w:t>
      </w:r>
      <w:r w:rsidRPr="00FA6D49">
        <w:rPr>
          <w:rFonts w:ascii="Arial" w:hAnsi="Arial" w:cs="Arial"/>
          <w:color w:val="000000" w:themeColor="text1"/>
          <w:sz w:val="22"/>
          <w:szCs w:val="22"/>
        </w:rPr>
        <w:t xml:space="preserve"> therefore</w:t>
      </w:r>
      <w:r w:rsidR="00834993" w:rsidRPr="00FA6D49">
        <w:rPr>
          <w:rFonts w:ascii="Arial" w:hAnsi="Arial" w:cs="Arial"/>
          <w:color w:val="000000" w:themeColor="text1"/>
          <w:sz w:val="22"/>
          <w:szCs w:val="22"/>
        </w:rPr>
        <w:t xml:space="preserve"> essential to achieving the objectives of equitable care that such hospitals have the resources and depth of services necessary to provide such disadvantaged patients with timely access to high-quality care </w:t>
      </w:r>
      <w:r w:rsidR="00834993" w:rsidRPr="00FA6D49">
        <w:rPr>
          <w:rFonts w:ascii="Arial" w:hAnsi="Arial" w:cs="Arial"/>
          <w:color w:val="000000" w:themeColor="text1"/>
          <w:sz w:val="22"/>
          <w:szCs w:val="22"/>
        </w:rPr>
        <w:lastRenderedPageBreak/>
        <w:t>that does not jeopardize patient outcomes</w:t>
      </w:r>
      <w:r w:rsidR="00706C87">
        <w:rPr>
          <w:rFonts w:ascii="Arial" w:hAnsi="Arial" w:cs="Arial"/>
          <w:color w:val="000000" w:themeColor="text1"/>
          <w:sz w:val="22"/>
          <w:szCs w:val="22"/>
        </w:rPr>
        <w:t>.</w:t>
      </w:r>
      <w:r w:rsidR="00834993" w:rsidRPr="00FA6D49">
        <w:rPr>
          <w:rStyle w:val="FootnoteReference"/>
          <w:rFonts w:ascii="Arial" w:hAnsi="Arial" w:cs="Arial"/>
          <w:color w:val="000000" w:themeColor="text1"/>
          <w:sz w:val="22"/>
          <w:szCs w:val="22"/>
        </w:rPr>
        <w:footnoteReference w:id="72"/>
      </w:r>
      <w:r w:rsidR="00834993" w:rsidRPr="00FA6D49">
        <w:rPr>
          <w:rFonts w:ascii="Arial" w:hAnsi="Arial" w:cs="Arial"/>
          <w:color w:val="000000" w:themeColor="text1"/>
          <w:sz w:val="22"/>
          <w:szCs w:val="22"/>
        </w:rPr>
        <w:t xml:space="preserve"> The Proposed Project seeks to facilitate these goals by </w:t>
      </w:r>
      <w:r w:rsidR="00834993" w:rsidRPr="00FA6D49">
        <w:rPr>
          <w:rFonts w:ascii="Arial" w:hAnsi="Arial" w:cs="Arial"/>
          <w:sz w:val="22"/>
          <w:szCs w:val="22"/>
        </w:rPr>
        <w:t xml:space="preserve">increasing access to high-quality </w:t>
      </w:r>
      <w:r w:rsidR="00FA6D49" w:rsidRPr="00FA6D49">
        <w:rPr>
          <w:rFonts w:ascii="Arial" w:hAnsi="Arial" w:cs="Arial"/>
          <w:sz w:val="22"/>
          <w:szCs w:val="22"/>
        </w:rPr>
        <w:t>MRI</w:t>
      </w:r>
      <w:r w:rsidR="00834993" w:rsidRPr="00FA6D49">
        <w:rPr>
          <w:rFonts w:ascii="Arial" w:hAnsi="Arial" w:cs="Arial"/>
          <w:sz w:val="22"/>
          <w:szCs w:val="22"/>
        </w:rPr>
        <w:t xml:space="preserve"> services for all of BMC’s patients. </w:t>
      </w:r>
    </w:p>
    <w:p w14:paraId="1DCD6135" w14:textId="77777777" w:rsidR="00834993" w:rsidRPr="00FA6D49" w:rsidRDefault="00834993" w:rsidP="00834993">
      <w:pPr>
        <w:jc w:val="both"/>
        <w:rPr>
          <w:rFonts w:ascii="Arial" w:hAnsi="Arial" w:cs="Arial"/>
          <w:sz w:val="22"/>
          <w:szCs w:val="22"/>
        </w:rPr>
      </w:pPr>
    </w:p>
    <w:p w14:paraId="6B1701CC" w14:textId="77777777" w:rsidR="00834993" w:rsidRPr="00FA6D49" w:rsidRDefault="00834993">
      <w:pPr>
        <w:pStyle w:val="ListParagraph"/>
        <w:numPr>
          <w:ilvl w:val="0"/>
          <w:numId w:val="14"/>
        </w:numPr>
        <w:ind w:left="360"/>
        <w:jc w:val="both"/>
        <w:rPr>
          <w:rFonts w:ascii="ArialMT" w:hAnsi="ArialMT"/>
          <w:color w:val="000000" w:themeColor="text1"/>
          <w:sz w:val="22"/>
          <w:szCs w:val="22"/>
        </w:rPr>
      </w:pPr>
      <w:r w:rsidRPr="00FA6D49">
        <w:rPr>
          <w:rFonts w:ascii="Arial" w:hAnsi="Arial" w:cs="Arial"/>
          <w:smallCaps/>
          <w:sz w:val="22"/>
          <w:szCs w:val="22"/>
          <w:u w:val="single"/>
        </w:rPr>
        <w:t>#123Equity Pledge Campaign</w:t>
      </w:r>
      <w:r w:rsidRPr="00FA6D49">
        <w:rPr>
          <w:rFonts w:ascii="ArialMT" w:hAnsi="ArialMT"/>
          <w:sz w:val="22"/>
          <w:szCs w:val="22"/>
        </w:rPr>
        <w:t xml:space="preserve"> </w:t>
      </w:r>
    </w:p>
    <w:p w14:paraId="6CACDD40" w14:textId="77777777" w:rsidR="00834993" w:rsidRPr="00FA6D49" w:rsidRDefault="00834993" w:rsidP="00834993">
      <w:pPr>
        <w:pStyle w:val="ListParagraph"/>
        <w:jc w:val="both"/>
        <w:rPr>
          <w:color w:val="000000" w:themeColor="text1"/>
        </w:rPr>
      </w:pPr>
    </w:p>
    <w:p w14:paraId="3EB0E10D" w14:textId="77777777" w:rsidR="00834993" w:rsidRPr="00635149" w:rsidRDefault="00834993" w:rsidP="00834993">
      <w:pPr>
        <w:jc w:val="both"/>
        <w:rPr>
          <w:rFonts w:ascii="ArialMT" w:hAnsi="ArialMT"/>
          <w:color w:val="000000" w:themeColor="text1"/>
          <w:sz w:val="22"/>
          <w:szCs w:val="22"/>
        </w:rPr>
      </w:pPr>
      <w:r w:rsidRPr="00FA6D49">
        <w:rPr>
          <w:rFonts w:ascii="ArialMT" w:hAnsi="ArialMT"/>
          <w:color w:val="000000" w:themeColor="text1"/>
          <w:sz w:val="22"/>
          <w:szCs w:val="22"/>
        </w:rPr>
        <w:t>BMC also participates in the American Hospital Association’s #123Equity Pledge Campaign. Launched in 2015, this Campaign builds on the efforts of the National Call to Action to Eliminate Health Care Disparities</w:t>
      </w:r>
      <w:r w:rsidR="00A05D16" w:rsidRPr="00FA6D49">
        <w:rPr>
          <w:rFonts w:ascii="ArialMT" w:hAnsi="ArialMT"/>
          <w:color w:val="000000" w:themeColor="text1"/>
          <w:sz w:val="22"/>
          <w:szCs w:val="22"/>
        </w:rPr>
        <w:t xml:space="preserve"> (</w:t>
      </w:r>
      <w:r w:rsidRPr="00FA6D49">
        <w:rPr>
          <w:rFonts w:ascii="ArialMT" w:hAnsi="ArialMT"/>
          <w:color w:val="000000" w:themeColor="text1"/>
          <w:sz w:val="22"/>
          <w:szCs w:val="22"/>
        </w:rPr>
        <w:t>a joint effort of the American Hospital Association, American College of Healthcare Executives, Association of American Medical Colleges, Catholic Health Association of the United States and America’s Essential Hospitals</w:t>
      </w:r>
      <w:r w:rsidR="00A05D16" w:rsidRPr="00FA6D49">
        <w:rPr>
          <w:rFonts w:ascii="ArialMT" w:hAnsi="ArialMT"/>
          <w:color w:val="000000" w:themeColor="text1"/>
          <w:sz w:val="22"/>
          <w:szCs w:val="22"/>
        </w:rPr>
        <w:t xml:space="preserve">) </w:t>
      </w:r>
      <w:r w:rsidR="00F33C2A" w:rsidRPr="00FA6D49">
        <w:rPr>
          <w:rFonts w:ascii="ArialMT" w:hAnsi="ArialMT"/>
          <w:color w:val="000000" w:themeColor="text1"/>
          <w:sz w:val="22"/>
          <w:szCs w:val="22"/>
        </w:rPr>
        <w:t xml:space="preserve">and </w:t>
      </w:r>
      <w:r w:rsidRPr="00FA6D49">
        <w:rPr>
          <w:rFonts w:ascii="ArialMT" w:hAnsi="ArialMT"/>
          <w:color w:val="000000" w:themeColor="text1"/>
          <w:sz w:val="22"/>
          <w:szCs w:val="22"/>
        </w:rPr>
        <w:t xml:space="preserve">asks hospital and health system leaders to begin taking action to accelerate progress on the following areas: (1) </w:t>
      </w:r>
      <w:r w:rsidR="00F33C2A" w:rsidRPr="00FA6D49">
        <w:rPr>
          <w:rFonts w:ascii="ArialMT" w:hAnsi="ArialMT"/>
          <w:color w:val="000000" w:themeColor="text1"/>
          <w:sz w:val="22"/>
          <w:szCs w:val="22"/>
        </w:rPr>
        <w:t>i</w:t>
      </w:r>
      <w:r w:rsidRPr="00FA6D49">
        <w:rPr>
          <w:rFonts w:ascii="ArialMT" w:hAnsi="ArialMT"/>
          <w:color w:val="000000" w:themeColor="text1"/>
          <w:sz w:val="22"/>
          <w:szCs w:val="22"/>
        </w:rPr>
        <w:t xml:space="preserve">ncreasing the collection and use of race, ethnicity, language preference and other socio-demographic data; (2) </w:t>
      </w:r>
      <w:r w:rsidR="00F33C2A" w:rsidRPr="00FA6D49">
        <w:rPr>
          <w:rFonts w:ascii="ArialMT" w:hAnsi="ArialMT"/>
          <w:color w:val="000000" w:themeColor="text1"/>
          <w:sz w:val="22"/>
          <w:szCs w:val="22"/>
        </w:rPr>
        <w:t>i</w:t>
      </w:r>
      <w:r w:rsidRPr="00FA6D49">
        <w:rPr>
          <w:rFonts w:ascii="ArialMT" w:hAnsi="ArialMT"/>
          <w:color w:val="000000" w:themeColor="text1"/>
          <w:sz w:val="22"/>
          <w:szCs w:val="22"/>
        </w:rPr>
        <w:t xml:space="preserve">ncreasing cultural competency training; (3) </w:t>
      </w:r>
      <w:r w:rsidR="00F33C2A" w:rsidRPr="00FA6D49">
        <w:rPr>
          <w:rFonts w:ascii="ArialMT" w:hAnsi="ArialMT"/>
          <w:color w:val="000000" w:themeColor="text1"/>
          <w:sz w:val="22"/>
          <w:szCs w:val="22"/>
        </w:rPr>
        <w:t>i</w:t>
      </w:r>
      <w:r w:rsidRPr="00FA6D49">
        <w:rPr>
          <w:rFonts w:ascii="ArialMT" w:hAnsi="ArialMT"/>
          <w:color w:val="000000" w:themeColor="text1"/>
          <w:sz w:val="22"/>
          <w:szCs w:val="22"/>
        </w:rPr>
        <w:t xml:space="preserve">ncreasing diversity in leadership and governance; and (4) </w:t>
      </w:r>
      <w:r w:rsidR="00F33C2A" w:rsidRPr="00FA6D49">
        <w:rPr>
          <w:rFonts w:ascii="ArialMT" w:hAnsi="ArialMT"/>
          <w:color w:val="000000" w:themeColor="text1"/>
          <w:sz w:val="22"/>
          <w:szCs w:val="22"/>
        </w:rPr>
        <w:t>i</w:t>
      </w:r>
      <w:r w:rsidRPr="00FA6D49">
        <w:rPr>
          <w:rFonts w:ascii="ArialMT" w:hAnsi="ArialMT"/>
          <w:color w:val="000000" w:themeColor="text1"/>
          <w:sz w:val="22"/>
          <w:szCs w:val="22"/>
        </w:rPr>
        <w:t xml:space="preserve">mproving and strengthening community partnerships. Examples of ways in which BMC has accelerated progress in these areas are addressed below in the discussion related to culturally </w:t>
      </w:r>
      <w:r w:rsidRPr="00635149">
        <w:rPr>
          <w:rFonts w:ascii="ArialMT" w:hAnsi="ArialMT"/>
          <w:color w:val="000000" w:themeColor="text1"/>
          <w:sz w:val="22"/>
          <w:szCs w:val="22"/>
        </w:rPr>
        <w:t xml:space="preserve">appropriate care and language access. </w:t>
      </w:r>
    </w:p>
    <w:p w14:paraId="22B692DB" w14:textId="77777777" w:rsidR="00834993" w:rsidRPr="00635149" w:rsidRDefault="00834993" w:rsidP="00834993">
      <w:pPr>
        <w:rPr>
          <w:rFonts w:ascii="Arial" w:hAnsi="Arial" w:cs="Arial"/>
          <w:color w:val="000000" w:themeColor="text1"/>
          <w:sz w:val="22"/>
          <w:szCs w:val="22"/>
        </w:rPr>
      </w:pPr>
    </w:p>
    <w:p w14:paraId="512C9AF2" w14:textId="77777777" w:rsidR="00834993" w:rsidRPr="00635149" w:rsidRDefault="00834993">
      <w:pPr>
        <w:pStyle w:val="ListParagraph"/>
        <w:numPr>
          <w:ilvl w:val="0"/>
          <w:numId w:val="14"/>
        </w:numPr>
        <w:ind w:left="360"/>
        <w:rPr>
          <w:rFonts w:ascii="Arial" w:hAnsi="Arial" w:cs="Arial"/>
          <w:smallCaps/>
          <w:color w:val="000000" w:themeColor="text1"/>
          <w:sz w:val="22"/>
          <w:szCs w:val="22"/>
          <w:u w:val="single"/>
        </w:rPr>
      </w:pPr>
      <w:r w:rsidRPr="00635149">
        <w:rPr>
          <w:rFonts w:ascii="Arial" w:hAnsi="Arial" w:cs="Arial"/>
          <w:smallCaps/>
          <w:color w:val="000000" w:themeColor="text1"/>
          <w:sz w:val="22"/>
          <w:szCs w:val="22"/>
          <w:u w:val="single"/>
        </w:rPr>
        <w:t>Culturally Appropriate Care and Language Access</w:t>
      </w:r>
    </w:p>
    <w:p w14:paraId="37412961" w14:textId="77777777" w:rsidR="00834993" w:rsidRPr="00635149" w:rsidRDefault="00834993" w:rsidP="00834993">
      <w:pPr>
        <w:rPr>
          <w:rFonts w:ascii="Arial" w:hAnsi="Arial" w:cs="Arial"/>
          <w:color w:val="000000" w:themeColor="text1"/>
          <w:sz w:val="22"/>
          <w:szCs w:val="22"/>
        </w:rPr>
      </w:pPr>
    </w:p>
    <w:p w14:paraId="59DD448E" w14:textId="77777777" w:rsidR="00834993" w:rsidRPr="00635149" w:rsidRDefault="00834993" w:rsidP="00834993">
      <w:pPr>
        <w:jc w:val="both"/>
        <w:rPr>
          <w:rFonts w:ascii="Arial" w:hAnsi="Arial" w:cs="Arial"/>
          <w:color w:val="000000" w:themeColor="text1"/>
          <w:sz w:val="22"/>
          <w:szCs w:val="22"/>
        </w:rPr>
      </w:pPr>
      <w:r w:rsidRPr="00635149">
        <w:rPr>
          <w:rFonts w:ascii="Arial" w:hAnsi="Arial" w:cs="Arial"/>
          <w:color w:val="000000" w:themeColor="text1"/>
          <w:sz w:val="22"/>
          <w:szCs w:val="22"/>
        </w:rPr>
        <w:t>T</w:t>
      </w:r>
      <w:r w:rsidR="00635149" w:rsidRPr="00635149">
        <w:rPr>
          <w:rFonts w:ascii="Arial" w:hAnsi="Arial" w:cs="Arial"/>
          <w:color w:val="000000" w:themeColor="text1"/>
          <w:sz w:val="22"/>
          <w:szCs w:val="22"/>
        </w:rPr>
        <w:t>o</w:t>
      </w:r>
      <w:r w:rsidRPr="00635149">
        <w:rPr>
          <w:rFonts w:ascii="Arial" w:hAnsi="Arial" w:cs="Arial"/>
          <w:color w:val="000000" w:themeColor="text1"/>
          <w:sz w:val="22"/>
          <w:szCs w:val="22"/>
        </w:rPr>
        <w:t xml:space="preserve"> further ensure equal access to Hospital services, BMC has adopted the United States Department of Health and Human Services Office of Minority Health’s Culturally and Linguistically Appropriate Services (“CLAS”) standards. Specifically, BMC </w:t>
      </w:r>
      <w:r w:rsidRPr="00635149">
        <w:rPr>
          <w:rFonts w:ascii="Arial" w:hAnsi="Arial" w:cs="Arial"/>
          <w:sz w:val="22"/>
          <w:szCs w:val="22"/>
        </w:rPr>
        <w:t>has supported the adoption of the CLAS standards in the following ways, as divided into the six categories provided in DPH’s guide to CLAS, “</w:t>
      </w:r>
      <w:r w:rsidRPr="00635149">
        <w:rPr>
          <w:rFonts w:ascii="Arial" w:hAnsi="Arial" w:cs="Arial"/>
          <w:i/>
          <w:iCs/>
          <w:sz w:val="22"/>
          <w:szCs w:val="22"/>
        </w:rPr>
        <w:t>Making CLAS Happen: Six Areas for Action”</w:t>
      </w:r>
      <w:r w:rsidRPr="00635149">
        <w:rPr>
          <w:rFonts w:ascii="Arial" w:hAnsi="Arial" w:cs="Arial"/>
          <w:sz w:val="22"/>
          <w:szCs w:val="22"/>
        </w:rPr>
        <w:t>:</w:t>
      </w:r>
    </w:p>
    <w:p w14:paraId="189BDF05" w14:textId="77777777" w:rsidR="00834993" w:rsidRPr="00635149" w:rsidRDefault="00834993" w:rsidP="00834993">
      <w:pPr>
        <w:rPr>
          <w:rFonts w:ascii="Arial" w:hAnsi="Arial" w:cs="Arial"/>
          <w:sz w:val="22"/>
          <w:szCs w:val="22"/>
        </w:rPr>
      </w:pPr>
    </w:p>
    <w:p w14:paraId="2EC777B8" w14:textId="77777777" w:rsidR="00834993" w:rsidRDefault="00834993">
      <w:pPr>
        <w:pStyle w:val="ListParagraph"/>
        <w:numPr>
          <w:ilvl w:val="0"/>
          <w:numId w:val="16"/>
        </w:numPr>
        <w:jc w:val="both"/>
        <w:rPr>
          <w:rFonts w:ascii="Arial" w:hAnsi="Arial" w:cs="Arial"/>
          <w:sz w:val="22"/>
          <w:szCs w:val="22"/>
        </w:rPr>
      </w:pPr>
      <w:r w:rsidRPr="00635149">
        <w:rPr>
          <w:rStyle w:val="normaltextrun"/>
          <w:rFonts w:ascii="Arial" w:hAnsi="Arial" w:cs="Arial"/>
          <w:b/>
          <w:bCs/>
          <w:sz w:val="22"/>
          <w:szCs w:val="22"/>
        </w:rPr>
        <w:t xml:space="preserve">Foster Cultural Competence: </w:t>
      </w:r>
      <w:r w:rsidRPr="00635149">
        <w:rPr>
          <w:rStyle w:val="normaltextrun"/>
          <w:rFonts w:ascii="Arial" w:hAnsi="Arial" w:cs="Arial"/>
          <w:sz w:val="22"/>
          <w:szCs w:val="22"/>
        </w:rPr>
        <w:t>The Hospital requires staff to complete various CLAS training programs, the objectives of which are to ensure effective use of interpreter services and CLAS standards.</w:t>
      </w:r>
      <w:r w:rsidRPr="00635149">
        <w:rPr>
          <w:rStyle w:val="normaltextrun"/>
          <w:rFonts w:ascii="Arial" w:hAnsi="Arial" w:cs="Arial"/>
          <w:b/>
          <w:bCs/>
          <w:sz w:val="22"/>
          <w:szCs w:val="22"/>
        </w:rPr>
        <w:t xml:space="preserve"> </w:t>
      </w:r>
      <w:r w:rsidRPr="00635149">
        <w:rPr>
          <w:rFonts w:ascii="Arial" w:hAnsi="Arial" w:cs="Arial"/>
          <w:sz w:val="22"/>
          <w:szCs w:val="22"/>
        </w:rPr>
        <w:t xml:space="preserve">Additionally, in FY21, BMC’s Interpreter Services Department (”ISD”), along with Pediatrics, created a tool called "The 10 and 10". This tool provides 10 tips on working with interpreters and 10 tips on working with multicultural patients. Providers at BMC use this tool to train staff on the use of interpreters and help them have a better understanding and respect of patient diversity. BMC will continue working to expand this tool for </w:t>
      </w:r>
      <w:r w:rsidRPr="001D7E8B">
        <w:rPr>
          <w:rFonts w:ascii="Arial" w:hAnsi="Arial" w:cs="Arial"/>
          <w:sz w:val="22"/>
          <w:szCs w:val="22"/>
        </w:rPr>
        <w:t>FY22 and beyond.</w:t>
      </w:r>
    </w:p>
    <w:p w14:paraId="76CB7832" w14:textId="77777777" w:rsidR="00C85689" w:rsidRDefault="00C85689" w:rsidP="00C85689">
      <w:pPr>
        <w:jc w:val="both"/>
        <w:rPr>
          <w:rFonts w:ascii="Arial" w:hAnsi="Arial" w:cs="Arial"/>
          <w:sz w:val="22"/>
          <w:szCs w:val="22"/>
        </w:rPr>
      </w:pPr>
    </w:p>
    <w:p w14:paraId="5968FB54" w14:textId="12229322" w:rsidR="00C85689" w:rsidRPr="00C85689" w:rsidRDefault="00C85689" w:rsidP="00FE44FD">
      <w:pPr>
        <w:ind w:left="720"/>
        <w:jc w:val="both"/>
        <w:rPr>
          <w:rStyle w:val="normaltextrun"/>
          <w:rFonts w:ascii="Arial" w:hAnsi="Arial" w:cs="Arial"/>
          <w:sz w:val="22"/>
          <w:szCs w:val="22"/>
        </w:rPr>
      </w:pPr>
      <w:r>
        <w:rPr>
          <w:rFonts w:ascii="Arial" w:hAnsi="Arial" w:cs="Arial"/>
          <w:sz w:val="22"/>
          <w:szCs w:val="22"/>
        </w:rPr>
        <w:t xml:space="preserve">Moreover, </w:t>
      </w:r>
      <w:r w:rsidR="00FE44FD">
        <w:rPr>
          <w:rFonts w:ascii="Arial" w:hAnsi="Arial" w:cs="Arial"/>
          <w:sz w:val="22"/>
          <w:szCs w:val="22"/>
        </w:rPr>
        <w:t xml:space="preserve">the Hospital </w:t>
      </w:r>
      <w:r>
        <w:rPr>
          <w:rFonts w:ascii="Arial" w:hAnsi="Arial" w:cs="Arial"/>
          <w:sz w:val="22"/>
          <w:szCs w:val="22"/>
        </w:rPr>
        <w:t>has a goal of training at least 80% of employees on the “Thriving People and Culture” tool.</w:t>
      </w:r>
      <w:r w:rsidR="00FE44FD">
        <w:rPr>
          <w:rFonts w:ascii="Arial" w:hAnsi="Arial" w:cs="Arial"/>
          <w:sz w:val="22"/>
          <w:szCs w:val="22"/>
        </w:rPr>
        <w:t xml:space="preserve"> Staff have been providing </w:t>
      </w:r>
      <w:r>
        <w:rPr>
          <w:rFonts w:ascii="Arial" w:hAnsi="Arial" w:cs="Arial"/>
          <w:sz w:val="22"/>
          <w:szCs w:val="22"/>
        </w:rPr>
        <w:t xml:space="preserve">this training </w:t>
      </w:r>
      <w:r w:rsidR="00FE44FD">
        <w:rPr>
          <w:rFonts w:ascii="Arial" w:hAnsi="Arial" w:cs="Arial"/>
          <w:sz w:val="22"/>
          <w:szCs w:val="22"/>
        </w:rPr>
        <w:t>since</w:t>
      </w:r>
      <w:r>
        <w:rPr>
          <w:rFonts w:ascii="Arial" w:hAnsi="Arial" w:cs="Arial"/>
          <w:sz w:val="22"/>
          <w:szCs w:val="22"/>
        </w:rPr>
        <w:t xml:space="preserve"> June 2023 and </w:t>
      </w:r>
      <w:r w:rsidR="00FE44FD">
        <w:rPr>
          <w:rFonts w:ascii="Arial" w:hAnsi="Arial" w:cs="Arial"/>
          <w:sz w:val="22"/>
          <w:szCs w:val="22"/>
        </w:rPr>
        <w:t xml:space="preserve">will </w:t>
      </w:r>
      <w:r>
        <w:rPr>
          <w:rFonts w:ascii="Arial" w:hAnsi="Arial" w:cs="Arial"/>
          <w:sz w:val="22"/>
          <w:szCs w:val="22"/>
        </w:rPr>
        <w:t>continue to provide informational sessions (two-hour sessions) until the end of September 2023</w:t>
      </w:r>
      <w:r w:rsidR="00FE44FD">
        <w:rPr>
          <w:rFonts w:ascii="Arial" w:hAnsi="Arial" w:cs="Arial"/>
          <w:sz w:val="22"/>
          <w:szCs w:val="22"/>
        </w:rPr>
        <w:t xml:space="preserve"> to reach BMC’s goal and establish strong knowledge in this area. To date, BMC has trained </w:t>
      </w:r>
      <w:r w:rsidRPr="00C85689">
        <w:rPr>
          <w:rStyle w:val="normaltextrun"/>
          <w:rFonts w:ascii="Arial" w:hAnsi="Arial" w:cs="Arial"/>
          <w:sz w:val="22"/>
          <w:szCs w:val="22"/>
        </w:rPr>
        <w:t xml:space="preserve">over 2,000 staff, delivering </w:t>
      </w:r>
      <w:r w:rsidR="00FE44FD">
        <w:rPr>
          <w:rStyle w:val="normaltextrun"/>
          <w:rFonts w:ascii="Arial" w:hAnsi="Arial" w:cs="Arial"/>
          <w:sz w:val="22"/>
          <w:szCs w:val="22"/>
        </w:rPr>
        <w:t>8</w:t>
      </w:r>
      <w:r w:rsidRPr="00C85689">
        <w:rPr>
          <w:rStyle w:val="normaltextrun"/>
          <w:rFonts w:ascii="Arial" w:hAnsi="Arial" w:cs="Arial"/>
          <w:sz w:val="22"/>
          <w:szCs w:val="22"/>
        </w:rPr>
        <w:t xml:space="preserve"> </w:t>
      </w:r>
      <w:r w:rsidR="00FE44FD" w:rsidRPr="00C85689">
        <w:rPr>
          <w:rStyle w:val="normaltextrun"/>
          <w:rFonts w:ascii="Arial" w:hAnsi="Arial" w:cs="Arial"/>
          <w:sz w:val="22"/>
          <w:szCs w:val="22"/>
        </w:rPr>
        <w:t>training</w:t>
      </w:r>
      <w:r w:rsidR="00FE44FD">
        <w:rPr>
          <w:rStyle w:val="normaltextrun"/>
          <w:rFonts w:ascii="Arial" w:hAnsi="Arial" w:cs="Arial"/>
          <w:sz w:val="22"/>
          <w:szCs w:val="22"/>
        </w:rPr>
        <w:t xml:space="preserve"> sessions</w:t>
      </w:r>
      <w:r w:rsidRPr="00C85689">
        <w:rPr>
          <w:rStyle w:val="normaltextrun"/>
          <w:rFonts w:ascii="Arial" w:hAnsi="Arial" w:cs="Arial"/>
          <w:sz w:val="22"/>
          <w:szCs w:val="22"/>
        </w:rPr>
        <w:t xml:space="preserve"> </w:t>
      </w:r>
      <w:r w:rsidR="00FE44FD">
        <w:rPr>
          <w:rStyle w:val="normaltextrun"/>
          <w:rFonts w:ascii="Arial" w:hAnsi="Arial" w:cs="Arial"/>
          <w:sz w:val="22"/>
          <w:szCs w:val="22"/>
        </w:rPr>
        <w:t>per day</w:t>
      </w:r>
      <w:r w:rsidRPr="00C85689">
        <w:rPr>
          <w:rStyle w:val="normaltextrun"/>
          <w:rFonts w:ascii="Arial" w:hAnsi="Arial" w:cs="Arial"/>
          <w:sz w:val="22"/>
          <w:szCs w:val="22"/>
        </w:rPr>
        <w:t xml:space="preserve"> for</w:t>
      </w:r>
      <w:r w:rsidR="00FE44FD">
        <w:rPr>
          <w:rStyle w:val="normaltextrun"/>
          <w:rFonts w:ascii="Arial" w:hAnsi="Arial" w:cs="Arial"/>
          <w:sz w:val="22"/>
          <w:szCs w:val="22"/>
        </w:rPr>
        <w:t xml:space="preserve"> employees. </w:t>
      </w:r>
    </w:p>
    <w:p w14:paraId="35488A76" w14:textId="77777777" w:rsidR="00834993" w:rsidRPr="00635149" w:rsidRDefault="00834993" w:rsidP="00834993">
      <w:pPr>
        <w:pStyle w:val="ListParagraph"/>
        <w:jc w:val="both"/>
        <w:rPr>
          <w:rStyle w:val="normaltextrun"/>
          <w:rFonts w:ascii="Arial" w:hAnsi="Arial" w:cs="Arial"/>
          <w:sz w:val="22"/>
          <w:szCs w:val="22"/>
        </w:rPr>
      </w:pPr>
    </w:p>
    <w:p w14:paraId="3AF4A8AF" w14:textId="77777777" w:rsidR="00834993" w:rsidRPr="00635149" w:rsidRDefault="00834993">
      <w:pPr>
        <w:pStyle w:val="NormalWeb"/>
        <w:numPr>
          <w:ilvl w:val="0"/>
          <w:numId w:val="16"/>
        </w:numPr>
        <w:spacing w:before="0" w:beforeAutospacing="0" w:after="0" w:afterAutospacing="0"/>
        <w:jc w:val="both"/>
        <w:rPr>
          <w:rFonts w:ascii="Arial" w:hAnsi="Arial" w:cs="Arial"/>
          <w:b/>
          <w:bCs/>
          <w:sz w:val="22"/>
          <w:szCs w:val="22"/>
        </w:rPr>
      </w:pPr>
      <w:r w:rsidRPr="00635149">
        <w:rPr>
          <w:rFonts w:ascii="Arial" w:hAnsi="Arial" w:cs="Arial"/>
          <w:b/>
          <w:bCs/>
          <w:sz w:val="22"/>
          <w:szCs w:val="22"/>
        </w:rPr>
        <w:t xml:space="preserve">Build Community Partnerships: </w:t>
      </w:r>
      <w:r w:rsidRPr="00635149">
        <w:rPr>
          <w:rFonts w:ascii="Arial" w:hAnsi="Arial" w:cs="Arial"/>
          <w:sz w:val="22"/>
          <w:szCs w:val="22"/>
        </w:rPr>
        <w:t xml:space="preserve">BMC is deeply rooted in the Boston community and </w:t>
      </w:r>
      <w:r w:rsidR="00F61ED2" w:rsidRPr="00635149">
        <w:rPr>
          <w:rFonts w:ascii="Arial" w:hAnsi="Arial" w:cs="Arial"/>
          <w:sz w:val="22"/>
          <w:szCs w:val="22"/>
        </w:rPr>
        <w:t xml:space="preserve">is committed to </w:t>
      </w:r>
      <w:r w:rsidRPr="00635149">
        <w:rPr>
          <w:rFonts w:ascii="Arial" w:hAnsi="Arial" w:cs="Arial"/>
          <w:sz w:val="22"/>
          <w:szCs w:val="22"/>
        </w:rPr>
        <w:t>collaborat</w:t>
      </w:r>
      <w:r w:rsidR="00F61ED2" w:rsidRPr="00635149">
        <w:rPr>
          <w:rFonts w:ascii="Arial" w:hAnsi="Arial" w:cs="Arial"/>
          <w:sz w:val="22"/>
          <w:szCs w:val="22"/>
        </w:rPr>
        <w:t>ing</w:t>
      </w:r>
      <w:r w:rsidRPr="00635149">
        <w:rPr>
          <w:rFonts w:ascii="Arial" w:hAnsi="Arial" w:cs="Arial"/>
          <w:sz w:val="22"/>
          <w:szCs w:val="22"/>
        </w:rPr>
        <w:t xml:space="preserve"> with community providers and organizations to improve the health and well-being of the vulnerable patient populations it serves. In addition to partnering with various CHCs to meet patients’ health care needs in the communities where they live, BMC also </w:t>
      </w:r>
      <w:r w:rsidR="00F61ED2" w:rsidRPr="00635149">
        <w:rPr>
          <w:rFonts w:ascii="Arial" w:hAnsi="Arial" w:cs="Arial"/>
          <w:sz w:val="22"/>
          <w:szCs w:val="22"/>
        </w:rPr>
        <w:t xml:space="preserve">has long-term relationships with many diverse community-based service organizations and offers a number of </w:t>
      </w:r>
      <w:r w:rsidR="0044496B" w:rsidRPr="00635149">
        <w:rPr>
          <w:rFonts w:ascii="Arial" w:hAnsi="Arial" w:cs="Arial"/>
          <w:sz w:val="22"/>
          <w:szCs w:val="22"/>
        </w:rPr>
        <w:t xml:space="preserve">hospital-based </w:t>
      </w:r>
      <w:r w:rsidR="00F61ED2" w:rsidRPr="00635149">
        <w:rPr>
          <w:rFonts w:ascii="Arial" w:hAnsi="Arial" w:cs="Arial"/>
          <w:sz w:val="22"/>
          <w:szCs w:val="22"/>
        </w:rPr>
        <w:t>programs and initiatives aimed at addressing</w:t>
      </w:r>
      <w:r w:rsidR="00F61ED2" w:rsidRPr="00635149">
        <w:rPr>
          <w:rFonts w:ascii="Arial" w:hAnsi="Arial" w:cs="Arial"/>
          <w:b/>
          <w:bCs/>
          <w:sz w:val="22"/>
          <w:szCs w:val="22"/>
        </w:rPr>
        <w:t xml:space="preserve"> </w:t>
      </w:r>
      <w:r w:rsidRPr="00635149">
        <w:rPr>
          <w:rFonts w:ascii="Arial" w:hAnsi="Arial" w:cs="Arial"/>
          <w:sz w:val="22"/>
          <w:szCs w:val="22"/>
        </w:rPr>
        <w:t xml:space="preserve">health needs outside of the traditional medical model. Examples include, but are not limited to, investments in housing, food-related programs, programs related to careers in health care and education for youth, the Violence Intervention Advocacy Program, Elders Living at Home Program, Project TRUST, and StreetCred. </w:t>
      </w:r>
    </w:p>
    <w:p w14:paraId="56F816EB" w14:textId="77777777" w:rsidR="00834993" w:rsidRPr="00635149" w:rsidRDefault="00834993" w:rsidP="00834993">
      <w:pPr>
        <w:pStyle w:val="ListParagraph"/>
        <w:rPr>
          <w:rFonts w:ascii="Arial" w:hAnsi="Arial" w:cs="Arial"/>
          <w:sz w:val="22"/>
          <w:szCs w:val="22"/>
        </w:rPr>
      </w:pPr>
    </w:p>
    <w:p w14:paraId="06940AF1" w14:textId="77777777" w:rsidR="00834993" w:rsidRPr="00635149" w:rsidRDefault="00834993" w:rsidP="00834993">
      <w:pPr>
        <w:pStyle w:val="NormalWeb"/>
        <w:spacing w:before="0" w:beforeAutospacing="0" w:after="0" w:afterAutospacing="0"/>
        <w:ind w:left="720"/>
        <w:jc w:val="both"/>
        <w:rPr>
          <w:rFonts w:ascii="Arial" w:hAnsi="Arial" w:cs="Arial"/>
          <w:sz w:val="22"/>
          <w:szCs w:val="22"/>
        </w:rPr>
      </w:pPr>
      <w:r w:rsidRPr="00635149">
        <w:rPr>
          <w:rFonts w:ascii="Arial" w:hAnsi="Arial" w:cs="Arial"/>
          <w:sz w:val="22"/>
          <w:szCs w:val="22"/>
        </w:rPr>
        <w:t>Moreover, the Applicant highlights the Hospital’s Patient and Family Advisory Council (“PFAC”), its Community Advisory Board (“CAB”), and its membership in the Boston CHNA-CHIP Collaborative. As described in further detail in Factor F1.d, the Hospital’s PFAC includes patients, families, and staff that are representative of the community served by BMC, and aims to improve operations across the System and achieve its mission for patient-centered and equitable care by inform decision-making and the development of programs, services, and strategic projects at the Hospital. Additionally, the CAB is comprised of diverse members that are representative of various sectors (i.e., local public health departments, municipalities, education, housing, social services, regional planning and transportation agencies, the private sector, community health centers, and community-based organizations) who strategically advise the Hospital on how best to use investments to catalyze change and leverage other city, state, federal and other philanthropic investments. With regard to the Boston CHNA-CHIP Collaborative, the Applicant notes that the group, comprised of various Boston health centers, community-based organizations, hospitals, community residents, and the Boston Public Health Commission, seeks to achieve sustainable positive change in the health of Boston by collaborating with communities, sharing knowledge, aligning resources, and addressing root causes of health inequities.</w:t>
      </w:r>
    </w:p>
    <w:p w14:paraId="787483A8" w14:textId="77777777" w:rsidR="00834993" w:rsidRPr="00635149" w:rsidRDefault="00834993" w:rsidP="00834993">
      <w:pPr>
        <w:pStyle w:val="NormalWeb"/>
        <w:spacing w:before="0" w:beforeAutospacing="0" w:after="0" w:afterAutospacing="0"/>
        <w:ind w:left="720"/>
        <w:jc w:val="both"/>
        <w:rPr>
          <w:rFonts w:ascii="Arial" w:hAnsi="Arial" w:cs="Arial"/>
          <w:sz w:val="22"/>
          <w:szCs w:val="22"/>
        </w:rPr>
      </w:pPr>
    </w:p>
    <w:p w14:paraId="28EBC882" w14:textId="77777777" w:rsidR="00834993" w:rsidRPr="00635149" w:rsidRDefault="00834993" w:rsidP="00834993">
      <w:pPr>
        <w:pStyle w:val="NormalWeb"/>
        <w:spacing w:before="0" w:beforeAutospacing="0" w:after="0" w:afterAutospacing="0"/>
        <w:ind w:left="720"/>
        <w:jc w:val="both"/>
        <w:rPr>
          <w:rFonts w:ascii="Arial" w:hAnsi="Arial" w:cs="Arial"/>
          <w:sz w:val="22"/>
          <w:szCs w:val="22"/>
        </w:rPr>
      </w:pPr>
      <w:r w:rsidRPr="00635149">
        <w:rPr>
          <w:rFonts w:ascii="Arial" w:hAnsi="Arial" w:cs="Arial"/>
          <w:sz w:val="22"/>
          <w:szCs w:val="22"/>
        </w:rPr>
        <w:t xml:space="preserve">Finally, the Applicant notes that it is one of BMC’s Health Equity Accelerator (discussed further </w:t>
      </w:r>
      <w:r w:rsidR="001726BA" w:rsidRPr="00635149">
        <w:rPr>
          <w:rFonts w:ascii="Arial" w:hAnsi="Arial" w:cs="Arial"/>
          <w:sz w:val="22"/>
          <w:szCs w:val="22"/>
        </w:rPr>
        <w:t xml:space="preserve">at Factor </w:t>
      </w:r>
      <w:r w:rsidR="00E65BEE" w:rsidRPr="00635149">
        <w:rPr>
          <w:rFonts w:ascii="Arial" w:hAnsi="Arial" w:cs="Arial"/>
          <w:sz w:val="22"/>
          <w:szCs w:val="22"/>
        </w:rPr>
        <w:t xml:space="preserve">F1.b.iv </w:t>
      </w:r>
      <w:r w:rsidRPr="00635149">
        <w:rPr>
          <w:rFonts w:ascii="Arial" w:hAnsi="Arial" w:cs="Arial"/>
          <w:sz w:val="22"/>
          <w:szCs w:val="22"/>
        </w:rPr>
        <w:t>below) priorities to build on the Hospital’s existing community partnerships and initiatives and continue to invest in eliminating barriers and create paths for wealth</w:t>
      </w:r>
      <w:r w:rsidR="00F33C2A" w:rsidRPr="00635149">
        <w:rPr>
          <w:rFonts w:ascii="Arial" w:hAnsi="Arial" w:cs="Arial"/>
          <w:sz w:val="22"/>
          <w:szCs w:val="22"/>
        </w:rPr>
        <w:t>-</w:t>
      </w:r>
      <w:r w:rsidRPr="00635149">
        <w:rPr>
          <w:rFonts w:ascii="Arial" w:hAnsi="Arial" w:cs="Arial"/>
          <w:sz w:val="22"/>
          <w:szCs w:val="22"/>
        </w:rPr>
        <w:t xml:space="preserve">building in the communities it serves. </w:t>
      </w:r>
      <w:r w:rsidR="00F33C2A" w:rsidRPr="00635149">
        <w:rPr>
          <w:rFonts w:ascii="Arial" w:hAnsi="Arial" w:cs="Arial"/>
          <w:sz w:val="22"/>
          <w:szCs w:val="22"/>
        </w:rPr>
        <w:t xml:space="preserve">This priority recognizes the fact that one of the root causes of health inequity is barriers to economic mobility. </w:t>
      </w:r>
      <w:r w:rsidRPr="00635149">
        <w:rPr>
          <w:rFonts w:ascii="Arial" w:hAnsi="Arial" w:cs="Arial"/>
          <w:sz w:val="22"/>
          <w:szCs w:val="22"/>
        </w:rPr>
        <w:t xml:space="preserve">The largest effort of this kind at BMC is the Boston Opportunity System (“BOS”) Collaborative, a partnership across multiple local organizations to create jobs and affordable housing. The BOS Collaborative functions as a deep place-based initiative of health equity work for the System and is integrated with other SDoH and workforce initiatives. BMC, as the backbone organization of the BOS Collaborative, will continue to work </w:t>
      </w:r>
      <w:r w:rsidR="00F33C2A" w:rsidRPr="00635149">
        <w:rPr>
          <w:rFonts w:ascii="Arial" w:hAnsi="Arial" w:cs="Arial"/>
          <w:sz w:val="22"/>
          <w:szCs w:val="22"/>
        </w:rPr>
        <w:t xml:space="preserve">in the future </w:t>
      </w:r>
      <w:r w:rsidRPr="00635149">
        <w:rPr>
          <w:rFonts w:ascii="Arial" w:hAnsi="Arial" w:cs="Arial"/>
          <w:sz w:val="22"/>
          <w:szCs w:val="22"/>
        </w:rPr>
        <w:t>with funding partners, community-based organizations, the City of Boston, and fellow anchor institutions to generate a powerful portfolio of work across pillars of housing-based initiatives, anchor institutions’ investments, and economic mobility pathways targeting Boston’s most disinvested neighborhoods.</w:t>
      </w:r>
    </w:p>
    <w:p w14:paraId="7877DC18" w14:textId="77777777" w:rsidR="00834993" w:rsidRPr="00635149" w:rsidRDefault="00834993" w:rsidP="00834993">
      <w:pPr>
        <w:pStyle w:val="NormalWeb"/>
        <w:spacing w:before="0" w:beforeAutospacing="0" w:after="0" w:afterAutospacing="0"/>
        <w:rPr>
          <w:rFonts w:ascii="Arial" w:hAnsi="Arial" w:cs="Arial"/>
          <w:sz w:val="22"/>
          <w:szCs w:val="22"/>
        </w:rPr>
      </w:pPr>
    </w:p>
    <w:p w14:paraId="29437FC1" w14:textId="77777777" w:rsidR="00834993" w:rsidRPr="00635149" w:rsidRDefault="00834993">
      <w:pPr>
        <w:pStyle w:val="ListParagraph"/>
        <w:numPr>
          <w:ilvl w:val="0"/>
          <w:numId w:val="16"/>
        </w:numPr>
        <w:jc w:val="both"/>
        <w:rPr>
          <w:rFonts w:ascii="Arial" w:hAnsi="Arial" w:cs="Arial"/>
          <w:sz w:val="22"/>
          <w:szCs w:val="22"/>
        </w:rPr>
      </w:pPr>
      <w:r w:rsidRPr="00635149">
        <w:rPr>
          <w:rFonts w:ascii="Arial" w:hAnsi="Arial" w:cs="Arial"/>
          <w:b/>
          <w:bCs/>
          <w:sz w:val="22"/>
          <w:szCs w:val="22"/>
        </w:rPr>
        <w:t xml:space="preserve">Collect and Share Diversity Data: </w:t>
      </w:r>
      <w:r w:rsidRPr="00635149">
        <w:rPr>
          <w:rFonts w:ascii="Arial" w:hAnsi="Arial" w:cs="Arial"/>
          <w:sz w:val="22"/>
          <w:szCs w:val="22"/>
        </w:rPr>
        <w:t xml:space="preserve">BMC, like all of the Applicant’s provider locations, utilizes Epic as its Electronic Health Record (“EHR”). Through Epic, the Hospital is able to collect detailed patient demographic data, including but not limited to gender, age, race/ethnicity, geographic origin, and language. All patients, including those utilizing the Hospital’s </w:t>
      </w:r>
      <w:r w:rsidR="00635149" w:rsidRPr="00635149">
        <w:rPr>
          <w:rFonts w:ascii="Arial" w:hAnsi="Arial" w:cs="Arial"/>
          <w:sz w:val="22"/>
          <w:szCs w:val="22"/>
        </w:rPr>
        <w:t>MRI</w:t>
      </w:r>
      <w:r w:rsidRPr="00635149">
        <w:rPr>
          <w:rFonts w:ascii="Arial" w:hAnsi="Arial" w:cs="Arial"/>
          <w:sz w:val="22"/>
          <w:szCs w:val="22"/>
        </w:rPr>
        <w:t xml:space="preserve"> services, are asked about their demographic data at the time of registration and such data </w:t>
      </w:r>
      <w:r w:rsidR="002D7F7F" w:rsidRPr="00635149">
        <w:rPr>
          <w:rFonts w:ascii="Arial" w:hAnsi="Arial" w:cs="Arial"/>
          <w:sz w:val="22"/>
          <w:szCs w:val="22"/>
        </w:rPr>
        <w:t xml:space="preserve">are </w:t>
      </w:r>
      <w:r w:rsidRPr="00635149">
        <w:rPr>
          <w:rFonts w:ascii="Arial" w:hAnsi="Arial" w:cs="Arial"/>
          <w:sz w:val="22"/>
          <w:szCs w:val="22"/>
        </w:rPr>
        <w:t>inputted into the patient’s EHR, which is made centrally available across BMC’s various locations to ensure coordination of care, appropriate care transitions, and the provision of high-quality care. Additionally, the Hospital tracks utilization of language and interpreter services, including, but not limited to, top languages engaged, utilization of telephonic and remote services, American Sign Language (“ASL”) services performed, and details around any reported service issues. Th</w:t>
      </w:r>
      <w:r w:rsidR="00AF28BB" w:rsidRPr="00635149">
        <w:rPr>
          <w:rFonts w:ascii="Arial" w:hAnsi="Arial" w:cs="Arial"/>
          <w:sz w:val="22"/>
          <w:szCs w:val="22"/>
        </w:rPr>
        <w:t>is</w:t>
      </w:r>
      <w:r w:rsidRPr="00635149">
        <w:rPr>
          <w:rFonts w:ascii="Arial" w:hAnsi="Arial" w:cs="Arial"/>
          <w:sz w:val="22"/>
          <w:szCs w:val="22"/>
        </w:rPr>
        <w:t xml:space="preserve"> </w:t>
      </w:r>
      <w:r w:rsidR="00AF28BB" w:rsidRPr="00635149">
        <w:rPr>
          <w:rFonts w:ascii="Arial" w:hAnsi="Arial" w:cs="Arial"/>
          <w:sz w:val="22"/>
          <w:szCs w:val="22"/>
        </w:rPr>
        <w:t xml:space="preserve">information is </w:t>
      </w:r>
      <w:r w:rsidRPr="00635149">
        <w:rPr>
          <w:rFonts w:ascii="Arial" w:hAnsi="Arial" w:cs="Arial"/>
          <w:sz w:val="22"/>
          <w:szCs w:val="22"/>
        </w:rPr>
        <w:t>reported on an annual basis to DPH’s Office of Health Equity and, along with the patient demographic data, is also used to inform service and program offerings and promote health equity and culturally competent care at the Hospital and in the community.</w:t>
      </w:r>
    </w:p>
    <w:p w14:paraId="1D88CC7B" w14:textId="77777777" w:rsidR="00834993" w:rsidRPr="00635149" w:rsidRDefault="00834993" w:rsidP="00834993">
      <w:pPr>
        <w:jc w:val="both"/>
        <w:rPr>
          <w:rFonts w:ascii="Arial" w:hAnsi="Arial" w:cs="Arial"/>
          <w:sz w:val="22"/>
          <w:szCs w:val="22"/>
        </w:rPr>
      </w:pPr>
    </w:p>
    <w:p w14:paraId="24195B75" w14:textId="77777777" w:rsidR="00834993" w:rsidRPr="00635149" w:rsidRDefault="00834993" w:rsidP="00834993">
      <w:pPr>
        <w:ind w:left="720"/>
        <w:jc w:val="both"/>
        <w:rPr>
          <w:rFonts w:ascii="Arial" w:hAnsi="Arial" w:cs="Arial"/>
          <w:sz w:val="22"/>
          <w:szCs w:val="22"/>
        </w:rPr>
      </w:pPr>
      <w:r w:rsidRPr="00635149">
        <w:rPr>
          <w:rFonts w:ascii="Arial" w:hAnsi="Arial" w:cs="Arial"/>
          <w:sz w:val="22"/>
          <w:szCs w:val="22"/>
        </w:rPr>
        <w:t xml:space="preserve">As noted above, the Hospital also </w:t>
      </w:r>
      <w:r w:rsidR="005801FF" w:rsidRPr="00635149">
        <w:rPr>
          <w:rFonts w:ascii="Arial" w:hAnsi="Arial" w:cs="Arial"/>
          <w:sz w:val="22"/>
          <w:szCs w:val="22"/>
        </w:rPr>
        <w:t xml:space="preserve">is </w:t>
      </w:r>
      <w:r w:rsidRPr="00635149">
        <w:rPr>
          <w:rFonts w:ascii="Arial" w:hAnsi="Arial" w:cs="Arial"/>
          <w:sz w:val="22"/>
          <w:szCs w:val="22"/>
        </w:rPr>
        <w:t xml:space="preserve">a member of the Boston CHNA-CHIP Collaborative. As a member, the Hospital works with the other Collaborative members to conduct a joint, participatory community health needs assessment (“CHNA”) for Boston every three (3) </w:t>
      </w:r>
      <w:r w:rsidRPr="00635149">
        <w:rPr>
          <w:rFonts w:ascii="Arial" w:hAnsi="Arial" w:cs="Arial"/>
          <w:sz w:val="22"/>
          <w:szCs w:val="22"/>
        </w:rPr>
        <w:lastRenderedPageBreak/>
        <w:t>years discussing the social, economic, and health needs and assets in the community, and develop a collaborative community health improvement plan (“CHIP”) to address the issues identified through the CHNA as top priority. All of these processes involve the collection and sharing of diversity data to meaningfully contribute to a healthy Boston with strong communities, connected residents and organizations, coordinated initiatives, and equitable opportunities for every individual to live a healthy life.</w:t>
      </w:r>
    </w:p>
    <w:p w14:paraId="7BD669FF" w14:textId="77777777" w:rsidR="00834993" w:rsidRPr="00635149" w:rsidRDefault="00834993" w:rsidP="00834993">
      <w:pPr>
        <w:jc w:val="both"/>
        <w:rPr>
          <w:rFonts w:ascii="Arial" w:hAnsi="Arial" w:cs="Arial"/>
          <w:sz w:val="22"/>
          <w:szCs w:val="22"/>
        </w:rPr>
      </w:pPr>
    </w:p>
    <w:p w14:paraId="6BAD5B50" w14:textId="77777777" w:rsidR="00834993" w:rsidRPr="00635149" w:rsidRDefault="00834993" w:rsidP="00834993">
      <w:pPr>
        <w:ind w:left="720"/>
        <w:jc w:val="both"/>
        <w:rPr>
          <w:rFonts w:ascii="Arial" w:hAnsi="Arial" w:cs="Arial"/>
          <w:sz w:val="22"/>
          <w:szCs w:val="22"/>
        </w:rPr>
      </w:pPr>
      <w:r w:rsidRPr="00635149">
        <w:rPr>
          <w:rFonts w:ascii="Arial" w:hAnsi="Arial" w:cs="Arial"/>
          <w:sz w:val="22"/>
          <w:szCs w:val="22"/>
        </w:rPr>
        <w:t>Finally, as discussed in further detail below, as BMC cared for COVID-19 patients throughout 2020 and into 2021, BMC researchers led a first-of-its-kind study that investigated the differential impact of COVID-19 on racial groups within the Hispanic community. This study highlighted not only that Hispanic groups as a whole have worse outcomes than non-Hispanic white individuals, but also that Hispanic Black individuals had the highest rates of comorbidities, admittance to the ICU, ventilation, and death due to COVID-19. Analysis of the national data underscored that these disparities were not rooted in biology, but rather, reflect the systemic impacts of racism and inequity. In response to such data, BMC took urgent action to address the blatant racial inequities in new ways, including introducing new services (including home visits, telehealth, contact tracing, and other public health tools) and providing education on and access to vaccination for communities of color. Significantly, such data collection and responsive efforts served as a model for BMC’s new Health Equity Accelerator, which is discussed in detail below</w:t>
      </w:r>
      <w:r w:rsidR="00E65BEE" w:rsidRPr="00635149">
        <w:rPr>
          <w:rFonts w:ascii="Arial" w:hAnsi="Arial" w:cs="Arial"/>
          <w:sz w:val="22"/>
          <w:szCs w:val="22"/>
        </w:rPr>
        <w:t xml:space="preserve"> at Factor F1.b.iv</w:t>
      </w:r>
      <w:r w:rsidRPr="00635149">
        <w:rPr>
          <w:rFonts w:ascii="Arial" w:hAnsi="Arial" w:cs="Arial"/>
          <w:sz w:val="22"/>
          <w:szCs w:val="22"/>
        </w:rPr>
        <w:t>.</w:t>
      </w:r>
    </w:p>
    <w:p w14:paraId="7494F9AE" w14:textId="77777777" w:rsidR="00834993" w:rsidRPr="00635149" w:rsidRDefault="00834993" w:rsidP="00834993">
      <w:pPr>
        <w:rPr>
          <w:rFonts w:ascii="Arial" w:hAnsi="Arial" w:cs="Arial"/>
          <w:b/>
          <w:bCs/>
          <w:sz w:val="22"/>
          <w:szCs w:val="22"/>
        </w:rPr>
      </w:pPr>
    </w:p>
    <w:p w14:paraId="123B7E87" w14:textId="77777777" w:rsidR="006F56BA" w:rsidRPr="00635149" w:rsidRDefault="00834993">
      <w:pPr>
        <w:pStyle w:val="ListParagraph"/>
        <w:numPr>
          <w:ilvl w:val="0"/>
          <w:numId w:val="16"/>
        </w:numPr>
        <w:jc w:val="both"/>
        <w:rPr>
          <w:rFonts w:ascii="Arial" w:hAnsi="Arial" w:cs="Arial"/>
          <w:sz w:val="22"/>
          <w:szCs w:val="22"/>
        </w:rPr>
      </w:pPr>
      <w:r w:rsidRPr="00635149">
        <w:rPr>
          <w:rFonts w:ascii="Arial" w:hAnsi="Arial" w:cs="Arial"/>
          <w:b/>
          <w:bCs/>
          <w:sz w:val="22"/>
          <w:szCs w:val="22"/>
        </w:rPr>
        <w:t xml:space="preserve">Benchmark: Plan and Evaluate: </w:t>
      </w:r>
      <w:r w:rsidR="006F56BA" w:rsidRPr="00635149">
        <w:rPr>
          <w:rFonts w:ascii="Arial" w:hAnsi="Arial" w:cs="Arial"/>
          <w:color w:val="000000"/>
          <w:sz w:val="22"/>
          <w:szCs w:val="22"/>
        </w:rPr>
        <w:t>BMC’s ISD, part of the Support Services Department, is responsible for facilitating effective communication between staff and patients at the Hospital. Specific details around interpreter services policies and procedures are provided below and explain the ways in which the ISD ensures language access for BMC’s culturally and linguistically diverse patient panel. With regard to reviewing and assessing such services, the Applicant notes that the ISD collaborates with other departments and committees at the Hospital to evaluate and continually improve the provision of quality language services. Specifically, interpreter services are evaluated via statistical information received from phone/video vendors and the Hospital’s internal dispatching system, internal provider surveys, quality improvement studies, feedback provided via email, and data from the Hospital’s RL Incident Reporting System. BMC uses this information to hold itself and its vendors accountable for services provided, respond to complaints and brainstorm best steps forward to avoid similar issues in the future, analyze and update workflows as necessary, determine if new languages need to be added or if interpreters of certain languages need to be stationed in specific departments depending on volume and patient populations serviced, etc. The Hospital also works with the Department’s Office of Health Equity each year to complete its Annual Report, evaluate interpretation and language access programs available at BMC, and ensure that such services and programs are meeting the needs of its patient population. </w:t>
      </w:r>
    </w:p>
    <w:p w14:paraId="0F71AD54" w14:textId="77777777" w:rsidR="006F56BA" w:rsidRPr="00635149" w:rsidRDefault="006F56BA" w:rsidP="006F56BA">
      <w:pPr>
        <w:pStyle w:val="ListParagraph"/>
        <w:jc w:val="both"/>
        <w:rPr>
          <w:rFonts w:ascii="Arial" w:hAnsi="Arial" w:cs="Arial"/>
          <w:sz w:val="22"/>
          <w:szCs w:val="22"/>
        </w:rPr>
      </w:pPr>
    </w:p>
    <w:p w14:paraId="17133068" w14:textId="77777777" w:rsidR="006F56BA" w:rsidRPr="00635149" w:rsidRDefault="006F56BA" w:rsidP="006F56BA">
      <w:pPr>
        <w:pStyle w:val="ListParagraph"/>
        <w:jc w:val="both"/>
        <w:rPr>
          <w:rFonts w:ascii="Arial" w:hAnsi="Arial" w:cs="Arial"/>
          <w:sz w:val="22"/>
          <w:szCs w:val="22"/>
        </w:rPr>
      </w:pPr>
      <w:r w:rsidRPr="00635149">
        <w:rPr>
          <w:rFonts w:ascii="Arial" w:hAnsi="Arial" w:cs="Arial"/>
          <w:color w:val="000000"/>
          <w:sz w:val="22"/>
          <w:szCs w:val="22"/>
        </w:rPr>
        <w:t>Additionally, the Applicant notes that BMC’s mission of providing “exceptional care without exception” for its diverse patient population extends beyond language access. For instance, in accordance with such mission, BMC has deployed the Health Equity Accelerator. While additional detail around the Health Equity Accelerator is provided at Factor F1.b.iv, the Applicant highlights here that at its core the Accelerator is a tool for evaluating health injustice and transforming health care to deliver health justice and well-being among groups of different races and ethnicities; i.e., it is a tool for looking at how health care is delivered to people of different races, ethnicities, and cultures and planning ways to improve. </w:t>
      </w:r>
    </w:p>
    <w:p w14:paraId="5634C4CB" w14:textId="77777777" w:rsidR="006F56BA" w:rsidRPr="00635149" w:rsidRDefault="006F56BA" w:rsidP="00834993">
      <w:pPr>
        <w:ind w:left="360"/>
        <w:rPr>
          <w:rFonts w:ascii="Arial" w:hAnsi="Arial" w:cs="Arial"/>
          <w:b/>
          <w:bCs/>
          <w:sz w:val="22"/>
          <w:szCs w:val="22"/>
        </w:rPr>
      </w:pPr>
    </w:p>
    <w:p w14:paraId="416E96BC" w14:textId="77777777" w:rsidR="00834993" w:rsidRPr="00635149" w:rsidRDefault="00834993">
      <w:pPr>
        <w:pStyle w:val="ListParagraph"/>
        <w:numPr>
          <w:ilvl w:val="0"/>
          <w:numId w:val="16"/>
        </w:numPr>
        <w:jc w:val="both"/>
        <w:rPr>
          <w:rFonts w:ascii="Arial" w:hAnsi="Arial" w:cs="Arial"/>
          <w:sz w:val="22"/>
          <w:szCs w:val="22"/>
        </w:rPr>
      </w:pPr>
      <w:r w:rsidRPr="00635149">
        <w:rPr>
          <w:rFonts w:ascii="Arial" w:hAnsi="Arial" w:cs="Arial"/>
          <w:b/>
          <w:bCs/>
          <w:sz w:val="22"/>
          <w:szCs w:val="22"/>
        </w:rPr>
        <w:lastRenderedPageBreak/>
        <w:t xml:space="preserve">Reflect and Respect Diversity:  </w:t>
      </w:r>
      <w:r w:rsidRPr="00635149">
        <w:rPr>
          <w:rFonts w:ascii="ArialMT" w:hAnsi="ArialMT"/>
          <w:sz w:val="22"/>
          <w:szCs w:val="22"/>
        </w:rPr>
        <w:t xml:space="preserve">At BMC, “being our best” means ensuring the Hospital is a place where every member of the community feels secure and welcome, that the contributions of all individuals are respected and celebrated, and that all voices are heard. The variety of perspectives, backgrounds, talents, and experiences that exist at BMC make the </w:t>
      </w:r>
      <w:r w:rsidRPr="00B12D06">
        <w:rPr>
          <w:rFonts w:ascii="ArialMT" w:hAnsi="ArialMT"/>
          <w:sz w:val="22"/>
          <w:szCs w:val="22"/>
        </w:rPr>
        <w:t xml:space="preserve">Hospital uniquely capable of providing exceptional care without exception. </w:t>
      </w:r>
      <w:r w:rsidRPr="00B12D06">
        <w:rPr>
          <w:rFonts w:ascii="Arial" w:hAnsi="Arial" w:cs="Arial"/>
          <w:sz w:val="22"/>
          <w:szCs w:val="22"/>
        </w:rPr>
        <w:t>Based on data from 2021,</w:t>
      </w:r>
      <w:r w:rsidRPr="00635149">
        <w:rPr>
          <w:rFonts w:ascii="Arial" w:hAnsi="Arial" w:cs="Arial"/>
          <w:sz w:val="22"/>
          <w:szCs w:val="22"/>
        </w:rPr>
        <w:t xml:space="preserve"> BMC’s staff reflected diversity in the following ways:</w:t>
      </w:r>
    </w:p>
    <w:p w14:paraId="4A996EDB" w14:textId="77777777" w:rsidR="00834993" w:rsidRPr="005D0678" w:rsidRDefault="00834993">
      <w:pPr>
        <w:pStyle w:val="ListParagraph"/>
        <w:numPr>
          <w:ilvl w:val="0"/>
          <w:numId w:val="15"/>
        </w:numPr>
        <w:jc w:val="both"/>
        <w:rPr>
          <w:rFonts w:ascii="Arial" w:hAnsi="Arial" w:cs="Arial"/>
          <w:sz w:val="22"/>
          <w:szCs w:val="22"/>
        </w:rPr>
      </w:pPr>
      <w:r w:rsidRPr="005D0678">
        <w:rPr>
          <w:rFonts w:ascii="Arial" w:hAnsi="Arial" w:cs="Arial"/>
          <w:sz w:val="22"/>
          <w:szCs w:val="22"/>
        </w:rPr>
        <w:t>75% self-identified as female and 25% as male;</w:t>
      </w:r>
    </w:p>
    <w:p w14:paraId="7B3EA91D" w14:textId="77777777" w:rsidR="00834993" w:rsidRPr="005D0678" w:rsidRDefault="00834993">
      <w:pPr>
        <w:pStyle w:val="ListParagraph"/>
        <w:numPr>
          <w:ilvl w:val="0"/>
          <w:numId w:val="15"/>
        </w:numPr>
        <w:jc w:val="both"/>
        <w:rPr>
          <w:rFonts w:ascii="Arial" w:hAnsi="Arial" w:cs="Arial"/>
          <w:sz w:val="22"/>
          <w:szCs w:val="22"/>
        </w:rPr>
      </w:pPr>
      <w:r w:rsidRPr="005D0678">
        <w:rPr>
          <w:rFonts w:ascii="Arial" w:hAnsi="Arial" w:cs="Arial"/>
          <w:sz w:val="22"/>
          <w:szCs w:val="22"/>
        </w:rPr>
        <w:t>48% self-identified as White, 28% as Black/African American, 11% as Asian, 10% as Hispanic/Latino, and 3% as two or more races;</w:t>
      </w:r>
    </w:p>
    <w:p w14:paraId="2DEAAA68" w14:textId="77777777" w:rsidR="00834993" w:rsidRPr="005D0678" w:rsidRDefault="00834993">
      <w:pPr>
        <w:pStyle w:val="ListParagraph"/>
        <w:numPr>
          <w:ilvl w:val="0"/>
          <w:numId w:val="15"/>
        </w:numPr>
        <w:jc w:val="both"/>
        <w:rPr>
          <w:rFonts w:ascii="Arial" w:hAnsi="Arial" w:cs="Arial"/>
          <w:sz w:val="22"/>
          <w:szCs w:val="22"/>
        </w:rPr>
      </w:pPr>
      <w:r w:rsidRPr="005D0678">
        <w:rPr>
          <w:rFonts w:ascii="Arial" w:hAnsi="Arial" w:cs="Arial"/>
          <w:sz w:val="22"/>
          <w:szCs w:val="22"/>
        </w:rPr>
        <w:t xml:space="preserve">7% of employees were 18-24, 35% were 25-34, 22% were 35-44, 17% were 45-54, 15% were 55-64, and 4% were 65-74; and </w:t>
      </w:r>
    </w:p>
    <w:p w14:paraId="1E982EC6" w14:textId="77777777" w:rsidR="00834993" w:rsidRPr="005D0678" w:rsidRDefault="00834993">
      <w:pPr>
        <w:pStyle w:val="ListParagraph"/>
        <w:numPr>
          <w:ilvl w:val="0"/>
          <w:numId w:val="15"/>
        </w:numPr>
        <w:jc w:val="both"/>
        <w:rPr>
          <w:rFonts w:ascii="Arial" w:hAnsi="Arial" w:cs="Arial"/>
          <w:sz w:val="22"/>
          <w:szCs w:val="22"/>
        </w:rPr>
      </w:pPr>
      <w:r w:rsidRPr="005D0678">
        <w:rPr>
          <w:rFonts w:ascii="Arial" w:hAnsi="Arial" w:cs="Arial"/>
          <w:sz w:val="22"/>
          <w:szCs w:val="22"/>
        </w:rPr>
        <w:t>Data from the 2021 Press Ganey Survey diversity questions indicated that the Hospital exhibits organizational strength in the following areas: the organization values employees from different backgrounds, the organization demonstrates a commitment to workforce diversity, coworkers value individuals with different backgrounds, and management treats all employees equally regardless of their background.</w:t>
      </w:r>
    </w:p>
    <w:p w14:paraId="4F473759" w14:textId="77777777" w:rsidR="00834993" w:rsidRPr="00635149" w:rsidRDefault="00834993" w:rsidP="00834993">
      <w:pPr>
        <w:jc w:val="both"/>
        <w:rPr>
          <w:rFonts w:ascii="Arial" w:hAnsi="Arial" w:cs="Arial"/>
          <w:sz w:val="22"/>
          <w:szCs w:val="22"/>
        </w:rPr>
      </w:pPr>
    </w:p>
    <w:p w14:paraId="7A232DDE" w14:textId="77777777" w:rsidR="00834993" w:rsidRPr="00635149" w:rsidRDefault="00834993" w:rsidP="00834993">
      <w:pPr>
        <w:ind w:left="720"/>
        <w:jc w:val="both"/>
        <w:rPr>
          <w:rFonts w:ascii="Arial" w:hAnsi="Arial" w:cs="Arial"/>
          <w:sz w:val="22"/>
          <w:szCs w:val="22"/>
        </w:rPr>
      </w:pPr>
      <w:r w:rsidRPr="00635149">
        <w:rPr>
          <w:rFonts w:ascii="Arial" w:hAnsi="Arial" w:cs="Arial"/>
          <w:sz w:val="22"/>
          <w:szCs w:val="22"/>
        </w:rPr>
        <w:t xml:space="preserve">BMC’s “Culture Code” is one example of how the Hospital is taking targeted actions and measures to ensure that every employee views diversity, equity, and inclusion as part of the organizational DNA and, therefore, operates thoughtfully, considerately, and intentionally. The Culture Code brings to life BMC’s core value of “Many Faces Create Our Greatness” by distilling large and seemingly abstract diversity, equity, and inclusion concepts into five (5) elements: (1) See The Other Person (S.T.O.P.); (2) Find your superpower and appreciate the superpowers of others; (3) Missteps happen, so can growth; (4) Make </w:t>
      </w:r>
      <w:r w:rsidR="00F33C2A" w:rsidRPr="00635149">
        <w:rPr>
          <w:rFonts w:ascii="Arial" w:hAnsi="Arial" w:cs="Arial"/>
          <w:sz w:val="22"/>
          <w:szCs w:val="22"/>
        </w:rPr>
        <w:t xml:space="preserve">it </w:t>
      </w:r>
      <w:r w:rsidRPr="00635149">
        <w:rPr>
          <w:rFonts w:ascii="Arial" w:hAnsi="Arial" w:cs="Arial"/>
          <w:sz w:val="22"/>
          <w:szCs w:val="22"/>
        </w:rPr>
        <w:t xml:space="preserve">a 5-star hello; and (5) We stand together. Other initiatives include, but are not limited to, the following: The Glossary for Culture Transformation; Transgender Taskforce; Pathways: A Leadership Acceleration Program; Graduate Medical Education Diversity &amp; Inclusion Council; and the Pharmacy Department All-In Initiative. </w:t>
      </w:r>
      <w:r w:rsidRPr="00635149">
        <w:rPr>
          <w:rFonts w:ascii="Arial" w:hAnsi="Arial" w:cs="Arial"/>
          <w:sz w:val="22"/>
          <w:szCs w:val="22"/>
        </w:rPr>
        <w:tab/>
      </w:r>
    </w:p>
    <w:p w14:paraId="32A38400" w14:textId="77777777" w:rsidR="00834993" w:rsidRPr="00635149" w:rsidRDefault="00834993" w:rsidP="00834993">
      <w:pPr>
        <w:jc w:val="both"/>
        <w:rPr>
          <w:rFonts w:ascii="Arial" w:hAnsi="Arial" w:cs="Arial"/>
          <w:sz w:val="22"/>
          <w:szCs w:val="22"/>
        </w:rPr>
      </w:pPr>
    </w:p>
    <w:p w14:paraId="460BD2A2" w14:textId="77777777" w:rsidR="00834993" w:rsidRPr="00166EDF" w:rsidRDefault="00834993">
      <w:pPr>
        <w:pStyle w:val="ListParagraph"/>
        <w:numPr>
          <w:ilvl w:val="0"/>
          <w:numId w:val="16"/>
        </w:numPr>
        <w:jc w:val="both"/>
        <w:rPr>
          <w:rFonts w:ascii="Arial" w:eastAsiaTheme="minorHAnsi" w:hAnsi="Arial" w:cs="Arial"/>
          <w:sz w:val="22"/>
          <w:szCs w:val="22"/>
        </w:rPr>
      </w:pPr>
      <w:r w:rsidRPr="00166EDF">
        <w:rPr>
          <w:rFonts w:ascii="Arial" w:hAnsi="Arial" w:cs="Arial"/>
          <w:b/>
          <w:bCs/>
          <w:sz w:val="22"/>
          <w:szCs w:val="22"/>
        </w:rPr>
        <w:t xml:space="preserve">Ensure Language Access: </w:t>
      </w:r>
      <w:r w:rsidRPr="00166EDF">
        <w:rPr>
          <w:rFonts w:ascii="Arial" w:hAnsi="Arial" w:cs="Arial"/>
          <w:sz w:val="22"/>
          <w:szCs w:val="22"/>
        </w:rPr>
        <w:t xml:space="preserve">BMC is committed to reducing linguistic barriers for limited-English proficiency (“LEP”) and deaf and hard of hearing (“DHH”) patients seeking care at BMC. </w:t>
      </w:r>
      <w:r w:rsidR="00F33C2A" w:rsidRPr="00166EDF">
        <w:rPr>
          <w:rFonts w:ascii="Arial" w:hAnsi="Arial" w:cs="Arial"/>
          <w:sz w:val="22"/>
          <w:szCs w:val="22"/>
        </w:rPr>
        <w:t>B</w:t>
      </w:r>
      <w:r w:rsidRPr="00166EDF">
        <w:rPr>
          <w:rFonts w:ascii="Arial" w:hAnsi="Arial" w:cs="Arial"/>
          <w:sz w:val="22"/>
          <w:szCs w:val="22"/>
        </w:rPr>
        <w:t xml:space="preserve">eing that greater than one-quarter of BMC’s patients do not speak English as a primary language, and as part of its dedication to serving everyone, the Hospital offers all medical care and services in 263+ languages – sixteen (16) of which are available via in-person interpretation and 250+ of which can be facilitated otherwise – through its ISD program. </w:t>
      </w:r>
      <w:r w:rsidRPr="00166EDF">
        <w:rPr>
          <w:rFonts w:ascii="Arial" w:eastAsiaTheme="minorHAnsi" w:hAnsi="Arial" w:cs="Arial"/>
          <w:sz w:val="22"/>
          <w:szCs w:val="22"/>
        </w:rPr>
        <w:t xml:space="preserve">One of the oldest and most extensive interpreter services programs in the United States, BMC’s ISD </w:t>
      </w:r>
      <w:r w:rsidRPr="00166EDF">
        <w:rPr>
          <w:rFonts w:ascii="Arial" w:hAnsi="Arial" w:cs="Arial"/>
          <w:sz w:val="22"/>
          <w:szCs w:val="22"/>
        </w:rPr>
        <w:t>includes</w:t>
      </w:r>
      <w:r w:rsidRPr="00166EDF">
        <w:rPr>
          <w:rFonts w:ascii="Arial" w:eastAsiaTheme="minorHAnsi" w:hAnsi="Arial" w:cs="Arial"/>
          <w:sz w:val="22"/>
          <w:szCs w:val="22"/>
        </w:rPr>
        <w:t xml:space="preserve"> a team of approximately sixty (60) professional medical interpreters or language facilitators to help patients </w:t>
      </w:r>
      <w:r w:rsidRPr="00166EDF">
        <w:rPr>
          <w:rFonts w:ascii="Arial" w:hAnsi="Arial" w:cs="Arial"/>
          <w:sz w:val="22"/>
          <w:szCs w:val="22"/>
        </w:rPr>
        <w:t>receive the care they need</w:t>
      </w:r>
      <w:r w:rsidRPr="00166EDF">
        <w:rPr>
          <w:rFonts w:ascii="Arial" w:eastAsiaTheme="minorHAnsi" w:hAnsi="Arial" w:cs="Arial"/>
          <w:sz w:val="22"/>
          <w:szCs w:val="22"/>
        </w:rPr>
        <w:t>.</w:t>
      </w:r>
    </w:p>
    <w:p w14:paraId="4E9C7A80" w14:textId="77777777" w:rsidR="00834993" w:rsidRPr="00166EDF" w:rsidRDefault="00834993" w:rsidP="00834993">
      <w:pPr>
        <w:pStyle w:val="ListParagraph"/>
        <w:jc w:val="both"/>
        <w:rPr>
          <w:rFonts w:ascii="Arial" w:hAnsi="Arial" w:cs="Arial"/>
          <w:sz w:val="22"/>
          <w:szCs w:val="22"/>
        </w:rPr>
      </w:pPr>
    </w:p>
    <w:p w14:paraId="64145EAF" w14:textId="77777777" w:rsidR="00834993" w:rsidRPr="00166EDF" w:rsidRDefault="00834993" w:rsidP="00834993">
      <w:pPr>
        <w:ind w:left="720"/>
        <w:jc w:val="both"/>
        <w:rPr>
          <w:rFonts w:ascii="Arial" w:hAnsi="Arial" w:cs="Arial"/>
          <w:sz w:val="22"/>
          <w:szCs w:val="22"/>
        </w:rPr>
      </w:pPr>
      <w:r w:rsidRPr="00166EDF">
        <w:rPr>
          <w:rFonts w:ascii="Arial" w:hAnsi="Arial" w:cs="Arial"/>
          <w:sz w:val="22"/>
          <w:szCs w:val="22"/>
        </w:rPr>
        <w:t>To facilitate effective communication between BMC staff members, patients, and family members, the Hospital has certain interpreter services policies and procedures in place. As outlined in these policies and procedures, BMC’s ISD provides, at no cost to patients, professional medical interpreters (ISD staff and contracted freelance interpreters) who possess the necessary language and interpreting skills to competently interpret between providers and LEP and DHH patients at BMC. The role of the interpreter is to provide accurate and impartial interpretation to enable the provider and patient to effectively communicate, removing any language barrier and ensuring equal access to quality care. This includes providing necessary equipment to the visually, speech and hearing impaired. ISD provides these services 24 hours per day and 7 days per week including holidays. If additional resources are needed, authorized bilingual staff, as well as professional telephonic and video interpreters, can also be utilized when available.</w:t>
      </w:r>
    </w:p>
    <w:p w14:paraId="7C8145C6" w14:textId="77777777" w:rsidR="00834993" w:rsidRPr="00166EDF" w:rsidRDefault="00834993" w:rsidP="00834993">
      <w:pPr>
        <w:jc w:val="both"/>
        <w:rPr>
          <w:rFonts w:ascii="Arial" w:hAnsi="Arial" w:cs="Arial"/>
          <w:sz w:val="22"/>
          <w:szCs w:val="22"/>
        </w:rPr>
      </w:pPr>
    </w:p>
    <w:p w14:paraId="065EB3D8" w14:textId="77777777" w:rsidR="00834993" w:rsidRPr="00F10298" w:rsidRDefault="00834993" w:rsidP="00834993">
      <w:pPr>
        <w:ind w:left="720"/>
        <w:jc w:val="both"/>
        <w:rPr>
          <w:rFonts w:ascii="Arial" w:hAnsi="Arial" w:cs="Arial"/>
          <w:sz w:val="22"/>
          <w:szCs w:val="22"/>
        </w:rPr>
      </w:pPr>
      <w:r w:rsidRPr="00F10298">
        <w:rPr>
          <w:rFonts w:ascii="Arial" w:hAnsi="Arial" w:cs="Arial"/>
          <w:sz w:val="22"/>
          <w:szCs w:val="22"/>
        </w:rPr>
        <w:lastRenderedPageBreak/>
        <w:t>Process-wise, registration staff at BMC identify a patient’s preferred language spoken information when discussing health care issues and preferred language when reading health care related materials and documents, and the Licensed Independent Practitioner and admitting nurse or patient access representative review the preferred spoken and written language during the admission assessment process. If a patient accepts the services of an interpreter, the following procedures are followed:</w:t>
      </w:r>
    </w:p>
    <w:p w14:paraId="7A262322" w14:textId="77777777" w:rsidR="00834993" w:rsidRPr="00F10298" w:rsidRDefault="00834993">
      <w:pPr>
        <w:pStyle w:val="ListParagraph"/>
        <w:numPr>
          <w:ilvl w:val="0"/>
          <w:numId w:val="15"/>
        </w:numPr>
        <w:jc w:val="both"/>
        <w:rPr>
          <w:rFonts w:ascii="Arial" w:hAnsi="Arial" w:cs="Arial"/>
          <w:sz w:val="22"/>
          <w:szCs w:val="22"/>
        </w:rPr>
      </w:pPr>
      <w:r w:rsidRPr="00F10298">
        <w:rPr>
          <w:rFonts w:ascii="Arial" w:hAnsi="Arial" w:cs="Arial"/>
          <w:sz w:val="22"/>
          <w:szCs w:val="22"/>
        </w:rPr>
        <w:t>Requesting a spoken language face-to-face interpreter: All spoken languages face-to-face interpreter requests are submitted through BMC’s online system, ID-QUEUE.</w:t>
      </w:r>
    </w:p>
    <w:p w14:paraId="241EBC00" w14:textId="77777777" w:rsidR="00834993" w:rsidRPr="00F10298" w:rsidRDefault="00834993">
      <w:pPr>
        <w:pStyle w:val="ListParagraph"/>
        <w:numPr>
          <w:ilvl w:val="0"/>
          <w:numId w:val="15"/>
        </w:numPr>
        <w:jc w:val="both"/>
        <w:rPr>
          <w:rFonts w:ascii="Arial" w:hAnsi="Arial" w:cs="Arial"/>
          <w:sz w:val="22"/>
          <w:szCs w:val="22"/>
        </w:rPr>
      </w:pPr>
      <w:r w:rsidRPr="00F10298">
        <w:rPr>
          <w:rFonts w:ascii="Arial" w:hAnsi="Arial" w:cs="Arial"/>
          <w:sz w:val="22"/>
          <w:szCs w:val="22"/>
        </w:rPr>
        <w:t>Telephone interpretation: Telephone interpretation is available at all times in all inpatient and outpatient areas. All callers may place the call to the vendor (</w:t>
      </w:r>
      <w:r w:rsidR="005D0678" w:rsidRPr="00F10298">
        <w:rPr>
          <w:rFonts w:ascii="Arial" w:hAnsi="Arial" w:cs="Arial"/>
          <w:sz w:val="22"/>
          <w:szCs w:val="22"/>
        </w:rPr>
        <w:t>Propio</w:t>
      </w:r>
      <w:r w:rsidRPr="00F10298">
        <w:rPr>
          <w:rFonts w:ascii="Arial" w:hAnsi="Arial" w:cs="Arial"/>
          <w:sz w:val="22"/>
          <w:szCs w:val="22"/>
        </w:rPr>
        <w:t>) directly using the dual handset phones. If additional phones are needed at any location, a request can be made with the ITS helpdesk by calling or by submitting an online ticket.</w:t>
      </w:r>
    </w:p>
    <w:p w14:paraId="4A1F0E29" w14:textId="77777777" w:rsidR="00834993" w:rsidRPr="00F10298" w:rsidRDefault="00834993">
      <w:pPr>
        <w:pStyle w:val="ListParagraph"/>
        <w:numPr>
          <w:ilvl w:val="0"/>
          <w:numId w:val="15"/>
        </w:numPr>
        <w:jc w:val="both"/>
        <w:rPr>
          <w:rFonts w:ascii="Arial" w:hAnsi="Arial" w:cs="Arial"/>
          <w:sz w:val="22"/>
          <w:szCs w:val="22"/>
        </w:rPr>
      </w:pPr>
      <w:r w:rsidRPr="00F10298">
        <w:rPr>
          <w:rFonts w:ascii="Arial" w:hAnsi="Arial" w:cs="Arial"/>
          <w:sz w:val="22"/>
          <w:szCs w:val="22"/>
        </w:rPr>
        <w:t>Requesting an ASL Interpreter, Tactile interpreter (services for deaf and blind patient), or Certified Deaf Interpreter: During normal business hours, these interpreters can be reached by calling the ISD. After regular business hours or on weekends or holidays, Operator Services can assist in paging the ISD supervisor who will coordinate with the respective department. If no ASL interpreter is available, the on-call supervisor will recommend the usage of the Video Interpreting Unit when appropriate. One-hundred (100) Video Interpreting Units, for communicating in ASL, are available in the ED and various other departments throughout BMC.</w:t>
      </w:r>
    </w:p>
    <w:p w14:paraId="246F23A5" w14:textId="77777777" w:rsidR="00834993" w:rsidRPr="00F10298" w:rsidRDefault="00834993">
      <w:pPr>
        <w:pStyle w:val="ListParagraph"/>
        <w:numPr>
          <w:ilvl w:val="0"/>
          <w:numId w:val="15"/>
        </w:numPr>
        <w:jc w:val="both"/>
        <w:rPr>
          <w:rFonts w:ascii="Arial" w:hAnsi="Arial" w:cs="Arial"/>
          <w:sz w:val="22"/>
          <w:szCs w:val="22"/>
        </w:rPr>
      </w:pPr>
      <w:r w:rsidRPr="00F10298">
        <w:rPr>
          <w:rFonts w:ascii="Arial" w:hAnsi="Arial" w:cs="Arial"/>
          <w:sz w:val="22"/>
          <w:szCs w:val="22"/>
        </w:rPr>
        <w:t>To obtain equipment for DHH patients: During normal business hours, equipment can be accessed by calling the ISD. After regular business hours or on weekends or holidays, Operator Services can assist in paging the ISD supervisor who will coordinate with the respective department. Telecommunications devices for the deaf include TTY/TDD, mobile phone for text messaging and email, and amplified telephones.</w:t>
      </w:r>
    </w:p>
    <w:p w14:paraId="56B7483B" w14:textId="77777777" w:rsidR="00834993" w:rsidRPr="00F10298" w:rsidRDefault="00834993">
      <w:pPr>
        <w:pStyle w:val="ListParagraph"/>
        <w:numPr>
          <w:ilvl w:val="0"/>
          <w:numId w:val="15"/>
        </w:numPr>
        <w:jc w:val="both"/>
        <w:rPr>
          <w:rFonts w:eastAsiaTheme="minorHAnsi"/>
          <w:i/>
          <w:iCs/>
          <w:sz w:val="22"/>
          <w:szCs w:val="22"/>
        </w:rPr>
      </w:pPr>
      <w:r w:rsidRPr="00F10298">
        <w:rPr>
          <w:rFonts w:ascii="Arial" w:hAnsi="Arial" w:cs="Arial"/>
          <w:sz w:val="22"/>
          <w:szCs w:val="22"/>
        </w:rPr>
        <w:t>Resources for visually impaired: Telephones with Braille Keys are available in all patient areas. A Braille translation of the Patient’s Rights and Responsibilities is available through the ISD and can be requested during regular business hours by calling the ISD or after regular business hours or on weekends or holidays by calling the Operator Services</w:t>
      </w:r>
      <w:r w:rsidRPr="00F10298">
        <w:rPr>
          <w:rFonts w:ascii="Arial" w:eastAsiaTheme="minorHAnsi" w:hAnsi="Arial" w:cs="Arial"/>
          <w:i/>
          <w:iCs/>
          <w:sz w:val="22"/>
          <w:szCs w:val="22"/>
        </w:rPr>
        <w:t>.</w:t>
      </w:r>
    </w:p>
    <w:p w14:paraId="505AF0B9" w14:textId="77777777" w:rsidR="00834993" w:rsidRPr="00F10298" w:rsidRDefault="00834993" w:rsidP="00834993">
      <w:pPr>
        <w:autoSpaceDE w:val="0"/>
        <w:autoSpaceDN w:val="0"/>
        <w:adjustRightInd w:val="0"/>
        <w:rPr>
          <w:rFonts w:eastAsiaTheme="minorHAnsi"/>
          <w:i/>
          <w:iCs/>
          <w:sz w:val="22"/>
          <w:szCs w:val="22"/>
        </w:rPr>
      </w:pPr>
    </w:p>
    <w:p w14:paraId="4BD1DB9F" w14:textId="77777777" w:rsidR="00834993" w:rsidRPr="00F10298" w:rsidRDefault="00834993" w:rsidP="001726BA">
      <w:pPr>
        <w:ind w:left="720"/>
        <w:jc w:val="both"/>
      </w:pPr>
      <w:r w:rsidRPr="00F10298">
        <w:rPr>
          <w:rFonts w:ascii="ArialMT" w:hAnsi="ArialMT"/>
          <w:sz w:val="22"/>
          <w:szCs w:val="22"/>
        </w:rPr>
        <w:t xml:space="preserve">Similar to what occurs today at BMC, upon implementation of the Proposed Project, interpreter and translation services will be arranged for all </w:t>
      </w:r>
      <w:r w:rsidR="00166EDF" w:rsidRPr="00F10298">
        <w:rPr>
          <w:rFonts w:ascii="ArialMT" w:hAnsi="ArialMT"/>
          <w:sz w:val="22"/>
          <w:szCs w:val="22"/>
        </w:rPr>
        <w:t>MRI</w:t>
      </w:r>
      <w:r w:rsidRPr="00F10298">
        <w:rPr>
          <w:rFonts w:ascii="ArialMT" w:hAnsi="ArialMT"/>
          <w:sz w:val="22"/>
          <w:szCs w:val="22"/>
        </w:rPr>
        <w:t xml:space="preserve"> patients in need in accordance with these policies. </w:t>
      </w:r>
    </w:p>
    <w:p w14:paraId="4CE34A9D" w14:textId="77777777" w:rsidR="00834993" w:rsidRPr="00AF7B4D" w:rsidRDefault="00834993" w:rsidP="00E24D42">
      <w:pPr>
        <w:pStyle w:val="NormalWeb"/>
        <w:spacing w:before="0" w:beforeAutospacing="0" w:after="0" w:afterAutospacing="0"/>
        <w:jc w:val="both"/>
        <w:rPr>
          <w:rFonts w:ascii="Arial" w:hAnsi="Arial" w:cs="Arial"/>
          <w:sz w:val="22"/>
          <w:szCs w:val="22"/>
          <w:u w:val="single"/>
        </w:rPr>
      </w:pPr>
    </w:p>
    <w:p w14:paraId="46B2396F" w14:textId="77777777" w:rsidR="001726BA" w:rsidRPr="00AF7B4D" w:rsidRDefault="001726BA" w:rsidP="009A7F8F">
      <w:pPr>
        <w:ind w:left="1080" w:hanging="1080"/>
        <w:jc w:val="both"/>
        <w:rPr>
          <w:rStyle w:val="normaltextrun"/>
          <w:rFonts w:ascii="Arial" w:hAnsi="Arial" w:cs="Arial"/>
          <w:b/>
          <w:bCs/>
          <w:sz w:val="22"/>
          <w:szCs w:val="22"/>
        </w:rPr>
      </w:pPr>
      <w:r w:rsidRPr="00AF7B4D">
        <w:rPr>
          <w:rStyle w:val="normaltextrun"/>
          <w:rFonts w:ascii="Arial" w:hAnsi="Arial" w:cs="Arial"/>
          <w:b/>
          <w:bCs/>
          <w:sz w:val="22"/>
          <w:szCs w:val="22"/>
        </w:rPr>
        <w:t>F1.b.iv</w:t>
      </w:r>
      <w:r w:rsidRPr="00AF7B4D">
        <w:rPr>
          <w:rStyle w:val="normaltextrun"/>
          <w:rFonts w:ascii="Arial" w:hAnsi="Arial" w:cs="Arial"/>
          <w:b/>
          <w:bCs/>
          <w:sz w:val="22"/>
          <w:szCs w:val="22"/>
        </w:rPr>
        <w:tab/>
        <w:t>Provide additional information to demonstrate that the Proposed Project will result in improved health outcomes and quality of life of the Applicant’s existing Patient Panel, while providing reasonable assurances of health equity.</w:t>
      </w:r>
    </w:p>
    <w:p w14:paraId="3E522D58" w14:textId="77777777" w:rsidR="007F185F" w:rsidRPr="00AF7B4D" w:rsidRDefault="007F185F" w:rsidP="00D864F2">
      <w:pPr>
        <w:tabs>
          <w:tab w:val="left" w:pos="720"/>
        </w:tabs>
        <w:jc w:val="both"/>
        <w:rPr>
          <w:rStyle w:val="normaltextrun"/>
          <w:rFonts w:ascii="Arial" w:hAnsi="Arial" w:cs="Arial"/>
          <w:sz w:val="22"/>
          <w:szCs w:val="22"/>
        </w:rPr>
      </w:pPr>
    </w:p>
    <w:p w14:paraId="71A25086" w14:textId="77777777" w:rsidR="0036536C" w:rsidRPr="00AF7B4D" w:rsidRDefault="007F185F" w:rsidP="0042439E">
      <w:pPr>
        <w:tabs>
          <w:tab w:val="left" w:pos="720"/>
        </w:tabs>
        <w:jc w:val="both"/>
        <w:rPr>
          <w:rStyle w:val="normaltextrun"/>
          <w:rFonts w:ascii="Arial" w:hAnsi="Arial" w:cs="Arial"/>
          <w:sz w:val="22"/>
          <w:szCs w:val="22"/>
        </w:rPr>
      </w:pPr>
      <w:r w:rsidRPr="00AF7B4D">
        <w:rPr>
          <w:rStyle w:val="normaltextrun"/>
          <w:rFonts w:ascii="Arial" w:hAnsi="Arial" w:cs="Arial"/>
          <w:sz w:val="22"/>
          <w:szCs w:val="22"/>
        </w:rPr>
        <w:t xml:space="preserve">BMC is deeply committed to its mission of providing “exceptional care without exception” for its diverse patient population. </w:t>
      </w:r>
      <w:r w:rsidR="009B60D0" w:rsidRPr="00AF7B4D">
        <w:rPr>
          <w:rStyle w:val="normaltextrun"/>
          <w:rFonts w:ascii="Arial" w:hAnsi="Arial" w:cs="Arial"/>
          <w:sz w:val="22"/>
          <w:szCs w:val="22"/>
        </w:rPr>
        <w:t>T</w:t>
      </w:r>
      <w:r w:rsidR="0036536C" w:rsidRPr="00AF7B4D">
        <w:rPr>
          <w:rStyle w:val="normaltextrun"/>
          <w:rFonts w:ascii="Arial" w:hAnsi="Arial" w:cs="Arial"/>
          <w:sz w:val="22"/>
          <w:szCs w:val="22"/>
        </w:rPr>
        <w:t>o this end, the</w:t>
      </w:r>
      <w:r w:rsidR="009B60D0" w:rsidRPr="00AF7B4D">
        <w:rPr>
          <w:rStyle w:val="normaltextrun"/>
          <w:rFonts w:ascii="Arial" w:hAnsi="Arial" w:cs="Arial"/>
          <w:sz w:val="22"/>
          <w:szCs w:val="22"/>
        </w:rPr>
        <w:t xml:space="preserve"> Proposed Project is an example of how BMC seeks to carry out this pursuit by providing patients with timely </w:t>
      </w:r>
      <w:r w:rsidR="009B60D0" w:rsidRPr="009201DB">
        <w:rPr>
          <w:rStyle w:val="normaltextrun"/>
          <w:rFonts w:ascii="Arial" w:hAnsi="Arial" w:cs="Arial"/>
          <w:sz w:val="22"/>
          <w:szCs w:val="22"/>
        </w:rPr>
        <w:t>access to care</w:t>
      </w:r>
      <w:r w:rsidR="0036536C" w:rsidRPr="009201DB">
        <w:rPr>
          <w:rStyle w:val="normaltextrun"/>
          <w:rFonts w:ascii="Arial" w:hAnsi="Arial" w:cs="Arial"/>
          <w:sz w:val="22"/>
          <w:szCs w:val="22"/>
        </w:rPr>
        <w:t>, thereby improving</w:t>
      </w:r>
      <w:r w:rsidR="0036536C" w:rsidRPr="00AF7B4D">
        <w:rPr>
          <w:rStyle w:val="normaltextrun"/>
          <w:rFonts w:ascii="Arial" w:hAnsi="Arial" w:cs="Arial"/>
          <w:sz w:val="22"/>
          <w:szCs w:val="22"/>
        </w:rPr>
        <w:t xml:space="preserve"> clinical </w:t>
      </w:r>
      <w:r w:rsidR="009B60D0" w:rsidRPr="00AF7B4D">
        <w:rPr>
          <w:rStyle w:val="normaltextrun"/>
          <w:rFonts w:ascii="Arial" w:hAnsi="Arial" w:cs="Arial"/>
          <w:sz w:val="22"/>
          <w:szCs w:val="22"/>
        </w:rPr>
        <w:t>outcomes and ensur</w:t>
      </w:r>
      <w:r w:rsidR="0036536C" w:rsidRPr="00AF7B4D">
        <w:rPr>
          <w:rStyle w:val="normaltextrun"/>
          <w:rFonts w:ascii="Arial" w:hAnsi="Arial" w:cs="Arial"/>
          <w:sz w:val="22"/>
          <w:szCs w:val="22"/>
        </w:rPr>
        <w:t>ing</w:t>
      </w:r>
      <w:r w:rsidR="009B60D0" w:rsidRPr="00AF7B4D">
        <w:rPr>
          <w:rStyle w:val="normaltextrun"/>
          <w:rFonts w:ascii="Arial" w:hAnsi="Arial" w:cs="Arial"/>
          <w:sz w:val="22"/>
          <w:szCs w:val="22"/>
        </w:rPr>
        <w:t xml:space="preserve"> whole-person </w:t>
      </w:r>
      <w:r w:rsidR="00591F4A" w:rsidRPr="00AF7B4D">
        <w:rPr>
          <w:rStyle w:val="normaltextrun"/>
          <w:rFonts w:ascii="Arial" w:hAnsi="Arial" w:cs="Arial"/>
          <w:sz w:val="22"/>
          <w:szCs w:val="22"/>
        </w:rPr>
        <w:t>treatment.</w:t>
      </w:r>
      <w:r w:rsidR="009B60D0" w:rsidRPr="00AF7B4D">
        <w:rPr>
          <w:rStyle w:val="normaltextrun"/>
          <w:rFonts w:ascii="Arial" w:hAnsi="Arial" w:cs="Arial"/>
          <w:sz w:val="22"/>
          <w:szCs w:val="22"/>
        </w:rPr>
        <w:t xml:space="preserve"> Part of providing holistic care is addressing both the physical needs of a patient, as well </w:t>
      </w:r>
      <w:r w:rsidR="00227C20" w:rsidRPr="00AF7B4D">
        <w:rPr>
          <w:rStyle w:val="normaltextrun"/>
          <w:rFonts w:ascii="Arial" w:hAnsi="Arial" w:cs="Arial"/>
          <w:sz w:val="22"/>
          <w:szCs w:val="22"/>
        </w:rPr>
        <w:t>understanding</w:t>
      </w:r>
      <w:r w:rsidR="009B60D0" w:rsidRPr="00AF7B4D">
        <w:rPr>
          <w:rStyle w:val="normaltextrun"/>
          <w:rFonts w:ascii="Arial" w:hAnsi="Arial" w:cs="Arial"/>
          <w:sz w:val="22"/>
          <w:szCs w:val="22"/>
        </w:rPr>
        <w:t xml:space="preserve"> </w:t>
      </w:r>
      <w:r w:rsidR="00227C20" w:rsidRPr="00AF7B4D">
        <w:rPr>
          <w:rStyle w:val="normaltextrun"/>
          <w:rFonts w:ascii="Arial" w:hAnsi="Arial" w:cs="Arial"/>
          <w:sz w:val="22"/>
          <w:szCs w:val="22"/>
        </w:rPr>
        <w:t>any</w:t>
      </w:r>
      <w:r w:rsidR="009B60D0" w:rsidRPr="00AF7B4D">
        <w:rPr>
          <w:rStyle w:val="normaltextrun"/>
          <w:rFonts w:ascii="Arial" w:hAnsi="Arial" w:cs="Arial"/>
          <w:sz w:val="22"/>
          <w:szCs w:val="22"/>
        </w:rPr>
        <w:t xml:space="preserve"> social drivers that </w:t>
      </w:r>
      <w:r w:rsidR="00227C20" w:rsidRPr="00AF7B4D">
        <w:rPr>
          <w:rStyle w:val="normaltextrun"/>
          <w:rFonts w:ascii="Arial" w:hAnsi="Arial" w:cs="Arial"/>
          <w:sz w:val="22"/>
          <w:szCs w:val="22"/>
        </w:rPr>
        <w:t>may i</w:t>
      </w:r>
      <w:r w:rsidR="009B60D0" w:rsidRPr="00AF7B4D">
        <w:rPr>
          <w:rStyle w:val="normaltextrun"/>
          <w:rFonts w:ascii="Arial" w:hAnsi="Arial" w:cs="Arial"/>
          <w:sz w:val="22"/>
          <w:szCs w:val="22"/>
        </w:rPr>
        <w:t xml:space="preserve">mpact </w:t>
      </w:r>
      <w:r w:rsidR="00227C20" w:rsidRPr="00AF7B4D">
        <w:rPr>
          <w:rStyle w:val="normaltextrun"/>
          <w:rFonts w:ascii="Arial" w:hAnsi="Arial" w:cs="Arial"/>
          <w:sz w:val="22"/>
          <w:szCs w:val="22"/>
        </w:rPr>
        <w:t xml:space="preserve">their </w:t>
      </w:r>
      <w:r w:rsidR="009B60D0" w:rsidRPr="00AF7B4D">
        <w:rPr>
          <w:rStyle w:val="normaltextrun"/>
          <w:rFonts w:ascii="Arial" w:hAnsi="Arial" w:cs="Arial"/>
          <w:sz w:val="22"/>
          <w:szCs w:val="22"/>
        </w:rPr>
        <w:t>health</w:t>
      </w:r>
      <w:r w:rsidR="0036536C" w:rsidRPr="00AF7B4D">
        <w:rPr>
          <w:rStyle w:val="normaltextrun"/>
          <w:rFonts w:ascii="Arial" w:hAnsi="Arial" w:cs="Arial"/>
          <w:sz w:val="22"/>
          <w:szCs w:val="22"/>
        </w:rPr>
        <w:t xml:space="preserve">, as well as health disparities that may cause gaps in </w:t>
      </w:r>
      <w:r w:rsidR="00591F4A" w:rsidRPr="00AF7B4D">
        <w:rPr>
          <w:rStyle w:val="normaltextrun"/>
          <w:rFonts w:ascii="Arial" w:hAnsi="Arial" w:cs="Arial"/>
          <w:sz w:val="22"/>
          <w:szCs w:val="22"/>
        </w:rPr>
        <w:t xml:space="preserve">their </w:t>
      </w:r>
      <w:r w:rsidR="0036536C" w:rsidRPr="00AF7B4D">
        <w:rPr>
          <w:rStyle w:val="normaltextrun"/>
          <w:rFonts w:ascii="Arial" w:hAnsi="Arial" w:cs="Arial"/>
          <w:sz w:val="22"/>
          <w:szCs w:val="22"/>
        </w:rPr>
        <w:t>care</w:t>
      </w:r>
      <w:r w:rsidR="00227C20" w:rsidRPr="00AF7B4D">
        <w:rPr>
          <w:rStyle w:val="normaltextrun"/>
          <w:rFonts w:ascii="Arial" w:hAnsi="Arial" w:cs="Arial"/>
          <w:sz w:val="22"/>
          <w:szCs w:val="22"/>
        </w:rPr>
        <w:t xml:space="preserve">. </w:t>
      </w:r>
    </w:p>
    <w:p w14:paraId="7AF8106C" w14:textId="77777777" w:rsidR="0036536C" w:rsidRPr="00AF7B4D" w:rsidRDefault="0036536C" w:rsidP="0036536C">
      <w:pPr>
        <w:tabs>
          <w:tab w:val="left" w:pos="720"/>
        </w:tabs>
        <w:ind w:left="630"/>
        <w:jc w:val="both"/>
        <w:rPr>
          <w:rStyle w:val="normaltextrun"/>
          <w:rFonts w:ascii="Arial" w:hAnsi="Arial" w:cs="Arial"/>
          <w:sz w:val="22"/>
          <w:szCs w:val="22"/>
        </w:rPr>
      </w:pPr>
    </w:p>
    <w:p w14:paraId="199B073B" w14:textId="77777777" w:rsidR="00E4511A" w:rsidRPr="00AF7B4D" w:rsidRDefault="00E4511A" w:rsidP="0042439E">
      <w:pPr>
        <w:tabs>
          <w:tab w:val="left" w:pos="720"/>
        </w:tabs>
        <w:jc w:val="both"/>
        <w:rPr>
          <w:rStyle w:val="normaltextrun"/>
          <w:rFonts w:ascii="Arial" w:hAnsi="Arial" w:cs="Arial"/>
          <w:sz w:val="22"/>
          <w:szCs w:val="22"/>
        </w:rPr>
      </w:pPr>
      <w:r w:rsidRPr="00AF7B4D">
        <w:rPr>
          <w:rStyle w:val="normaltextrun"/>
          <w:rFonts w:ascii="Arial" w:hAnsi="Arial" w:cs="Arial"/>
          <w:sz w:val="22"/>
          <w:szCs w:val="22"/>
        </w:rPr>
        <w:t xml:space="preserve">In 2021, BMC launched its Health Equity Accelerator with “the vision of transforming health care to deliver health justice and well-being. BMC is reimagining a new approach to accelerate its journey toward health equity and address core issues associated with traditional methodologies. </w:t>
      </w:r>
      <w:r w:rsidRPr="00AF7B4D">
        <w:rPr>
          <w:rStyle w:val="normaltextrun"/>
          <w:rFonts w:ascii="Arial" w:hAnsi="Arial" w:cs="Arial"/>
          <w:sz w:val="22"/>
          <w:szCs w:val="22"/>
        </w:rPr>
        <w:lastRenderedPageBreak/>
        <w:t xml:space="preserve">Those involved in the accelerator have found that, to understand and address drivers of racial inequities, </w:t>
      </w:r>
      <w:r w:rsidR="00591F4A" w:rsidRPr="00AF7B4D">
        <w:rPr>
          <w:rStyle w:val="normaltextrun"/>
          <w:rFonts w:ascii="Arial" w:hAnsi="Arial" w:cs="Arial"/>
          <w:sz w:val="22"/>
          <w:szCs w:val="22"/>
        </w:rPr>
        <w:t>[one must]</w:t>
      </w:r>
      <w:r w:rsidRPr="00AF7B4D">
        <w:rPr>
          <w:rStyle w:val="normaltextrun"/>
          <w:rFonts w:ascii="Arial" w:hAnsi="Arial" w:cs="Arial"/>
          <w:sz w:val="22"/>
          <w:szCs w:val="22"/>
        </w:rPr>
        <w:t xml:space="preserve"> challenge conventional wisdom in multiple ways: (1) revisit conclusions derived from standard statistical analyses; (2) adopt a mindset that if you do not find an inequity, you need to look harder; (3) seek novel insights through primary research with the appropriate mix of patients; and (4) engage with community members to achieve both insights and impact. The BMC accelerator addresses these fundamental issues through focused and multidisciplinary teams that are resourced to be dynamic, to break through convention, and to do things differently.</w:t>
      </w:r>
      <w:r w:rsidR="00706C87">
        <w:rPr>
          <w:rStyle w:val="normaltextrun"/>
          <w:rFonts w:ascii="Arial" w:hAnsi="Arial" w:cs="Arial"/>
          <w:sz w:val="22"/>
          <w:szCs w:val="22"/>
        </w:rPr>
        <w:t>”</w:t>
      </w:r>
      <w:r w:rsidR="00591F4A" w:rsidRPr="00AF7B4D">
        <w:rPr>
          <w:rStyle w:val="FootnoteReference"/>
          <w:rFonts w:ascii="Arial" w:hAnsi="Arial" w:cs="Arial"/>
          <w:sz w:val="22"/>
          <w:szCs w:val="22"/>
        </w:rPr>
        <w:footnoteReference w:id="73"/>
      </w:r>
    </w:p>
    <w:p w14:paraId="6B712FFB" w14:textId="77777777" w:rsidR="00591F4A" w:rsidRPr="00AF7B4D" w:rsidRDefault="00591F4A" w:rsidP="0036536C">
      <w:pPr>
        <w:tabs>
          <w:tab w:val="left" w:pos="720"/>
        </w:tabs>
        <w:ind w:left="630"/>
        <w:jc w:val="both"/>
        <w:rPr>
          <w:rStyle w:val="normaltextrun"/>
          <w:rFonts w:ascii="Arial" w:hAnsi="Arial" w:cs="Arial"/>
          <w:sz w:val="22"/>
          <w:szCs w:val="22"/>
        </w:rPr>
      </w:pPr>
    </w:p>
    <w:p w14:paraId="704AB04F" w14:textId="77777777" w:rsidR="0099492C" w:rsidRPr="00AF7B4D" w:rsidRDefault="00591F4A" w:rsidP="004C2ED8">
      <w:pPr>
        <w:tabs>
          <w:tab w:val="left" w:pos="720"/>
        </w:tabs>
        <w:jc w:val="both"/>
        <w:rPr>
          <w:rStyle w:val="normaltextrun"/>
          <w:rFonts w:ascii="Arial" w:hAnsi="Arial" w:cs="Arial"/>
          <w:sz w:val="22"/>
          <w:szCs w:val="22"/>
        </w:rPr>
      </w:pPr>
      <w:r w:rsidRPr="00AF7B4D">
        <w:rPr>
          <w:rStyle w:val="normaltextrun"/>
          <w:rFonts w:ascii="Arial" w:hAnsi="Arial" w:cs="Arial"/>
          <w:sz w:val="22"/>
          <w:szCs w:val="22"/>
        </w:rPr>
        <w:t xml:space="preserve">Through the </w:t>
      </w:r>
      <w:r w:rsidR="004C2ED8" w:rsidRPr="00AF7B4D">
        <w:rPr>
          <w:rStyle w:val="normaltextrun"/>
          <w:rFonts w:ascii="Arial" w:hAnsi="Arial" w:cs="Arial"/>
          <w:sz w:val="22"/>
          <w:szCs w:val="22"/>
        </w:rPr>
        <w:t xml:space="preserve">Health Equity </w:t>
      </w:r>
      <w:r w:rsidRPr="00AF7B4D">
        <w:rPr>
          <w:rStyle w:val="normaltextrun"/>
          <w:rFonts w:ascii="Arial" w:hAnsi="Arial" w:cs="Arial"/>
          <w:sz w:val="22"/>
          <w:szCs w:val="22"/>
        </w:rPr>
        <w:t>Accelerator</w:t>
      </w:r>
      <w:r w:rsidR="004C2ED8" w:rsidRPr="00AF7B4D">
        <w:rPr>
          <w:rStyle w:val="normaltextrun"/>
          <w:rFonts w:ascii="Arial" w:hAnsi="Arial" w:cs="Arial"/>
          <w:sz w:val="22"/>
          <w:szCs w:val="22"/>
        </w:rPr>
        <w:t>,</w:t>
      </w:r>
      <w:r w:rsidRPr="00AF7B4D">
        <w:rPr>
          <w:rStyle w:val="normaltextrun"/>
          <w:rFonts w:ascii="Arial" w:hAnsi="Arial" w:cs="Arial"/>
          <w:sz w:val="22"/>
          <w:szCs w:val="22"/>
        </w:rPr>
        <w:t xml:space="preserve"> care teams are </w:t>
      </w:r>
      <w:r w:rsidR="00912EE8" w:rsidRPr="00AF7B4D">
        <w:rPr>
          <w:rStyle w:val="normaltextrun"/>
          <w:rFonts w:ascii="Arial" w:hAnsi="Arial" w:cs="Arial"/>
          <w:sz w:val="22"/>
          <w:szCs w:val="22"/>
        </w:rPr>
        <w:t xml:space="preserve">seeking to understand how a health system perpetuates health inequities – by looking internally to determine where inequities are present in </w:t>
      </w:r>
      <w:r w:rsidR="004C2ED8" w:rsidRPr="00AF7B4D">
        <w:rPr>
          <w:rStyle w:val="normaltextrun"/>
          <w:rFonts w:ascii="Arial" w:hAnsi="Arial" w:cs="Arial"/>
          <w:sz w:val="22"/>
          <w:szCs w:val="22"/>
        </w:rPr>
        <w:t>the</w:t>
      </w:r>
      <w:r w:rsidR="00912EE8" w:rsidRPr="00AF7B4D">
        <w:rPr>
          <w:rStyle w:val="normaltextrun"/>
          <w:rFonts w:ascii="Arial" w:hAnsi="Arial" w:cs="Arial"/>
          <w:sz w:val="22"/>
          <w:szCs w:val="22"/>
        </w:rPr>
        <w:t xml:space="preserve"> patient population, understand the associated drivers, and take accountability</w:t>
      </w:r>
      <w:r w:rsidR="009A7D0E">
        <w:rPr>
          <w:rStyle w:val="normaltextrun"/>
          <w:rFonts w:ascii="Arial" w:hAnsi="Arial" w:cs="Arial"/>
          <w:sz w:val="22"/>
          <w:szCs w:val="22"/>
        </w:rPr>
        <w:t>.</w:t>
      </w:r>
      <w:r w:rsidR="00912EE8" w:rsidRPr="00AF7B4D">
        <w:rPr>
          <w:rStyle w:val="FootnoteReference"/>
          <w:rFonts w:ascii="Arial" w:hAnsi="Arial" w:cs="Arial"/>
          <w:sz w:val="22"/>
          <w:szCs w:val="22"/>
        </w:rPr>
        <w:footnoteReference w:id="74"/>
      </w:r>
      <w:r w:rsidR="00E64F7A" w:rsidRPr="00AF7B4D">
        <w:rPr>
          <w:rStyle w:val="normaltextrun"/>
          <w:rFonts w:ascii="Arial" w:hAnsi="Arial" w:cs="Arial"/>
          <w:sz w:val="22"/>
          <w:szCs w:val="22"/>
        </w:rPr>
        <w:t xml:space="preserve"> All patients will benefit from this </w:t>
      </w:r>
      <w:r w:rsidR="00E64F7A" w:rsidRPr="00FB3F6F">
        <w:rPr>
          <w:rStyle w:val="normaltextrun"/>
          <w:rFonts w:ascii="Arial" w:hAnsi="Arial" w:cs="Arial"/>
          <w:sz w:val="22"/>
          <w:szCs w:val="22"/>
        </w:rPr>
        <w:t>work</w:t>
      </w:r>
      <w:r w:rsidR="00AF7B4D" w:rsidRPr="00FB3F6F">
        <w:rPr>
          <w:rStyle w:val="normaltextrun"/>
          <w:rFonts w:ascii="Arial" w:hAnsi="Arial" w:cs="Arial"/>
          <w:sz w:val="22"/>
          <w:szCs w:val="22"/>
        </w:rPr>
        <w:t>,</w:t>
      </w:r>
      <w:r w:rsidR="00E64F7A" w:rsidRPr="00FB3F6F">
        <w:rPr>
          <w:rStyle w:val="normaltextrun"/>
          <w:rFonts w:ascii="Arial" w:hAnsi="Arial" w:cs="Arial"/>
          <w:sz w:val="22"/>
          <w:szCs w:val="22"/>
        </w:rPr>
        <w:t xml:space="preserve"> as the </w:t>
      </w:r>
      <w:r w:rsidR="004C2ED8" w:rsidRPr="00FB3F6F">
        <w:rPr>
          <w:rStyle w:val="normaltextrun"/>
          <w:rFonts w:ascii="Arial" w:hAnsi="Arial" w:cs="Arial"/>
          <w:sz w:val="22"/>
          <w:szCs w:val="22"/>
        </w:rPr>
        <w:t>Hospital</w:t>
      </w:r>
      <w:r w:rsidR="00E64F7A" w:rsidRPr="00FB3F6F">
        <w:rPr>
          <w:rStyle w:val="normaltextrun"/>
          <w:rFonts w:ascii="Arial" w:hAnsi="Arial" w:cs="Arial"/>
          <w:sz w:val="22"/>
          <w:szCs w:val="22"/>
        </w:rPr>
        <w:t xml:space="preserve"> seeks to ensure that all patients receive</w:t>
      </w:r>
      <w:r w:rsidR="007A2242" w:rsidRPr="00FB3F6F">
        <w:rPr>
          <w:rStyle w:val="normaltextrun"/>
          <w:rFonts w:ascii="Arial" w:hAnsi="Arial" w:cs="Arial"/>
          <w:sz w:val="22"/>
          <w:szCs w:val="22"/>
        </w:rPr>
        <w:t xml:space="preserve"> </w:t>
      </w:r>
      <w:r w:rsidR="00E64F7A" w:rsidRPr="00FB3F6F">
        <w:rPr>
          <w:rStyle w:val="normaltextrun"/>
          <w:rFonts w:ascii="Arial" w:hAnsi="Arial" w:cs="Arial"/>
          <w:sz w:val="22"/>
          <w:szCs w:val="22"/>
        </w:rPr>
        <w:t xml:space="preserve">the care and services that they need in the appropriate setting </w:t>
      </w:r>
      <w:r w:rsidR="007A2242" w:rsidRPr="00FB3F6F">
        <w:rPr>
          <w:rStyle w:val="normaltextrun"/>
          <w:rFonts w:ascii="Arial" w:hAnsi="Arial" w:cs="Arial"/>
          <w:sz w:val="22"/>
          <w:szCs w:val="22"/>
        </w:rPr>
        <w:t>and by</w:t>
      </w:r>
      <w:r w:rsidR="007A2242" w:rsidRPr="00AF7B4D">
        <w:rPr>
          <w:rStyle w:val="normaltextrun"/>
          <w:rFonts w:ascii="Arial" w:hAnsi="Arial" w:cs="Arial"/>
          <w:sz w:val="22"/>
          <w:szCs w:val="22"/>
        </w:rPr>
        <w:t xml:space="preserve"> a diverse staff.</w:t>
      </w:r>
    </w:p>
    <w:p w14:paraId="7C5AB7EA" w14:textId="77777777" w:rsidR="0099492C" w:rsidRPr="00FB6D61" w:rsidRDefault="0099492C" w:rsidP="00FF59D4">
      <w:pPr>
        <w:jc w:val="both"/>
        <w:rPr>
          <w:rStyle w:val="normaltextrun"/>
          <w:rFonts w:ascii="Arial" w:hAnsi="Arial" w:cs="Arial"/>
          <w:b/>
          <w:bCs/>
          <w:sz w:val="22"/>
          <w:szCs w:val="22"/>
          <w:highlight w:val="cyan"/>
        </w:rPr>
      </w:pPr>
    </w:p>
    <w:p w14:paraId="3F4E7788" w14:textId="77777777" w:rsidR="00CB6000" w:rsidRPr="009201DB" w:rsidRDefault="00CB6000" w:rsidP="009A7F8F">
      <w:pPr>
        <w:ind w:left="1080" w:hanging="1080"/>
        <w:jc w:val="both"/>
      </w:pPr>
      <w:r w:rsidRPr="009201DB">
        <w:rPr>
          <w:rStyle w:val="normaltextrun"/>
          <w:rFonts w:ascii="Arial" w:hAnsi="Arial" w:cs="Arial"/>
          <w:b/>
          <w:bCs/>
          <w:sz w:val="22"/>
          <w:szCs w:val="22"/>
        </w:rPr>
        <w:t xml:space="preserve">F1.c </w:t>
      </w:r>
      <w:r w:rsidRPr="009201DB">
        <w:rPr>
          <w:rStyle w:val="tabchar"/>
          <w:rFonts w:ascii="Calibri" w:hAnsi="Calibri" w:cs="Calibri"/>
          <w:sz w:val="22"/>
          <w:szCs w:val="22"/>
        </w:rPr>
        <w:tab/>
      </w:r>
      <w:r w:rsidRPr="009201DB">
        <w:rPr>
          <w:rStyle w:val="normaltextrun"/>
          <w:rFonts w:ascii="Arial" w:hAnsi="Arial" w:cs="Arial"/>
          <w:b/>
          <w:bCs/>
          <w:sz w:val="22"/>
          <w:szCs w:val="22"/>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Pr="009201DB">
        <w:rPr>
          <w:rStyle w:val="eop"/>
          <w:rFonts w:ascii="Arial" w:hAnsi="Arial" w:cs="Arial"/>
          <w:sz w:val="22"/>
          <w:szCs w:val="22"/>
        </w:rPr>
        <w:t> </w:t>
      </w:r>
    </w:p>
    <w:p w14:paraId="404C690F" w14:textId="77777777" w:rsidR="00CB6000" w:rsidRPr="009201DB" w:rsidRDefault="00CB6000" w:rsidP="002F24B7">
      <w:pPr>
        <w:pStyle w:val="NormalWeb"/>
        <w:spacing w:before="0" w:beforeAutospacing="0" w:after="0" w:afterAutospacing="0"/>
        <w:jc w:val="both"/>
        <w:rPr>
          <w:rFonts w:ascii="Arial" w:hAnsi="Arial" w:cs="Arial"/>
          <w:sz w:val="22"/>
          <w:szCs w:val="22"/>
          <w:u w:val="single"/>
        </w:rPr>
      </w:pPr>
    </w:p>
    <w:p w14:paraId="4E673752" w14:textId="60855CBD" w:rsidR="00033F49" w:rsidRPr="009201DB" w:rsidRDefault="00033F49" w:rsidP="00033F49">
      <w:pPr>
        <w:jc w:val="both"/>
        <w:rPr>
          <w:rFonts w:ascii="Arial" w:hAnsi="Arial" w:cs="Arial"/>
          <w:sz w:val="22"/>
          <w:szCs w:val="22"/>
        </w:rPr>
      </w:pPr>
      <w:r w:rsidRPr="009201DB">
        <w:rPr>
          <w:rFonts w:ascii="Arial" w:hAnsi="Arial" w:cs="Arial"/>
          <w:sz w:val="22"/>
          <w:szCs w:val="22"/>
        </w:rPr>
        <w:t xml:space="preserve">To ensure continuity and coordination of care for the Applicant’s patient panel, BMC staff will continue existing population health management processes </w:t>
      </w:r>
      <w:r w:rsidR="00F10298">
        <w:rPr>
          <w:rFonts w:ascii="Arial" w:hAnsi="Arial" w:cs="Arial"/>
          <w:sz w:val="22"/>
          <w:szCs w:val="22"/>
        </w:rPr>
        <w:t xml:space="preserve">for inpatients </w:t>
      </w:r>
      <w:r w:rsidRPr="009201DB">
        <w:rPr>
          <w:rFonts w:ascii="Arial" w:hAnsi="Arial" w:cs="Arial"/>
          <w:sz w:val="22"/>
          <w:szCs w:val="22"/>
        </w:rPr>
        <w:t>following implementation of the Proposed Project. These include, but are not limited to, discharge and readmissions programming</w:t>
      </w:r>
      <w:r w:rsidR="00932A69">
        <w:rPr>
          <w:rFonts w:ascii="Arial" w:hAnsi="Arial" w:cs="Arial"/>
          <w:sz w:val="22"/>
          <w:szCs w:val="22"/>
        </w:rPr>
        <w:t xml:space="preserve"> for inpatients</w:t>
      </w:r>
      <w:r w:rsidRPr="009201DB">
        <w:rPr>
          <w:rFonts w:ascii="Arial" w:hAnsi="Arial" w:cs="Arial"/>
          <w:sz w:val="22"/>
          <w:szCs w:val="22"/>
        </w:rPr>
        <w:t xml:space="preserve">, Complex Care Management (“CCM”) programming, and screening protocols. Details regarding these programs and processes are provided below. </w:t>
      </w:r>
      <w:r w:rsidR="00040D44">
        <w:rPr>
          <w:rFonts w:ascii="Arial" w:hAnsi="Arial" w:cs="Arial"/>
          <w:sz w:val="22"/>
          <w:szCs w:val="22"/>
        </w:rPr>
        <w:t xml:space="preserve">Additionally, BMC will </w:t>
      </w:r>
      <w:r w:rsidR="00784F79">
        <w:rPr>
          <w:rFonts w:ascii="Arial" w:hAnsi="Arial" w:cs="Arial"/>
          <w:sz w:val="22"/>
          <w:szCs w:val="22"/>
        </w:rPr>
        <w:t xml:space="preserve">continue to utilize navigation and patient access staff </w:t>
      </w:r>
      <w:r w:rsidR="0000691C">
        <w:rPr>
          <w:rFonts w:ascii="Arial" w:hAnsi="Arial" w:cs="Arial"/>
          <w:sz w:val="22"/>
          <w:szCs w:val="22"/>
        </w:rPr>
        <w:t xml:space="preserve">for outpatients in need of </w:t>
      </w:r>
      <w:r w:rsidR="00794FB0">
        <w:rPr>
          <w:rFonts w:ascii="Arial" w:hAnsi="Arial" w:cs="Arial"/>
          <w:sz w:val="22"/>
          <w:szCs w:val="22"/>
        </w:rPr>
        <w:t>SDoH screenings</w:t>
      </w:r>
      <w:r w:rsidR="0000691C">
        <w:rPr>
          <w:rFonts w:ascii="Arial" w:hAnsi="Arial" w:cs="Arial"/>
          <w:sz w:val="22"/>
          <w:szCs w:val="22"/>
        </w:rPr>
        <w:t xml:space="preserve"> or other services. </w:t>
      </w:r>
    </w:p>
    <w:p w14:paraId="68C21A94" w14:textId="77777777" w:rsidR="00BA09D4" w:rsidRPr="00932A69" w:rsidRDefault="00BA09D4" w:rsidP="00033F49">
      <w:pPr>
        <w:jc w:val="both"/>
        <w:rPr>
          <w:rFonts w:ascii="Arial" w:hAnsi="Arial" w:cs="Arial"/>
          <w:sz w:val="22"/>
          <w:szCs w:val="22"/>
        </w:rPr>
      </w:pPr>
    </w:p>
    <w:p w14:paraId="79829F24" w14:textId="77777777" w:rsidR="00033F49" w:rsidRPr="00932A69" w:rsidRDefault="00033F49">
      <w:pPr>
        <w:pStyle w:val="ListParagraph"/>
        <w:numPr>
          <w:ilvl w:val="0"/>
          <w:numId w:val="18"/>
        </w:numPr>
        <w:ind w:left="360"/>
        <w:jc w:val="both"/>
        <w:rPr>
          <w:rFonts w:ascii="Arial" w:hAnsi="Arial" w:cs="Arial"/>
          <w:smallCaps/>
          <w:sz w:val="22"/>
          <w:szCs w:val="22"/>
          <w:u w:val="single"/>
        </w:rPr>
      </w:pPr>
      <w:r w:rsidRPr="00932A69">
        <w:rPr>
          <w:rFonts w:ascii="Arial" w:hAnsi="Arial" w:cs="Arial"/>
          <w:smallCaps/>
          <w:sz w:val="22"/>
          <w:szCs w:val="22"/>
          <w:u w:val="single"/>
        </w:rPr>
        <w:t>Discharge and Readmissions Programming</w:t>
      </w:r>
    </w:p>
    <w:p w14:paraId="23202031" w14:textId="77777777" w:rsidR="00033F49" w:rsidRPr="00932A69" w:rsidRDefault="00033F49" w:rsidP="00033F49">
      <w:pPr>
        <w:jc w:val="both"/>
        <w:rPr>
          <w:rFonts w:ascii="Arial" w:hAnsi="Arial" w:cs="Arial"/>
          <w:sz w:val="22"/>
          <w:szCs w:val="22"/>
        </w:rPr>
      </w:pPr>
    </w:p>
    <w:p w14:paraId="227FB1DF" w14:textId="77777777" w:rsidR="00033F49" w:rsidRPr="00932A69" w:rsidRDefault="00033F49" w:rsidP="00033F49">
      <w:pPr>
        <w:jc w:val="both"/>
        <w:rPr>
          <w:rFonts w:ascii="Arial" w:hAnsi="Arial" w:cs="Arial"/>
          <w:sz w:val="22"/>
          <w:szCs w:val="22"/>
        </w:rPr>
      </w:pPr>
      <w:r w:rsidRPr="00932A69">
        <w:rPr>
          <w:rFonts w:ascii="Arial" w:hAnsi="Arial" w:cs="Arial"/>
          <w:sz w:val="22"/>
          <w:szCs w:val="22"/>
        </w:rPr>
        <w:t>BMC offers various discharge interventions to help link patients to needed services, prevent unnecessary readmissions, and improve health outcomes. Care management team members at BMC coordinate care and provide discharge planning for patients in the Hospital and community. BMC’s nurses, social workers, and other health care professionals work as a team to implement a safe discharge plan and provide patients and families with a range of services, including but not limited to: advocating for the needs of patients and families in the community, providing access to community resources, helping patients and families cope with the emotional impact of illness, negotiating with insurance and managed care companies, assisting in explanation of Durable Power of Attorney for health care and living wills, procuring health care equipment, and coordinating home care services and/or care at skilled nursing and rehabilitation facilities, outpatient clinics, and other locations. All such services are offered with the goal of reducing hospitalization and ED visits and ensuring the right amount of care and services in the appropriate setting, particularly for BMC’s vulnerable patients, by guiding them as they follow their individualized discharge plan.</w:t>
      </w:r>
    </w:p>
    <w:p w14:paraId="17D78916" w14:textId="77777777" w:rsidR="00033F49" w:rsidRPr="00932A69" w:rsidRDefault="00033F49" w:rsidP="00033F49">
      <w:pPr>
        <w:jc w:val="both"/>
        <w:rPr>
          <w:rFonts w:ascii="Arial" w:hAnsi="Arial" w:cs="Arial"/>
          <w:sz w:val="22"/>
          <w:szCs w:val="22"/>
        </w:rPr>
      </w:pPr>
    </w:p>
    <w:p w14:paraId="42B2D900" w14:textId="77777777" w:rsidR="00033F49" w:rsidRPr="00932A69" w:rsidRDefault="00033F49" w:rsidP="00033F49">
      <w:pPr>
        <w:jc w:val="both"/>
        <w:rPr>
          <w:rFonts w:ascii="Arial" w:hAnsi="Arial" w:cs="Arial"/>
          <w:sz w:val="22"/>
          <w:szCs w:val="22"/>
        </w:rPr>
      </w:pPr>
      <w:r w:rsidRPr="00932A69">
        <w:rPr>
          <w:rFonts w:ascii="Arial" w:hAnsi="Arial" w:cs="Arial"/>
          <w:sz w:val="22"/>
          <w:szCs w:val="22"/>
        </w:rPr>
        <w:t>Recognizing that discharge and readmissions work is particularly challenging in a safety net environment, the Hospital is dedicated to the following targeted priority discharge interventions for FY2</w:t>
      </w:r>
      <w:r w:rsidR="00932A69" w:rsidRPr="00932A69">
        <w:rPr>
          <w:rFonts w:ascii="Arial" w:hAnsi="Arial" w:cs="Arial"/>
          <w:sz w:val="22"/>
          <w:szCs w:val="22"/>
        </w:rPr>
        <w:t>3</w:t>
      </w:r>
      <w:r w:rsidRPr="00932A69">
        <w:rPr>
          <w:rFonts w:ascii="Arial" w:hAnsi="Arial" w:cs="Arial"/>
          <w:sz w:val="22"/>
          <w:szCs w:val="22"/>
        </w:rPr>
        <w:t xml:space="preserve"> and beyond:</w:t>
      </w:r>
    </w:p>
    <w:p w14:paraId="623B9DD4" w14:textId="77777777" w:rsidR="00033F49" w:rsidRPr="00932A69" w:rsidRDefault="00033F49" w:rsidP="00033F49">
      <w:pPr>
        <w:jc w:val="both"/>
        <w:rPr>
          <w:rFonts w:ascii="Arial" w:hAnsi="Arial" w:cs="Arial"/>
          <w:sz w:val="22"/>
          <w:szCs w:val="22"/>
        </w:rPr>
      </w:pPr>
    </w:p>
    <w:p w14:paraId="2422BD23" w14:textId="77777777" w:rsidR="00033F49" w:rsidRPr="00932A69" w:rsidRDefault="00033F49">
      <w:pPr>
        <w:pStyle w:val="ListParagraph"/>
        <w:numPr>
          <w:ilvl w:val="0"/>
          <w:numId w:val="19"/>
        </w:numPr>
        <w:jc w:val="both"/>
        <w:rPr>
          <w:rFonts w:ascii="Arial" w:eastAsiaTheme="minorHAnsi" w:hAnsi="Arial" w:cs="Arial"/>
          <w:sz w:val="22"/>
          <w:szCs w:val="22"/>
        </w:rPr>
      </w:pPr>
      <w:r w:rsidRPr="00932A69">
        <w:rPr>
          <w:rFonts w:ascii="Arial" w:hAnsi="Arial" w:cs="Arial"/>
          <w:b/>
          <w:bCs/>
          <w:sz w:val="22"/>
          <w:szCs w:val="22"/>
        </w:rPr>
        <w:t xml:space="preserve">Post-Discharge Services Bundle: </w:t>
      </w:r>
      <w:r w:rsidRPr="00932A69">
        <w:rPr>
          <w:rFonts w:ascii="Arial" w:hAnsi="Arial" w:cs="Arial"/>
          <w:sz w:val="22"/>
          <w:szCs w:val="22"/>
        </w:rPr>
        <w:t xml:space="preserve">Recognizing that patients with 7–14-day post hospital discharge follow-up have lower readmission rates, this intervention focuses on providing post hospital discharge follow-up appointments and follow-up phone calls for all patients regardless of risk for readmission and primary care site. Specifically, BMC staff proactively schedule follow-up appointments 48 hours prior to discharge; for any patient with a BMC primary care physician who is discharged without follow-up, the Central Discharge Team attempts to contact the patient and negotiate follow-up. Pertinent to the Proposed Project, the Central Discharge Team has partnered with inpatient and ambulatory staff to strategize the workflow and expand the intervention to cover all inpatients and those patients discharged from the ED. With follow-up appointment scheduling rates continuing to improve, the Hospital plans to further enhance this intervention by partnering with external primary care physician sites and ambulatory clinic leaders to explore direct scheduling and improve appointment compliance. </w:t>
      </w:r>
    </w:p>
    <w:p w14:paraId="63BEA980" w14:textId="77777777" w:rsidR="00033F49" w:rsidRPr="00932A69" w:rsidRDefault="00033F49" w:rsidP="00033F49">
      <w:pPr>
        <w:pStyle w:val="ListParagraph"/>
        <w:jc w:val="both"/>
        <w:rPr>
          <w:rFonts w:ascii="Arial" w:eastAsiaTheme="minorHAnsi" w:hAnsi="Arial" w:cs="Arial"/>
          <w:sz w:val="22"/>
          <w:szCs w:val="22"/>
        </w:rPr>
      </w:pPr>
    </w:p>
    <w:p w14:paraId="24797FC6" w14:textId="77777777" w:rsidR="00033F49" w:rsidRPr="00932A69" w:rsidRDefault="00033F49">
      <w:pPr>
        <w:pStyle w:val="ListParagraph"/>
        <w:numPr>
          <w:ilvl w:val="0"/>
          <w:numId w:val="19"/>
        </w:numPr>
        <w:jc w:val="both"/>
        <w:rPr>
          <w:rFonts w:ascii="Arial" w:eastAsiaTheme="minorHAnsi" w:hAnsi="Arial" w:cs="Arial"/>
          <w:sz w:val="22"/>
          <w:szCs w:val="22"/>
        </w:rPr>
      </w:pPr>
      <w:r w:rsidRPr="00932A69">
        <w:rPr>
          <w:rFonts w:ascii="Arial" w:hAnsi="Arial" w:cs="Arial"/>
          <w:b/>
          <w:bCs/>
          <w:sz w:val="22"/>
          <w:szCs w:val="22"/>
        </w:rPr>
        <w:t>General Internal Medicine (“GIM”) Post-</w:t>
      </w:r>
      <w:r w:rsidRPr="00932A69">
        <w:rPr>
          <w:rFonts w:ascii="Arial" w:eastAsiaTheme="minorHAnsi" w:hAnsi="Arial" w:cs="Arial"/>
          <w:b/>
          <w:bCs/>
          <w:sz w:val="22"/>
          <w:szCs w:val="22"/>
        </w:rPr>
        <w:t>Discharge Clinic:</w:t>
      </w:r>
      <w:r w:rsidRPr="00932A69">
        <w:rPr>
          <w:rFonts w:ascii="Arial" w:eastAsiaTheme="minorHAnsi" w:hAnsi="Arial" w:cs="Arial"/>
          <w:sz w:val="22"/>
          <w:szCs w:val="22"/>
        </w:rPr>
        <w:t xml:space="preserve"> The GIM Post-Discharge Clinic is led by a multi-disciplinary team, including dedicated nurses coordinating pre- or post-visit care, a dedicated pharmacy liaison completing medication-fill history for patients scheduled into the clinic, staff performing no-show outreach and rescheduling, and doctors completing in-person and telehealth visits. The criteria to be seen within the GIM Post-Discharge Clinic</w:t>
      </w:r>
      <w:r w:rsidR="00511EA2" w:rsidRPr="00932A69">
        <w:rPr>
          <w:rFonts w:ascii="Arial" w:eastAsiaTheme="minorHAnsi" w:hAnsi="Arial" w:cs="Arial"/>
          <w:sz w:val="22"/>
          <w:szCs w:val="22"/>
        </w:rPr>
        <w:t xml:space="preserve"> are</w:t>
      </w:r>
      <w:r w:rsidRPr="00932A69">
        <w:rPr>
          <w:rFonts w:ascii="Arial" w:eastAsiaTheme="minorHAnsi" w:hAnsi="Arial" w:cs="Arial"/>
          <w:sz w:val="22"/>
          <w:szCs w:val="22"/>
        </w:rPr>
        <w:t xml:space="preserve"> as follows: patient discharged within 14 days to home with services or community; moderate or above readmission risk; and either no </w:t>
      </w:r>
      <w:r w:rsidRPr="00932A69">
        <w:rPr>
          <w:rFonts w:ascii="Arial" w:hAnsi="Arial" w:cs="Arial"/>
          <w:sz w:val="22"/>
          <w:szCs w:val="22"/>
        </w:rPr>
        <w:t xml:space="preserve">primary care physician </w:t>
      </w:r>
      <w:r w:rsidRPr="00932A69">
        <w:rPr>
          <w:rFonts w:ascii="Arial" w:eastAsiaTheme="minorHAnsi" w:hAnsi="Arial" w:cs="Arial"/>
          <w:sz w:val="22"/>
          <w:szCs w:val="22"/>
        </w:rPr>
        <w:t xml:space="preserve">and wishes to be seen or is currently seen by a GIM </w:t>
      </w:r>
      <w:r w:rsidRPr="00932A69">
        <w:rPr>
          <w:rFonts w:ascii="Arial" w:hAnsi="Arial" w:cs="Arial"/>
          <w:sz w:val="22"/>
          <w:szCs w:val="22"/>
        </w:rPr>
        <w:t>primary care physician</w:t>
      </w:r>
      <w:r w:rsidRPr="00932A69">
        <w:rPr>
          <w:rFonts w:ascii="Arial" w:eastAsiaTheme="minorHAnsi" w:hAnsi="Arial" w:cs="Arial"/>
          <w:sz w:val="22"/>
          <w:szCs w:val="22"/>
        </w:rPr>
        <w:t>. Patients seen by the GIM Post-Discharge Clinic have exhibited lower risk-adjusted readmission rates than patients without GIM follow up, and BMC has further enhanced compliance among patients using telehealth; this is now primarily a telemedicine model (80% telemedicine and 20% in person). Following implementation of the Proposed Project, patients utilizing BMC’s expanded inpatient services who are moderate to high readmission risk will have access to the clinic.</w:t>
      </w:r>
    </w:p>
    <w:p w14:paraId="64279476" w14:textId="77777777" w:rsidR="00033F49" w:rsidRPr="00932A69" w:rsidRDefault="00033F49" w:rsidP="00033F49">
      <w:pPr>
        <w:pStyle w:val="ListParagraph"/>
        <w:rPr>
          <w:rFonts w:ascii="Arial" w:eastAsiaTheme="minorHAnsi" w:hAnsi="Arial" w:cs="Arial"/>
          <w:sz w:val="22"/>
          <w:szCs w:val="22"/>
        </w:rPr>
      </w:pPr>
    </w:p>
    <w:p w14:paraId="5D776249" w14:textId="77777777" w:rsidR="00033F49" w:rsidRPr="00932A69" w:rsidRDefault="00033F49">
      <w:pPr>
        <w:pStyle w:val="ListParagraph"/>
        <w:numPr>
          <w:ilvl w:val="0"/>
          <w:numId w:val="19"/>
        </w:numPr>
        <w:jc w:val="both"/>
        <w:rPr>
          <w:rFonts w:ascii="Arial" w:eastAsiaTheme="minorHAnsi" w:hAnsi="Arial" w:cs="Arial"/>
          <w:sz w:val="22"/>
          <w:szCs w:val="22"/>
        </w:rPr>
      </w:pPr>
      <w:r w:rsidRPr="00932A69">
        <w:rPr>
          <w:rFonts w:ascii="Arial" w:eastAsiaTheme="minorHAnsi" w:hAnsi="Arial" w:cs="Arial"/>
          <w:b/>
          <w:bCs/>
          <w:sz w:val="22"/>
          <w:szCs w:val="22"/>
        </w:rPr>
        <w:t>Monthly Review Process for Medicare Readmissions:</w:t>
      </w:r>
      <w:r w:rsidRPr="00932A69">
        <w:rPr>
          <w:rFonts w:ascii="Arial" w:eastAsiaTheme="minorHAnsi" w:hAnsi="Arial" w:cs="Arial"/>
          <w:sz w:val="22"/>
          <w:szCs w:val="22"/>
        </w:rPr>
        <w:t xml:space="preserve"> This proposed new standardized Medicare readmissions review process will facilitate identifying drivers and themes of admissions. Specifically, a multi-disciplinary team spanning the spectrum of care at the Hospital, including the Central Discharge Team, pharmacy staff, and inpatient, outpatient and ED staff, will work together to utilize a newly revised tool to review patients discharged, audit medication and follow-up appointment adherence, and identify potential drivers of readmission.</w:t>
      </w:r>
    </w:p>
    <w:p w14:paraId="4802682E" w14:textId="77777777" w:rsidR="00033F49" w:rsidRPr="00932A69" w:rsidRDefault="00033F49" w:rsidP="00033F49">
      <w:pPr>
        <w:pStyle w:val="ListParagraph"/>
        <w:rPr>
          <w:rFonts w:ascii="Arial" w:eastAsiaTheme="minorHAnsi" w:hAnsi="Arial" w:cs="Arial"/>
          <w:sz w:val="22"/>
          <w:szCs w:val="22"/>
        </w:rPr>
      </w:pPr>
    </w:p>
    <w:p w14:paraId="1F638880" w14:textId="77777777" w:rsidR="00033F49" w:rsidRPr="00932A69" w:rsidRDefault="00033F49">
      <w:pPr>
        <w:pStyle w:val="ListParagraph"/>
        <w:numPr>
          <w:ilvl w:val="0"/>
          <w:numId w:val="19"/>
        </w:numPr>
        <w:jc w:val="both"/>
        <w:rPr>
          <w:rFonts w:ascii="Arial" w:eastAsiaTheme="minorHAnsi" w:hAnsi="Arial" w:cs="Arial"/>
          <w:sz w:val="22"/>
          <w:szCs w:val="22"/>
        </w:rPr>
      </w:pPr>
      <w:r w:rsidRPr="00932A69">
        <w:rPr>
          <w:rFonts w:ascii="Arial" w:eastAsiaTheme="minorHAnsi" w:hAnsi="Arial" w:cs="Arial"/>
          <w:b/>
          <w:bCs/>
          <w:sz w:val="22"/>
          <w:szCs w:val="22"/>
        </w:rPr>
        <w:t xml:space="preserve">Hospital Admission Reduction Program (“HARP”): </w:t>
      </w:r>
      <w:r w:rsidRPr="00932A69">
        <w:rPr>
          <w:rFonts w:ascii="Arial" w:eastAsiaTheme="minorHAnsi" w:hAnsi="Arial" w:cs="Arial"/>
          <w:sz w:val="22"/>
          <w:szCs w:val="22"/>
        </w:rPr>
        <w:t>This is a 30–60-day transitional care management program for patients with Medicare that spans the inpatient and outpatient settings. It is targeted at moderate to high utilizer patients who are 65+ and are covered by Medicare FFS or the Medicare Shared Savings Program. The goal of HARP is to reduce 30-day readmissions and support BMC’s patients after hospital discharge. Launched in May 2022, the program identifies patients while they are admitted to BMC and follows them post-discharge into the community with a goal of proactively reaching out to patients during a vulnerable period to reduce readmissions by catching clinical decompensation in the immediate post-discharge period. Through HARP, the Hospital seeks to reduce readmissions by 20-25% in this cohort, leading to an improvement in the Hospital’s overall readmissions rate. Following implementation of the Proposed Project, patients utilizing BMC’s expanded inpatient services who are moderate to high utilizers</w:t>
      </w:r>
      <w:r w:rsidRPr="00932A69">
        <w:rPr>
          <w:rFonts w:ascii="Arial" w:hAnsi="Arial" w:cs="Arial"/>
          <w:sz w:val="22"/>
          <w:szCs w:val="22"/>
        </w:rPr>
        <w:t xml:space="preserve">, 65+, and </w:t>
      </w:r>
      <w:r w:rsidRPr="00932A69">
        <w:rPr>
          <w:rFonts w:ascii="Arial" w:eastAsiaTheme="minorHAnsi" w:hAnsi="Arial" w:cs="Arial"/>
          <w:sz w:val="22"/>
          <w:szCs w:val="22"/>
        </w:rPr>
        <w:t>covered by Medicare will have access to HARP.</w:t>
      </w:r>
    </w:p>
    <w:p w14:paraId="48785D88" w14:textId="77777777" w:rsidR="00033F49" w:rsidRPr="00932A69" w:rsidRDefault="00033F49" w:rsidP="00033F49">
      <w:pPr>
        <w:pStyle w:val="ListParagraph"/>
        <w:rPr>
          <w:rFonts w:ascii="Arial" w:eastAsiaTheme="minorHAnsi" w:hAnsi="Arial" w:cs="Arial"/>
          <w:sz w:val="22"/>
          <w:szCs w:val="22"/>
        </w:rPr>
      </w:pPr>
    </w:p>
    <w:p w14:paraId="4CA90BBD" w14:textId="77777777" w:rsidR="00033F49" w:rsidRPr="00932A69" w:rsidRDefault="00033F49">
      <w:pPr>
        <w:pStyle w:val="ListParagraph"/>
        <w:numPr>
          <w:ilvl w:val="0"/>
          <w:numId w:val="19"/>
        </w:numPr>
        <w:jc w:val="both"/>
        <w:rPr>
          <w:rFonts w:ascii="Arial" w:eastAsiaTheme="minorHAnsi" w:hAnsi="Arial" w:cs="Arial"/>
          <w:sz w:val="22"/>
          <w:szCs w:val="22"/>
        </w:rPr>
      </w:pPr>
      <w:r w:rsidRPr="00932A69">
        <w:rPr>
          <w:rFonts w:ascii="Arial" w:eastAsiaTheme="minorHAnsi" w:hAnsi="Arial" w:cs="Arial"/>
          <w:b/>
          <w:bCs/>
          <w:sz w:val="22"/>
          <w:szCs w:val="22"/>
        </w:rPr>
        <w:lastRenderedPageBreak/>
        <w:t>Disease Specific Programs:</w:t>
      </w:r>
      <w:r w:rsidRPr="00932A69">
        <w:rPr>
          <w:rFonts w:ascii="Arial" w:eastAsiaTheme="minorHAnsi" w:hAnsi="Arial" w:cs="Arial"/>
          <w:sz w:val="22"/>
          <w:szCs w:val="22"/>
        </w:rPr>
        <w:t xml:space="preserve"> For certain diseases, the Hospital has implemented specific discharge programs. Currently, there are specific programs available for Chronic Obstructive Pulmonary Disease (“COPD”) and heart failure patients. The Hospital will continue to work to identify other disease groups that may benefit from specific, targeted discharge programs and implement such programs accordingly.</w:t>
      </w:r>
    </w:p>
    <w:p w14:paraId="0C3429A1" w14:textId="77777777" w:rsidR="00804FD5" w:rsidRDefault="00804FD5" w:rsidP="00804FD5">
      <w:pPr>
        <w:jc w:val="both"/>
        <w:rPr>
          <w:rFonts w:ascii="Arial" w:eastAsiaTheme="minorHAnsi" w:hAnsi="Arial" w:cs="Arial"/>
          <w:sz w:val="22"/>
          <w:szCs w:val="22"/>
        </w:rPr>
      </w:pPr>
    </w:p>
    <w:p w14:paraId="7A2F5649" w14:textId="77777777" w:rsidR="00794FB0" w:rsidRDefault="00794FB0" w:rsidP="00804FD5">
      <w:pPr>
        <w:jc w:val="both"/>
        <w:rPr>
          <w:rFonts w:ascii="Arial" w:eastAsiaTheme="minorHAnsi" w:hAnsi="Arial" w:cs="Arial"/>
          <w:sz w:val="22"/>
          <w:szCs w:val="22"/>
        </w:rPr>
      </w:pPr>
    </w:p>
    <w:p w14:paraId="0B3D4B4E" w14:textId="77777777" w:rsidR="00794FB0" w:rsidRPr="00932A69" w:rsidRDefault="00794FB0" w:rsidP="00804FD5">
      <w:pPr>
        <w:jc w:val="both"/>
        <w:rPr>
          <w:rFonts w:ascii="Arial" w:eastAsiaTheme="minorHAnsi" w:hAnsi="Arial" w:cs="Arial"/>
          <w:sz w:val="22"/>
          <w:szCs w:val="22"/>
        </w:rPr>
      </w:pPr>
    </w:p>
    <w:p w14:paraId="482DC268" w14:textId="77777777" w:rsidR="00033F49" w:rsidRPr="00932A69" w:rsidRDefault="00033F49">
      <w:pPr>
        <w:pStyle w:val="ListParagraph"/>
        <w:numPr>
          <w:ilvl w:val="0"/>
          <w:numId w:val="18"/>
        </w:numPr>
        <w:ind w:left="360"/>
        <w:jc w:val="both"/>
        <w:rPr>
          <w:rFonts w:ascii="Arial" w:hAnsi="Arial" w:cs="Arial"/>
          <w:smallCaps/>
          <w:sz w:val="22"/>
          <w:szCs w:val="22"/>
          <w:u w:val="single"/>
        </w:rPr>
      </w:pPr>
      <w:r w:rsidRPr="00932A69">
        <w:rPr>
          <w:rFonts w:ascii="Arial" w:hAnsi="Arial" w:cs="Arial"/>
          <w:smallCaps/>
          <w:sz w:val="22"/>
          <w:szCs w:val="22"/>
          <w:u w:val="single"/>
        </w:rPr>
        <w:t>CCM Programming</w:t>
      </w:r>
    </w:p>
    <w:p w14:paraId="1E87DD1C" w14:textId="77777777" w:rsidR="00033F49" w:rsidRPr="00932A69" w:rsidRDefault="00033F49" w:rsidP="00033F49">
      <w:pPr>
        <w:jc w:val="both"/>
        <w:rPr>
          <w:rFonts w:ascii="Arial" w:hAnsi="Arial" w:cs="Arial"/>
          <w:sz w:val="22"/>
          <w:szCs w:val="22"/>
        </w:rPr>
      </w:pPr>
    </w:p>
    <w:p w14:paraId="5D3A4008" w14:textId="77777777" w:rsidR="00033F49" w:rsidRPr="00932A69" w:rsidRDefault="00033F49" w:rsidP="00033F49">
      <w:pPr>
        <w:jc w:val="both"/>
        <w:rPr>
          <w:rFonts w:ascii="Arial" w:hAnsi="Arial" w:cs="Arial"/>
          <w:sz w:val="22"/>
          <w:szCs w:val="22"/>
        </w:rPr>
      </w:pPr>
      <w:r w:rsidRPr="00932A69">
        <w:rPr>
          <w:rFonts w:ascii="Arial" w:hAnsi="Arial" w:cs="Arial"/>
          <w:sz w:val="22"/>
          <w:szCs w:val="22"/>
        </w:rPr>
        <w:t>The Hospital also offers a CCM program for its ACO patients. Administered by the Population Health Services division, the CCM program at BMC is a community-facing program that provides intensive care management services for patients presenting with complex medical, mental health, and social needs (i.e., patients presenting with chronic medical conditions, behavioral health/SUD, or barriers related to SDoH). The primary goal of the CCM program is to establish patients with ambulatory care and community-based supports to achieve patient-identified goals, improve health related outcomes, and reduce avoidable hospital utilization. Through collaboration, the CCM program coordinates care, addresses social barriers, and engages patients as active participants in their care, striving to create a responsive healing environment with dignity and respect for the individuals and communities BMC serves.</w:t>
      </w:r>
    </w:p>
    <w:p w14:paraId="1EB749FA" w14:textId="77777777" w:rsidR="00AD561A" w:rsidRPr="00932A69" w:rsidRDefault="00AD561A" w:rsidP="00033F49">
      <w:pPr>
        <w:jc w:val="both"/>
        <w:rPr>
          <w:rFonts w:ascii="Arial" w:hAnsi="Arial" w:cs="Arial"/>
          <w:sz w:val="22"/>
          <w:szCs w:val="22"/>
        </w:rPr>
      </w:pPr>
    </w:p>
    <w:p w14:paraId="789DB1D7" w14:textId="77777777" w:rsidR="00033F49" w:rsidRPr="00932A69" w:rsidRDefault="00033F49" w:rsidP="00033F49">
      <w:pPr>
        <w:jc w:val="both"/>
        <w:rPr>
          <w:rFonts w:ascii="Arial" w:hAnsi="Arial" w:cs="Arial"/>
          <w:sz w:val="22"/>
          <w:szCs w:val="22"/>
        </w:rPr>
      </w:pPr>
      <w:r w:rsidRPr="00932A69">
        <w:rPr>
          <w:rFonts w:ascii="Arial" w:hAnsi="Arial" w:cs="Arial"/>
          <w:sz w:val="22"/>
          <w:szCs w:val="22"/>
        </w:rPr>
        <w:t xml:space="preserve">The CCM program’s core team </w:t>
      </w:r>
      <w:r w:rsidR="001D3171" w:rsidRPr="00932A69">
        <w:rPr>
          <w:rFonts w:ascii="Arial" w:hAnsi="Arial" w:cs="Arial"/>
          <w:sz w:val="22"/>
          <w:szCs w:val="22"/>
        </w:rPr>
        <w:t>is</w:t>
      </w:r>
      <w:r w:rsidRPr="00932A69">
        <w:rPr>
          <w:rFonts w:ascii="Arial" w:hAnsi="Arial" w:cs="Arial"/>
          <w:sz w:val="22"/>
          <w:szCs w:val="22"/>
        </w:rPr>
        <w:t xml:space="preserve"> </w:t>
      </w:r>
      <w:r w:rsidRPr="00932A69">
        <w:rPr>
          <w:rFonts w:ascii="Arial" w:eastAsiaTheme="minorHAnsi" w:hAnsi="Arial" w:cs="Arial"/>
          <w:sz w:val="22"/>
          <w:szCs w:val="22"/>
        </w:rPr>
        <w:t xml:space="preserve">multi-disciplinary </w:t>
      </w:r>
      <w:r w:rsidRPr="00932A69">
        <w:rPr>
          <w:rFonts w:ascii="Arial" w:hAnsi="Arial" w:cs="Arial"/>
          <w:sz w:val="22"/>
          <w:szCs w:val="22"/>
        </w:rPr>
        <w:t>and based in practice and community settings, with customized supports for people with behavioral health conditions and housing needs. Specifically, CCM staff are nurses, community wellness advocates, pharmacists, housing specialists, and social workers who are based in the clinical setting, integrated with primary and inpatient care, and collaborate with other providers, home health, community agencies and others to support patients with their goals. Success in the program depends heavily on relationships with local teams and resources; community-based supports include shelter and housing supports, local site care management, community partners, social service organizations, in-home services, specialty care, and domestic violence resources.</w:t>
      </w:r>
    </w:p>
    <w:p w14:paraId="54BC83E2" w14:textId="77777777" w:rsidR="00033F49" w:rsidRPr="00932A69" w:rsidRDefault="00033F49" w:rsidP="00033F49">
      <w:pPr>
        <w:jc w:val="both"/>
        <w:rPr>
          <w:rFonts w:ascii="Arial" w:hAnsi="Arial" w:cs="Arial"/>
          <w:sz w:val="22"/>
          <w:szCs w:val="22"/>
        </w:rPr>
      </w:pPr>
    </w:p>
    <w:p w14:paraId="5F1C5BD4" w14:textId="77777777" w:rsidR="00033F49" w:rsidRPr="00932A69" w:rsidRDefault="00033F49" w:rsidP="00033F49">
      <w:pPr>
        <w:jc w:val="both"/>
        <w:rPr>
          <w:rFonts w:ascii="Arial" w:hAnsi="Arial" w:cs="Arial"/>
          <w:sz w:val="22"/>
          <w:szCs w:val="22"/>
        </w:rPr>
      </w:pPr>
      <w:r w:rsidRPr="00932A69">
        <w:rPr>
          <w:rFonts w:ascii="Arial" w:hAnsi="Arial" w:cs="Arial"/>
          <w:sz w:val="22"/>
          <w:szCs w:val="22"/>
        </w:rPr>
        <w:t>CCM addresses the diverse set of needs that BMC’s high-risk patients face across the spectrum of care, as follows:</w:t>
      </w:r>
    </w:p>
    <w:p w14:paraId="5DFBAEFA" w14:textId="77777777" w:rsidR="00033F49" w:rsidRPr="00932A69" w:rsidRDefault="00033F49">
      <w:pPr>
        <w:numPr>
          <w:ilvl w:val="0"/>
          <w:numId w:val="17"/>
        </w:numPr>
        <w:jc w:val="both"/>
        <w:rPr>
          <w:rFonts w:ascii="Arial" w:hAnsi="Arial" w:cs="Arial"/>
          <w:sz w:val="22"/>
          <w:szCs w:val="22"/>
        </w:rPr>
      </w:pPr>
      <w:r w:rsidRPr="00932A69">
        <w:rPr>
          <w:rFonts w:ascii="Arial" w:hAnsi="Arial" w:cs="Arial"/>
          <w:sz w:val="22"/>
          <w:szCs w:val="22"/>
        </w:rPr>
        <w:t>Longitudinal Care, including: catalogue and address psychosocial and clinical needs;</w:t>
      </w:r>
      <w:r w:rsidRPr="00932A69">
        <w:rPr>
          <w:rFonts w:ascii="Arial" w:eastAsiaTheme="minorEastAsia" w:hAnsi="Arial" w:cs="Arial"/>
          <w:color w:val="000000"/>
          <w:kern w:val="24"/>
          <w:sz w:val="36"/>
          <w:szCs w:val="36"/>
        </w:rPr>
        <w:t xml:space="preserve"> </w:t>
      </w:r>
      <w:r w:rsidRPr="00932A69">
        <w:rPr>
          <w:rFonts w:ascii="Arial" w:hAnsi="Arial" w:cs="Arial"/>
          <w:sz w:val="22"/>
          <w:szCs w:val="22"/>
        </w:rPr>
        <w:t xml:space="preserve">focus on primary care/specialty service engagement; and promote self-efficacy and chronic disease self-management; </w:t>
      </w:r>
    </w:p>
    <w:p w14:paraId="1B749A4B" w14:textId="77777777" w:rsidR="00033F49" w:rsidRPr="00932A69" w:rsidRDefault="00033F49">
      <w:pPr>
        <w:numPr>
          <w:ilvl w:val="0"/>
          <w:numId w:val="17"/>
        </w:numPr>
        <w:jc w:val="both"/>
        <w:rPr>
          <w:rFonts w:ascii="Arial" w:hAnsi="Arial" w:cs="Arial"/>
          <w:sz w:val="22"/>
          <w:szCs w:val="22"/>
        </w:rPr>
      </w:pPr>
      <w:r w:rsidRPr="00932A69">
        <w:rPr>
          <w:rFonts w:ascii="Arial" w:hAnsi="Arial" w:cs="Arial"/>
          <w:sz w:val="22"/>
          <w:szCs w:val="22"/>
        </w:rPr>
        <w:t xml:space="preserve">Transitional Care, including: update and address any changes to care plan after discharge; interventions to lower readmission risk; and alert and obtain input from primary care physician and key providers around transition of care; and </w:t>
      </w:r>
    </w:p>
    <w:p w14:paraId="634FF12E" w14:textId="77777777" w:rsidR="00AD561A" w:rsidRPr="00932A69" w:rsidRDefault="00033F49">
      <w:pPr>
        <w:numPr>
          <w:ilvl w:val="0"/>
          <w:numId w:val="17"/>
        </w:numPr>
        <w:jc w:val="both"/>
        <w:rPr>
          <w:rFonts w:ascii="Arial" w:hAnsi="Arial" w:cs="Arial"/>
          <w:sz w:val="22"/>
          <w:szCs w:val="22"/>
        </w:rPr>
      </w:pPr>
      <w:r w:rsidRPr="00932A69">
        <w:rPr>
          <w:rFonts w:ascii="Arial" w:hAnsi="Arial" w:cs="Arial"/>
          <w:sz w:val="22"/>
          <w:szCs w:val="22"/>
        </w:rPr>
        <w:t>Urgent Access, including expedited nursing evaluation/contact; engagement of primary care physician/key providers for urgent questions; and protocols for deployment of urgent behavioral health/SDoH resources.</w:t>
      </w:r>
    </w:p>
    <w:p w14:paraId="0CE46BEC" w14:textId="77777777" w:rsidR="00AD561A" w:rsidRPr="00932A69" w:rsidRDefault="00AD561A" w:rsidP="00033F49">
      <w:pPr>
        <w:jc w:val="both"/>
        <w:rPr>
          <w:rFonts w:ascii="Arial" w:hAnsi="Arial" w:cs="Arial"/>
          <w:sz w:val="22"/>
          <w:szCs w:val="22"/>
        </w:rPr>
      </w:pPr>
    </w:p>
    <w:p w14:paraId="320CFA07" w14:textId="77777777" w:rsidR="00AD561A" w:rsidRPr="00932A69" w:rsidRDefault="003E058E" w:rsidP="00033F49">
      <w:pPr>
        <w:jc w:val="both"/>
        <w:rPr>
          <w:rFonts w:ascii="Arial" w:hAnsi="Arial" w:cs="Arial"/>
          <w:sz w:val="22"/>
          <w:szCs w:val="22"/>
        </w:rPr>
      </w:pPr>
      <w:r w:rsidRPr="00932A69">
        <w:rPr>
          <w:rFonts w:ascii="Arial" w:hAnsi="Arial" w:cs="Arial"/>
          <w:sz w:val="22"/>
          <w:szCs w:val="22"/>
        </w:rPr>
        <w:t xml:space="preserve">Through close partnership with groups, strong analytics, and close clinical oversight, impact data show </w:t>
      </w:r>
      <w:r w:rsidR="00033F49" w:rsidRPr="00932A69">
        <w:rPr>
          <w:rFonts w:ascii="Arial" w:hAnsi="Arial" w:cs="Arial"/>
          <w:sz w:val="22"/>
          <w:szCs w:val="22"/>
        </w:rPr>
        <w:t>that the CCM</w:t>
      </w:r>
      <w:r w:rsidRPr="00932A69">
        <w:rPr>
          <w:rFonts w:ascii="Arial" w:hAnsi="Arial" w:cs="Arial"/>
          <w:sz w:val="22"/>
          <w:szCs w:val="22"/>
        </w:rPr>
        <w:t xml:space="preserve"> program helps patients manage their health </w:t>
      </w:r>
      <w:r w:rsidR="00033F49" w:rsidRPr="00932A69">
        <w:rPr>
          <w:rFonts w:ascii="Arial" w:hAnsi="Arial" w:cs="Arial"/>
          <w:sz w:val="22"/>
          <w:szCs w:val="22"/>
        </w:rPr>
        <w:t xml:space="preserve">and </w:t>
      </w:r>
      <w:r w:rsidRPr="00932A69">
        <w:rPr>
          <w:rFonts w:ascii="Arial" w:hAnsi="Arial" w:cs="Arial"/>
          <w:sz w:val="22"/>
          <w:szCs w:val="22"/>
        </w:rPr>
        <w:t xml:space="preserve">reduces </w:t>
      </w:r>
      <w:r w:rsidR="00033F49" w:rsidRPr="00932A69">
        <w:rPr>
          <w:rFonts w:ascii="Arial" w:hAnsi="Arial" w:cs="Arial"/>
          <w:sz w:val="22"/>
          <w:szCs w:val="22"/>
        </w:rPr>
        <w:t xml:space="preserve">unnecessary inpatient </w:t>
      </w:r>
      <w:r w:rsidRPr="00932A69">
        <w:rPr>
          <w:rFonts w:ascii="Arial" w:hAnsi="Arial" w:cs="Arial"/>
          <w:sz w:val="22"/>
          <w:szCs w:val="22"/>
        </w:rPr>
        <w:t>utilization for enrolled members</w:t>
      </w:r>
      <w:r w:rsidR="00033F49" w:rsidRPr="00932A69">
        <w:rPr>
          <w:rFonts w:ascii="Arial" w:hAnsi="Arial" w:cs="Arial"/>
          <w:sz w:val="22"/>
          <w:szCs w:val="22"/>
        </w:rPr>
        <w:t>. Following implementation of the Proposed Project, the Applicant will continue to offer this CCM programming to patients, thereby ensuring continued provision of high-quality care management beyond the Hospital’s walls.</w:t>
      </w:r>
    </w:p>
    <w:p w14:paraId="36E0A859" w14:textId="77777777" w:rsidR="00033F49" w:rsidRPr="00932A69" w:rsidRDefault="00033F49" w:rsidP="00033F49">
      <w:pPr>
        <w:jc w:val="both"/>
        <w:rPr>
          <w:rFonts w:ascii="Arial" w:hAnsi="Arial" w:cs="Arial"/>
          <w:sz w:val="22"/>
          <w:szCs w:val="22"/>
        </w:rPr>
      </w:pPr>
    </w:p>
    <w:p w14:paraId="63A734F3" w14:textId="77777777" w:rsidR="00033F49" w:rsidRPr="00932A69" w:rsidRDefault="00033F49">
      <w:pPr>
        <w:pStyle w:val="ListParagraph"/>
        <w:numPr>
          <w:ilvl w:val="0"/>
          <w:numId w:val="18"/>
        </w:numPr>
        <w:ind w:left="360"/>
        <w:jc w:val="both"/>
        <w:rPr>
          <w:rFonts w:ascii="Arial" w:hAnsi="Arial" w:cs="Arial"/>
          <w:smallCaps/>
          <w:sz w:val="22"/>
          <w:szCs w:val="22"/>
          <w:u w:val="single"/>
        </w:rPr>
      </w:pPr>
      <w:r w:rsidRPr="00932A69">
        <w:rPr>
          <w:rFonts w:ascii="Arial" w:hAnsi="Arial" w:cs="Arial"/>
          <w:smallCaps/>
          <w:sz w:val="22"/>
          <w:szCs w:val="22"/>
          <w:u w:val="single"/>
        </w:rPr>
        <w:t>Screening Protocols</w:t>
      </w:r>
    </w:p>
    <w:p w14:paraId="20A72738" w14:textId="77777777" w:rsidR="00033F49" w:rsidRPr="00932A69" w:rsidRDefault="00033F49" w:rsidP="00033F49">
      <w:pPr>
        <w:jc w:val="both"/>
        <w:rPr>
          <w:rFonts w:ascii="Arial" w:hAnsi="Arial" w:cs="Arial"/>
          <w:sz w:val="22"/>
          <w:szCs w:val="22"/>
        </w:rPr>
      </w:pPr>
    </w:p>
    <w:p w14:paraId="47985A1F" w14:textId="77777777" w:rsidR="00033F49" w:rsidRPr="00932A69" w:rsidRDefault="00033F49" w:rsidP="00033F49">
      <w:pPr>
        <w:jc w:val="both"/>
        <w:rPr>
          <w:rFonts w:ascii="Arial" w:hAnsi="Arial" w:cs="Arial"/>
          <w:sz w:val="22"/>
          <w:szCs w:val="22"/>
        </w:rPr>
      </w:pPr>
      <w:r w:rsidRPr="00932A69">
        <w:rPr>
          <w:rFonts w:ascii="Arial" w:hAnsi="Arial" w:cs="Arial"/>
          <w:sz w:val="22"/>
          <w:szCs w:val="22"/>
        </w:rPr>
        <w:t xml:space="preserve">Finally, the Applicant highlights BMC’s SDoH screening protocols. In 2018, BMC implemented THRIVE, an EHR-based SDoH screening and referral program, which strives to understand social </w:t>
      </w:r>
      <w:r w:rsidRPr="00932A69">
        <w:rPr>
          <w:rFonts w:ascii="Arial" w:hAnsi="Arial" w:cs="Arial"/>
          <w:sz w:val="22"/>
          <w:szCs w:val="22"/>
        </w:rPr>
        <w:lastRenderedPageBreak/>
        <w:t xml:space="preserve">needs impacting patients’ health, improve patient care by communicating social needs to care teams, provide patients with information on </w:t>
      </w:r>
      <w:r w:rsidR="005D667F" w:rsidRPr="00932A69">
        <w:rPr>
          <w:rFonts w:ascii="Arial" w:hAnsi="Arial" w:cs="Arial"/>
          <w:sz w:val="22"/>
          <w:szCs w:val="22"/>
        </w:rPr>
        <w:t xml:space="preserve">hospital-based and </w:t>
      </w:r>
      <w:r w:rsidRPr="00932A69">
        <w:rPr>
          <w:rFonts w:ascii="Arial" w:hAnsi="Arial" w:cs="Arial"/>
          <w:sz w:val="22"/>
          <w:szCs w:val="22"/>
        </w:rPr>
        <w:t>community resources that can mitigate their social needs, and partner with community</w:t>
      </w:r>
      <w:r w:rsidR="00974668" w:rsidRPr="00932A69">
        <w:rPr>
          <w:rFonts w:ascii="Arial" w:hAnsi="Arial" w:cs="Arial"/>
          <w:sz w:val="22"/>
          <w:szCs w:val="22"/>
        </w:rPr>
        <w:t>-based organizations</w:t>
      </w:r>
      <w:r w:rsidRPr="00932A69">
        <w:rPr>
          <w:rFonts w:ascii="Arial" w:hAnsi="Arial" w:cs="Arial"/>
          <w:sz w:val="22"/>
          <w:szCs w:val="22"/>
        </w:rPr>
        <w:t xml:space="preserve"> to eliminate systemic barriers that prevent patients from thriving. In order to achieve these goals, the THRIVE screening protocol involves the following operational components: screen for SDoH, capture responses as standard ICD-10 visit diagnosis codes in the EHR, and provide patients with resource referral guides to help address unmet social needs for which they desire help. The following eight (8) domains of potentially unmet SDoH needs are currently included in the THRIVE screener: housing and food insecurity, inability to afford medications, utilities or transportation, need for employment or education, and difficulty taking care of children or other family members. When a patient requests assistance with an unmet need, referral guides are automatically printed with information about resources available to them both at BMC and in the community, and the EHR also prompts the provider to address any issues raised by the patient in the screener during the visit. The Hospital is working to further improve THRIVE to ensure a closed loop; THRIVE 2.0 will go a step further and allow the Hospital to track the status of a patient referral and follow-up to ensure requested assistance is obtained.</w:t>
      </w:r>
    </w:p>
    <w:p w14:paraId="3AC63BBE" w14:textId="77777777" w:rsidR="00B334F6" w:rsidRPr="00AF7B4D" w:rsidRDefault="00B334F6" w:rsidP="002F24B7">
      <w:pPr>
        <w:pStyle w:val="NormalWeb"/>
        <w:spacing w:before="0" w:beforeAutospacing="0" w:after="0" w:afterAutospacing="0"/>
        <w:jc w:val="both"/>
        <w:rPr>
          <w:rFonts w:ascii="Arial" w:hAnsi="Arial" w:cs="Arial"/>
          <w:sz w:val="22"/>
          <w:szCs w:val="22"/>
          <w:u w:val="single"/>
        </w:rPr>
      </w:pPr>
    </w:p>
    <w:p w14:paraId="61EEB1C0" w14:textId="77777777" w:rsidR="002F24B7" w:rsidRPr="00AF7B4D" w:rsidRDefault="002F24B7" w:rsidP="009A7F8F">
      <w:pPr>
        <w:ind w:left="1080" w:hanging="1080"/>
        <w:jc w:val="both"/>
        <w:rPr>
          <w:rStyle w:val="eop"/>
          <w:rFonts w:ascii="Arial" w:hAnsi="Arial" w:cs="Arial"/>
          <w:sz w:val="22"/>
          <w:szCs w:val="22"/>
        </w:rPr>
      </w:pPr>
      <w:r w:rsidRPr="00AF7B4D">
        <w:rPr>
          <w:rStyle w:val="normaltextrun"/>
          <w:rFonts w:ascii="Arial" w:hAnsi="Arial" w:cs="Arial"/>
          <w:b/>
          <w:bCs/>
          <w:sz w:val="22"/>
          <w:szCs w:val="22"/>
        </w:rPr>
        <w:t xml:space="preserve">F1.d </w:t>
      </w:r>
      <w:r w:rsidRPr="00AF7B4D">
        <w:rPr>
          <w:rStyle w:val="tabchar"/>
          <w:rFonts w:ascii="Calibri" w:hAnsi="Calibri" w:cs="Calibri"/>
          <w:sz w:val="22"/>
          <w:szCs w:val="22"/>
        </w:rPr>
        <w:tab/>
      </w:r>
      <w:r w:rsidRPr="00AF7B4D">
        <w:rPr>
          <w:rStyle w:val="normaltextrun"/>
          <w:rFonts w:ascii="Arial" w:hAnsi="Arial" w:cs="Arial"/>
          <w:b/>
          <w:bCs/>
          <w:sz w:val="22"/>
          <w:szCs w:val="22"/>
        </w:rPr>
        <w:t>Provide evidence of consultation, both prior to and after the Filing Date, with all Government Agencies with relevant licensure, certification, or other regulatory oversight of the Applicant or the Proposed Project. </w:t>
      </w:r>
      <w:r w:rsidRPr="00AF7B4D">
        <w:rPr>
          <w:rStyle w:val="eop"/>
          <w:rFonts w:ascii="Arial" w:hAnsi="Arial" w:cs="Arial"/>
          <w:sz w:val="22"/>
          <w:szCs w:val="22"/>
        </w:rPr>
        <w:t> </w:t>
      </w:r>
    </w:p>
    <w:p w14:paraId="1D2608C4" w14:textId="77777777" w:rsidR="002F24B7" w:rsidRPr="00AF7B4D" w:rsidRDefault="002F24B7" w:rsidP="002F24B7">
      <w:pPr>
        <w:ind w:left="1440" w:hanging="1440"/>
        <w:jc w:val="both"/>
        <w:rPr>
          <w:rStyle w:val="eop"/>
          <w:rFonts w:ascii="Arial" w:hAnsi="Arial" w:cs="Arial"/>
          <w:sz w:val="22"/>
          <w:szCs w:val="22"/>
        </w:rPr>
      </w:pPr>
    </w:p>
    <w:p w14:paraId="572AFDE6" w14:textId="77777777" w:rsidR="00357F71" w:rsidRPr="000B40A9" w:rsidRDefault="00357F71" w:rsidP="00357F71">
      <w:pPr>
        <w:autoSpaceDE w:val="0"/>
        <w:autoSpaceDN w:val="0"/>
        <w:adjustRightInd w:val="0"/>
        <w:jc w:val="both"/>
        <w:rPr>
          <w:rFonts w:ascii="Arial" w:hAnsi="Arial" w:cs="Arial"/>
          <w:sz w:val="22"/>
          <w:szCs w:val="22"/>
        </w:rPr>
      </w:pPr>
      <w:r w:rsidRPr="00AF7B4D">
        <w:rPr>
          <w:rFonts w:ascii="Arial" w:hAnsi="Arial" w:cs="Arial"/>
          <w:sz w:val="22"/>
          <w:szCs w:val="22"/>
        </w:rPr>
        <w:t xml:space="preserve">In planning and designing the Proposed Project, the Applicant sought input from a variety of stakeholders, including but not limited to, Hospital leadership, clinical staff, patients and families, and community members that may be impacted by or have an interest in the Proposed Project. Details regarding these engagement efforts are described in Factor F1.e.i below. In addition to these efforts, the Applicant also conducted a formal consultative process with individuals at various regulatory agencies with relevant licensure, certification, and other regulatory oversight of the Applicant and the Proposed Project. </w:t>
      </w:r>
      <w:r w:rsidRPr="007D2977">
        <w:rPr>
          <w:rFonts w:ascii="Arial" w:hAnsi="Arial" w:cs="Arial"/>
          <w:sz w:val="22"/>
          <w:szCs w:val="22"/>
        </w:rPr>
        <w:t xml:space="preserve">Specifically, the following agencies and individuals are some of those consulted regarding the </w:t>
      </w:r>
      <w:r w:rsidRPr="000B40A9">
        <w:rPr>
          <w:rFonts w:ascii="Arial" w:hAnsi="Arial" w:cs="Arial"/>
          <w:sz w:val="22"/>
          <w:szCs w:val="22"/>
        </w:rPr>
        <w:t>Proposed Project:</w:t>
      </w:r>
    </w:p>
    <w:p w14:paraId="275B5153" w14:textId="77777777" w:rsidR="00357F71" w:rsidRPr="00466BC1" w:rsidRDefault="00357F71">
      <w:pPr>
        <w:pStyle w:val="ListParagraph"/>
        <w:numPr>
          <w:ilvl w:val="0"/>
          <w:numId w:val="12"/>
        </w:numPr>
        <w:jc w:val="both"/>
        <w:rPr>
          <w:rFonts w:ascii="Arial" w:hAnsi="Arial" w:cs="Arial"/>
          <w:sz w:val="22"/>
          <w:szCs w:val="22"/>
        </w:rPr>
      </w:pPr>
      <w:r w:rsidRPr="00466BC1">
        <w:rPr>
          <w:rFonts w:ascii="Arial" w:hAnsi="Arial" w:cs="Arial"/>
          <w:sz w:val="22"/>
          <w:szCs w:val="22"/>
        </w:rPr>
        <w:t>Massachusetts Executive Office of Health and Human Services</w:t>
      </w:r>
    </w:p>
    <w:p w14:paraId="754B9EC9" w14:textId="77777777" w:rsidR="00357F71" w:rsidRPr="00466BC1" w:rsidRDefault="00357F71">
      <w:pPr>
        <w:pStyle w:val="ListParagraph"/>
        <w:numPr>
          <w:ilvl w:val="0"/>
          <w:numId w:val="12"/>
        </w:numPr>
        <w:autoSpaceDE w:val="0"/>
        <w:autoSpaceDN w:val="0"/>
        <w:adjustRightInd w:val="0"/>
        <w:jc w:val="both"/>
        <w:rPr>
          <w:rFonts w:ascii="Arial" w:hAnsi="Arial" w:cs="Arial"/>
          <w:sz w:val="22"/>
          <w:szCs w:val="22"/>
        </w:rPr>
      </w:pPr>
      <w:r w:rsidRPr="00466BC1">
        <w:rPr>
          <w:rFonts w:ascii="Arial" w:hAnsi="Arial" w:cs="Arial"/>
          <w:sz w:val="22"/>
          <w:szCs w:val="22"/>
        </w:rPr>
        <w:t xml:space="preserve">DPH, including, but not limited to: </w:t>
      </w:r>
      <w:r w:rsidR="003509B6" w:rsidRPr="00466BC1">
        <w:rPr>
          <w:rFonts w:ascii="Arial" w:hAnsi="Arial" w:cs="Arial"/>
          <w:sz w:val="22"/>
          <w:szCs w:val="22"/>
        </w:rPr>
        <w:t>Dennis Renaud</w:t>
      </w:r>
      <w:r w:rsidRPr="00466BC1">
        <w:rPr>
          <w:rFonts w:ascii="Arial" w:hAnsi="Arial" w:cs="Arial"/>
          <w:sz w:val="22"/>
          <w:szCs w:val="22"/>
        </w:rPr>
        <w:t>, Director, DoN Program; Elizabeth Kell</w:t>
      </w:r>
      <w:r w:rsidR="003509B6" w:rsidRPr="00466BC1">
        <w:rPr>
          <w:rFonts w:ascii="Arial" w:hAnsi="Arial" w:cs="Arial"/>
          <w:sz w:val="22"/>
          <w:szCs w:val="22"/>
        </w:rPr>
        <w:t>e</w:t>
      </w:r>
      <w:r w:rsidRPr="00466BC1">
        <w:rPr>
          <w:rFonts w:ascii="Arial" w:hAnsi="Arial" w:cs="Arial"/>
          <w:sz w:val="22"/>
          <w:szCs w:val="22"/>
        </w:rPr>
        <w:t xml:space="preserve">y, Director, </w:t>
      </w:r>
      <w:r w:rsidR="000B40A9" w:rsidRPr="00466BC1">
        <w:rPr>
          <w:rFonts w:ascii="Arial" w:hAnsi="Arial" w:cs="Arial"/>
          <w:sz w:val="22"/>
          <w:szCs w:val="22"/>
        </w:rPr>
        <w:t>Bureau of Health Care Safety and Quality</w:t>
      </w:r>
      <w:r w:rsidRPr="00466BC1">
        <w:rPr>
          <w:rFonts w:ascii="Arial" w:hAnsi="Arial" w:cs="Arial"/>
          <w:sz w:val="22"/>
          <w:szCs w:val="22"/>
        </w:rPr>
        <w:t>; Lynn Conover, Analyst, DoN Program</w:t>
      </w:r>
      <w:r w:rsidR="003509B6" w:rsidRPr="00466BC1">
        <w:rPr>
          <w:rFonts w:ascii="Arial" w:hAnsi="Arial" w:cs="Arial"/>
          <w:sz w:val="22"/>
          <w:szCs w:val="22"/>
        </w:rPr>
        <w:t>;</w:t>
      </w:r>
      <w:r w:rsidRPr="00466BC1">
        <w:rPr>
          <w:rFonts w:ascii="Arial" w:hAnsi="Arial" w:cs="Arial"/>
          <w:sz w:val="22"/>
          <w:szCs w:val="22"/>
        </w:rPr>
        <w:t xml:space="preserve"> Rebecca </w:t>
      </w:r>
      <w:r w:rsidR="000B40A9" w:rsidRPr="00466BC1">
        <w:rPr>
          <w:rFonts w:ascii="Arial" w:hAnsi="Arial" w:cs="Arial"/>
          <w:sz w:val="22"/>
          <w:szCs w:val="22"/>
        </w:rPr>
        <w:t>Kaye</w:t>
      </w:r>
      <w:r w:rsidRPr="00466BC1">
        <w:rPr>
          <w:rFonts w:ascii="Arial" w:hAnsi="Arial" w:cs="Arial"/>
          <w:sz w:val="22"/>
          <w:szCs w:val="22"/>
        </w:rPr>
        <w:t xml:space="preserve">, Esq., </w:t>
      </w:r>
      <w:r w:rsidR="000B40A9" w:rsidRPr="00466BC1">
        <w:rPr>
          <w:rFonts w:ascii="Arial" w:hAnsi="Arial" w:cs="Arial"/>
          <w:sz w:val="22"/>
          <w:szCs w:val="22"/>
        </w:rPr>
        <w:t xml:space="preserve">Senior Deputy </w:t>
      </w:r>
      <w:r w:rsidRPr="00466BC1">
        <w:rPr>
          <w:rFonts w:ascii="Arial" w:hAnsi="Arial" w:cs="Arial"/>
          <w:sz w:val="22"/>
          <w:szCs w:val="22"/>
        </w:rPr>
        <w:t xml:space="preserve">General Counsel; Jennica Allen, Manager of Community Engagement Practices, Division of Community Health Planning and Engagement; Elizabeth Maffei, Program Manager, Division of Community Health Planning and Engagement; and </w:t>
      </w:r>
      <w:r w:rsidR="000B40A9" w:rsidRPr="00466BC1">
        <w:rPr>
          <w:rFonts w:ascii="Arial" w:hAnsi="Arial" w:cs="Arial"/>
          <w:sz w:val="22"/>
          <w:szCs w:val="22"/>
        </w:rPr>
        <w:t>Katelyn Teague, Specialist, Division of Community Health Planning Engagement.</w:t>
      </w:r>
    </w:p>
    <w:p w14:paraId="711789B7" w14:textId="77777777" w:rsidR="00357F71" w:rsidRPr="00466BC1" w:rsidRDefault="00357F71">
      <w:pPr>
        <w:pStyle w:val="ListParagraph"/>
        <w:numPr>
          <w:ilvl w:val="0"/>
          <w:numId w:val="12"/>
        </w:numPr>
        <w:autoSpaceDE w:val="0"/>
        <w:autoSpaceDN w:val="0"/>
        <w:adjustRightInd w:val="0"/>
        <w:jc w:val="both"/>
        <w:rPr>
          <w:rFonts w:ascii="Arial" w:hAnsi="Arial" w:cs="Arial"/>
          <w:sz w:val="22"/>
          <w:szCs w:val="22"/>
        </w:rPr>
      </w:pPr>
      <w:r w:rsidRPr="00466BC1">
        <w:rPr>
          <w:rFonts w:ascii="Arial" w:hAnsi="Arial" w:cs="Arial"/>
          <w:sz w:val="22"/>
          <w:szCs w:val="22"/>
        </w:rPr>
        <w:t xml:space="preserve">Massachusetts Office of Attorney General </w:t>
      </w:r>
    </w:p>
    <w:p w14:paraId="2F0B25B2" w14:textId="77777777" w:rsidR="00357F71" w:rsidRPr="00466BC1" w:rsidRDefault="00357F71">
      <w:pPr>
        <w:pStyle w:val="ListParagraph"/>
        <w:numPr>
          <w:ilvl w:val="0"/>
          <w:numId w:val="12"/>
        </w:numPr>
        <w:autoSpaceDE w:val="0"/>
        <w:autoSpaceDN w:val="0"/>
        <w:adjustRightInd w:val="0"/>
        <w:jc w:val="both"/>
        <w:rPr>
          <w:rFonts w:ascii="Arial" w:hAnsi="Arial" w:cs="Arial"/>
          <w:sz w:val="22"/>
          <w:szCs w:val="22"/>
        </w:rPr>
      </w:pPr>
      <w:r w:rsidRPr="00466BC1">
        <w:rPr>
          <w:rFonts w:ascii="Arial" w:hAnsi="Arial" w:cs="Arial"/>
          <w:sz w:val="22"/>
          <w:szCs w:val="22"/>
        </w:rPr>
        <w:t>HPC</w:t>
      </w:r>
    </w:p>
    <w:p w14:paraId="59B1ED03" w14:textId="77777777" w:rsidR="00357F71" w:rsidRPr="00466BC1" w:rsidRDefault="00357F71">
      <w:pPr>
        <w:pStyle w:val="ListParagraph"/>
        <w:numPr>
          <w:ilvl w:val="0"/>
          <w:numId w:val="12"/>
        </w:numPr>
        <w:autoSpaceDE w:val="0"/>
        <w:autoSpaceDN w:val="0"/>
        <w:adjustRightInd w:val="0"/>
        <w:jc w:val="both"/>
        <w:rPr>
          <w:rFonts w:ascii="Arial" w:hAnsi="Arial" w:cs="Arial"/>
          <w:sz w:val="22"/>
          <w:szCs w:val="22"/>
        </w:rPr>
      </w:pPr>
      <w:r w:rsidRPr="00466BC1">
        <w:rPr>
          <w:rFonts w:ascii="Arial" w:hAnsi="Arial" w:cs="Arial"/>
          <w:sz w:val="22"/>
          <w:szCs w:val="22"/>
        </w:rPr>
        <w:t>Center for Health Information and Analysis</w:t>
      </w:r>
    </w:p>
    <w:p w14:paraId="19DE73A5" w14:textId="77777777" w:rsidR="00357F71" w:rsidRPr="00466BC1" w:rsidRDefault="00357F71">
      <w:pPr>
        <w:pStyle w:val="ListParagraph"/>
        <w:numPr>
          <w:ilvl w:val="0"/>
          <w:numId w:val="12"/>
        </w:numPr>
        <w:autoSpaceDE w:val="0"/>
        <w:autoSpaceDN w:val="0"/>
        <w:adjustRightInd w:val="0"/>
        <w:jc w:val="both"/>
        <w:rPr>
          <w:rFonts w:ascii="Arial" w:hAnsi="Arial" w:cs="Arial"/>
          <w:sz w:val="22"/>
          <w:szCs w:val="22"/>
        </w:rPr>
      </w:pPr>
      <w:r w:rsidRPr="00466BC1">
        <w:rPr>
          <w:rFonts w:ascii="Arial" w:hAnsi="Arial" w:cs="Arial"/>
          <w:sz w:val="22"/>
          <w:szCs w:val="22"/>
        </w:rPr>
        <w:t>The Centers for Medicare &amp; Medicaid Services</w:t>
      </w:r>
    </w:p>
    <w:p w14:paraId="06073578" w14:textId="77777777" w:rsidR="00357F71" w:rsidRPr="00466BC1" w:rsidRDefault="00357F71">
      <w:pPr>
        <w:pStyle w:val="ListParagraph"/>
        <w:numPr>
          <w:ilvl w:val="0"/>
          <w:numId w:val="12"/>
        </w:numPr>
        <w:autoSpaceDE w:val="0"/>
        <w:autoSpaceDN w:val="0"/>
        <w:adjustRightInd w:val="0"/>
        <w:jc w:val="both"/>
        <w:rPr>
          <w:rFonts w:ascii="Arial" w:hAnsi="Arial" w:cs="Arial"/>
          <w:sz w:val="22"/>
          <w:szCs w:val="22"/>
        </w:rPr>
      </w:pPr>
      <w:r w:rsidRPr="00466BC1">
        <w:rPr>
          <w:rFonts w:ascii="Arial" w:hAnsi="Arial" w:cs="Arial"/>
          <w:sz w:val="22"/>
          <w:szCs w:val="22"/>
        </w:rPr>
        <w:t>MassHealth</w:t>
      </w:r>
    </w:p>
    <w:p w14:paraId="5D9AFCBB" w14:textId="77777777" w:rsidR="000D1F21" w:rsidRPr="00466BC1" w:rsidRDefault="000D1F21" w:rsidP="00357F71">
      <w:pPr>
        <w:jc w:val="both"/>
        <w:rPr>
          <w:rStyle w:val="eop"/>
          <w:rFonts w:ascii="Arial" w:hAnsi="Arial" w:cs="Arial"/>
          <w:sz w:val="22"/>
          <w:szCs w:val="22"/>
        </w:rPr>
      </w:pPr>
    </w:p>
    <w:p w14:paraId="1DDE7E5B" w14:textId="77777777" w:rsidR="002F24B7" w:rsidRPr="00466BC1" w:rsidRDefault="002F24B7" w:rsidP="009A7F8F">
      <w:pPr>
        <w:ind w:left="1080" w:hanging="1080"/>
        <w:jc w:val="both"/>
        <w:rPr>
          <w:rFonts w:ascii="Arial" w:hAnsi="Arial" w:cs="Arial"/>
          <w:sz w:val="22"/>
          <w:szCs w:val="22"/>
        </w:rPr>
      </w:pPr>
      <w:r w:rsidRPr="00466BC1">
        <w:rPr>
          <w:rStyle w:val="normaltextrun"/>
          <w:rFonts w:ascii="Arial" w:hAnsi="Arial" w:cs="Arial"/>
          <w:b/>
          <w:bCs/>
          <w:sz w:val="22"/>
          <w:szCs w:val="22"/>
        </w:rPr>
        <w:t>F1.e.i</w:t>
      </w:r>
      <w:r w:rsidRPr="00466BC1">
        <w:rPr>
          <w:rStyle w:val="tabchar"/>
          <w:rFonts w:ascii="Calibri" w:hAnsi="Calibri" w:cs="Calibri"/>
          <w:sz w:val="22"/>
          <w:szCs w:val="22"/>
        </w:rPr>
        <w:tab/>
      </w:r>
      <w:r w:rsidRPr="00466BC1">
        <w:rPr>
          <w:rStyle w:val="normaltextrun"/>
          <w:rFonts w:ascii="Arial" w:hAnsi="Arial" w:cs="Arial"/>
          <w:b/>
          <w:bCs/>
          <w:sz w:val="22"/>
          <w:szCs w:val="22"/>
        </w:rPr>
        <w:t xml:space="preserve">Process for Determining Need/Evidence of Community Engagement: For assistance in responding to this portion of the Application, Applicant is encouraged to review </w:t>
      </w:r>
      <w:r w:rsidRPr="00466BC1">
        <w:rPr>
          <w:rStyle w:val="normaltextrun"/>
          <w:rFonts w:ascii="Arial" w:hAnsi="Arial" w:cs="Arial"/>
          <w:b/>
          <w:bCs/>
          <w:i/>
          <w:iCs/>
          <w:sz w:val="22"/>
          <w:szCs w:val="22"/>
        </w:rPr>
        <w:t xml:space="preserve">Community Engagement Standards for Community Health Planning Guideline. </w:t>
      </w:r>
      <w:r w:rsidRPr="00466BC1">
        <w:rPr>
          <w:rStyle w:val="normaltextrun"/>
          <w:rFonts w:ascii="Arial" w:hAnsi="Arial" w:cs="Arial"/>
          <w:b/>
          <w:bCs/>
          <w:sz w:val="22"/>
          <w:szCs w:val="22"/>
        </w:rPr>
        <w:t>With respect to the existing Patient Panel, please describe the process through which Applicant determined the need for the Proposed Project. </w:t>
      </w:r>
      <w:r w:rsidRPr="00466BC1">
        <w:rPr>
          <w:rStyle w:val="eop"/>
          <w:rFonts w:ascii="Arial" w:hAnsi="Arial" w:cs="Arial"/>
          <w:sz w:val="22"/>
          <w:szCs w:val="22"/>
        </w:rPr>
        <w:t> </w:t>
      </w:r>
    </w:p>
    <w:p w14:paraId="7BA23C87" w14:textId="77777777" w:rsidR="00EA5B24" w:rsidRPr="00466BC1" w:rsidRDefault="00EA5B24" w:rsidP="00EA5B24">
      <w:pPr>
        <w:jc w:val="both"/>
        <w:rPr>
          <w:rFonts w:ascii="Arial" w:hAnsi="Arial" w:cs="Arial"/>
          <w:color w:val="FF0000"/>
          <w:sz w:val="22"/>
          <w:szCs w:val="22"/>
        </w:rPr>
      </w:pPr>
    </w:p>
    <w:p w14:paraId="19F8EE39" w14:textId="77777777" w:rsidR="002F24B7" w:rsidRPr="00466BC1" w:rsidRDefault="00466BC1" w:rsidP="00466BC1">
      <w:pPr>
        <w:jc w:val="both"/>
        <w:rPr>
          <w:rFonts w:ascii="Arial" w:hAnsi="Arial" w:cs="Arial"/>
          <w:sz w:val="22"/>
          <w:szCs w:val="22"/>
        </w:rPr>
      </w:pPr>
      <w:r>
        <w:rPr>
          <w:rFonts w:ascii="Arial" w:hAnsi="Arial" w:cs="Arial"/>
          <w:sz w:val="22"/>
          <w:szCs w:val="22"/>
        </w:rPr>
        <w:t>I</w:t>
      </w:r>
      <w:r w:rsidRPr="00466BC1">
        <w:rPr>
          <w:rFonts w:ascii="Arial" w:hAnsi="Arial" w:cs="Arial"/>
          <w:sz w:val="22"/>
          <w:szCs w:val="22"/>
        </w:rPr>
        <w:t>n contemplation of preparing its DoN Application for the Proposed Project</w:t>
      </w:r>
      <w:r>
        <w:rPr>
          <w:rFonts w:ascii="Arial" w:hAnsi="Arial" w:cs="Arial"/>
          <w:sz w:val="22"/>
          <w:szCs w:val="22"/>
        </w:rPr>
        <w:t xml:space="preserve"> and t</w:t>
      </w:r>
      <w:r w:rsidRPr="00466BC1">
        <w:rPr>
          <w:rFonts w:ascii="Arial" w:hAnsi="Arial" w:cs="Arial"/>
          <w:sz w:val="22"/>
          <w:szCs w:val="22"/>
        </w:rPr>
        <w:t>o ensure appropriate community engagement</w:t>
      </w:r>
      <w:r>
        <w:rPr>
          <w:rFonts w:ascii="Arial" w:hAnsi="Arial" w:cs="Arial"/>
          <w:sz w:val="22"/>
          <w:szCs w:val="22"/>
        </w:rPr>
        <w:t xml:space="preserve">, </w:t>
      </w:r>
      <w:r w:rsidRPr="00466BC1">
        <w:rPr>
          <w:rFonts w:ascii="Arial" w:hAnsi="Arial" w:cs="Arial"/>
          <w:sz w:val="22"/>
          <w:szCs w:val="22"/>
        </w:rPr>
        <w:t xml:space="preserve">the Applicant sought to engage community members, </w:t>
      </w:r>
      <w:r w:rsidRPr="00466BC1">
        <w:rPr>
          <w:rFonts w:ascii="Arial" w:hAnsi="Arial" w:cs="Arial"/>
          <w:sz w:val="22"/>
          <w:szCs w:val="22"/>
        </w:rPr>
        <w:lastRenderedPageBreak/>
        <w:t>patients, families, and staff that may be impacted by or have an interest in the Proposed Project.</w:t>
      </w:r>
      <w:r>
        <w:rPr>
          <w:rFonts w:ascii="Arial" w:hAnsi="Arial" w:cs="Arial"/>
          <w:sz w:val="22"/>
          <w:szCs w:val="22"/>
        </w:rPr>
        <w:t xml:space="preserve"> </w:t>
      </w:r>
      <w:r w:rsidR="00EA5B24" w:rsidRPr="00466BC1">
        <w:rPr>
          <w:rFonts w:ascii="Arial" w:hAnsi="Arial" w:cs="Arial"/>
          <w:sz w:val="22"/>
          <w:szCs w:val="22"/>
        </w:rPr>
        <w:t>Specifically, the Applicant’s engagement efforts focused on soliciting feedback on the need for the</w:t>
      </w:r>
      <w:r w:rsidR="00EA5B24" w:rsidRPr="00466BC1">
        <w:rPr>
          <w:rFonts w:ascii="Arial" w:hAnsi="Arial" w:cs="Arial"/>
          <w:color w:val="FF0000"/>
          <w:sz w:val="22"/>
          <w:szCs w:val="22"/>
        </w:rPr>
        <w:t xml:space="preserve"> </w:t>
      </w:r>
      <w:r w:rsidR="00EA5B24" w:rsidRPr="00466BC1">
        <w:rPr>
          <w:rFonts w:ascii="Arial" w:hAnsi="Arial" w:cs="Arial"/>
          <w:sz w:val="22"/>
          <w:szCs w:val="22"/>
        </w:rPr>
        <w:t xml:space="preserve">Proposed Project as well as the design details, layout, and community-related benefits in order to maximize the Hospital’s ability to meet its patient panel demand, provide superior patient satisfaction, promote high-quality outcomes, and support the Greater Boston community </w:t>
      </w:r>
      <w:r w:rsidR="008F6443" w:rsidRPr="00466BC1">
        <w:rPr>
          <w:rFonts w:ascii="Arial" w:hAnsi="Arial" w:cs="Arial"/>
          <w:sz w:val="22"/>
          <w:szCs w:val="22"/>
        </w:rPr>
        <w:t xml:space="preserve">of which </w:t>
      </w:r>
      <w:r w:rsidR="00EA5B24" w:rsidRPr="00466BC1">
        <w:rPr>
          <w:rFonts w:ascii="Arial" w:hAnsi="Arial" w:cs="Arial"/>
          <w:sz w:val="22"/>
          <w:szCs w:val="22"/>
        </w:rPr>
        <w:t>BMC is part. Engagement efforts are described in detail below.</w:t>
      </w:r>
    </w:p>
    <w:p w14:paraId="7DD7B8D3" w14:textId="77777777" w:rsidR="00804FED" w:rsidRPr="00466BC1" w:rsidRDefault="00804FED" w:rsidP="00804FED">
      <w:pPr>
        <w:rPr>
          <w:rFonts w:ascii="Arial" w:hAnsi="Arial" w:cs="Arial"/>
          <w:sz w:val="22"/>
          <w:szCs w:val="22"/>
        </w:rPr>
      </w:pPr>
    </w:p>
    <w:p w14:paraId="57DA78BA" w14:textId="77777777" w:rsidR="00EA5B24" w:rsidRPr="00466BC1" w:rsidRDefault="00EA5B24">
      <w:pPr>
        <w:pStyle w:val="ListParagraph"/>
        <w:numPr>
          <w:ilvl w:val="0"/>
          <w:numId w:val="8"/>
        </w:numPr>
        <w:ind w:left="360"/>
        <w:rPr>
          <w:rFonts w:ascii="Arial" w:hAnsi="Arial" w:cs="Arial"/>
          <w:smallCaps/>
          <w:sz w:val="22"/>
          <w:szCs w:val="22"/>
        </w:rPr>
      </w:pPr>
      <w:r w:rsidRPr="00466BC1">
        <w:rPr>
          <w:rFonts w:ascii="Arial" w:hAnsi="Arial" w:cs="Arial"/>
          <w:smallCaps/>
          <w:sz w:val="22"/>
          <w:szCs w:val="22"/>
          <w:u w:val="single"/>
        </w:rPr>
        <w:t>Engagement of the Hospital’s CAB</w:t>
      </w:r>
    </w:p>
    <w:p w14:paraId="73565DFF" w14:textId="77777777" w:rsidR="00EA5B24" w:rsidRPr="00466BC1" w:rsidRDefault="00EA5B24" w:rsidP="00804FED">
      <w:pPr>
        <w:rPr>
          <w:rFonts w:ascii="Arial" w:hAnsi="Arial" w:cs="Arial"/>
          <w:sz w:val="22"/>
          <w:szCs w:val="22"/>
        </w:rPr>
      </w:pPr>
    </w:p>
    <w:p w14:paraId="5360E517" w14:textId="77777777" w:rsidR="00804FED" w:rsidRPr="00466BC1" w:rsidRDefault="00804FED" w:rsidP="00804FED">
      <w:pPr>
        <w:jc w:val="both"/>
        <w:rPr>
          <w:rFonts w:ascii="Arial" w:hAnsi="Arial" w:cs="Arial"/>
          <w:sz w:val="22"/>
          <w:szCs w:val="22"/>
        </w:rPr>
      </w:pPr>
      <w:r w:rsidRPr="00466BC1">
        <w:rPr>
          <w:rFonts w:ascii="Arial" w:hAnsi="Arial" w:cs="Arial"/>
          <w:sz w:val="22"/>
          <w:szCs w:val="22"/>
        </w:rPr>
        <w:t>The BMC CAB was the first group that the Applicant engaged in th</w:t>
      </w:r>
      <w:r w:rsidR="00466BC1">
        <w:rPr>
          <w:rFonts w:ascii="Arial" w:hAnsi="Arial" w:cs="Arial"/>
          <w:sz w:val="22"/>
          <w:szCs w:val="22"/>
        </w:rPr>
        <w:t>e</w:t>
      </w:r>
      <w:r w:rsidRPr="00466BC1">
        <w:rPr>
          <w:rFonts w:ascii="Arial" w:hAnsi="Arial" w:cs="Arial"/>
          <w:sz w:val="22"/>
          <w:szCs w:val="22"/>
        </w:rPr>
        <w:t xml:space="preserve"> course</w:t>
      </w:r>
      <w:r w:rsidR="00466BC1">
        <w:rPr>
          <w:rFonts w:ascii="Arial" w:hAnsi="Arial" w:cs="Arial"/>
          <w:sz w:val="22"/>
          <w:szCs w:val="22"/>
        </w:rPr>
        <w:t xml:space="preserve"> of its community engagement</w:t>
      </w:r>
      <w:r w:rsidRPr="00466BC1">
        <w:rPr>
          <w:rFonts w:ascii="Arial" w:hAnsi="Arial" w:cs="Arial"/>
          <w:sz w:val="22"/>
          <w:szCs w:val="22"/>
        </w:rPr>
        <w:t xml:space="preserve">. The BMC CAB was established to strategically advise the Hospital on how best to use investments to catalyze change and leverage other city, state, federal and other philanthropic investments. In the context of DoN, the Hospital’s CAB provides oversight and advises on community engagement as well as the </w:t>
      </w:r>
      <w:r w:rsidRPr="0043255C">
        <w:rPr>
          <w:rFonts w:ascii="Arial" w:hAnsi="Arial" w:cs="Arial"/>
          <w:sz w:val="22"/>
          <w:szCs w:val="22"/>
        </w:rPr>
        <w:t xml:space="preserve">Community Health Initiative (“CHI”) processes and priorities. Specifically, the CAB, which is </w:t>
      </w:r>
      <w:r w:rsidRPr="000A586D">
        <w:rPr>
          <w:rFonts w:ascii="Arial" w:hAnsi="Arial" w:cs="Arial"/>
          <w:sz w:val="22"/>
          <w:szCs w:val="22"/>
        </w:rPr>
        <w:t xml:space="preserve">comprised of </w:t>
      </w:r>
      <w:r w:rsidR="00C53BFC" w:rsidRPr="000A586D">
        <w:rPr>
          <w:rFonts w:ascii="Arial" w:hAnsi="Arial" w:cs="Arial"/>
          <w:sz w:val="22"/>
          <w:szCs w:val="22"/>
        </w:rPr>
        <w:t xml:space="preserve">eleven (11) </w:t>
      </w:r>
      <w:r w:rsidRPr="000A586D">
        <w:rPr>
          <w:rFonts w:ascii="Arial" w:hAnsi="Arial" w:cs="Arial"/>
          <w:sz w:val="22"/>
          <w:szCs w:val="22"/>
        </w:rPr>
        <w:t>diverse</w:t>
      </w:r>
      <w:r w:rsidRPr="00466BC1">
        <w:rPr>
          <w:rFonts w:ascii="Arial" w:hAnsi="Arial" w:cs="Arial"/>
          <w:sz w:val="22"/>
          <w:szCs w:val="22"/>
        </w:rPr>
        <w:t xml:space="preserve"> members who meet the required constituencies designated by the Department for a DoN CHI (i.e., represent local public health departments, municipalities, education, housing, social services, regional planning and transportation agencies, the private sector, community health centers, and community-based organizations), is tasked with the following general responsibilities:</w:t>
      </w:r>
    </w:p>
    <w:p w14:paraId="47417B19" w14:textId="77777777" w:rsidR="00804FED" w:rsidRPr="00466BC1" w:rsidRDefault="00804FED">
      <w:pPr>
        <w:pStyle w:val="ListParagraph"/>
        <w:widowControl w:val="0"/>
        <w:numPr>
          <w:ilvl w:val="0"/>
          <w:numId w:val="10"/>
        </w:numPr>
        <w:autoSpaceDE w:val="0"/>
        <w:autoSpaceDN w:val="0"/>
        <w:contextualSpacing w:val="0"/>
        <w:jc w:val="both"/>
        <w:rPr>
          <w:rFonts w:ascii="Arial" w:hAnsi="Arial" w:cs="Arial"/>
          <w:sz w:val="22"/>
          <w:szCs w:val="22"/>
        </w:rPr>
      </w:pPr>
      <w:r w:rsidRPr="00466BC1">
        <w:rPr>
          <w:rFonts w:ascii="Arial" w:hAnsi="Arial" w:cs="Arial"/>
          <w:sz w:val="22"/>
          <w:szCs w:val="22"/>
        </w:rPr>
        <w:t>Ensuring appropriate engagement with residents and community partners from targeted communities around the DoN and the related CHI;</w:t>
      </w:r>
    </w:p>
    <w:p w14:paraId="361C3C75" w14:textId="77777777" w:rsidR="00804FED" w:rsidRPr="00466BC1" w:rsidRDefault="00804FED">
      <w:pPr>
        <w:pStyle w:val="ListParagraph"/>
        <w:widowControl w:val="0"/>
        <w:numPr>
          <w:ilvl w:val="0"/>
          <w:numId w:val="10"/>
        </w:numPr>
        <w:autoSpaceDE w:val="0"/>
        <w:autoSpaceDN w:val="0"/>
        <w:contextualSpacing w:val="0"/>
        <w:jc w:val="both"/>
        <w:rPr>
          <w:rFonts w:ascii="Arial" w:hAnsi="Arial" w:cs="Arial"/>
          <w:sz w:val="22"/>
          <w:szCs w:val="22"/>
        </w:rPr>
      </w:pPr>
      <w:r w:rsidRPr="00466BC1">
        <w:rPr>
          <w:rFonts w:ascii="Arial" w:hAnsi="Arial" w:cs="Arial"/>
          <w:sz w:val="22"/>
          <w:szCs w:val="22"/>
        </w:rPr>
        <w:t>Determining the health priorities and strategies for CHI funding based upon the needs identified in the local CHNA processes, ensuring that all health priorities and strategies are aligned with the Department’s Health Priorities, and reporting selection of health priorities and strategies to DPH;</w:t>
      </w:r>
    </w:p>
    <w:p w14:paraId="74482E31" w14:textId="77777777" w:rsidR="00804FED" w:rsidRPr="00466BC1" w:rsidRDefault="00804FED">
      <w:pPr>
        <w:pStyle w:val="ListParagraph"/>
        <w:widowControl w:val="0"/>
        <w:numPr>
          <w:ilvl w:val="0"/>
          <w:numId w:val="10"/>
        </w:numPr>
        <w:autoSpaceDE w:val="0"/>
        <w:autoSpaceDN w:val="0"/>
        <w:contextualSpacing w:val="0"/>
        <w:jc w:val="both"/>
        <w:rPr>
          <w:rFonts w:ascii="Arial" w:hAnsi="Arial" w:cs="Arial"/>
          <w:sz w:val="22"/>
          <w:szCs w:val="22"/>
        </w:rPr>
      </w:pPr>
      <w:r w:rsidRPr="00466BC1">
        <w:rPr>
          <w:rFonts w:ascii="Arial" w:hAnsi="Arial" w:cs="Arial"/>
          <w:sz w:val="22"/>
          <w:szCs w:val="22"/>
        </w:rPr>
        <w:t>Reviewing and providing input to the Hospital on its overall community health needs agenda; and</w:t>
      </w:r>
    </w:p>
    <w:p w14:paraId="1020F7E7" w14:textId="77777777" w:rsidR="00804FED" w:rsidRPr="00281CF4" w:rsidRDefault="00804FED">
      <w:pPr>
        <w:pStyle w:val="ListParagraph"/>
        <w:widowControl w:val="0"/>
        <w:numPr>
          <w:ilvl w:val="0"/>
          <w:numId w:val="10"/>
        </w:numPr>
        <w:autoSpaceDE w:val="0"/>
        <w:autoSpaceDN w:val="0"/>
        <w:contextualSpacing w:val="0"/>
        <w:jc w:val="both"/>
        <w:rPr>
          <w:rFonts w:ascii="Arial" w:hAnsi="Arial" w:cs="Arial"/>
          <w:sz w:val="22"/>
          <w:szCs w:val="22"/>
        </w:rPr>
      </w:pPr>
      <w:r w:rsidRPr="00466BC1">
        <w:rPr>
          <w:rFonts w:ascii="Arial" w:hAnsi="Arial" w:cs="Arial"/>
          <w:sz w:val="22"/>
          <w:szCs w:val="22"/>
        </w:rPr>
        <w:t xml:space="preserve">Providing oversight of the evaluation of CHI-funded projects and reporting to the Department on the DoN </w:t>
      </w:r>
      <w:r w:rsidRPr="00281CF4">
        <w:rPr>
          <w:rFonts w:ascii="Arial" w:hAnsi="Arial" w:cs="Arial"/>
          <w:sz w:val="22"/>
          <w:szCs w:val="22"/>
        </w:rPr>
        <w:t>CHI.</w:t>
      </w:r>
    </w:p>
    <w:p w14:paraId="5BD3142F" w14:textId="77777777" w:rsidR="00804FED" w:rsidRPr="00281CF4" w:rsidRDefault="00804FED" w:rsidP="00804FED">
      <w:pPr>
        <w:jc w:val="both"/>
        <w:rPr>
          <w:rFonts w:ascii="Arial" w:hAnsi="Arial" w:cs="Arial"/>
          <w:sz w:val="22"/>
          <w:szCs w:val="22"/>
        </w:rPr>
      </w:pPr>
    </w:p>
    <w:p w14:paraId="4BBA42EA" w14:textId="77777777" w:rsidR="00804FED" w:rsidRPr="00AF2D22" w:rsidRDefault="00804FED" w:rsidP="00804FED">
      <w:pPr>
        <w:jc w:val="both"/>
        <w:rPr>
          <w:rFonts w:ascii="Arial" w:hAnsi="Arial" w:cs="Arial"/>
          <w:sz w:val="22"/>
          <w:szCs w:val="22"/>
        </w:rPr>
      </w:pPr>
      <w:r w:rsidRPr="000A586D">
        <w:rPr>
          <w:rFonts w:ascii="Arial" w:hAnsi="Arial" w:cs="Arial"/>
          <w:sz w:val="22"/>
          <w:szCs w:val="22"/>
        </w:rPr>
        <w:t>Based on these responsibilities, leadership determined it was appropriate to engage the CAB with respect to Proposed Project. Accordingly, on</w:t>
      </w:r>
      <w:r w:rsidR="007C5790" w:rsidRPr="000A586D">
        <w:rPr>
          <w:rFonts w:ascii="Arial" w:hAnsi="Arial" w:cs="Arial"/>
          <w:sz w:val="22"/>
          <w:szCs w:val="22"/>
        </w:rPr>
        <w:t xml:space="preserve"> June 12, </w:t>
      </w:r>
      <w:r w:rsidR="000F24EE" w:rsidRPr="000A586D">
        <w:rPr>
          <w:rFonts w:ascii="Arial" w:hAnsi="Arial" w:cs="Arial"/>
          <w:sz w:val="22"/>
          <w:szCs w:val="22"/>
        </w:rPr>
        <w:t>202</w:t>
      </w:r>
      <w:r w:rsidR="00281CF4" w:rsidRPr="000A586D">
        <w:rPr>
          <w:rFonts w:ascii="Arial" w:hAnsi="Arial" w:cs="Arial"/>
          <w:sz w:val="22"/>
          <w:szCs w:val="22"/>
        </w:rPr>
        <w:t>3</w:t>
      </w:r>
      <w:r w:rsidRPr="000A586D">
        <w:rPr>
          <w:rFonts w:ascii="Arial" w:hAnsi="Arial" w:cs="Arial"/>
          <w:sz w:val="22"/>
          <w:szCs w:val="22"/>
        </w:rPr>
        <w:t xml:space="preserve">, </w:t>
      </w:r>
      <w:r w:rsidR="000F24EE" w:rsidRPr="000A586D">
        <w:rPr>
          <w:rFonts w:ascii="Arial" w:hAnsi="Arial" w:cs="Arial"/>
          <w:sz w:val="22"/>
          <w:szCs w:val="22"/>
        </w:rPr>
        <w:t xml:space="preserve">Megan Sandel, </w:t>
      </w:r>
      <w:r w:rsidR="00320ED3" w:rsidRPr="000A586D">
        <w:rPr>
          <w:rFonts w:ascii="Arial" w:hAnsi="Arial" w:cs="Arial"/>
          <w:sz w:val="22"/>
          <w:szCs w:val="22"/>
        </w:rPr>
        <w:t>MD MPH</w:t>
      </w:r>
      <w:r w:rsidR="0098188A" w:rsidRPr="000A586D">
        <w:rPr>
          <w:rFonts w:ascii="Arial" w:hAnsi="Arial" w:cs="Arial"/>
          <w:sz w:val="22"/>
          <w:szCs w:val="22"/>
        </w:rPr>
        <w:t>, Co-Director of BMC’s GROW Clinic and Co-Chair of the Hospital’s DoN CHI CAB</w:t>
      </w:r>
      <w:r w:rsidR="0043255C" w:rsidRPr="000A586D">
        <w:rPr>
          <w:rFonts w:ascii="Arial" w:hAnsi="Arial" w:cs="Arial"/>
          <w:sz w:val="22"/>
          <w:szCs w:val="22"/>
        </w:rPr>
        <w:t xml:space="preserve"> and</w:t>
      </w:r>
      <w:r w:rsidR="0043255C">
        <w:rPr>
          <w:rFonts w:ascii="Arial" w:hAnsi="Arial" w:cs="Arial"/>
          <w:sz w:val="22"/>
          <w:szCs w:val="22"/>
        </w:rPr>
        <w:t xml:space="preserve"> Dr. Thea James, </w:t>
      </w:r>
      <w:r w:rsidR="00D316FD" w:rsidRPr="00D316FD">
        <w:rPr>
          <w:rFonts w:ascii="Arial" w:hAnsi="Arial" w:cs="Arial"/>
          <w:sz w:val="22"/>
          <w:szCs w:val="22"/>
        </w:rPr>
        <w:t>V</w:t>
      </w:r>
      <w:r w:rsidR="00D316FD">
        <w:rPr>
          <w:rFonts w:ascii="Arial" w:hAnsi="Arial" w:cs="Arial"/>
          <w:sz w:val="22"/>
          <w:szCs w:val="22"/>
        </w:rPr>
        <w:t>ice President</w:t>
      </w:r>
      <w:r w:rsidR="00D316FD" w:rsidRPr="00D316FD">
        <w:rPr>
          <w:rFonts w:ascii="Arial" w:hAnsi="Arial" w:cs="Arial"/>
          <w:sz w:val="22"/>
          <w:szCs w:val="22"/>
        </w:rPr>
        <w:t xml:space="preserve"> of Mission, Associate C</w:t>
      </w:r>
      <w:r w:rsidR="00AF2D22">
        <w:rPr>
          <w:rFonts w:ascii="Arial" w:hAnsi="Arial" w:cs="Arial"/>
          <w:sz w:val="22"/>
          <w:szCs w:val="22"/>
        </w:rPr>
        <w:t>hief Medical Officer of</w:t>
      </w:r>
      <w:r w:rsidR="00D316FD" w:rsidRPr="00D316FD">
        <w:rPr>
          <w:rFonts w:ascii="Arial" w:hAnsi="Arial" w:cs="Arial"/>
          <w:sz w:val="22"/>
          <w:szCs w:val="22"/>
        </w:rPr>
        <w:t xml:space="preserve"> BMC, </w:t>
      </w:r>
      <w:r w:rsidR="00AF2D22">
        <w:rPr>
          <w:rFonts w:ascii="Arial" w:hAnsi="Arial" w:cs="Arial"/>
          <w:sz w:val="22"/>
          <w:szCs w:val="22"/>
        </w:rPr>
        <w:t xml:space="preserve">and </w:t>
      </w:r>
      <w:r w:rsidR="00D316FD" w:rsidRPr="00D316FD">
        <w:rPr>
          <w:rFonts w:ascii="Arial" w:hAnsi="Arial" w:cs="Arial"/>
          <w:sz w:val="22"/>
          <w:szCs w:val="22"/>
        </w:rPr>
        <w:t>Associate Professor of Emergency Medicine</w:t>
      </w:r>
      <w:r w:rsidR="000F24EE" w:rsidRPr="00281CF4">
        <w:rPr>
          <w:rFonts w:ascii="Arial" w:hAnsi="Arial" w:cs="Arial"/>
          <w:sz w:val="22"/>
          <w:szCs w:val="22"/>
        </w:rPr>
        <w:t xml:space="preserve">, met with the CAB </w:t>
      </w:r>
      <w:r w:rsidR="0098188A" w:rsidRPr="00281CF4">
        <w:rPr>
          <w:rFonts w:ascii="Arial" w:hAnsi="Arial" w:cs="Arial"/>
          <w:sz w:val="22"/>
          <w:szCs w:val="22"/>
        </w:rPr>
        <w:t xml:space="preserve">members </w:t>
      </w:r>
      <w:r w:rsidR="000F24EE" w:rsidRPr="00281CF4">
        <w:rPr>
          <w:rFonts w:ascii="Arial" w:hAnsi="Arial" w:cs="Arial"/>
          <w:sz w:val="22"/>
          <w:szCs w:val="22"/>
        </w:rPr>
        <w:t xml:space="preserve">to present </w:t>
      </w:r>
      <w:r w:rsidR="009D0B4B" w:rsidRPr="00281CF4">
        <w:rPr>
          <w:rFonts w:ascii="Arial" w:hAnsi="Arial" w:cs="Arial"/>
          <w:sz w:val="22"/>
          <w:szCs w:val="22"/>
        </w:rPr>
        <w:t xml:space="preserve">an overview of the Proposed Project and related CHI processes. </w:t>
      </w:r>
      <w:r w:rsidR="00BA0ECB">
        <w:rPr>
          <w:rFonts w:ascii="Arial" w:hAnsi="Arial" w:cs="Arial"/>
          <w:sz w:val="22"/>
          <w:szCs w:val="22"/>
        </w:rPr>
        <w:t>During this meeting the CAB discussed amalgamating these funds with BMC’s current CHI</w:t>
      </w:r>
      <w:r w:rsidR="00873277">
        <w:rPr>
          <w:rFonts w:ascii="Arial" w:hAnsi="Arial" w:cs="Arial"/>
          <w:sz w:val="22"/>
          <w:szCs w:val="22"/>
        </w:rPr>
        <w:t xml:space="preserve">, how to move forward with the selection of health priorities and strategies, and how to move upstream initiatives forward. </w:t>
      </w:r>
    </w:p>
    <w:p w14:paraId="43A5DDCE" w14:textId="77777777" w:rsidR="00804FED" w:rsidRPr="00485830" w:rsidRDefault="00804FED" w:rsidP="00804FED">
      <w:pPr>
        <w:rPr>
          <w:rFonts w:ascii="Arial" w:hAnsi="Arial" w:cs="Arial"/>
          <w:sz w:val="22"/>
          <w:szCs w:val="22"/>
        </w:rPr>
      </w:pPr>
    </w:p>
    <w:p w14:paraId="4D3AF6A9" w14:textId="77777777" w:rsidR="00EA5B24" w:rsidRPr="00485830" w:rsidRDefault="00EA5B24">
      <w:pPr>
        <w:pStyle w:val="ListParagraph"/>
        <w:numPr>
          <w:ilvl w:val="0"/>
          <w:numId w:val="8"/>
        </w:numPr>
        <w:ind w:left="360"/>
        <w:rPr>
          <w:rFonts w:ascii="Arial" w:hAnsi="Arial" w:cs="Arial"/>
          <w:smallCaps/>
          <w:sz w:val="22"/>
          <w:szCs w:val="22"/>
          <w:u w:val="single"/>
        </w:rPr>
      </w:pPr>
      <w:r w:rsidRPr="00485830">
        <w:rPr>
          <w:rFonts w:ascii="Arial" w:hAnsi="Arial" w:cs="Arial"/>
          <w:smallCaps/>
          <w:sz w:val="22"/>
          <w:szCs w:val="22"/>
          <w:u w:val="single"/>
        </w:rPr>
        <w:t>Community Meetings</w:t>
      </w:r>
    </w:p>
    <w:p w14:paraId="6A158E87" w14:textId="77777777" w:rsidR="00EA5B24" w:rsidRPr="00485830" w:rsidRDefault="00EA5B24" w:rsidP="00EA5B24">
      <w:pPr>
        <w:rPr>
          <w:rFonts w:ascii="Arial" w:hAnsi="Arial" w:cs="Arial"/>
          <w:sz w:val="22"/>
          <w:szCs w:val="22"/>
          <w:u w:val="single"/>
        </w:rPr>
      </w:pPr>
    </w:p>
    <w:p w14:paraId="60F19CB1" w14:textId="12114ED4" w:rsidR="004F2021" w:rsidRPr="004F2021" w:rsidRDefault="00804FED" w:rsidP="00C96090">
      <w:pPr>
        <w:jc w:val="both"/>
        <w:rPr>
          <w:rFonts w:ascii="Arial" w:hAnsi="Arial" w:cs="Arial"/>
          <w:sz w:val="22"/>
          <w:szCs w:val="22"/>
        </w:rPr>
      </w:pPr>
      <w:r w:rsidRPr="00485830">
        <w:rPr>
          <w:rFonts w:ascii="Arial" w:hAnsi="Arial" w:cs="Arial"/>
          <w:sz w:val="22"/>
          <w:szCs w:val="22"/>
        </w:rPr>
        <w:t>T</w:t>
      </w:r>
      <w:r w:rsidR="00EA5B24" w:rsidRPr="00485830">
        <w:rPr>
          <w:rFonts w:ascii="Arial" w:hAnsi="Arial" w:cs="Arial"/>
          <w:sz w:val="22"/>
          <w:szCs w:val="22"/>
        </w:rPr>
        <w:t xml:space="preserve">he Applicant also sought to engage patients, staff, community members, and local neighborhood stakeholders around the Proposed Project. Accordingly, the Applicant hosted two community meetings – one on </w:t>
      </w:r>
      <w:r w:rsidR="00870CA4">
        <w:rPr>
          <w:rFonts w:ascii="Arial" w:hAnsi="Arial" w:cs="Arial"/>
          <w:sz w:val="22"/>
          <w:szCs w:val="22"/>
        </w:rPr>
        <w:t xml:space="preserve">June 26, </w:t>
      </w:r>
      <w:r w:rsidR="00EA5B24" w:rsidRPr="00485830">
        <w:rPr>
          <w:rFonts w:ascii="Arial" w:hAnsi="Arial" w:cs="Arial"/>
          <w:sz w:val="22"/>
          <w:szCs w:val="22"/>
        </w:rPr>
        <w:t>202</w:t>
      </w:r>
      <w:r w:rsidR="00485830" w:rsidRPr="00485830">
        <w:rPr>
          <w:rFonts w:ascii="Arial" w:hAnsi="Arial" w:cs="Arial"/>
          <w:sz w:val="22"/>
          <w:szCs w:val="22"/>
        </w:rPr>
        <w:t>3</w:t>
      </w:r>
      <w:r w:rsidR="00EA5B24" w:rsidRPr="00485830">
        <w:rPr>
          <w:rFonts w:ascii="Arial" w:hAnsi="Arial" w:cs="Arial"/>
          <w:sz w:val="22"/>
          <w:szCs w:val="22"/>
        </w:rPr>
        <w:t xml:space="preserve"> and the other </w:t>
      </w:r>
      <w:r w:rsidR="00870CA4">
        <w:rPr>
          <w:rFonts w:ascii="Arial" w:hAnsi="Arial" w:cs="Arial"/>
          <w:sz w:val="22"/>
          <w:szCs w:val="22"/>
        </w:rPr>
        <w:t>on June 29,</w:t>
      </w:r>
      <w:r w:rsidR="00EA5B24" w:rsidRPr="00485830">
        <w:rPr>
          <w:rFonts w:ascii="Arial" w:hAnsi="Arial" w:cs="Arial"/>
          <w:sz w:val="22"/>
          <w:szCs w:val="22"/>
        </w:rPr>
        <w:t xml:space="preserve"> 202</w:t>
      </w:r>
      <w:r w:rsidR="00485830" w:rsidRPr="00485830">
        <w:rPr>
          <w:rFonts w:ascii="Arial" w:hAnsi="Arial" w:cs="Arial"/>
          <w:sz w:val="22"/>
          <w:szCs w:val="22"/>
        </w:rPr>
        <w:t>3</w:t>
      </w:r>
      <w:r w:rsidR="00EA5B24" w:rsidRPr="00870CA4">
        <w:rPr>
          <w:rFonts w:ascii="Arial" w:hAnsi="Arial" w:cs="Arial"/>
          <w:sz w:val="22"/>
          <w:szCs w:val="22"/>
        </w:rPr>
        <w:t xml:space="preserve">. The meetings were publicized via flyers within BMC’s service area and </w:t>
      </w:r>
      <w:r w:rsidR="009847EF" w:rsidRPr="00870CA4">
        <w:rPr>
          <w:rFonts w:ascii="Arial" w:hAnsi="Arial" w:cs="Arial"/>
          <w:sz w:val="22"/>
          <w:szCs w:val="22"/>
        </w:rPr>
        <w:t xml:space="preserve">sent out </w:t>
      </w:r>
      <w:r w:rsidR="00D164F8">
        <w:rPr>
          <w:rFonts w:ascii="Arial" w:hAnsi="Arial" w:cs="Arial"/>
          <w:sz w:val="22"/>
          <w:szCs w:val="22"/>
        </w:rPr>
        <w:t>via multiple channels</w:t>
      </w:r>
      <w:r w:rsidR="00EA5B24" w:rsidRPr="00870CA4">
        <w:rPr>
          <w:rFonts w:ascii="Arial" w:hAnsi="Arial" w:cs="Arial"/>
          <w:sz w:val="22"/>
          <w:szCs w:val="22"/>
        </w:rPr>
        <w:t>, as well as through outreach to local resident and community members</w:t>
      </w:r>
      <w:r w:rsidR="009A7D0E" w:rsidRPr="00870CA4">
        <w:rPr>
          <w:rFonts w:ascii="Arial" w:hAnsi="Arial" w:cs="Arial"/>
          <w:sz w:val="22"/>
          <w:szCs w:val="22"/>
        </w:rPr>
        <w:t>.</w:t>
      </w:r>
      <w:r w:rsidR="00963E14" w:rsidRPr="00870CA4">
        <w:rPr>
          <w:rStyle w:val="FootnoteReference"/>
          <w:rFonts w:ascii="Arial" w:hAnsi="Arial" w:cs="Arial"/>
          <w:sz w:val="22"/>
          <w:szCs w:val="22"/>
        </w:rPr>
        <w:footnoteReference w:id="75"/>
      </w:r>
      <w:r w:rsidR="00EA5B24" w:rsidRPr="00870CA4">
        <w:rPr>
          <w:rFonts w:ascii="Arial" w:hAnsi="Arial" w:cs="Arial"/>
          <w:sz w:val="22"/>
          <w:szCs w:val="22"/>
        </w:rPr>
        <w:t xml:space="preserve"> Moreover, the meetings were held over Zoom at different times of the day – one in the</w:t>
      </w:r>
      <w:r w:rsidR="00870CA4">
        <w:rPr>
          <w:rFonts w:ascii="Arial" w:hAnsi="Arial" w:cs="Arial"/>
          <w:sz w:val="22"/>
          <w:szCs w:val="22"/>
        </w:rPr>
        <w:t xml:space="preserve"> morning</w:t>
      </w:r>
      <w:r w:rsidR="00EA5B24" w:rsidRPr="00870CA4">
        <w:rPr>
          <w:rFonts w:ascii="Arial" w:hAnsi="Arial" w:cs="Arial"/>
          <w:sz w:val="22"/>
          <w:szCs w:val="22"/>
        </w:rPr>
        <w:t xml:space="preserve"> and one in the evening after normal business hours – to accommodate different schedules and promote increased participation</w:t>
      </w:r>
      <w:r w:rsidR="009A7D0E" w:rsidRPr="00870CA4">
        <w:rPr>
          <w:rFonts w:ascii="Arial" w:hAnsi="Arial" w:cs="Arial"/>
          <w:sz w:val="22"/>
          <w:szCs w:val="22"/>
        </w:rPr>
        <w:t>.</w:t>
      </w:r>
      <w:r w:rsidR="00EA5B24" w:rsidRPr="00870CA4">
        <w:rPr>
          <w:rStyle w:val="FootnoteReference"/>
          <w:rFonts w:ascii="Arial" w:hAnsi="Arial" w:cs="Arial"/>
          <w:sz w:val="22"/>
          <w:szCs w:val="22"/>
        </w:rPr>
        <w:footnoteReference w:id="76"/>
      </w:r>
    </w:p>
    <w:p w14:paraId="301522EB" w14:textId="77777777" w:rsidR="004F2021" w:rsidRDefault="004F2021" w:rsidP="00EA5B24">
      <w:pPr>
        <w:rPr>
          <w:rFonts w:ascii="Arial" w:hAnsi="Arial" w:cs="Arial"/>
          <w:sz w:val="22"/>
          <w:szCs w:val="22"/>
          <w:highlight w:val="cyan"/>
        </w:rPr>
      </w:pPr>
    </w:p>
    <w:p w14:paraId="35E96B70" w14:textId="77777777" w:rsidR="004F2021" w:rsidRPr="00FB6D61" w:rsidRDefault="004F2021" w:rsidP="00EA5B24">
      <w:pPr>
        <w:rPr>
          <w:rFonts w:ascii="Arial" w:hAnsi="Arial" w:cs="Arial"/>
          <w:sz w:val="22"/>
          <w:szCs w:val="22"/>
          <w:highlight w:val="cyan"/>
          <w:u w:val="single"/>
        </w:rPr>
      </w:pPr>
    </w:p>
    <w:p w14:paraId="56CB67E6" w14:textId="77777777" w:rsidR="00EA5B24" w:rsidRPr="00A05A9A" w:rsidRDefault="00EA5B24">
      <w:pPr>
        <w:pStyle w:val="ListParagraph"/>
        <w:numPr>
          <w:ilvl w:val="0"/>
          <w:numId w:val="8"/>
        </w:numPr>
        <w:ind w:left="360"/>
        <w:rPr>
          <w:rFonts w:ascii="Arial" w:hAnsi="Arial" w:cs="Arial"/>
          <w:smallCaps/>
          <w:sz w:val="22"/>
          <w:szCs w:val="22"/>
          <w:u w:val="single"/>
        </w:rPr>
      </w:pPr>
      <w:r w:rsidRPr="00A05A9A">
        <w:rPr>
          <w:rFonts w:ascii="Arial" w:hAnsi="Arial" w:cs="Arial"/>
          <w:smallCaps/>
          <w:sz w:val="22"/>
          <w:szCs w:val="22"/>
          <w:u w:val="single"/>
        </w:rPr>
        <w:t>Engagement of the Hospital’s PFAC</w:t>
      </w:r>
    </w:p>
    <w:p w14:paraId="545DD5F1" w14:textId="77777777" w:rsidR="00EA5B24" w:rsidRPr="00A05A9A" w:rsidRDefault="00EA5B24" w:rsidP="00EA5B24">
      <w:pPr>
        <w:pStyle w:val="ListParagraph"/>
        <w:ind w:left="360"/>
        <w:rPr>
          <w:rFonts w:ascii="Arial" w:hAnsi="Arial" w:cs="Arial"/>
          <w:sz w:val="22"/>
          <w:szCs w:val="22"/>
        </w:rPr>
      </w:pPr>
    </w:p>
    <w:p w14:paraId="2EE57444" w14:textId="298337A0" w:rsidR="00EA5B24" w:rsidRPr="00A05A9A" w:rsidRDefault="00EA5B24" w:rsidP="00EA5B24">
      <w:pPr>
        <w:jc w:val="both"/>
        <w:rPr>
          <w:rFonts w:ascii="Arial" w:hAnsi="Arial" w:cs="Arial"/>
          <w:sz w:val="22"/>
          <w:szCs w:val="22"/>
        </w:rPr>
      </w:pPr>
      <w:r w:rsidRPr="00A05A9A">
        <w:rPr>
          <w:rFonts w:ascii="Arial" w:hAnsi="Arial" w:cs="Arial"/>
          <w:sz w:val="22"/>
          <w:szCs w:val="22"/>
        </w:rPr>
        <w:t xml:space="preserve">Finally, the Applicant engaged the Hospital’s PFAC around the Proposed Project. Sponsored by the Hospital’s Patient Experience Department, BMC’s PFAC aims to improve operations across BMC Health System and achieve its mission for patient-centered and equitable care. In compliance with DPH’s Hospital Licensure Regulations, BMC’s PFAC is co-chaired by a staff member and a patient/family member, and at least 50% of PFAC members are current or former patients and/or family members and are representative of the community served by BMC. Specifically, BMC’s PFAC is </w:t>
      </w:r>
      <w:r w:rsidRPr="00A15AB0">
        <w:rPr>
          <w:rFonts w:ascii="Arial" w:hAnsi="Arial" w:cs="Arial"/>
          <w:sz w:val="22"/>
          <w:szCs w:val="22"/>
        </w:rPr>
        <w:t xml:space="preserve">currently comprised of </w:t>
      </w:r>
      <w:r w:rsidR="006C2C91">
        <w:rPr>
          <w:rFonts w:ascii="Arial" w:hAnsi="Arial" w:cs="Arial"/>
          <w:sz w:val="22"/>
          <w:szCs w:val="22"/>
        </w:rPr>
        <w:t>eleven (11)</w:t>
      </w:r>
      <w:r w:rsidRPr="00A15AB0">
        <w:rPr>
          <w:rFonts w:ascii="Arial" w:hAnsi="Arial" w:cs="Arial"/>
          <w:sz w:val="22"/>
          <w:szCs w:val="22"/>
        </w:rPr>
        <w:t xml:space="preserve"> patient</w:t>
      </w:r>
      <w:r w:rsidRPr="00A05A9A">
        <w:rPr>
          <w:rFonts w:ascii="Arial" w:hAnsi="Arial" w:cs="Arial"/>
          <w:sz w:val="22"/>
          <w:szCs w:val="22"/>
        </w:rPr>
        <w:t xml:space="preserve">/family </w:t>
      </w:r>
      <w:r w:rsidR="006C2C91">
        <w:rPr>
          <w:rFonts w:ascii="Arial" w:hAnsi="Arial" w:cs="Arial"/>
          <w:sz w:val="22"/>
          <w:szCs w:val="22"/>
        </w:rPr>
        <w:t>advisors</w:t>
      </w:r>
      <w:r w:rsidRPr="00A05A9A">
        <w:rPr>
          <w:rFonts w:ascii="Arial" w:hAnsi="Arial" w:cs="Arial"/>
          <w:sz w:val="22"/>
          <w:szCs w:val="22"/>
        </w:rPr>
        <w:t>. Moreover, BMC’s PFAC leaders are committed to continuously recruiting new members with the goal of creating diverse and collaborative partnerships with BMC patients, families, and caregivers that are representative of BMC’s diverse patient population, as well as with staff from different areas across BMC.</w:t>
      </w:r>
    </w:p>
    <w:p w14:paraId="33AA15E4" w14:textId="77777777" w:rsidR="00EA5B24" w:rsidRPr="00A05A9A" w:rsidRDefault="00EA5B24" w:rsidP="00EA5B24">
      <w:pPr>
        <w:jc w:val="both"/>
        <w:rPr>
          <w:rFonts w:ascii="Arial" w:hAnsi="Arial" w:cs="Arial"/>
          <w:sz w:val="22"/>
          <w:szCs w:val="22"/>
        </w:rPr>
      </w:pPr>
    </w:p>
    <w:p w14:paraId="1F16A6B8" w14:textId="77777777" w:rsidR="00EA5B24" w:rsidRPr="00A05A9A" w:rsidRDefault="00EA5B24" w:rsidP="00EA5B24">
      <w:pPr>
        <w:spacing w:after="120"/>
        <w:jc w:val="both"/>
        <w:rPr>
          <w:rFonts w:ascii="Arial" w:hAnsi="Arial" w:cs="Arial"/>
          <w:sz w:val="22"/>
          <w:szCs w:val="22"/>
        </w:rPr>
      </w:pPr>
      <w:r w:rsidRPr="00A05A9A">
        <w:rPr>
          <w:rFonts w:ascii="Arial" w:hAnsi="Arial" w:cs="Arial"/>
          <w:sz w:val="22"/>
          <w:szCs w:val="22"/>
        </w:rPr>
        <w:t xml:space="preserve">In terms of function, BMC’s PFAC is dedicated to creating open and trusting partnerships and empowering its members to help achieve meaningful change and create accountability for BMC Health System. As a strong and transparent group, the PFAC follows and strives to fulfill BMC’s three cornerstone values: </w:t>
      </w:r>
    </w:p>
    <w:p w14:paraId="4306A0FC" w14:textId="77777777" w:rsidR="00EA5B24" w:rsidRPr="00A05A9A" w:rsidRDefault="00EA5B24">
      <w:pPr>
        <w:pStyle w:val="ListParagraph"/>
        <w:widowControl w:val="0"/>
        <w:numPr>
          <w:ilvl w:val="0"/>
          <w:numId w:val="9"/>
        </w:numPr>
        <w:autoSpaceDE w:val="0"/>
        <w:autoSpaceDN w:val="0"/>
        <w:contextualSpacing w:val="0"/>
        <w:jc w:val="both"/>
        <w:rPr>
          <w:rFonts w:ascii="Arial" w:hAnsi="Arial" w:cs="Arial"/>
          <w:sz w:val="22"/>
          <w:szCs w:val="22"/>
        </w:rPr>
      </w:pPr>
      <w:r w:rsidRPr="00A05A9A">
        <w:rPr>
          <w:rFonts w:ascii="Arial" w:hAnsi="Arial" w:cs="Arial"/>
          <w:sz w:val="22"/>
          <w:szCs w:val="22"/>
        </w:rPr>
        <w:t>Build on Respect, Powered by Empathy – BMC’s PFAC cares about the Hospital’s patients, employees, and community, and is committed to doing right by them each and every day.</w:t>
      </w:r>
    </w:p>
    <w:p w14:paraId="705AA99A" w14:textId="77777777" w:rsidR="00EA5B24" w:rsidRPr="00A05A9A" w:rsidRDefault="00EA5B24">
      <w:pPr>
        <w:pStyle w:val="ListParagraph"/>
        <w:widowControl w:val="0"/>
        <w:numPr>
          <w:ilvl w:val="0"/>
          <w:numId w:val="9"/>
        </w:numPr>
        <w:autoSpaceDE w:val="0"/>
        <w:autoSpaceDN w:val="0"/>
        <w:contextualSpacing w:val="0"/>
        <w:jc w:val="both"/>
        <w:rPr>
          <w:rFonts w:ascii="Arial" w:hAnsi="Arial" w:cs="Arial"/>
          <w:sz w:val="22"/>
          <w:szCs w:val="22"/>
        </w:rPr>
      </w:pPr>
      <w:r w:rsidRPr="00A05A9A">
        <w:rPr>
          <w:rFonts w:ascii="Arial" w:hAnsi="Arial" w:cs="Arial"/>
          <w:sz w:val="22"/>
          <w:szCs w:val="22"/>
        </w:rPr>
        <w:t>Move Mountains – Impossibility doesn’t live here. Instead, BMC’s PFAC is motivated by what can be and it will move mountains to make it happen.</w:t>
      </w:r>
    </w:p>
    <w:p w14:paraId="612972C7" w14:textId="77777777" w:rsidR="00EA5B24" w:rsidRPr="00A05A9A" w:rsidRDefault="00EA5B24">
      <w:pPr>
        <w:pStyle w:val="ListParagraph"/>
        <w:widowControl w:val="0"/>
        <w:numPr>
          <w:ilvl w:val="0"/>
          <w:numId w:val="9"/>
        </w:numPr>
        <w:autoSpaceDE w:val="0"/>
        <w:autoSpaceDN w:val="0"/>
        <w:spacing w:after="120"/>
        <w:contextualSpacing w:val="0"/>
        <w:jc w:val="both"/>
        <w:rPr>
          <w:rFonts w:ascii="Arial" w:hAnsi="Arial" w:cs="Arial"/>
          <w:sz w:val="22"/>
          <w:szCs w:val="22"/>
        </w:rPr>
      </w:pPr>
      <w:r w:rsidRPr="00A05A9A">
        <w:rPr>
          <w:rFonts w:ascii="Arial" w:hAnsi="Arial" w:cs="Arial"/>
          <w:sz w:val="22"/>
          <w:szCs w:val="22"/>
        </w:rPr>
        <w:t>Many Faces Create Our Greatness – Diversity is BMC’s heart and soul and when it comes to inclusion, BMC’s PFAC is all in.</w:t>
      </w:r>
    </w:p>
    <w:p w14:paraId="0E25239F" w14:textId="77777777" w:rsidR="00EA5B24" w:rsidRPr="009E7B08" w:rsidRDefault="00EA5B24" w:rsidP="00EA5B24">
      <w:pPr>
        <w:jc w:val="both"/>
        <w:rPr>
          <w:rFonts w:ascii="Arial" w:hAnsi="Arial" w:cs="Arial"/>
          <w:sz w:val="22"/>
          <w:szCs w:val="22"/>
        </w:rPr>
      </w:pPr>
      <w:r w:rsidRPr="00A05A9A">
        <w:rPr>
          <w:rFonts w:ascii="Arial" w:hAnsi="Arial" w:cs="Arial"/>
          <w:sz w:val="22"/>
          <w:szCs w:val="22"/>
        </w:rPr>
        <w:t xml:space="preserve">In furtherance of its values and goals, the PFAC has regular meetings to discuss wide-ranging work across BMC. Input from the PFAC provides Hospital leadership with a better understanding of patient, family and staff experiences, perspectives, and insight, and PFAC recommendations inform decision-making and the development of programs, services, and strategic projects at the </w:t>
      </w:r>
      <w:r w:rsidRPr="009E7B08">
        <w:rPr>
          <w:rFonts w:ascii="Arial" w:hAnsi="Arial" w:cs="Arial"/>
          <w:sz w:val="22"/>
          <w:szCs w:val="22"/>
        </w:rPr>
        <w:t>Hospital.</w:t>
      </w:r>
    </w:p>
    <w:p w14:paraId="41D450BF" w14:textId="77777777" w:rsidR="00EA5B24" w:rsidRPr="009E7B08" w:rsidRDefault="00EA5B24" w:rsidP="00EA5B24">
      <w:pPr>
        <w:jc w:val="both"/>
        <w:rPr>
          <w:rFonts w:ascii="Arial" w:hAnsi="Arial" w:cs="Arial"/>
          <w:sz w:val="22"/>
          <w:szCs w:val="22"/>
        </w:rPr>
      </w:pPr>
    </w:p>
    <w:p w14:paraId="092A7BE4" w14:textId="17B72C95" w:rsidR="00EA5B24" w:rsidRPr="00473ED8" w:rsidRDefault="00EA5B24" w:rsidP="00EA5B24">
      <w:pPr>
        <w:jc w:val="both"/>
        <w:rPr>
          <w:rFonts w:ascii="Arial" w:hAnsi="Arial" w:cs="Arial"/>
          <w:sz w:val="22"/>
          <w:szCs w:val="22"/>
        </w:rPr>
      </w:pPr>
      <w:bookmarkStart w:id="17" w:name="_Hlk95129800"/>
      <w:r w:rsidRPr="009E7B08">
        <w:rPr>
          <w:rFonts w:ascii="Arial" w:hAnsi="Arial" w:cs="Arial"/>
          <w:sz w:val="22"/>
          <w:szCs w:val="22"/>
        </w:rPr>
        <w:t xml:space="preserve">On </w:t>
      </w:r>
      <w:r w:rsidR="00BF4B10" w:rsidRPr="009E7B08">
        <w:rPr>
          <w:rFonts w:ascii="Arial" w:hAnsi="Arial" w:cs="Arial"/>
          <w:sz w:val="22"/>
          <w:szCs w:val="22"/>
        </w:rPr>
        <w:t>June 15</w:t>
      </w:r>
      <w:r w:rsidRPr="009E7B08">
        <w:rPr>
          <w:rFonts w:ascii="Arial" w:hAnsi="Arial" w:cs="Arial"/>
          <w:sz w:val="22"/>
          <w:szCs w:val="22"/>
        </w:rPr>
        <w:t>, 202</w:t>
      </w:r>
      <w:r w:rsidR="00B11BBF" w:rsidRPr="009E7B08">
        <w:rPr>
          <w:rFonts w:ascii="Arial" w:hAnsi="Arial" w:cs="Arial"/>
          <w:sz w:val="22"/>
          <w:szCs w:val="22"/>
        </w:rPr>
        <w:t>3</w:t>
      </w:r>
      <w:r w:rsidRPr="009E7B08">
        <w:rPr>
          <w:rFonts w:ascii="Arial" w:hAnsi="Arial" w:cs="Arial"/>
          <w:sz w:val="22"/>
          <w:szCs w:val="22"/>
        </w:rPr>
        <w:t xml:space="preserve">, </w:t>
      </w:r>
      <w:r w:rsidR="00BF4B10" w:rsidRPr="009E7B08">
        <w:rPr>
          <w:rFonts w:ascii="Arial" w:hAnsi="Arial" w:cs="Arial"/>
          <w:sz w:val="22"/>
          <w:szCs w:val="22"/>
        </w:rPr>
        <w:t xml:space="preserve">Diana Diaz, </w:t>
      </w:r>
      <w:r w:rsidR="009E7B08" w:rsidRPr="009E7B08">
        <w:rPr>
          <w:rFonts w:ascii="Arial" w:hAnsi="Arial" w:cs="Arial"/>
          <w:sz w:val="22"/>
          <w:szCs w:val="22"/>
        </w:rPr>
        <w:t xml:space="preserve">Director of Radiology Operations, </w:t>
      </w:r>
      <w:r w:rsidRPr="009E7B08">
        <w:rPr>
          <w:rFonts w:ascii="Arial" w:hAnsi="Arial" w:cs="Arial"/>
          <w:sz w:val="22"/>
          <w:szCs w:val="22"/>
        </w:rPr>
        <w:t>Brendan Whelan, Senior Director of Design and Construction</w:t>
      </w:r>
      <w:r w:rsidR="009E7B08" w:rsidRPr="009E7B08">
        <w:rPr>
          <w:rFonts w:ascii="Arial" w:hAnsi="Arial" w:cs="Arial"/>
          <w:sz w:val="22"/>
          <w:szCs w:val="22"/>
        </w:rPr>
        <w:t xml:space="preserve">, Drs. Megan Sandel and Thea James, as well as outside legal </w:t>
      </w:r>
      <w:r w:rsidR="009E7B08" w:rsidRPr="00006D63">
        <w:rPr>
          <w:rFonts w:ascii="Arial" w:hAnsi="Arial" w:cs="Arial"/>
          <w:sz w:val="22"/>
          <w:szCs w:val="22"/>
        </w:rPr>
        <w:t>counsel</w:t>
      </w:r>
      <w:r w:rsidRPr="00006D63">
        <w:rPr>
          <w:rFonts w:ascii="Arial" w:hAnsi="Arial" w:cs="Arial"/>
          <w:sz w:val="22"/>
          <w:szCs w:val="22"/>
        </w:rPr>
        <w:t>, met with the PFAC to present an overview of the Proposed Project</w:t>
      </w:r>
      <w:r w:rsidR="009A7D0E" w:rsidRPr="00006D63">
        <w:rPr>
          <w:rFonts w:ascii="Arial" w:hAnsi="Arial" w:cs="Arial"/>
          <w:sz w:val="22"/>
          <w:szCs w:val="22"/>
        </w:rPr>
        <w:t>.</w:t>
      </w:r>
      <w:r w:rsidRPr="00006D63">
        <w:rPr>
          <w:rStyle w:val="FootnoteReference"/>
          <w:rFonts w:ascii="Arial" w:hAnsi="Arial" w:cs="Arial"/>
          <w:sz w:val="22"/>
          <w:szCs w:val="22"/>
        </w:rPr>
        <w:footnoteReference w:id="77"/>
      </w:r>
      <w:r w:rsidRPr="00006D63">
        <w:rPr>
          <w:rFonts w:ascii="Arial" w:hAnsi="Arial" w:cs="Arial"/>
          <w:sz w:val="22"/>
          <w:szCs w:val="22"/>
        </w:rPr>
        <w:t xml:space="preserve"> The presentation included a summary of the DoN process as well as a description of the Proposed Project components, the patient panel need the Proposed Project is designed to address, and the associated public health value and community benefit. In total, </w:t>
      </w:r>
      <w:r w:rsidR="00FA02AC">
        <w:rPr>
          <w:rFonts w:ascii="Arial" w:hAnsi="Arial" w:cs="Arial"/>
          <w:sz w:val="22"/>
          <w:szCs w:val="22"/>
        </w:rPr>
        <w:t>fourteen</w:t>
      </w:r>
      <w:r w:rsidR="00A05A9A" w:rsidRPr="00006D63">
        <w:rPr>
          <w:rFonts w:ascii="Arial" w:hAnsi="Arial" w:cs="Arial"/>
          <w:sz w:val="22"/>
          <w:szCs w:val="22"/>
        </w:rPr>
        <w:t xml:space="preserve"> (</w:t>
      </w:r>
      <w:r w:rsidR="00071FC6">
        <w:rPr>
          <w:rFonts w:ascii="Arial" w:hAnsi="Arial" w:cs="Arial"/>
          <w:sz w:val="22"/>
          <w:szCs w:val="22"/>
        </w:rPr>
        <w:t>1</w:t>
      </w:r>
      <w:r w:rsidR="00FA02AC">
        <w:rPr>
          <w:rFonts w:ascii="Arial" w:hAnsi="Arial" w:cs="Arial"/>
          <w:sz w:val="22"/>
          <w:szCs w:val="22"/>
        </w:rPr>
        <w:t>4</w:t>
      </w:r>
      <w:r w:rsidR="00A05A9A" w:rsidRPr="00006D63">
        <w:rPr>
          <w:rFonts w:ascii="Arial" w:hAnsi="Arial" w:cs="Arial"/>
          <w:sz w:val="22"/>
          <w:szCs w:val="22"/>
        </w:rPr>
        <w:t>)</w:t>
      </w:r>
      <w:r w:rsidRPr="00006D63">
        <w:rPr>
          <w:rFonts w:ascii="Arial" w:hAnsi="Arial" w:cs="Arial"/>
          <w:sz w:val="22"/>
          <w:szCs w:val="22"/>
        </w:rPr>
        <w:t xml:space="preserve"> individuals attended the meeting, including </w:t>
      </w:r>
      <w:r w:rsidR="00352623">
        <w:rPr>
          <w:rFonts w:ascii="Arial" w:hAnsi="Arial" w:cs="Arial"/>
          <w:sz w:val="22"/>
          <w:szCs w:val="22"/>
        </w:rPr>
        <w:t>six</w:t>
      </w:r>
      <w:r w:rsidR="00A05A9A" w:rsidRPr="00006D63">
        <w:rPr>
          <w:rFonts w:ascii="Arial" w:hAnsi="Arial" w:cs="Arial"/>
          <w:sz w:val="22"/>
          <w:szCs w:val="22"/>
        </w:rPr>
        <w:t xml:space="preserve"> (</w:t>
      </w:r>
      <w:r w:rsidR="00F0173C">
        <w:rPr>
          <w:rFonts w:ascii="Arial" w:hAnsi="Arial" w:cs="Arial"/>
          <w:sz w:val="22"/>
          <w:szCs w:val="22"/>
        </w:rPr>
        <w:t>6</w:t>
      </w:r>
      <w:r w:rsidR="00A05A9A" w:rsidRPr="00006D63">
        <w:rPr>
          <w:rFonts w:ascii="Arial" w:hAnsi="Arial" w:cs="Arial"/>
          <w:sz w:val="22"/>
          <w:szCs w:val="22"/>
        </w:rPr>
        <w:t>)</w:t>
      </w:r>
      <w:r w:rsidRPr="00006D63">
        <w:rPr>
          <w:rFonts w:ascii="Arial" w:hAnsi="Arial" w:cs="Arial"/>
          <w:sz w:val="22"/>
          <w:szCs w:val="22"/>
        </w:rPr>
        <w:t xml:space="preserve"> PFAC members </w:t>
      </w:r>
      <w:r w:rsidR="00FA02AC">
        <w:rPr>
          <w:rFonts w:ascii="Arial" w:hAnsi="Arial" w:cs="Arial"/>
          <w:sz w:val="22"/>
          <w:szCs w:val="22"/>
        </w:rPr>
        <w:t>and eight</w:t>
      </w:r>
      <w:r w:rsidR="00D0090C" w:rsidRPr="00006D63">
        <w:rPr>
          <w:rFonts w:ascii="Arial" w:hAnsi="Arial" w:cs="Arial"/>
          <w:sz w:val="22"/>
          <w:szCs w:val="22"/>
        </w:rPr>
        <w:t xml:space="preserve"> (</w:t>
      </w:r>
      <w:r w:rsidR="00FA02AC">
        <w:rPr>
          <w:rFonts w:ascii="Arial" w:hAnsi="Arial" w:cs="Arial"/>
          <w:sz w:val="22"/>
          <w:szCs w:val="22"/>
        </w:rPr>
        <w:t>8</w:t>
      </w:r>
      <w:r w:rsidR="00A05A9A" w:rsidRPr="00006D63">
        <w:rPr>
          <w:rFonts w:ascii="Arial" w:hAnsi="Arial" w:cs="Arial"/>
          <w:sz w:val="22"/>
          <w:szCs w:val="22"/>
        </w:rPr>
        <w:t>)</w:t>
      </w:r>
      <w:r w:rsidRPr="00006D63">
        <w:rPr>
          <w:rFonts w:ascii="Arial" w:hAnsi="Arial" w:cs="Arial"/>
          <w:sz w:val="22"/>
          <w:szCs w:val="22"/>
        </w:rPr>
        <w:t xml:space="preserve"> staff member</w:t>
      </w:r>
      <w:r w:rsidR="003F2AF8">
        <w:rPr>
          <w:rFonts w:ascii="Arial" w:hAnsi="Arial" w:cs="Arial"/>
          <w:sz w:val="22"/>
          <w:szCs w:val="22"/>
        </w:rPr>
        <w:t>s</w:t>
      </w:r>
      <w:r w:rsidR="00D0090C" w:rsidRPr="00006D63">
        <w:rPr>
          <w:rFonts w:ascii="Arial" w:hAnsi="Arial" w:cs="Arial"/>
          <w:sz w:val="22"/>
          <w:szCs w:val="22"/>
        </w:rPr>
        <w:t xml:space="preserve"> (including </w:t>
      </w:r>
      <w:r w:rsidR="00247065" w:rsidRPr="00006D63">
        <w:rPr>
          <w:rFonts w:ascii="Arial" w:hAnsi="Arial" w:cs="Arial"/>
          <w:sz w:val="22"/>
          <w:szCs w:val="22"/>
        </w:rPr>
        <w:t xml:space="preserve">MRI operations, </w:t>
      </w:r>
      <w:r w:rsidR="000A2F2A" w:rsidRPr="00006D63">
        <w:rPr>
          <w:rFonts w:ascii="Arial" w:hAnsi="Arial" w:cs="Arial"/>
          <w:sz w:val="22"/>
          <w:szCs w:val="22"/>
        </w:rPr>
        <w:t>legal</w:t>
      </w:r>
      <w:r w:rsidR="00AC17CF">
        <w:rPr>
          <w:rFonts w:ascii="Arial" w:hAnsi="Arial" w:cs="Arial"/>
          <w:sz w:val="22"/>
          <w:szCs w:val="22"/>
        </w:rPr>
        <w:t>,</w:t>
      </w:r>
      <w:r w:rsidR="000A2F2A" w:rsidRPr="00006D63">
        <w:rPr>
          <w:rFonts w:ascii="Arial" w:hAnsi="Arial" w:cs="Arial"/>
          <w:sz w:val="22"/>
          <w:szCs w:val="22"/>
        </w:rPr>
        <w:t xml:space="preserve"> and facilities staff for learning purposes</w:t>
      </w:r>
      <w:r w:rsidR="000A2F2A" w:rsidRPr="00247065">
        <w:rPr>
          <w:rFonts w:ascii="Arial" w:hAnsi="Arial" w:cs="Arial"/>
          <w:sz w:val="22"/>
          <w:szCs w:val="22"/>
        </w:rPr>
        <w:t>)</w:t>
      </w:r>
      <w:r w:rsidRPr="00A05A9A">
        <w:rPr>
          <w:rFonts w:ascii="Arial" w:hAnsi="Arial" w:cs="Arial"/>
          <w:sz w:val="22"/>
          <w:szCs w:val="22"/>
        </w:rPr>
        <w:t xml:space="preserve">. </w:t>
      </w:r>
      <w:r w:rsidRPr="00730673">
        <w:rPr>
          <w:rFonts w:ascii="Arial" w:hAnsi="Arial" w:cs="Arial"/>
          <w:sz w:val="22"/>
          <w:szCs w:val="22"/>
        </w:rPr>
        <w:t xml:space="preserve">Following the presentation, PFAC members were given the opportunity to comment on the Proposed Project and ask questions of clinical and administrative leaders in attendance. There was a substantial dialogue amongst attendees and PFAC members asked important questions about the Proposed Project. Specifically, there was discussion around the Proposed Project </w:t>
      </w:r>
      <w:r w:rsidR="00795B61" w:rsidRPr="00730673">
        <w:rPr>
          <w:rFonts w:ascii="Arial" w:hAnsi="Arial" w:cs="Arial"/>
          <w:sz w:val="22"/>
          <w:szCs w:val="22"/>
        </w:rPr>
        <w:t xml:space="preserve">modality </w:t>
      </w:r>
      <w:r w:rsidRPr="00730673">
        <w:rPr>
          <w:rFonts w:ascii="Arial" w:hAnsi="Arial" w:cs="Arial"/>
          <w:sz w:val="22"/>
          <w:szCs w:val="22"/>
        </w:rPr>
        <w:t>and how it will meet patient needs. In</w:t>
      </w:r>
      <w:r w:rsidR="00730673">
        <w:rPr>
          <w:rFonts w:ascii="Arial" w:hAnsi="Arial" w:cs="Arial"/>
          <w:sz w:val="22"/>
          <w:szCs w:val="22"/>
        </w:rPr>
        <w:t xml:space="preserve"> </w:t>
      </w:r>
      <w:r w:rsidRPr="00730673">
        <w:rPr>
          <w:rFonts w:ascii="Arial" w:hAnsi="Arial" w:cs="Arial"/>
          <w:sz w:val="22"/>
          <w:szCs w:val="22"/>
        </w:rPr>
        <w:t>support of the Proposed Project, PFAC members asked questions around accessibility,</w:t>
      </w:r>
      <w:r w:rsidR="00D86C54" w:rsidRPr="00730673">
        <w:rPr>
          <w:rFonts w:ascii="Arial" w:hAnsi="Arial" w:cs="Arial"/>
          <w:sz w:val="22"/>
          <w:szCs w:val="22"/>
        </w:rPr>
        <w:t xml:space="preserve"> current wait times, and the need for additional scanning capacity</w:t>
      </w:r>
      <w:r w:rsidRPr="00730673">
        <w:rPr>
          <w:rFonts w:ascii="Arial" w:hAnsi="Arial" w:cs="Arial"/>
          <w:sz w:val="22"/>
          <w:szCs w:val="22"/>
        </w:rPr>
        <w:t xml:space="preserve">. Hospital representatives expressed their belief that the Proposed Project will allow BMC to continue its dedicated approach to careful resource planning and measured campus development to </w:t>
      </w:r>
      <w:r w:rsidRPr="00730673">
        <w:rPr>
          <w:rFonts w:ascii="Arial" w:hAnsi="Arial" w:cs="Arial"/>
          <w:sz w:val="22"/>
          <w:szCs w:val="22"/>
        </w:rPr>
        <w:lastRenderedPageBreak/>
        <w:t>sensitively maintain the integrity of the urban fabric and the surrounding neighborhoods while continuing to meet the growing patient panel need and the Hospital’s mission to offer high quality patient care and sustain ever changing health</w:t>
      </w:r>
      <w:r w:rsidR="00CF77C3" w:rsidRPr="00730673">
        <w:rPr>
          <w:rFonts w:ascii="Arial" w:hAnsi="Arial" w:cs="Arial"/>
          <w:sz w:val="22"/>
          <w:szCs w:val="22"/>
        </w:rPr>
        <w:t xml:space="preserve"> </w:t>
      </w:r>
      <w:r w:rsidRPr="00730673">
        <w:rPr>
          <w:rFonts w:ascii="Arial" w:hAnsi="Arial" w:cs="Arial"/>
          <w:sz w:val="22"/>
          <w:szCs w:val="22"/>
        </w:rPr>
        <w:t xml:space="preserve">care trends. </w:t>
      </w:r>
      <w:bookmarkEnd w:id="17"/>
    </w:p>
    <w:p w14:paraId="3DDF9EC3" w14:textId="77777777" w:rsidR="00EA5B24" w:rsidRPr="00473ED8" w:rsidRDefault="00EA5B24" w:rsidP="00EA5B24">
      <w:pPr>
        <w:rPr>
          <w:rFonts w:ascii="Arial" w:hAnsi="Arial" w:cs="Arial"/>
          <w:sz w:val="22"/>
          <w:szCs w:val="22"/>
        </w:rPr>
      </w:pPr>
    </w:p>
    <w:p w14:paraId="46DA7CE0" w14:textId="77777777" w:rsidR="002F24B7" w:rsidRPr="00473ED8" w:rsidRDefault="002F24B7" w:rsidP="009A7F8F">
      <w:pPr>
        <w:ind w:left="1080" w:hanging="1080"/>
        <w:jc w:val="both"/>
        <w:rPr>
          <w:rFonts w:ascii="Arial" w:hAnsi="Arial" w:cs="Arial"/>
          <w:sz w:val="22"/>
          <w:szCs w:val="22"/>
        </w:rPr>
      </w:pPr>
      <w:r w:rsidRPr="00473ED8">
        <w:rPr>
          <w:rStyle w:val="normaltextrun"/>
          <w:rFonts w:ascii="Arial" w:hAnsi="Arial" w:cs="Arial"/>
          <w:b/>
          <w:bCs/>
          <w:sz w:val="22"/>
          <w:szCs w:val="22"/>
        </w:rPr>
        <w:t>F1.e.ii  </w:t>
      </w:r>
      <w:r w:rsidRPr="00473ED8">
        <w:rPr>
          <w:rStyle w:val="tabchar"/>
          <w:rFonts w:ascii="Arial" w:hAnsi="Arial" w:cs="Arial"/>
          <w:sz w:val="22"/>
          <w:szCs w:val="22"/>
        </w:rPr>
        <w:tab/>
      </w:r>
      <w:r w:rsidRPr="00473ED8">
        <w:rPr>
          <w:rStyle w:val="normaltextrun"/>
          <w:rFonts w:ascii="Arial" w:hAnsi="Arial" w:cs="Arial"/>
          <w:b/>
          <w:bCs/>
          <w:sz w:val="22"/>
          <w:szCs w:val="22"/>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r w:rsidRPr="00473ED8">
        <w:rPr>
          <w:rStyle w:val="eop"/>
          <w:rFonts w:ascii="Arial" w:hAnsi="Arial" w:cs="Arial"/>
          <w:sz w:val="22"/>
          <w:szCs w:val="22"/>
        </w:rPr>
        <w:t> </w:t>
      </w:r>
    </w:p>
    <w:p w14:paraId="46F575A4" w14:textId="77777777" w:rsidR="00B5341C" w:rsidRPr="00473ED8" w:rsidRDefault="00B5341C" w:rsidP="00E24D42">
      <w:pPr>
        <w:pStyle w:val="NormalWeb"/>
        <w:spacing w:before="0" w:beforeAutospacing="0" w:after="0" w:afterAutospacing="0"/>
        <w:jc w:val="both"/>
        <w:rPr>
          <w:rFonts w:ascii="Arial" w:hAnsi="Arial" w:cs="Arial"/>
          <w:sz w:val="22"/>
          <w:szCs w:val="22"/>
          <w:u w:val="single"/>
        </w:rPr>
      </w:pPr>
    </w:p>
    <w:p w14:paraId="51AEED5E" w14:textId="77777777" w:rsidR="00B5341C" w:rsidRPr="00473068" w:rsidRDefault="00B5341C" w:rsidP="00B5341C">
      <w:pPr>
        <w:pStyle w:val="NormalWeb"/>
        <w:spacing w:before="0" w:beforeAutospacing="0" w:after="0" w:afterAutospacing="0"/>
        <w:jc w:val="both"/>
        <w:rPr>
          <w:rFonts w:ascii="Arial" w:hAnsi="Arial" w:cs="Arial"/>
          <w:sz w:val="22"/>
          <w:szCs w:val="22"/>
        </w:rPr>
      </w:pPr>
      <w:r w:rsidRPr="00473ED8">
        <w:rPr>
          <w:rFonts w:ascii="Arial" w:hAnsi="Arial" w:cs="Arial"/>
          <w:sz w:val="22"/>
          <w:szCs w:val="22"/>
        </w:rPr>
        <w:t>To ensure sound community engagement throughout the development of the Proposed Project, the Applicant and BMC took the actions detailed in Factor F1.e.i. For materials related to these activities, please refer to Appendix</w:t>
      </w:r>
      <w:r w:rsidR="007D6B1F" w:rsidRPr="00473ED8">
        <w:rPr>
          <w:rFonts w:ascii="Arial" w:hAnsi="Arial" w:cs="Arial"/>
          <w:sz w:val="22"/>
          <w:szCs w:val="22"/>
        </w:rPr>
        <w:t xml:space="preserve"> </w:t>
      </w:r>
      <w:r w:rsidR="006A4D51" w:rsidRPr="00473ED8">
        <w:rPr>
          <w:rFonts w:ascii="Arial" w:hAnsi="Arial" w:cs="Arial"/>
          <w:sz w:val="22"/>
          <w:szCs w:val="22"/>
        </w:rPr>
        <w:t>3B</w:t>
      </w:r>
      <w:r w:rsidRPr="00473ED8">
        <w:rPr>
          <w:rFonts w:ascii="Arial" w:hAnsi="Arial" w:cs="Arial"/>
          <w:sz w:val="22"/>
          <w:szCs w:val="22"/>
        </w:rPr>
        <w:t xml:space="preserve">, which includes copies of meeting agendas, minutes, presentations, etc. In addition, for transparency and to ensure appropriate awareness within the community regarding the Proposed Project, the Applicant published a legal notice associated with the Proposed Project in the </w:t>
      </w:r>
      <w:r w:rsidRPr="00473ED8">
        <w:rPr>
          <w:rFonts w:ascii="Arial" w:hAnsi="Arial" w:cs="Arial"/>
          <w:i/>
          <w:iCs/>
          <w:sz w:val="22"/>
          <w:szCs w:val="22"/>
        </w:rPr>
        <w:t>Boston Herald</w:t>
      </w:r>
      <w:r w:rsidRPr="00473ED8">
        <w:rPr>
          <w:rFonts w:ascii="Arial" w:hAnsi="Arial" w:cs="Arial"/>
          <w:sz w:val="22"/>
          <w:szCs w:val="22"/>
        </w:rPr>
        <w:t xml:space="preserve"> on Ju</w:t>
      </w:r>
      <w:r w:rsidR="00E10CD4" w:rsidRPr="00473ED8">
        <w:rPr>
          <w:rFonts w:ascii="Arial" w:hAnsi="Arial" w:cs="Arial"/>
          <w:sz w:val="22"/>
          <w:szCs w:val="22"/>
        </w:rPr>
        <w:t>ne</w:t>
      </w:r>
      <w:r w:rsidRPr="00473ED8">
        <w:rPr>
          <w:rFonts w:ascii="Arial" w:hAnsi="Arial" w:cs="Arial"/>
          <w:sz w:val="22"/>
          <w:szCs w:val="22"/>
        </w:rPr>
        <w:t xml:space="preserve"> </w:t>
      </w:r>
      <w:r w:rsidR="00E10CD4" w:rsidRPr="00473ED8">
        <w:rPr>
          <w:rFonts w:ascii="Arial" w:hAnsi="Arial" w:cs="Arial"/>
          <w:sz w:val="22"/>
          <w:szCs w:val="22"/>
        </w:rPr>
        <w:t>26</w:t>
      </w:r>
      <w:r w:rsidRPr="00473ED8">
        <w:rPr>
          <w:rFonts w:ascii="Arial" w:hAnsi="Arial" w:cs="Arial"/>
          <w:sz w:val="22"/>
          <w:szCs w:val="22"/>
        </w:rPr>
        <w:t>, 202</w:t>
      </w:r>
      <w:r w:rsidR="00E10CD4" w:rsidRPr="00473ED8">
        <w:rPr>
          <w:rFonts w:ascii="Arial" w:hAnsi="Arial" w:cs="Arial"/>
          <w:sz w:val="22"/>
          <w:szCs w:val="22"/>
        </w:rPr>
        <w:t>3</w:t>
      </w:r>
      <w:r w:rsidRPr="00473ED8">
        <w:rPr>
          <w:rFonts w:ascii="Arial" w:hAnsi="Arial" w:cs="Arial"/>
          <w:sz w:val="22"/>
          <w:szCs w:val="22"/>
        </w:rPr>
        <w:t xml:space="preserve"> and also posted a copy of such legal notice prominently on the BMC website. Please refer to Appendix </w:t>
      </w:r>
      <w:r w:rsidR="00473ED8" w:rsidRPr="00473ED8">
        <w:rPr>
          <w:rFonts w:ascii="Arial" w:hAnsi="Arial" w:cs="Arial"/>
          <w:sz w:val="22"/>
          <w:szCs w:val="22"/>
        </w:rPr>
        <w:t>9</w:t>
      </w:r>
      <w:r w:rsidRPr="00473ED8">
        <w:rPr>
          <w:rFonts w:ascii="Arial" w:hAnsi="Arial" w:cs="Arial"/>
          <w:sz w:val="22"/>
          <w:szCs w:val="22"/>
        </w:rPr>
        <w:t xml:space="preserve"> for copies of the legal notices.</w:t>
      </w:r>
      <w:r w:rsidRPr="00473068">
        <w:rPr>
          <w:rFonts w:ascii="Arial" w:hAnsi="Arial" w:cs="Arial"/>
          <w:sz w:val="22"/>
          <w:szCs w:val="22"/>
        </w:rPr>
        <w:t xml:space="preserve"> </w:t>
      </w:r>
    </w:p>
    <w:p w14:paraId="3ED5125B" w14:textId="77777777" w:rsidR="009A7F8F" w:rsidRPr="00473068" w:rsidRDefault="009A7F8F" w:rsidP="00E24D42">
      <w:pPr>
        <w:pStyle w:val="NormalWeb"/>
        <w:spacing w:before="0" w:beforeAutospacing="0" w:after="0" w:afterAutospacing="0"/>
        <w:jc w:val="both"/>
        <w:rPr>
          <w:rFonts w:ascii="Arial" w:hAnsi="Arial" w:cs="Arial"/>
          <w:sz w:val="22"/>
          <w:szCs w:val="22"/>
        </w:rPr>
      </w:pPr>
    </w:p>
    <w:p w14:paraId="0F2DF36B" w14:textId="77777777" w:rsidR="009A7F8F" w:rsidRPr="002130ED" w:rsidRDefault="009A7F8F" w:rsidP="009A7F8F">
      <w:pPr>
        <w:pStyle w:val="paragraph"/>
        <w:spacing w:before="0" w:beforeAutospacing="0" w:after="0" w:afterAutospacing="0"/>
        <w:jc w:val="both"/>
        <w:textAlignment w:val="baseline"/>
        <w:rPr>
          <w:rFonts w:ascii="Segoe UI" w:hAnsi="Segoe UI" w:cs="Segoe UI"/>
          <w:sz w:val="18"/>
          <w:szCs w:val="18"/>
        </w:rPr>
      </w:pPr>
      <w:r w:rsidRPr="002130ED">
        <w:rPr>
          <w:rStyle w:val="normaltextrun"/>
          <w:rFonts w:ascii="Arial" w:hAnsi="Arial" w:cs="Arial"/>
          <w:b/>
          <w:bCs/>
          <w:sz w:val="22"/>
          <w:szCs w:val="22"/>
        </w:rPr>
        <w:t>Factor 2: Health Priorities </w:t>
      </w:r>
      <w:r w:rsidRPr="002130ED">
        <w:rPr>
          <w:rStyle w:val="eop"/>
          <w:rFonts w:ascii="Arial" w:hAnsi="Arial" w:cs="Arial"/>
          <w:sz w:val="22"/>
          <w:szCs w:val="22"/>
        </w:rPr>
        <w:t> </w:t>
      </w:r>
    </w:p>
    <w:p w14:paraId="70E018D9" w14:textId="77777777" w:rsidR="009A7F8F" w:rsidRPr="002130ED" w:rsidRDefault="009A7F8F" w:rsidP="009A7F8F">
      <w:pPr>
        <w:pStyle w:val="paragraph"/>
        <w:spacing w:before="0" w:beforeAutospacing="0" w:after="0" w:afterAutospacing="0"/>
        <w:jc w:val="both"/>
        <w:textAlignment w:val="baseline"/>
        <w:rPr>
          <w:rFonts w:ascii="Segoe UI" w:hAnsi="Segoe UI" w:cs="Segoe UI"/>
          <w:sz w:val="18"/>
          <w:szCs w:val="18"/>
        </w:rPr>
      </w:pPr>
      <w:r w:rsidRPr="002130ED">
        <w:rPr>
          <w:rStyle w:val="eop"/>
          <w:rFonts w:ascii="Arial" w:hAnsi="Arial" w:cs="Arial"/>
          <w:sz w:val="22"/>
          <w:szCs w:val="22"/>
        </w:rPr>
        <w:t> </w:t>
      </w:r>
    </w:p>
    <w:p w14:paraId="602639E3" w14:textId="77777777" w:rsidR="009A7F8F" w:rsidRPr="002130ED" w:rsidRDefault="009A7F8F" w:rsidP="009A7F8F">
      <w:pPr>
        <w:pStyle w:val="paragraph"/>
        <w:spacing w:before="0" w:beforeAutospacing="0" w:after="0" w:afterAutospacing="0"/>
        <w:ind w:left="1080" w:hanging="1080"/>
        <w:jc w:val="both"/>
        <w:textAlignment w:val="baseline"/>
        <w:rPr>
          <w:rFonts w:ascii="Segoe UI" w:hAnsi="Segoe UI" w:cs="Segoe UI"/>
          <w:sz w:val="18"/>
          <w:szCs w:val="18"/>
        </w:rPr>
      </w:pPr>
      <w:r w:rsidRPr="002130ED">
        <w:rPr>
          <w:rStyle w:val="normaltextrun"/>
          <w:rFonts w:ascii="Arial" w:hAnsi="Arial" w:cs="Arial"/>
          <w:b/>
          <w:bCs/>
          <w:sz w:val="22"/>
          <w:szCs w:val="22"/>
        </w:rPr>
        <w:t xml:space="preserve">F2.a </w:t>
      </w:r>
      <w:r w:rsidRPr="002130ED">
        <w:rPr>
          <w:rStyle w:val="tabchar"/>
          <w:rFonts w:ascii="Calibri" w:hAnsi="Calibri" w:cs="Calibri"/>
          <w:sz w:val="22"/>
          <w:szCs w:val="22"/>
        </w:rPr>
        <w:tab/>
      </w:r>
      <w:r w:rsidRPr="002130ED">
        <w:rPr>
          <w:rStyle w:val="normaltextrun"/>
          <w:rFonts w:ascii="Arial" w:hAnsi="Arial" w:cs="Arial"/>
          <w:b/>
          <w:bCs/>
          <w:sz w:val="22"/>
          <w:szCs w:val="22"/>
          <w:u w:val="single"/>
        </w:rPr>
        <w:t>Cost Containment</w:t>
      </w:r>
      <w:r w:rsidRPr="002130ED">
        <w:rPr>
          <w:rStyle w:val="normaltextrun"/>
          <w:rFonts w:ascii="Arial" w:hAnsi="Arial" w:cs="Arial"/>
          <w:b/>
          <w:bCs/>
          <w:sz w:val="22"/>
          <w:szCs w:val="22"/>
        </w:rPr>
        <w:t>: </w:t>
      </w:r>
      <w:r w:rsidRPr="002130ED">
        <w:rPr>
          <w:rStyle w:val="eop"/>
          <w:rFonts w:ascii="Arial" w:hAnsi="Arial" w:cs="Arial"/>
          <w:sz w:val="22"/>
          <w:szCs w:val="22"/>
        </w:rPr>
        <w:t> </w:t>
      </w:r>
    </w:p>
    <w:p w14:paraId="35879973" w14:textId="77777777" w:rsidR="009A7F8F" w:rsidRPr="002130ED" w:rsidRDefault="009A7F8F" w:rsidP="009A7F8F">
      <w:pPr>
        <w:pStyle w:val="paragraph"/>
        <w:spacing w:before="0" w:beforeAutospacing="0" w:after="0" w:afterAutospacing="0"/>
        <w:ind w:left="1080"/>
        <w:jc w:val="both"/>
        <w:textAlignment w:val="baseline"/>
        <w:rPr>
          <w:rStyle w:val="eop"/>
          <w:rFonts w:ascii="Arial" w:hAnsi="Arial" w:cs="Arial"/>
          <w:sz w:val="22"/>
          <w:szCs w:val="22"/>
        </w:rPr>
      </w:pPr>
      <w:r w:rsidRPr="002130ED">
        <w:rPr>
          <w:rStyle w:val="normaltextrun"/>
          <w:rFonts w:ascii="Arial" w:hAnsi="Arial" w:cs="Arial"/>
          <w:b/>
          <w:bCs/>
          <w:sz w:val="22"/>
          <w:szCs w:val="22"/>
        </w:rPr>
        <w:t>Using objective data, please describe, for each new or expanded service, how the Proposed Project will meaningfully contribute to the Commonwealth's goals for cost containment. </w:t>
      </w:r>
      <w:r w:rsidRPr="002130ED">
        <w:rPr>
          <w:rStyle w:val="eop"/>
          <w:rFonts w:ascii="Arial" w:hAnsi="Arial" w:cs="Arial"/>
          <w:sz w:val="22"/>
          <w:szCs w:val="22"/>
        </w:rPr>
        <w:t> </w:t>
      </w:r>
    </w:p>
    <w:p w14:paraId="2E169E68" w14:textId="77777777" w:rsidR="00044462" w:rsidRPr="002130ED" w:rsidRDefault="00044462" w:rsidP="009A7F8F">
      <w:pPr>
        <w:pStyle w:val="paragraph"/>
        <w:spacing w:before="0" w:beforeAutospacing="0" w:after="0" w:afterAutospacing="0"/>
        <w:ind w:left="1080"/>
        <w:jc w:val="both"/>
        <w:textAlignment w:val="baseline"/>
        <w:rPr>
          <w:rStyle w:val="eop"/>
          <w:rFonts w:ascii="Arial" w:hAnsi="Arial" w:cs="Arial"/>
          <w:sz w:val="22"/>
          <w:szCs w:val="22"/>
        </w:rPr>
      </w:pPr>
    </w:p>
    <w:p w14:paraId="34C7B627" w14:textId="77777777" w:rsidR="00044462" w:rsidRPr="002130ED" w:rsidRDefault="00044462" w:rsidP="00357F71">
      <w:pPr>
        <w:jc w:val="both"/>
        <w:rPr>
          <w:rFonts w:ascii="Arial" w:eastAsiaTheme="minorHAnsi" w:hAnsi="Arial" w:cs="Arial"/>
          <w:sz w:val="22"/>
          <w:szCs w:val="22"/>
        </w:rPr>
      </w:pPr>
      <w:r w:rsidRPr="002130ED">
        <w:rPr>
          <w:rFonts w:ascii="Arial" w:eastAsiaTheme="minorHAnsi" w:hAnsi="Arial" w:cs="Arial"/>
          <w:sz w:val="22"/>
          <w:szCs w:val="22"/>
        </w:rPr>
        <w:t xml:space="preserve">The Commonwealth’s goals for cost containment are focused on creating high-quality, low-cost care alternatives. To this end, the Health Policy Commission </w:t>
      </w:r>
      <w:r w:rsidR="00D923DA" w:rsidRPr="002130ED">
        <w:rPr>
          <w:rFonts w:ascii="Arial" w:eastAsiaTheme="minorHAnsi" w:hAnsi="Arial" w:cs="Arial"/>
          <w:sz w:val="22"/>
          <w:szCs w:val="22"/>
        </w:rPr>
        <w:t xml:space="preserve">(“HPC”) </w:t>
      </w:r>
      <w:r w:rsidRPr="002130ED">
        <w:rPr>
          <w:rFonts w:ascii="Arial" w:eastAsiaTheme="minorHAnsi" w:hAnsi="Arial" w:cs="Arial"/>
          <w:sz w:val="22"/>
          <w:szCs w:val="22"/>
        </w:rPr>
        <w:t>seeks to control health care spending while improving access and quality of care. The provision of timely care in an appropriate setting has proven to reduce mortality and morbidity for chronic conditions, which translates to better patient clinical outcomes and reduced costs</w:t>
      </w:r>
      <w:r w:rsidR="009A7D0E" w:rsidRPr="002130ED">
        <w:rPr>
          <w:rFonts w:ascii="Arial" w:eastAsiaTheme="minorHAnsi" w:hAnsi="Arial" w:cs="Arial"/>
          <w:sz w:val="22"/>
          <w:szCs w:val="22"/>
        </w:rPr>
        <w:t>.</w:t>
      </w:r>
      <w:r w:rsidRPr="002130ED">
        <w:rPr>
          <w:rFonts w:ascii="Arial" w:eastAsiaTheme="minorHAnsi" w:hAnsi="Arial" w:cs="Arial"/>
          <w:sz w:val="22"/>
          <w:szCs w:val="22"/>
          <w:vertAlign w:val="superscript"/>
        </w:rPr>
        <w:footnoteReference w:id="78"/>
      </w:r>
    </w:p>
    <w:p w14:paraId="6CA3BCBF" w14:textId="77777777" w:rsidR="00044462" w:rsidRPr="002130ED" w:rsidRDefault="00044462" w:rsidP="00357F71">
      <w:pPr>
        <w:jc w:val="both"/>
        <w:rPr>
          <w:rFonts w:ascii="Arial" w:eastAsiaTheme="minorHAnsi" w:hAnsi="Arial" w:cs="Arial"/>
          <w:sz w:val="22"/>
          <w:szCs w:val="22"/>
        </w:rPr>
      </w:pPr>
    </w:p>
    <w:p w14:paraId="608CEFA2" w14:textId="77777777" w:rsidR="00044462" w:rsidRPr="002130ED" w:rsidRDefault="00044462" w:rsidP="00357F71">
      <w:pPr>
        <w:jc w:val="both"/>
        <w:rPr>
          <w:rFonts w:ascii="Arial" w:eastAsiaTheme="minorHAnsi" w:hAnsi="Arial" w:cs="Arial"/>
          <w:sz w:val="22"/>
          <w:szCs w:val="22"/>
        </w:rPr>
      </w:pPr>
      <w:r w:rsidRPr="002130ED">
        <w:rPr>
          <w:rFonts w:ascii="Arial" w:eastAsiaTheme="minorHAnsi" w:hAnsi="Arial" w:cs="Arial"/>
          <w:sz w:val="22"/>
          <w:szCs w:val="22"/>
        </w:rPr>
        <w:t xml:space="preserve">The Proposed Project will meet the noted goals in </w:t>
      </w:r>
      <w:r w:rsidR="00E2420A">
        <w:rPr>
          <w:rFonts w:ascii="Arial" w:eastAsiaTheme="minorHAnsi" w:hAnsi="Arial" w:cs="Arial"/>
          <w:sz w:val="22"/>
          <w:szCs w:val="22"/>
        </w:rPr>
        <w:t xml:space="preserve">the following </w:t>
      </w:r>
      <w:r w:rsidRPr="002130ED">
        <w:rPr>
          <w:rFonts w:ascii="Arial" w:eastAsiaTheme="minorHAnsi" w:hAnsi="Arial" w:cs="Arial"/>
          <w:sz w:val="22"/>
          <w:szCs w:val="22"/>
        </w:rPr>
        <w:t>ways</w:t>
      </w:r>
      <w:r w:rsidR="00E2420A">
        <w:rPr>
          <w:rFonts w:ascii="Arial" w:eastAsiaTheme="minorHAnsi" w:hAnsi="Arial" w:cs="Arial"/>
          <w:sz w:val="22"/>
          <w:szCs w:val="22"/>
        </w:rPr>
        <w:t>:</w:t>
      </w:r>
      <w:r w:rsidRPr="002130ED">
        <w:rPr>
          <w:rFonts w:ascii="Arial" w:eastAsiaTheme="minorHAnsi" w:hAnsi="Arial" w:cs="Arial"/>
          <w:sz w:val="22"/>
          <w:szCs w:val="22"/>
        </w:rPr>
        <w:t xml:space="preserve"> First, </w:t>
      </w:r>
      <w:r w:rsidR="00730673" w:rsidRPr="002130ED">
        <w:rPr>
          <w:rFonts w:ascii="Arial" w:eastAsiaTheme="minorHAnsi" w:hAnsi="Arial" w:cs="Arial"/>
          <w:sz w:val="22"/>
          <w:szCs w:val="22"/>
        </w:rPr>
        <w:t>an increase in MRI scanning capacity</w:t>
      </w:r>
      <w:r w:rsidRPr="002130ED">
        <w:rPr>
          <w:rFonts w:ascii="Arial" w:eastAsiaTheme="minorHAnsi" w:hAnsi="Arial" w:cs="Arial"/>
          <w:sz w:val="22"/>
          <w:szCs w:val="22"/>
        </w:rPr>
        <w:t xml:space="preserve"> will allow for more timely access to care</w:t>
      </w:r>
      <w:r w:rsidR="00D35F14">
        <w:rPr>
          <w:rFonts w:ascii="Arial" w:eastAsiaTheme="minorHAnsi" w:hAnsi="Arial" w:cs="Arial"/>
          <w:sz w:val="22"/>
          <w:szCs w:val="22"/>
        </w:rPr>
        <w:t xml:space="preserve"> and treatment. </w:t>
      </w:r>
      <w:r w:rsidR="00C43CD5">
        <w:rPr>
          <w:rFonts w:ascii="Arial" w:eastAsiaTheme="minorHAnsi" w:hAnsi="Arial" w:cs="Arial"/>
          <w:sz w:val="22"/>
          <w:szCs w:val="22"/>
        </w:rPr>
        <w:t xml:space="preserve">When patients </w:t>
      </w:r>
      <w:r w:rsidR="001F19D4">
        <w:rPr>
          <w:rFonts w:ascii="Arial" w:eastAsiaTheme="minorHAnsi" w:hAnsi="Arial" w:cs="Arial"/>
          <w:sz w:val="22"/>
          <w:szCs w:val="22"/>
        </w:rPr>
        <w:t>have access to services earlier in the disease phase, both health outcomes and overall health care costs are improved</w:t>
      </w:r>
      <w:r w:rsidR="00765A42">
        <w:rPr>
          <w:rFonts w:ascii="Arial" w:eastAsiaTheme="minorHAnsi" w:hAnsi="Arial" w:cs="Arial"/>
          <w:sz w:val="22"/>
          <w:szCs w:val="22"/>
        </w:rPr>
        <w:t xml:space="preserve"> based on </w:t>
      </w:r>
      <w:r w:rsidR="000870E5">
        <w:rPr>
          <w:rFonts w:ascii="Arial" w:eastAsiaTheme="minorHAnsi" w:hAnsi="Arial" w:cs="Arial"/>
          <w:sz w:val="22"/>
          <w:szCs w:val="22"/>
        </w:rPr>
        <w:t xml:space="preserve">staging and the efficacy of treatment. Second, the </w:t>
      </w:r>
      <w:r w:rsidR="003C02EB">
        <w:rPr>
          <w:rFonts w:ascii="Arial" w:eastAsiaTheme="minorHAnsi" w:hAnsi="Arial" w:cs="Arial"/>
          <w:sz w:val="22"/>
          <w:szCs w:val="22"/>
        </w:rPr>
        <w:t>Applicant, after much consideration</w:t>
      </w:r>
      <w:r w:rsidR="00E2420A">
        <w:rPr>
          <w:rFonts w:ascii="Arial" w:eastAsiaTheme="minorHAnsi" w:hAnsi="Arial" w:cs="Arial"/>
          <w:sz w:val="22"/>
          <w:szCs w:val="22"/>
        </w:rPr>
        <w:t>,</w:t>
      </w:r>
      <w:r w:rsidR="003C02EB">
        <w:rPr>
          <w:rFonts w:ascii="Arial" w:eastAsiaTheme="minorHAnsi" w:hAnsi="Arial" w:cs="Arial"/>
          <w:sz w:val="22"/>
          <w:szCs w:val="22"/>
        </w:rPr>
        <w:t xml:space="preserve"> determined that a 1.5T MRI is the better option for the institution – given that a greater number of patients may be scanned on this machine</w:t>
      </w:r>
      <w:r w:rsidR="00611D5F">
        <w:rPr>
          <w:rFonts w:ascii="Arial" w:eastAsiaTheme="minorHAnsi" w:hAnsi="Arial" w:cs="Arial"/>
          <w:sz w:val="22"/>
          <w:szCs w:val="22"/>
        </w:rPr>
        <w:t>, offering more timely access to care for the majority of patients.</w:t>
      </w:r>
      <w:r w:rsidR="00E2420A">
        <w:rPr>
          <w:rFonts w:ascii="Arial" w:eastAsiaTheme="minorHAnsi" w:hAnsi="Arial" w:cs="Arial"/>
          <w:sz w:val="22"/>
          <w:szCs w:val="22"/>
        </w:rPr>
        <w:t xml:space="preserve"> </w:t>
      </w:r>
      <w:r w:rsidRPr="002130ED">
        <w:rPr>
          <w:rFonts w:ascii="Arial" w:eastAsiaTheme="minorHAnsi" w:hAnsi="Arial" w:cs="Arial"/>
          <w:sz w:val="22"/>
          <w:szCs w:val="22"/>
        </w:rPr>
        <w:t xml:space="preserve">For these reasons, the Applicant asserts that the Proposed Project meets Massachusetts’ goals for cost containment. </w:t>
      </w:r>
    </w:p>
    <w:p w14:paraId="19D20A9F" w14:textId="77777777" w:rsidR="009A7F8F" w:rsidRPr="002900F5" w:rsidRDefault="009A7F8F" w:rsidP="009A7F8F">
      <w:pPr>
        <w:pStyle w:val="paragraph"/>
        <w:spacing w:before="0" w:beforeAutospacing="0" w:after="0" w:afterAutospacing="0"/>
        <w:jc w:val="both"/>
        <w:textAlignment w:val="baseline"/>
        <w:rPr>
          <w:rFonts w:ascii="Segoe UI" w:hAnsi="Segoe UI" w:cs="Segoe UI"/>
          <w:sz w:val="18"/>
          <w:szCs w:val="18"/>
        </w:rPr>
      </w:pPr>
    </w:p>
    <w:p w14:paraId="29EE3767" w14:textId="77777777" w:rsidR="009A7F8F" w:rsidRPr="002900F5" w:rsidRDefault="009A7F8F" w:rsidP="009A7F8F">
      <w:pPr>
        <w:pStyle w:val="paragraph"/>
        <w:spacing w:before="0" w:beforeAutospacing="0" w:after="0" w:afterAutospacing="0"/>
        <w:ind w:left="1080" w:hanging="1080"/>
        <w:jc w:val="both"/>
        <w:textAlignment w:val="baseline"/>
        <w:rPr>
          <w:rFonts w:ascii="Segoe UI" w:hAnsi="Segoe UI" w:cs="Segoe UI"/>
          <w:sz w:val="18"/>
          <w:szCs w:val="18"/>
        </w:rPr>
      </w:pPr>
      <w:r w:rsidRPr="002900F5">
        <w:rPr>
          <w:rStyle w:val="normaltextrun"/>
          <w:rFonts w:ascii="Arial" w:hAnsi="Arial" w:cs="Arial"/>
          <w:b/>
          <w:bCs/>
          <w:sz w:val="22"/>
          <w:szCs w:val="22"/>
        </w:rPr>
        <w:t xml:space="preserve">F2.b </w:t>
      </w:r>
      <w:r w:rsidRPr="002900F5">
        <w:rPr>
          <w:rStyle w:val="tabchar"/>
          <w:rFonts w:ascii="Calibri" w:hAnsi="Calibri" w:cs="Calibri"/>
          <w:sz w:val="22"/>
          <w:szCs w:val="22"/>
        </w:rPr>
        <w:tab/>
      </w:r>
      <w:r w:rsidRPr="002900F5">
        <w:rPr>
          <w:rStyle w:val="normaltextrun"/>
          <w:rFonts w:ascii="Arial" w:hAnsi="Arial" w:cs="Arial"/>
          <w:b/>
          <w:bCs/>
          <w:sz w:val="22"/>
          <w:szCs w:val="22"/>
          <w:u w:val="single"/>
        </w:rPr>
        <w:t>Public Health Outcomes</w:t>
      </w:r>
      <w:r w:rsidRPr="002900F5">
        <w:rPr>
          <w:rStyle w:val="normaltextrun"/>
          <w:rFonts w:ascii="Arial" w:hAnsi="Arial" w:cs="Arial"/>
          <w:b/>
          <w:bCs/>
          <w:sz w:val="22"/>
          <w:szCs w:val="22"/>
        </w:rPr>
        <w:t>: </w:t>
      </w:r>
      <w:r w:rsidRPr="002900F5">
        <w:rPr>
          <w:rStyle w:val="eop"/>
          <w:rFonts w:ascii="Arial" w:hAnsi="Arial" w:cs="Arial"/>
          <w:sz w:val="22"/>
          <w:szCs w:val="22"/>
        </w:rPr>
        <w:t> </w:t>
      </w:r>
    </w:p>
    <w:p w14:paraId="32D02264" w14:textId="77777777" w:rsidR="009A7F8F" w:rsidRPr="002900F5" w:rsidRDefault="009A7F8F" w:rsidP="009A7F8F">
      <w:pPr>
        <w:pStyle w:val="paragraph"/>
        <w:spacing w:before="0" w:beforeAutospacing="0" w:after="0" w:afterAutospacing="0"/>
        <w:ind w:left="1080"/>
        <w:jc w:val="both"/>
        <w:textAlignment w:val="baseline"/>
        <w:rPr>
          <w:rFonts w:ascii="Segoe UI" w:hAnsi="Segoe UI" w:cs="Segoe UI"/>
          <w:sz w:val="18"/>
          <w:szCs w:val="18"/>
        </w:rPr>
      </w:pPr>
      <w:r w:rsidRPr="002900F5">
        <w:rPr>
          <w:rStyle w:val="normaltextrun"/>
          <w:rFonts w:ascii="Arial" w:hAnsi="Arial" w:cs="Arial"/>
          <w:b/>
          <w:bCs/>
          <w:sz w:val="22"/>
          <w:szCs w:val="22"/>
        </w:rPr>
        <w:t>Describe, as relevant, for each new or expanded service, how the Proposed Project will improve public health outcomes</w:t>
      </w:r>
      <w:r w:rsidR="00501C6A" w:rsidRPr="002900F5">
        <w:rPr>
          <w:rStyle w:val="normaltextrun"/>
          <w:rFonts w:ascii="Arial" w:hAnsi="Arial" w:cs="Arial"/>
          <w:b/>
          <w:bCs/>
          <w:sz w:val="22"/>
          <w:szCs w:val="22"/>
        </w:rPr>
        <w:t>.</w:t>
      </w:r>
      <w:r w:rsidRPr="002900F5">
        <w:rPr>
          <w:rStyle w:val="normaltextrun"/>
          <w:rFonts w:ascii="Arial" w:hAnsi="Arial" w:cs="Arial"/>
          <w:b/>
          <w:bCs/>
          <w:sz w:val="22"/>
          <w:szCs w:val="22"/>
        </w:rPr>
        <w:t> </w:t>
      </w:r>
      <w:r w:rsidRPr="002900F5">
        <w:rPr>
          <w:rStyle w:val="eop"/>
          <w:rFonts w:ascii="Arial" w:hAnsi="Arial" w:cs="Arial"/>
          <w:sz w:val="22"/>
          <w:szCs w:val="22"/>
        </w:rPr>
        <w:t> </w:t>
      </w:r>
    </w:p>
    <w:p w14:paraId="75C4241A" w14:textId="77777777" w:rsidR="009A7F8F" w:rsidRPr="002900F5" w:rsidRDefault="009A7F8F" w:rsidP="009A7F8F">
      <w:pPr>
        <w:pStyle w:val="paragraph"/>
        <w:spacing w:before="0" w:beforeAutospacing="0" w:after="0" w:afterAutospacing="0"/>
        <w:jc w:val="both"/>
        <w:textAlignment w:val="baseline"/>
        <w:rPr>
          <w:rStyle w:val="eop"/>
          <w:rFonts w:ascii="Arial" w:hAnsi="Arial" w:cs="Arial"/>
          <w:sz w:val="22"/>
          <w:szCs w:val="22"/>
        </w:rPr>
      </w:pPr>
    </w:p>
    <w:p w14:paraId="113A8551" w14:textId="7A95B70C" w:rsidR="009F13C7" w:rsidRDefault="00D276EC" w:rsidP="009A7F8F">
      <w:pPr>
        <w:pStyle w:val="paragraph"/>
        <w:spacing w:before="0" w:beforeAutospacing="0" w:after="0" w:afterAutospacing="0"/>
        <w:jc w:val="both"/>
        <w:textAlignment w:val="baseline"/>
        <w:rPr>
          <w:rFonts w:ascii="Arial" w:hAnsi="Arial" w:cs="Arial"/>
          <w:sz w:val="22"/>
          <w:szCs w:val="22"/>
        </w:rPr>
      </w:pPr>
      <w:r w:rsidRPr="002900F5">
        <w:rPr>
          <w:rStyle w:val="eop"/>
          <w:rFonts w:ascii="Arial" w:hAnsi="Arial" w:cs="Arial"/>
          <w:sz w:val="22"/>
          <w:szCs w:val="22"/>
        </w:rPr>
        <w:t xml:space="preserve">As more fully detailed throughout </w:t>
      </w:r>
      <w:r w:rsidRPr="002130ED">
        <w:rPr>
          <w:rStyle w:val="eop"/>
          <w:rFonts w:ascii="Arial" w:hAnsi="Arial" w:cs="Arial"/>
          <w:sz w:val="22"/>
          <w:szCs w:val="22"/>
        </w:rPr>
        <w:t>Factor 1, the Proposed Project will improve public health outcomes by</w:t>
      </w:r>
      <w:r w:rsidRPr="002130ED">
        <w:rPr>
          <w:rFonts w:ascii="Arial" w:hAnsi="Arial" w:cs="Arial"/>
          <w:sz w:val="22"/>
          <w:szCs w:val="22"/>
        </w:rPr>
        <w:t xml:space="preserve"> improving access to </w:t>
      </w:r>
      <w:r w:rsidR="002900F5" w:rsidRPr="002130ED">
        <w:rPr>
          <w:rFonts w:ascii="Arial" w:hAnsi="Arial" w:cs="Arial"/>
          <w:sz w:val="22"/>
          <w:szCs w:val="22"/>
        </w:rPr>
        <w:t>MRI</w:t>
      </w:r>
      <w:r w:rsidRPr="002130ED">
        <w:rPr>
          <w:rFonts w:ascii="Arial" w:hAnsi="Arial" w:cs="Arial"/>
          <w:sz w:val="22"/>
          <w:szCs w:val="22"/>
        </w:rPr>
        <w:t xml:space="preserve"> services at BMC. Specifically, the Applicant anticipates </w:t>
      </w:r>
      <w:r w:rsidRPr="002130ED">
        <w:rPr>
          <w:rFonts w:ascii="Arial" w:hAnsi="Arial" w:cs="Arial"/>
          <w:sz w:val="22"/>
          <w:szCs w:val="22"/>
        </w:rPr>
        <w:lastRenderedPageBreak/>
        <w:t xml:space="preserve">that additional </w:t>
      </w:r>
      <w:r w:rsidR="002130ED" w:rsidRPr="002130ED">
        <w:rPr>
          <w:rFonts w:ascii="Arial" w:hAnsi="Arial" w:cs="Arial"/>
          <w:sz w:val="22"/>
          <w:szCs w:val="22"/>
        </w:rPr>
        <w:t xml:space="preserve">scanning </w:t>
      </w:r>
      <w:r w:rsidRPr="002130ED">
        <w:rPr>
          <w:rFonts w:ascii="Arial" w:hAnsi="Arial" w:cs="Arial"/>
          <w:sz w:val="22"/>
          <w:szCs w:val="22"/>
        </w:rPr>
        <w:t>capacity will improve acces</w:t>
      </w:r>
      <w:r w:rsidR="00467F08">
        <w:rPr>
          <w:rFonts w:ascii="Arial" w:hAnsi="Arial" w:cs="Arial"/>
          <w:sz w:val="22"/>
          <w:szCs w:val="22"/>
        </w:rPr>
        <w:t>s to</w:t>
      </w:r>
      <w:r w:rsidR="00C24B55">
        <w:rPr>
          <w:rFonts w:ascii="Arial" w:hAnsi="Arial" w:cs="Arial"/>
          <w:sz w:val="22"/>
          <w:szCs w:val="22"/>
        </w:rPr>
        <w:t xml:space="preserve"> timely</w:t>
      </w:r>
      <w:r w:rsidR="00467F08">
        <w:rPr>
          <w:rFonts w:ascii="Arial" w:hAnsi="Arial" w:cs="Arial"/>
          <w:sz w:val="22"/>
          <w:szCs w:val="22"/>
        </w:rPr>
        <w:t xml:space="preserve"> </w:t>
      </w:r>
      <w:r w:rsidR="00C24B55">
        <w:rPr>
          <w:rFonts w:ascii="Arial" w:hAnsi="Arial" w:cs="Arial"/>
          <w:sz w:val="22"/>
          <w:szCs w:val="22"/>
        </w:rPr>
        <w:t>services</w:t>
      </w:r>
      <w:r w:rsidR="00467F08">
        <w:rPr>
          <w:rFonts w:ascii="Arial" w:hAnsi="Arial" w:cs="Arial"/>
          <w:sz w:val="22"/>
          <w:szCs w:val="22"/>
        </w:rPr>
        <w:t xml:space="preserve">, the overall “no show rate,” as well as patient experience. When patients have </w:t>
      </w:r>
      <w:r w:rsidR="009F13C7">
        <w:rPr>
          <w:rFonts w:ascii="Arial" w:hAnsi="Arial" w:cs="Arial"/>
          <w:sz w:val="22"/>
          <w:szCs w:val="22"/>
        </w:rPr>
        <w:t xml:space="preserve">reduced </w:t>
      </w:r>
      <w:r w:rsidR="00467F08">
        <w:rPr>
          <w:rFonts w:ascii="Arial" w:hAnsi="Arial" w:cs="Arial"/>
          <w:sz w:val="22"/>
          <w:szCs w:val="22"/>
        </w:rPr>
        <w:t>wait times</w:t>
      </w:r>
      <w:r w:rsidR="009F13C7">
        <w:rPr>
          <w:rFonts w:ascii="Arial" w:hAnsi="Arial" w:cs="Arial"/>
          <w:sz w:val="22"/>
          <w:szCs w:val="22"/>
        </w:rPr>
        <w:t xml:space="preserve"> for services, </w:t>
      </w:r>
      <w:r w:rsidR="003E4FF1">
        <w:rPr>
          <w:rFonts w:ascii="Arial" w:hAnsi="Arial" w:cs="Arial"/>
          <w:sz w:val="22"/>
          <w:szCs w:val="22"/>
        </w:rPr>
        <w:t xml:space="preserve">they seek care sooner and are more apt to attend appointments. Expedited imaging can </w:t>
      </w:r>
      <w:r w:rsidR="00C24B55">
        <w:rPr>
          <w:rFonts w:ascii="Arial" w:hAnsi="Arial" w:cs="Arial"/>
          <w:sz w:val="22"/>
          <w:szCs w:val="22"/>
        </w:rPr>
        <w:t xml:space="preserve">ensure appropriate </w:t>
      </w:r>
      <w:r w:rsidR="003E4FF1">
        <w:rPr>
          <w:rFonts w:ascii="Arial" w:hAnsi="Arial" w:cs="Arial"/>
          <w:sz w:val="22"/>
          <w:szCs w:val="22"/>
        </w:rPr>
        <w:t xml:space="preserve"> staging of a disease, ensure more timely therapies are administere</w:t>
      </w:r>
      <w:r w:rsidR="00C24B55">
        <w:rPr>
          <w:rFonts w:ascii="Arial" w:hAnsi="Arial" w:cs="Arial"/>
          <w:sz w:val="22"/>
          <w:szCs w:val="22"/>
        </w:rPr>
        <w:t>d,</w:t>
      </w:r>
      <w:r w:rsidR="003E4FF1">
        <w:rPr>
          <w:rFonts w:ascii="Arial" w:hAnsi="Arial" w:cs="Arial"/>
          <w:sz w:val="22"/>
          <w:szCs w:val="22"/>
        </w:rPr>
        <w:t xml:space="preserve"> and </w:t>
      </w:r>
      <w:r w:rsidR="00C24B55">
        <w:rPr>
          <w:rFonts w:ascii="Arial" w:hAnsi="Arial" w:cs="Arial"/>
          <w:sz w:val="22"/>
          <w:szCs w:val="22"/>
        </w:rPr>
        <w:t>lead to</w:t>
      </w:r>
      <w:r w:rsidR="003E4FF1">
        <w:rPr>
          <w:rFonts w:ascii="Arial" w:hAnsi="Arial" w:cs="Arial"/>
          <w:sz w:val="22"/>
          <w:szCs w:val="22"/>
        </w:rPr>
        <w:t xml:space="preserve"> less stress for a patient. Accordingly, </w:t>
      </w:r>
      <w:r w:rsidR="00943ED8">
        <w:rPr>
          <w:rFonts w:ascii="Arial" w:hAnsi="Arial" w:cs="Arial"/>
          <w:sz w:val="22"/>
          <w:szCs w:val="22"/>
        </w:rPr>
        <w:t>through the Proposed Project</w:t>
      </w:r>
      <w:r w:rsidR="00A12480">
        <w:rPr>
          <w:rFonts w:ascii="Arial" w:hAnsi="Arial" w:cs="Arial"/>
          <w:sz w:val="22"/>
          <w:szCs w:val="22"/>
        </w:rPr>
        <w:t>,</w:t>
      </w:r>
      <w:r w:rsidR="00943ED8">
        <w:rPr>
          <w:rFonts w:ascii="Arial" w:hAnsi="Arial" w:cs="Arial"/>
          <w:sz w:val="22"/>
          <w:szCs w:val="22"/>
        </w:rPr>
        <w:t xml:space="preserve"> public health outcomes will be improved. </w:t>
      </w:r>
    </w:p>
    <w:p w14:paraId="0D1933AB" w14:textId="77777777" w:rsidR="00D276EC" w:rsidRPr="00FB6D61" w:rsidRDefault="00D276EC" w:rsidP="009A7F8F">
      <w:pPr>
        <w:pStyle w:val="paragraph"/>
        <w:spacing w:before="0" w:beforeAutospacing="0" w:after="0" w:afterAutospacing="0"/>
        <w:jc w:val="both"/>
        <w:textAlignment w:val="baseline"/>
        <w:rPr>
          <w:rFonts w:ascii="Segoe UI" w:hAnsi="Segoe UI" w:cs="Segoe UI"/>
          <w:sz w:val="18"/>
          <w:szCs w:val="18"/>
          <w:highlight w:val="cyan"/>
        </w:rPr>
      </w:pPr>
    </w:p>
    <w:p w14:paraId="1ADFF1CA" w14:textId="77777777" w:rsidR="009A7F8F" w:rsidRPr="002130ED" w:rsidRDefault="009A7F8F" w:rsidP="009A7F8F">
      <w:pPr>
        <w:pStyle w:val="paragraph"/>
        <w:spacing w:before="0" w:beforeAutospacing="0" w:after="0" w:afterAutospacing="0"/>
        <w:ind w:left="1080" w:hanging="1080"/>
        <w:jc w:val="both"/>
        <w:textAlignment w:val="baseline"/>
        <w:rPr>
          <w:rFonts w:ascii="Segoe UI" w:hAnsi="Segoe UI" w:cs="Segoe UI"/>
          <w:sz w:val="18"/>
          <w:szCs w:val="18"/>
        </w:rPr>
      </w:pPr>
      <w:r w:rsidRPr="002130ED">
        <w:rPr>
          <w:rStyle w:val="normaltextrun"/>
          <w:rFonts w:ascii="Arial" w:hAnsi="Arial" w:cs="Arial"/>
          <w:b/>
          <w:bCs/>
          <w:sz w:val="22"/>
          <w:szCs w:val="22"/>
        </w:rPr>
        <w:t xml:space="preserve">F2.c </w:t>
      </w:r>
      <w:r w:rsidRPr="002130ED">
        <w:rPr>
          <w:rStyle w:val="tabchar"/>
          <w:rFonts w:ascii="Calibri" w:hAnsi="Calibri" w:cs="Calibri"/>
          <w:sz w:val="22"/>
          <w:szCs w:val="22"/>
        </w:rPr>
        <w:tab/>
      </w:r>
      <w:r w:rsidRPr="002130ED">
        <w:rPr>
          <w:rStyle w:val="normaltextrun"/>
          <w:rFonts w:ascii="Arial" w:hAnsi="Arial" w:cs="Arial"/>
          <w:b/>
          <w:bCs/>
          <w:sz w:val="22"/>
          <w:szCs w:val="22"/>
          <w:u w:val="single"/>
        </w:rPr>
        <w:t>Delivery System Transformation</w:t>
      </w:r>
      <w:r w:rsidRPr="002130ED">
        <w:rPr>
          <w:rStyle w:val="normaltextrun"/>
          <w:rFonts w:ascii="Arial" w:hAnsi="Arial" w:cs="Arial"/>
          <w:b/>
          <w:bCs/>
          <w:sz w:val="22"/>
          <w:szCs w:val="22"/>
        </w:rPr>
        <w:t>: </w:t>
      </w:r>
      <w:r w:rsidRPr="002130ED">
        <w:rPr>
          <w:rStyle w:val="eop"/>
          <w:rFonts w:ascii="Arial" w:hAnsi="Arial" w:cs="Arial"/>
          <w:sz w:val="22"/>
          <w:szCs w:val="22"/>
        </w:rPr>
        <w:t> </w:t>
      </w:r>
    </w:p>
    <w:p w14:paraId="1C4B993B" w14:textId="77777777" w:rsidR="009A7F8F" w:rsidRPr="002130ED" w:rsidRDefault="009A7F8F" w:rsidP="009A7F8F">
      <w:pPr>
        <w:pStyle w:val="paragraph"/>
        <w:spacing w:before="0" w:beforeAutospacing="0" w:after="0" w:afterAutospacing="0"/>
        <w:ind w:left="1080"/>
        <w:jc w:val="both"/>
        <w:textAlignment w:val="baseline"/>
        <w:rPr>
          <w:rFonts w:ascii="Segoe UI" w:hAnsi="Segoe UI" w:cs="Segoe UI"/>
          <w:sz w:val="18"/>
          <w:szCs w:val="18"/>
        </w:rPr>
      </w:pPr>
      <w:r w:rsidRPr="002130ED">
        <w:rPr>
          <w:rStyle w:val="normaltextrun"/>
          <w:rFonts w:ascii="Arial" w:hAnsi="Arial" w:cs="Arial"/>
          <w:b/>
          <w:bCs/>
          <w:sz w:val="22"/>
          <w:szCs w:val="2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r w:rsidRPr="002130ED">
        <w:rPr>
          <w:rStyle w:val="eop"/>
          <w:rFonts w:ascii="Arial" w:hAnsi="Arial" w:cs="Arial"/>
          <w:sz w:val="22"/>
          <w:szCs w:val="22"/>
        </w:rPr>
        <w:t> </w:t>
      </w:r>
    </w:p>
    <w:p w14:paraId="1B42292A" w14:textId="77777777" w:rsidR="009A7F8F" w:rsidRPr="002130ED" w:rsidRDefault="009A7F8F" w:rsidP="009A7F8F">
      <w:pPr>
        <w:pStyle w:val="paragraph"/>
        <w:spacing w:before="0" w:beforeAutospacing="0" w:after="0" w:afterAutospacing="0"/>
        <w:jc w:val="both"/>
        <w:textAlignment w:val="baseline"/>
        <w:rPr>
          <w:rStyle w:val="eop"/>
          <w:rFonts w:ascii="Arial" w:hAnsi="Arial" w:cs="Arial"/>
          <w:sz w:val="22"/>
          <w:szCs w:val="22"/>
        </w:rPr>
      </w:pPr>
    </w:p>
    <w:p w14:paraId="5431FF58" w14:textId="6F8AB5D4" w:rsidR="002A44B1" w:rsidRPr="002130ED" w:rsidRDefault="00AE44A4" w:rsidP="00426732">
      <w:pPr>
        <w:pStyle w:val="paragraph"/>
        <w:spacing w:before="0" w:beforeAutospacing="0" w:after="0" w:afterAutospacing="0"/>
        <w:jc w:val="both"/>
        <w:textAlignment w:val="baseline"/>
        <w:rPr>
          <w:rStyle w:val="eop"/>
          <w:rFonts w:ascii="Arial" w:hAnsi="Arial" w:cs="Arial"/>
          <w:sz w:val="22"/>
          <w:szCs w:val="22"/>
        </w:rPr>
      </w:pPr>
      <w:r w:rsidRPr="002130ED">
        <w:rPr>
          <w:rStyle w:val="eop"/>
          <w:rFonts w:ascii="Arial" w:hAnsi="Arial" w:cs="Arial"/>
          <w:sz w:val="22"/>
          <w:szCs w:val="22"/>
        </w:rPr>
        <w:t>BMC</w:t>
      </w:r>
      <w:r w:rsidR="002A44B1" w:rsidRPr="002130ED">
        <w:rPr>
          <w:rStyle w:val="eop"/>
          <w:rFonts w:ascii="Arial" w:hAnsi="Arial" w:cs="Arial"/>
          <w:sz w:val="22"/>
          <w:szCs w:val="22"/>
        </w:rPr>
        <w:t>’s goal is not only to treat disease, but also to understand and address its root causes. Research has shown that health is shaped by more than just quality health care</w:t>
      </w:r>
      <w:r w:rsidR="00A07CA0" w:rsidRPr="002130ED">
        <w:rPr>
          <w:rStyle w:val="eop"/>
          <w:rFonts w:ascii="Arial" w:hAnsi="Arial" w:cs="Arial"/>
          <w:sz w:val="22"/>
          <w:szCs w:val="22"/>
        </w:rPr>
        <w:t>; s</w:t>
      </w:r>
      <w:r w:rsidR="002A44B1" w:rsidRPr="002130ED">
        <w:rPr>
          <w:rStyle w:val="eop"/>
          <w:rFonts w:ascii="Arial" w:hAnsi="Arial" w:cs="Arial"/>
          <w:sz w:val="22"/>
          <w:szCs w:val="22"/>
        </w:rPr>
        <w:t xml:space="preserve">ocial and environmental factors known collectively as SDoH </w:t>
      </w:r>
      <w:r w:rsidR="008C46BB" w:rsidRPr="002130ED">
        <w:rPr>
          <w:rStyle w:val="eop"/>
          <w:rFonts w:ascii="Arial" w:hAnsi="Arial" w:cs="Arial"/>
          <w:sz w:val="22"/>
          <w:szCs w:val="22"/>
        </w:rPr>
        <w:t xml:space="preserve">(e.g., lack of employment, income, stable housing or food, limited education, etc.) </w:t>
      </w:r>
      <w:r w:rsidR="00A07CA0" w:rsidRPr="002130ED">
        <w:rPr>
          <w:rStyle w:val="eop"/>
          <w:rFonts w:ascii="Arial" w:hAnsi="Arial" w:cs="Arial"/>
          <w:sz w:val="22"/>
          <w:szCs w:val="22"/>
        </w:rPr>
        <w:t xml:space="preserve">also have an </w:t>
      </w:r>
      <w:r w:rsidR="002A44B1" w:rsidRPr="002130ED">
        <w:rPr>
          <w:rStyle w:val="eop"/>
          <w:rFonts w:ascii="Arial" w:hAnsi="Arial" w:cs="Arial"/>
          <w:sz w:val="22"/>
          <w:szCs w:val="22"/>
        </w:rPr>
        <w:t>imp</w:t>
      </w:r>
      <w:r w:rsidR="00A07CA0" w:rsidRPr="002130ED">
        <w:rPr>
          <w:rStyle w:val="eop"/>
          <w:rFonts w:ascii="Arial" w:hAnsi="Arial" w:cs="Arial"/>
          <w:sz w:val="22"/>
          <w:szCs w:val="22"/>
        </w:rPr>
        <w:t>act, contributing to chronic disease and mental health issues and creating barriers to accessing health care. In recognition of this</w:t>
      </w:r>
      <w:r w:rsidR="002A44B1" w:rsidRPr="002130ED">
        <w:rPr>
          <w:rStyle w:val="eop"/>
          <w:rFonts w:ascii="Arial" w:hAnsi="Arial" w:cs="Arial"/>
          <w:sz w:val="22"/>
          <w:szCs w:val="22"/>
        </w:rPr>
        <w:t>,</w:t>
      </w:r>
      <w:r w:rsidRPr="002130ED">
        <w:rPr>
          <w:rStyle w:val="eop"/>
          <w:rFonts w:ascii="Arial" w:hAnsi="Arial" w:cs="Arial"/>
          <w:sz w:val="22"/>
          <w:szCs w:val="22"/>
        </w:rPr>
        <w:t xml:space="preserve"> </w:t>
      </w:r>
      <w:r w:rsidR="00A07CA0" w:rsidRPr="002130ED">
        <w:rPr>
          <w:rStyle w:val="eop"/>
          <w:rFonts w:ascii="Arial" w:hAnsi="Arial" w:cs="Arial"/>
          <w:sz w:val="22"/>
          <w:szCs w:val="22"/>
        </w:rPr>
        <w:t xml:space="preserve">BMC </w:t>
      </w:r>
      <w:r w:rsidRPr="002130ED">
        <w:rPr>
          <w:rStyle w:val="eop"/>
          <w:rFonts w:ascii="Arial" w:hAnsi="Arial" w:cs="Arial"/>
          <w:sz w:val="22"/>
          <w:szCs w:val="22"/>
        </w:rPr>
        <w:t xml:space="preserve">has numerous </w:t>
      </w:r>
      <w:r w:rsidR="00F84152" w:rsidRPr="002130ED">
        <w:rPr>
          <w:rStyle w:val="eop"/>
          <w:rFonts w:ascii="Arial" w:hAnsi="Arial" w:cs="Arial"/>
          <w:sz w:val="22"/>
          <w:szCs w:val="22"/>
        </w:rPr>
        <w:t xml:space="preserve">processes and </w:t>
      </w:r>
      <w:r w:rsidRPr="002130ED">
        <w:rPr>
          <w:rStyle w:val="eop"/>
          <w:rFonts w:ascii="Arial" w:hAnsi="Arial" w:cs="Arial"/>
          <w:sz w:val="22"/>
          <w:szCs w:val="22"/>
        </w:rPr>
        <w:t xml:space="preserve">programs in place to ensure linkages to </w:t>
      </w:r>
      <w:r w:rsidR="009D56FE" w:rsidRPr="002130ED">
        <w:rPr>
          <w:rStyle w:val="eop"/>
          <w:rFonts w:ascii="Arial" w:hAnsi="Arial" w:cs="Arial"/>
          <w:sz w:val="22"/>
          <w:szCs w:val="22"/>
        </w:rPr>
        <w:t>services beyond the traditional medical model to remediate gaps created by SDoH</w:t>
      </w:r>
      <w:r w:rsidR="00A07CA0" w:rsidRPr="002130ED">
        <w:rPr>
          <w:rStyle w:val="eop"/>
          <w:rFonts w:ascii="Arial" w:hAnsi="Arial" w:cs="Arial"/>
          <w:sz w:val="22"/>
          <w:szCs w:val="22"/>
        </w:rPr>
        <w:t xml:space="preserve">, </w:t>
      </w:r>
      <w:r w:rsidR="009D56FE" w:rsidRPr="002130ED">
        <w:rPr>
          <w:rStyle w:val="eop"/>
          <w:rFonts w:ascii="Arial" w:hAnsi="Arial" w:cs="Arial"/>
          <w:sz w:val="22"/>
          <w:szCs w:val="22"/>
        </w:rPr>
        <w:t xml:space="preserve">meet the unmet basic needs of the many diverse, vulnerable </w:t>
      </w:r>
      <w:r w:rsidR="00A07CA0" w:rsidRPr="002130ED">
        <w:rPr>
          <w:rStyle w:val="eop"/>
          <w:rFonts w:ascii="Arial" w:hAnsi="Arial" w:cs="Arial"/>
          <w:sz w:val="22"/>
          <w:szCs w:val="22"/>
        </w:rPr>
        <w:t xml:space="preserve">individuals </w:t>
      </w:r>
      <w:r w:rsidR="00256CB0" w:rsidRPr="002130ED">
        <w:rPr>
          <w:rStyle w:val="eop"/>
          <w:rFonts w:ascii="Arial" w:hAnsi="Arial" w:cs="Arial"/>
          <w:sz w:val="22"/>
          <w:szCs w:val="22"/>
        </w:rPr>
        <w:t>it services</w:t>
      </w:r>
      <w:r w:rsidR="00A07CA0" w:rsidRPr="002130ED">
        <w:rPr>
          <w:rStyle w:val="eop"/>
          <w:rFonts w:ascii="Arial" w:hAnsi="Arial" w:cs="Arial"/>
          <w:sz w:val="22"/>
          <w:szCs w:val="22"/>
        </w:rPr>
        <w:t>, and improve health outcomes for its patients</w:t>
      </w:r>
      <w:r w:rsidRPr="002130ED">
        <w:rPr>
          <w:rStyle w:val="eop"/>
          <w:rFonts w:ascii="Arial" w:hAnsi="Arial" w:cs="Arial"/>
          <w:sz w:val="22"/>
          <w:szCs w:val="22"/>
        </w:rPr>
        <w:t xml:space="preserve">. </w:t>
      </w:r>
    </w:p>
    <w:p w14:paraId="1D1DB551" w14:textId="77777777" w:rsidR="002A44B1" w:rsidRPr="002130ED" w:rsidRDefault="002A44B1" w:rsidP="00426732">
      <w:pPr>
        <w:pStyle w:val="paragraph"/>
        <w:spacing w:before="0" w:beforeAutospacing="0" w:after="0" w:afterAutospacing="0"/>
        <w:jc w:val="both"/>
        <w:textAlignment w:val="baseline"/>
        <w:rPr>
          <w:rStyle w:val="eop"/>
          <w:rFonts w:ascii="Arial" w:hAnsi="Arial" w:cs="Arial"/>
          <w:sz w:val="22"/>
          <w:szCs w:val="22"/>
        </w:rPr>
      </w:pPr>
    </w:p>
    <w:p w14:paraId="17C1943C" w14:textId="77777777" w:rsidR="005D667F" w:rsidRPr="002130ED" w:rsidRDefault="00D742DF" w:rsidP="00426732">
      <w:pPr>
        <w:pStyle w:val="paragraph"/>
        <w:spacing w:before="0" w:beforeAutospacing="0" w:after="0" w:afterAutospacing="0"/>
        <w:jc w:val="both"/>
        <w:textAlignment w:val="baseline"/>
        <w:rPr>
          <w:rStyle w:val="eop"/>
          <w:rFonts w:ascii="Arial" w:hAnsi="Arial" w:cs="Arial"/>
          <w:sz w:val="22"/>
          <w:szCs w:val="22"/>
        </w:rPr>
      </w:pPr>
      <w:r w:rsidRPr="002130ED">
        <w:rPr>
          <w:rStyle w:val="eop"/>
          <w:rFonts w:ascii="Arial" w:hAnsi="Arial" w:cs="Arial"/>
          <w:sz w:val="22"/>
          <w:szCs w:val="22"/>
        </w:rPr>
        <w:t>As discussed in Factor 1.c, BMC has</w:t>
      </w:r>
      <w:r w:rsidR="004A0CF7" w:rsidRPr="002130ED">
        <w:rPr>
          <w:rStyle w:val="eop"/>
          <w:rFonts w:ascii="Arial" w:hAnsi="Arial" w:cs="Arial"/>
          <w:sz w:val="22"/>
          <w:szCs w:val="22"/>
        </w:rPr>
        <w:t xml:space="preserve"> integrated</w:t>
      </w:r>
      <w:r w:rsidRPr="002130ED">
        <w:rPr>
          <w:rStyle w:val="eop"/>
          <w:rFonts w:ascii="Arial" w:hAnsi="Arial" w:cs="Arial"/>
          <w:sz w:val="22"/>
          <w:szCs w:val="22"/>
        </w:rPr>
        <w:t xml:space="preserve"> robust SDoH programming into its clinical models</w:t>
      </w:r>
      <w:r w:rsidR="004A0CF7" w:rsidRPr="002130ED">
        <w:rPr>
          <w:rStyle w:val="eop"/>
          <w:rFonts w:ascii="Arial" w:hAnsi="Arial" w:cs="Arial"/>
          <w:sz w:val="22"/>
          <w:szCs w:val="22"/>
        </w:rPr>
        <w:t xml:space="preserve">. Efforts around SDoH screening at the Hospital are aimed at understanding the social needs impacting patients’ health, improving patient care by communicating social needs to care teams, </w:t>
      </w:r>
      <w:r w:rsidR="008C46BB" w:rsidRPr="002130ED">
        <w:rPr>
          <w:rStyle w:val="eop"/>
          <w:rFonts w:ascii="Arial" w:hAnsi="Arial" w:cs="Arial"/>
          <w:sz w:val="22"/>
          <w:szCs w:val="22"/>
        </w:rPr>
        <w:t xml:space="preserve">partnering with community-based organizations to eliminate systemic barriers that prevent patients from thriving, and </w:t>
      </w:r>
      <w:r w:rsidR="004A0CF7" w:rsidRPr="002130ED">
        <w:rPr>
          <w:rStyle w:val="eop"/>
          <w:rFonts w:ascii="Arial" w:hAnsi="Arial" w:cs="Arial"/>
          <w:sz w:val="22"/>
          <w:szCs w:val="22"/>
        </w:rPr>
        <w:t xml:space="preserve">providing patients with information on </w:t>
      </w:r>
      <w:r w:rsidR="005D667F" w:rsidRPr="002130ED">
        <w:rPr>
          <w:rStyle w:val="eop"/>
          <w:rFonts w:ascii="Arial" w:hAnsi="Arial" w:cs="Arial"/>
          <w:sz w:val="22"/>
          <w:szCs w:val="22"/>
        </w:rPr>
        <w:t xml:space="preserve">hospital-based and </w:t>
      </w:r>
      <w:r w:rsidR="004A0CF7" w:rsidRPr="002130ED">
        <w:rPr>
          <w:rStyle w:val="eop"/>
          <w:rFonts w:ascii="Arial" w:hAnsi="Arial" w:cs="Arial"/>
          <w:sz w:val="22"/>
          <w:szCs w:val="22"/>
        </w:rPr>
        <w:t>community resources that can mitigate their social needs.</w:t>
      </w:r>
      <w:r w:rsidR="008C46BB" w:rsidRPr="002130ED">
        <w:rPr>
          <w:rStyle w:val="eop"/>
          <w:rFonts w:ascii="Arial" w:hAnsi="Arial" w:cs="Arial"/>
          <w:sz w:val="22"/>
          <w:szCs w:val="22"/>
        </w:rPr>
        <w:t xml:space="preserve"> Examples of hospital-based and community p</w:t>
      </w:r>
      <w:r w:rsidR="002A44B1" w:rsidRPr="002130ED">
        <w:rPr>
          <w:rStyle w:val="eop"/>
          <w:rFonts w:ascii="Arial" w:hAnsi="Arial" w:cs="Arial"/>
          <w:sz w:val="22"/>
          <w:szCs w:val="22"/>
        </w:rPr>
        <w:t>rograms and resources</w:t>
      </w:r>
      <w:r w:rsidR="008C46BB" w:rsidRPr="002130ED">
        <w:rPr>
          <w:rStyle w:val="eop"/>
          <w:rFonts w:ascii="Arial" w:hAnsi="Arial" w:cs="Arial"/>
          <w:sz w:val="22"/>
          <w:szCs w:val="22"/>
        </w:rPr>
        <w:t xml:space="preserve"> that BMC connects its patients and families to</w:t>
      </w:r>
      <w:r w:rsidR="00633DAD" w:rsidRPr="002130ED">
        <w:rPr>
          <w:rStyle w:val="eop"/>
          <w:rFonts w:ascii="Arial" w:hAnsi="Arial" w:cs="Arial"/>
          <w:sz w:val="22"/>
          <w:szCs w:val="22"/>
        </w:rPr>
        <w:t xml:space="preserve"> include investments in housing, food-related programs, programs related to education, job training, and employment, programs and services that support financial wellness (e.g., programs that help people apply for health coverage, access no- or low-cost medications, obtain food and groceries, pay their utility bills, file tax returns and secure refunds, </w:t>
      </w:r>
      <w:r w:rsidR="003E37C6" w:rsidRPr="002130ED">
        <w:rPr>
          <w:rStyle w:val="eop"/>
          <w:rFonts w:ascii="Arial" w:hAnsi="Arial" w:cs="Arial"/>
          <w:sz w:val="22"/>
          <w:szCs w:val="22"/>
        </w:rPr>
        <w:t>etc.</w:t>
      </w:r>
      <w:r w:rsidR="00633DAD" w:rsidRPr="002130ED">
        <w:rPr>
          <w:rStyle w:val="eop"/>
          <w:rFonts w:ascii="Arial" w:hAnsi="Arial" w:cs="Arial"/>
          <w:sz w:val="22"/>
          <w:szCs w:val="22"/>
        </w:rPr>
        <w:t>)</w:t>
      </w:r>
      <w:r w:rsidR="003E37C6" w:rsidRPr="002130ED">
        <w:rPr>
          <w:rStyle w:val="eop"/>
          <w:rFonts w:ascii="Arial" w:hAnsi="Arial" w:cs="Arial"/>
          <w:sz w:val="22"/>
          <w:szCs w:val="22"/>
        </w:rPr>
        <w:t xml:space="preserve">, programs related to violence and building safer communities, and more. </w:t>
      </w:r>
    </w:p>
    <w:p w14:paraId="786070EC" w14:textId="77777777" w:rsidR="00AE44A4" w:rsidRPr="000D38EF" w:rsidRDefault="00AE44A4" w:rsidP="009A7F8F">
      <w:pPr>
        <w:pStyle w:val="paragraph"/>
        <w:spacing w:before="0" w:beforeAutospacing="0" w:after="0" w:afterAutospacing="0"/>
        <w:jc w:val="both"/>
        <w:textAlignment w:val="baseline"/>
        <w:rPr>
          <w:rFonts w:ascii="Arial" w:hAnsi="Arial" w:cs="Arial"/>
          <w:sz w:val="18"/>
          <w:szCs w:val="18"/>
        </w:rPr>
      </w:pPr>
    </w:p>
    <w:p w14:paraId="26D9179B" w14:textId="77777777" w:rsidR="009A7F8F" w:rsidRPr="000D38EF" w:rsidRDefault="009A7F8F" w:rsidP="009A7F8F">
      <w:pPr>
        <w:pStyle w:val="paragraph"/>
        <w:spacing w:before="0" w:beforeAutospacing="0" w:after="0" w:afterAutospacing="0"/>
        <w:jc w:val="both"/>
        <w:textAlignment w:val="baseline"/>
        <w:rPr>
          <w:rFonts w:ascii="Segoe UI" w:hAnsi="Segoe UI" w:cs="Segoe UI"/>
          <w:sz w:val="18"/>
          <w:szCs w:val="18"/>
        </w:rPr>
      </w:pPr>
      <w:r w:rsidRPr="000D38EF">
        <w:rPr>
          <w:rStyle w:val="normaltextrun"/>
          <w:rFonts w:ascii="Arial" w:hAnsi="Arial" w:cs="Arial"/>
          <w:b/>
          <w:bCs/>
          <w:sz w:val="22"/>
          <w:szCs w:val="22"/>
        </w:rPr>
        <w:t>Factor 5: Relative Merit </w:t>
      </w:r>
      <w:r w:rsidRPr="000D38EF">
        <w:rPr>
          <w:rStyle w:val="eop"/>
          <w:rFonts w:ascii="Arial" w:hAnsi="Arial" w:cs="Arial"/>
          <w:sz w:val="22"/>
          <w:szCs w:val="22"/>
        </w:rPr>
        <w:t> </w:t>
      </w:r>
    </w:p>
    <w:p w14:paraId="716B512C" w14:textId="77777777" w:rsidR="003D03A9" w:rsidRPr="000D38EF" w:rsidRDefault="003D03A9" w:rsidP="003D03A9">
      <w:pPr>
        <w:jc w:val="both"/>
        <w:textAlignment w:val="baseline"/>
        <w:rPr>
          <w:rFonts w:ascii="Segoe UI" w:hAnsi="Segoe UI" w:cs="Segoe UI"/>
          <w:sz w:val="18"/>
          <w:szCs w:val="18"/>
        </w:rPr>
      </w:pPr>
      <w:r w:rsidRPr="000D38EF">
        <w:rPr>
          <w:rFonts w:ascii="Arial" w:hAnsi="Arial" w:cs="Arial"/>
          <w:sz w:val="22"/>
          <w:szCs w:val="22"/>
        </w:rPr>
        <w:t> </w:t>
      </w:r>
    </w:p>
    <w:p w14:paraId="3D160A35" w14:textId="77777777" w:rsidR="003D03A9" w:rsidRPr="000D38EF" w:rsidRDefault="003D03A9" w:rsidP="003D03A9">
      <w:pPr>
        <w:ind w:left="1080" w:hanging="1080"/>
        <w:jc w:val="both"/>
        <w:textAlignment w:val="baseline"/>
        <w:rPr>
          <w:rFonts w:ascii="Segoe UI" w:hAnsi="Segoe UI" w:cs="Segoe UI"/>
          <w:sz w:val="18"/>
          <w:szCs w:val="18"/>
        </w:rPr>
      </w:pPr>
      <w:r w:rsidRPr="000D38EF">
        <w:rPr>
          <w:rFonts w:ascii="Arial" w:hAnsi="Arial" w:cs="Arial"/>
          <w:b/>
          <w:bCs/>
          <w:sz w:val="22"/>
          <w:szCs w:val="22"/>
        </w:rPr>
        <w:t xml:space="preserve">F5.a.i </w:t>
      </w:r>
      <w:r w:rsidRPr="000D38EF">
        <w:rPr>
          <w:rFonts w:ascii="Calibri" w:hAnsi="Calibri" w:cs="Calibri"/>
          <w:sz w:val="22"/>
          <w:szCs w:val="22"/>
        </w:rPr>
        <w:tab/>
      </w:r>
      <w:r w:rsidRPr="000D38EF">
        <w:rPr>
          <w:rFonts w:ascii="Arial" w:hAnsi="Arial" w:cs="Arial"/>
          <w:b/>
          <w:bCs/>
          <w:sz w:val="22"/>
          <w:szCs w:val="22"/>
        </w:rPr>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Pr="000D38EF">
        <w:rPr>
          <w:rFonts w:ascii="Arial" w:hAnsi="Arial" w:cs="Arial"/>
          <w:sz w:val="22"/>
          <w:szCs w:val="22"/>
        </w:rPr>
        <w:t> </w:t>
      </w:r>
    </w:p>
    <w:p w14:paraId="11926B99" w14:textId="77777777" w:rsidR="003D03A9" w:rsidRPr="000D38EF" w:rsidRDefault="003D03A9" w:rsidP="003D03A9">
      <w:pPr>
        <w:jc w:val="both"/>
        <w:textAlignment w:val="baseline"/>
        <w:rPr>
          <w:rFonts w:ascii="Segoe UI" w:hAnsi="Segoe UI" w:cs="Segoe UI"/>
          <w:sz w:val="18"/>
          <w:szCs w:val="18"/>
        </w:rPr>
      </w:pPr>
      <w:r w:rsidRPr="000D38EF">
        <w:rPr>
          <w:rFonts w:ascii="Arial" w:hAnsi="Arial" w:cs="Arial"/>
          <w:sz w:val="22"/>
          <w:szCs w:val="22"/>
        </w:rPr>
        <w:t> </w:t>
      </w:r>
    </w:p>
    <w:p w14:paraId="393685FA" w14:textId="77777777" w:rsidR="003D03A9" w:rsidRPr="00317FA3" w:rsidRDefault="003D03A9" w:rsidP="003D03A9">
      <w:pPr>
        <w:jc w:val="both"/>
        <w:textAlignment w:val="baseline"/>
        <w:rPr>
          <w:rFonts w:ascii="Arial" w:hAnsi="Arial" w:cs="Arial"/>
          <w:sz w:val="22"/>
          <w:szCs w:val="22"/>
        </w:rPr>
      </w:pPr>
      <w:r w:rsidRPr="00266BFE">
        <w:rPr>
          <w:rFonts w:ascii="Arial" w:hAnsi="Arial" w:cs="Arial"/>
          <w:b/>
          <w:bCs/>
          <w:sz w:val="22"/>
          <w:szCs w:val="22"/>
        </w:rPr>
        <w:t>Proposal:</w:t>
      </w:r>
      <w:r w:rsidRPr="00266BFE">
        <w:rPr>
          <w:rFonts w:ascii="Arial" w:hAnsi="Arial" w:cs="Arial"/>
          <w:sz w:val="22"/>
          <w:szCs w:val="22"/>
        </w:rPr>
        <w:t> The Proposed Project involves the</w:t>
      </w:r>
      <w:r w:rsidR="00266BFE" w:rsidRPr="00266BFE">
        <w:rPr>
          <w:rFonts w:ascii="Arial" w:hAnsi="Arial" w:cs="Arial"/>
          <w:sz w:val="22"/>
          <w:szCs w:val="22"/>
        </w:rPr>
        <w:t xml:space="preserve"> addition of one (1) </w:t>
      </w:r>
      <w:r w:rsidR="002130ED">
        <w:rPr>
          <w:rFonts w:ascii="Arial" w:hAnsi="Arial" w:cs="Arial"/>
          <w:sz w:val="22"/>
          <w:szCs w:val="22"/>
        </w:rPr>
        <w:t>1.5</w:t>
      </w:r>
      <w:r w:rsidR="00266BFE" w:rsidRPr="00266BFE">
        <w:rPr>
          <w:rFonts w:ascii="Arial" w:hAnsi="Arial" w:cs="Arial"/>
          <w:sz w:val="22"/>
          <w:szCs w:val="22"/>
        </w:rPr>
        <w:t>T MRI unit</w:t>
      </w:r>
      <w:r w:rsidR="00266BFE">
        <w:rPr>
          <w:rFonts w:ascii="Arial" w:hAnsi="Arial" w:cs="Arial"/>
          <w:sz w:val="22"/>
          <w:szCs w:val="22"/>
        </w:rPr>
        <w:t xml:space="preserve"> at BMC’s main hospital campus. </w:t>
      </w:r>
      <w:r w:rsidR="00266BFE" w:rsidRPr="006B5133">
        <w:rPr>
          <w:rFonts w:ascii="Arial" w:hAnsi="Arial" w:cs="Arial"/>
          <w:sz w:val="22"/>
          <w:szCs w:val="22"/>
        </w:rPr>
        <w:t>BMC is</w:t>
      </w:r>
      <w:r w:rsidR="00266BFE">
        <w:rPr>
          <w:rFonts w:ascii="Arial" w:hAnsi="Arial" w:cs="Arial"/>
          <w:sz w:val="22"/>
          <w:szCs w:val="22"/>
        </w:rPr>
        <w:t xml:space="preserve"> </w:t>
      </w:r>
      <w:r w:rsidR="00266BFE" w:rsidRPr="00317FA3">
        <w:rPr>
          <w:rFonts w:ascii="Arial" w:hAnsi="Arial" w:cs="Arial"/>
          <w:sz w:val="22"/>
          <w:szCs w:val="22"/>
        </w:rPr>
        <w:t xml:space="preserve">currently licensed to operate three (3) MRI units – </w:t>
      </w:r>
      <w:r w:rsidR="00266BFE" w:rsidRPr="00317FA3">
        <w:rPr>
          <w:rFonts w:ascii="Arial" w:hAnsi="Arial" w:cs="Arial"/>
          <w:color w:val="000000" w:themeColor="text1"/>
          <w:sz w:val="22"/>
          <w:szCs w:val="22"/>
        </w:rPr>
        <w:t>one (1) 1.5T MRI unit and two (2) 3T MRI units. All three (3) units are located on BMC’s main campus. Accordingly, following implementation of the Proposed Project, BMC will operate four (4) MRI units at its main campus.</w:t>
      </w:r>
    </w:p>
    <w:p w14:paraId="7BBEA6E7" w14:textId="77777777" w:rsidR="003D03A9" w:rsidRPr="00317FA3" w:rsidRDefault="003D03A9" w:rsidP="003D03A9">
      <w:pPr>
        <w:jc w:val="both"/>
        <w:textAlignment w:val="baseline"/>
        <w:rPr>
          <w:rFonts w:ascii="Segoe UI" w:hAnsi="Segoe UI" w:cs="Segoe UI"/>
          <w:sz w:val="18"/>
          <w:szCs w:val="18"/>
        </w:rPr>
      </w:pPr>
      <w:r w:rsidRPr="00317FA3">
        <w:rPr>
          <w:rFonts w:ascii="Arial" w:hAnsi="Arial" w:cs="Arial"/>
          <w:sz w:val="22"/>
          <w:szCs w:val="22"/>
        </w:rPr>
        <w:t> </w:t>
      </w:r>
    </w:p>
    <w:p w14:paraId="5C15D903" w14:textId="77777777" w:rsidR="003D03A9" w:rsidRPr="002900F5" w:rsidRDefault="003D03A9" w:rsidP="00317FA3">
      <w:pPr>
        <w:ind w:left="720"/>
        <w:jc w:val="both"/>
        <w:textAlignment w:val="baseline"/>
        <w:rPr>
          <w:rFonts w:ascii="Arial" w:hAnsi="Arial" w:cs="Arial"/>
          <w:sz w:val="22"/>
          <w:szCs w:val="22"/>
        </w:rPr>
      </w:pPr>
      <w:r w:rsidRPr="00317FA3">
        <w:rPr>
          <w:rFonts w:ascii="Arial" w:hAnsi="Arial" w:cs="Arial"/>
          <w:b/>
          <w:bCs/>
          <w:sz w:val="22"/>
          <w:szCs w:val="22"/>
        </w:rPr>
        <w:lastRenderedPageBreak/>
        <w:t>Quality:</w:t>
      </w:r>
      <w:r w:rsidRPr="00317FA3">
        <w:rPr>
          <w:rFonts w:ascii="Arial" w:hAnsi="Arial" w:cs="Arial"/>
          <w:sz w:val="22"/>
          <w:szCs w:val="22"/>
        </w:rPr>
        <w:t xml:space="preserve"> The Proposed Project will improve quality of care by expanding capacity of </w:t>
      </w:r>
      <w:r w:rsidR="00266BFE" w:rsidRPr="00317FA3">
        <w:rPr>
          <w:rFonts w:ascii="Arial" w:hAnsi="Arial" w:cs="Arial"/>
          <w:sz w:val="22"/>
          <w:szCs w:val="22"/>
        </w:rPr>
        <w:t>MRI</w:t>
      </w:r>
      <w:r w:rsidRPr="00317FA3">
        <w:rPr>
          <w:rFonts w:ascii="Arial" w:hAnsi="Arial" w:cs="Arial"/>
          <w:sz w:val="22"/>
          <w:szCs w:val="22"/>
        </w:rPr>
        <w:t xml:space="preserve"> services at BMC. </w:t>
      </w:r>
      <w:r w:rsidR="008F6443" w:rsidRPr="00317FA3">
        <w:rPr>
          <w:rFonts w:ascii="Arial" w:hAnsi="Arial" w:cs="Arial"/>
          <w:sz w:val="22"/>
          <w:szCs w:val="22"/>
        </w:rPr>
        <w:t>T</w:t>
      </w:r>
      <w:r w:rsidRPr="00317FA3">
        <w:rPr>
          <w:rFonts w:ascii="Arial" w:hAnsi="Arial" w:cs="Arial"/>
          <w:sz w:val="22"/>
          <w:szCs w:val="22"/>
        </w:rPr>
        <w:t xml:space="preserve">he Applicant anticipates that additional </w:t>
      </w:r>
      <w:r w:rsidR="00266BFE" w:rsidRPr="00317FA3">
        <w:rPr>
          <w:rFonts w:ascii="Arial" w:hAnsi="Arial" w:cs="Arial"/>
          <w:sz w:val="22"/>
          <w:szCs w:val="22"/>
        </w:rPr>
        <w:t>MRI</w:t>
      </w:r>
      <w:r w:rsidRPr="00317FA3">
        <w:rPr>
          <w:rFonts w:ascii="Arial" w:hAnsi="Arial" w:cs="Arial"/>
          <w:sz w:val="22"/>
          <w:szCs w:val="22"/>
        </w:rPr>
        <w:t xml:space="preserve"> capacity will provide the Applicant’s patient </w:t>
      </w:r>
      <w:r w:rsidRPr="002900F5">
        <w:rPr>
          <w:rFonts w:ascii="Arial" w:hAnsi="Arial" w:cs="Arial"/>
          <w:sz w:val="22"/>
          <w:szCs w:val="22"/>
        </w:rPr>
        <w:t xml:space="preserve">panel with improved access to </w:t>
      </w:r>
      <w:r w:rsidR="00317FA3" w:rsidRPr="002900F5">
        <w:rPr>
          <w:rFonts w:ascii="Arial" w:hAnsi="Arial" w:cs="Arial"/>
          <w:sz w:val="22"/>
          <w:szCs w:val="22"/>
        </w:rPr>
        <w:t xml:space="preserve">imaging </w:t>
      </w:r>
      <w:r w:rsidRPr="002900F5">
        <w:rPr>
          <w:rFonts w:ascii="Arial" w:hAnsi="Arial" w:cs="Arial"/>
          <w:sz w:val="22"/>
          <w:szCs w:val="22"/>
        </w:rPr>
        <w:t xml:space="preserve">services, and that such improved access will in turn positively impact </w:t>
      </w:r>
      <w:r w:rsidR="00317FA3" w:rsidRPr="002900F5">
        <w:rPr>
          <w:rFonts w:ascii="Arial" w:hAnsi="Arial" w:cs="Arial"/>
          <w:sz w:val="22"/>
          <w:szCs w:val="22"/>
        </w:rPr>
        <w:t xml:space="preserve">turnaround times in diagnosis and treatment. </w:t>
      </w:r>
      <w:r w:rsidRPr="002900F5">
        <w:rPr>
          <w:rFonts w:ascii="Arial" w:hAnsi="Arial" w:cs="Arial"/>
          <w:sz w:val="22"/>
          <w:szCs w:val="22"/>
        </w:rPr>
        <w:t xml:space="preserve">Overall, these improvements will result in enhancements in health outcomes and quality of life for BMC’s vulnerable </w:t>
      </w:r>
      <w:r w:rsidR="002900F5" w:rsidRPr="002900F5">
        <w:rPr>
          <w:rFonts w:ascii="Arial" w:hAnsi="Arial" w:cs="Arial"/>
          <w:sz w:val="22"/>
          <w:szCs w:val="22"/>
        </w:rPr>
        <w:t xml:space="preserve">and aging </w:t>
      </w:r>
      <w:r w:rsidRPr="002900F5">
        <w:rPr>
          <w:rFonts w:ascii="Arial" w:hAnsi="Arial" w:cs="Arial"/>
          <w:sz w:val="22"/>
          <w:szCs w:val="22"/>
        </w:rPr>
        <w:t xml:space="preserve">patient panel, with specific examples detailed in Factor F1.b.ii. </w:t>
      </w:r>
    </w:p>
    <w:p w14:paraId="4D3333E9" w14:textId="77777777" w:rsidR="003D03A9" w:rsidRPr="002900F5" w:rsidRDefault="003D03A9" w:rsidP="003D03A9">
      <w:pPr>
        <w:jc w:val="both"/>
        <w:textAlignment w:val="baseline"/>
        <w:rPr>
          <w:rFonts w:ascii="Arial" w:hAnsi="Arial" w:cs="Arial"/>
          <w:sz w:val="22"/>
          <w:szCs w:val="22"/>
        </w:rPr>
      </w:pPr>
    </w:p>
    <w:p w14:paraId="405B5A18" w14:textId="77777777" w:rsidR="003D03A9" w:rsidRPr="000D39BE" w:rsidRDefault="003D03A9" w:rsidP="003D03A9">
      <w:pPr>
        <w:ind w:left="720"/>
        <w:jc w:val="both"/>
        <w:textAlignment w:val="baseline"/>
        <w:rPr>
          <w:rFonts w:ascii="ArialMT" w:hAnsi="ArialMT"/>
          <w:color w:val="FF0000"/>
          <w:sz w:val="22"/>
          <w:szCs w:val="22"/>
        </w:rPr>
      </w:pPr>
      <w:r w:rsidRPr="002900F5">
        <w:rPr>
          <w:rFonts w:ascii="Arial" w:hAnsi="Arial" w:cs="Arial"/>
          <w:b/>
          <w:bCs/>
          <w:sz w:val="22"/>
          <w:szCs w:val="22"/>
        </w:rPr>
        <w:t>Efficiency:</w:t>
      </w:r>
      <w:r w:rsidRPr="002900F5">
        <w:rPr>
          <w:rFonts w:ascii="Arial" w:hAnsi="Arial" w:cs="Arial"/>
          <w:sz w:val="22"/>
          <w:szCs w:val="22"/>
        </w:rPr>
        <w:t> </w:t>
      </w:r>
      <w:r w:rsidRPr="002900F5">
        <w:rPr>
          <w:rFonts w:ascii="ArialMT" w:hAnsi="ArialMT"/>
          <w:sz w:val="22"/>
          <w:szCs w:val="22"/>
        </w:rPr>
        <w:t xml:space="preserve">As detailed throughout this narrative, the Proposed Project is designed to create additional </w:t>
      </w:r>
      <w:r w:rsidR="000D38EF" w:rsidRPr="002900F5">
        <w:rPr>
          <w:rFonts w:ascii="ArialMT" w:hAnsi="ArialMT"/>
          <w:sz w:val="22"/>
          <w:szCs w:val="22"/>
        </w:rPr>
        <w:t>MRI</w:t>
      </w:r>
      <w:r w:rsidRPr="002900F5">
        <w:rPr>
          <w:rFonts w:ascii="ArialMT" w:hAnsi="ArialMT"/>
          <w:sz w:val="22"/>
          <w:szCs w:val="22"/>
        </w:rPr>
        <w:t xml:space="preserve"> capacity, which will help alleviate access</w:t>
      </w:r>
      <w:r w:rsidR="000D39BE" w:rsidRPr="002900F5">
        <w:rPr>
          <w:rFonts w:ascii="ArialMT" w:hAnsi="ArialMT"/>
          <w:sz w:val="22"/>
          <w:szCs w:val="22"/>
        </w:rPr>
        <w:t xml:space="preserve">, utilization, and </w:t>
      </w:r>
      <w:r w:rsidRPr="002900F5">
        <w:rPr>
          <w:rFonts w:ascii="ArialMT" w:hAnsi="ArialMT"/>
          <w:sz w:val="22"/>
          <w:szCs w:val="22"/>
        </w:rPr>
        <w:t>throughput concerns, ensure that patients</w:t>
      </w:r>
      <w:r w:rsidRPr="000D39BE">
        <w:rPr>
          <w:rFonts w:ascii="ArialMT" w:hAnsi="ArialMT"/>
          <w:sz w:val="22"/>
          <w:szCs w:val="22"/>
        </w:rPr>
        <w:t xml:space="preserve"> </w:t>
      </w:r>
      <w:r w:rsidR="000D39BE" w:rsidRPr="000D39BE">
        <w:rPr>
          <w:rFonts w:ascii="ArialMT" w:hAnsi="ArialMT"/>
          <w:sz w:val="22"/>
          <w:szCs w:val="22"/>
        </w:rPr>
        <w:t xml:space="preserve">can continue to </w:t>
      </w:r>
      <w:r w:rsidRPr="000D39BE">
        <w:rPr>
          <w:rFonts w:ascii="ArialMT" w:hAnsi="ArialMT"/>
          <w:sz w:val="22"/>
          <w:szCs w:val="22"/>
        </w:rPr>
        <w:t xml:space="preserve">receive care </w:t>
      </w:r>
      <w:r w:rsidR="000D39BE" w:rsidRPr="000D39BE">
        <w:rPr>
          <w:rFonts w:ascii="ArialMT" w:hAnsi="ArialMT"/>
          <w:sz w:val="22"/>
          <w:szCs w:val="22"/>
        </w:rPr>
        <w:t xml:space="preserve">at </w:t>
      </w:r>
      <w:r w:rsidR="000D39BE" w:rsidRPr="000D39BE">
        <w:rPr>
          <w:rFonts w:ascii="Arial" w:hAnsi="Arial" w:cs="Arial"/>
          <w:color w:val="000000" w:themeColor="text1"/>
          <w:sz w:val="22"/>
          <w:szCs w:val="22"/>
        </w:rPr>
        <w:t>New England’s largest safety net hospital</w:t>
      </w:r>
      <w:r w:rsidRPr="000D39BE">
        <w:rPr>
          <w:rFonts w:ascii="ArialMT" w:hAnsi="ArialMT"/>
          <w:sz w:val="22"/>
          <w:szCs w:val="22"/>
        </w:rPr>
        <w:t xml:space="preserve">, and, thereby, provide efficiencies in care and costs. </w:t>
      </w:r>
    </w:p>
    <w:p w14:paraId="0B9C2C81" w14:textId="77777777" w:rsidR="003D03A9" w:rsidRPr="000D39BE" w:rsidRDefault="003D03A9" w:rsidP="003D03A9">
      <w:pPr>
        <w:jc w:val="both"/>
        <w:textAlignment w:val="baseline"/>
        <w:rPr>
          <w:rFonts w:ascii="Segoe UI" w:hAnsi="Segoe UI" w:cs="Segoe UI"/>
          <w:sz w:val="18"/>
          <w:szCs w:val="18"/>
        </w:rPr>
      </w:pPr>
    </w:p>
    <w:p w14:paraId="016405EB" w14:textId="77777777" w:rsidR="003D03A9" w:rsidRPr="000D39BE" w:rsidRDefault="003D03A9" w:rsidP="003D03A9">
      <w:pPr>
        <w:ind w:left="720"/>
        <w:jc w:val="both"/>
        <w:textAlignment w:val="baseline"/>
        <w:rPr>
          <w:rFonts w:ascii="Arial" w:hAnsi="Arial" w:cs="Arial"/>
          <w:color w:val="000000" w:themeColor="text1"/>
          <w:sz w:val="22"/>
          <w:szCs w:val="22"/>
        </w:rPr>
      </w:pPr>
      <w:r w:rsidRPr="000D39BE">
        <w:rPr>
          <w:rFonts w:ascii="Arial" w:hAnsi="Arial" w:cs="Arial"/>
          <w:b/>
          <w:bCs/>
          <w:sz w:val="22"/>
          <w:szCs w:val="22"/>
        </w:rPr>
        <w:t>Capital Expense:</w:t>
      </w:r>
      <w:r w:rsidRPr="000D39BE">
        <w:rPr>
          <w:rFonts w:ascii="Arial" w:hAnsi="Arial" w:cs="Arial"/>
          <w:sz w:val="22"/>
          <w:szCs w:val="22"/>
        </w:rPr>
        <w:t xml:space="preserve"> </w:t>
      </w:r>
      <w:r w:rsidRPr="000D39BE">
        <w:rPr>
          <w:rFonts w:ascii="ArialMT" w:hAnsi="ArialMT"/>
          <w:sz w:val="22"/>
          <w:szCs w:val="22"/>
        </w:rPr>
        <w:t xml:space="preserve">There are capital expenses </w:t>
      </w:r>
      <w:r w:rsidRPr="000D39BE">
        <w:rPr>
          <w:rFonts w:ascii="Arial" w:hAnsi="Arial" w:cs="Arial"/>
          <w:sz w:val="22"/>
          <w:szCs w:val="22"/>
        </w:rPr>
        <w:t>associated with the implementation of the Proposed Project. The total capital expenditure for the Proposed Project is $</w:t>
      </w:r>
      <w:r w:rsidR="000D38EF" w:rsidRPr="000D39BE">
        <w:rPr>
          <w:rFonts w:ascii="Arial" w:hAnsi="Arial" w:cs="Arial"/>
          <w:sz w:val="22"/>
          <w:szCs w:val="22"/>
          <w:shd w:val="clear" w:color="auto" w:fill="FFFFFF"/>
        </w:rPr>
        <w:t>7,994,800</w:t>
      </w:r>
      <w:r w:rsidRPr="000D39BE">
        <w:rPr>
          <w:rFonts w:ascii="Arial" w:hAnsi="Arial" w:cs="Arial"/>
          <w:sz w:val="22"/>
          <w:szCs w:val="22"/>
        </w:rPr>
        <w:t xml:space="preserve">. However, as detailed further below, the Proposed Project represents </w:t>
      </w:r>
      <w:r w:rsidR="000D39BE" w:rsidRPr="000D39BE">
        <w:rPr>
          <w:rFonts w:ascii="Arial" w:hAnsi="Arial" w:cs="Arial"/>
          <w:sz w:val="22"/>
          <w:szCs w:val="22"/>
        </w:rPr>
        <w:t>a</w:t>
      </w:r>
      <w:r w:rsidRPr="000D39BE">
        <w:rPr>
          <w:rFonts w:ascii="Arial" w:hAnsi="Arial" w:cs="Arial"/>
          <w:sz w:val="22"/>
          <w:szCs w:val="22"/>
        </w:rPr>
        <w:t xml:space="preserve"> cost-effective approach to addressing the needs of the Applicant’s </w:t>
      </w:r>
      <w:r w:rsidR="009D216A" w:rsidRPr="000D39BE">
        <w:rPr>
          <w:rFonts w:ascii="Arial" w:hAnsi="Arial" w:cs="Arial"/>
          <w:sz w:val="22"/>
          <w:szCs w:val="22"/>
        </w:rPr>
        <w:t xml:space="preserve">under-resourced </w:t>
      </w:r>
      <w:r w:rsidR="000D39BE" w:rsidRPr="000D39BE">
        <w:rPr>
          <w:rFonts w:ascii="Arial" w:hAnsi="Arial" w:cs="Arial"/>
          <w:sz w:val="22"/>
          <w:szCs w:val="22"/>
        </w:rPr>
        <w:t xml:space="preserve">and aging </w:t>
      </w:r>
      <w:r w:rsidRPr="000D39BE">
        <w:rPr>
          <w:rFonts w:ascii="Arial" w:hAnsi="Arial" w:cs="Arial"/>
          <w:sz w:val="22"/>
          <w:szCs w:val="22"/>
        </w:rPr>
        <w:t>patient</w:t>
      </w:r>
      <w:r w:rsidRPr="000D39BE">
        <w:rPr>
          <w:rFonts w:ascii="ArialMT" w:hAnsi="ArialMT"/>
          <w:sz w:val="22"/>
          <w:szCs w:val="22"/>
        </w:rPr>
        <w:t xml:space="preserve"> panel and ensuring </w:t>
      </w:r>
      <w:r w:rsidRPr="000D39BE">
        <w:rPr>
          <w:rFonts w:ascii="Arial" w:hAnsi="Arial" w:cs="Arial"/>
          <w:color w:val="000000" w:themeColor="text1"/>
          <w:sz w:val="22"/>
          <w:szCs w:val="22"/>
        </w:rPr>
        <w:t>the Hospital’s long-term ability to provide high-quality care and fulfill its role as New England’s largest safety net hospital in an evolving health</w:t>
      </w:r>
      <w:r w:rsidR="00CF77C3" w:rsidRPr="000D39BE">
        <w:rPr>
          <w:rFonts w:ascii="Arial" w:hAnsi="Arial" w:cs="Arial"/>
          <w:color w:val="000000" w:themeColor="text1"/>
          <w:sz w:val="22"/>
          <w:szCs w:val="22"/>
        </w:rPr>
        <w:t xml:space="preserve"> </w:t>
      </w:r>
      <w:r w:rsidRPr="000D39BE">
        <w:rPr>
          <w:rFonts w:ascii="Arial" w:hAnsi="Arial" w:cs="Arial"/>
          <w:color w:val="000000" w:themeColor="text1"/>
          <w:sz w:val="22"/>
          <w:szCs w:val="22"/>
        </w:rPr>
        <w:t xml:space="preserve">care environment. To this point, the Applicant notes that the Proposed Project was also informed by input from </w:t>
      </w:r>
      <w:r w:rsidRPr="000D39BE">
        <w:rPr>
          <w:rFonts w:ascii="Arial" w:hAnsi="Arial" w:cs="Arial"/>
          <w:sz w:val="22"/>
          <w:szCs w:val="22"/>
        </w:rPr>
        <w:t>community members, patients, family members, and staff that may be impacted by or have an interest in the Proposed Project. Consistent with the Applicant’s commitment to providing exceptional care without exception, th</w:t>
      </w:r>
      <w:r w:rsidR="000D39BE" w:rsidRPr="000D39BE">
        <w:rPr>
          <w:rFonts w:ascii="Arial" w:hAnsi="Arial" w:cs="Arial"/>
          <w:sz w:val="22"/>
          <w:szCs w:val="22"/>
        </w:rPr>
        <w:t>e Proposed Project is</w:t>
      </w:r>
      <w:r w:rsidRPr="000D39BE">
        <w:rPr>
          <w:rFonts w:ascii="Arial" w:hAnsi="Arial" w:cs="Arial"/>
          <w:sz w:val="22"/>
          <w:szCs w:val="22"/>
        </w:rPr>
        <w:t xml:space="preserve"> design</w:t>
      </w:r>
      <w:r w:rsidR="000D39BE" w:rsidRPr="000D39BE">
        <w:rPr>
          <w:rFonts w:ascii="Arial" w:hAnsi="Arial" w:cs="Arial"/>
          <w:sz w:val="22"/>
          <w:szCs w:val="22"/>
        </w:rPr>
        <w:t>ed</w:t>
      </w:r>
      <w:r w:rsidRPr="000D39BE">
        <w:rPr>
          <w:rFonts w:ascii="Arial" w:hAnsi="Arial" w:cs="Arial"/>
          <w:sz w:val="22"/>
          <w:szCs w:val="22"/>
        </w:rPr>
        <w:t xml:space="preserve"> to address demand constraints and allow the Hospital </w:t>
      </w:r>
      <w:r w:rsidRPr="000D39BE">
        <w:rPr>
          <w:rFonts w:ascii="Arial" w:hAnsi="Arial" w:cs="Arial"/>
          <w:color w:val="000000" w:themeColor="text1"/>
          <w:sz w:val="22"/>
          <w:szCs w:val="22"/>
        </w:rPr>
        <w:t>to both meet current patient panel needs and better serve its patient panel into the future.</w:t>
      </w:r>
    </w:p>
    <w:p w14:paraId="7543AC8F" w14:textId="77777777" w:rsidR="003D03A9" w:rsidRPr="000D39BE" w:rsidRDefault="003D03A9" w:rsidP="003D03A9">
      <w:pPr>
        <w:jc w:val="both"/>
        <w:textAlignment w:val="baseline"/>
        <w:rPr>
          <w:rFonts w:ascii="Arial" w:hAnsi="Arial" w:cs="Arial"/>
          <w:color w:val="000000" w:themeColor="text1"/>
          <w:sz w:val="22"/>
          <w:szCs w:val="22"/>
        </w:rPr>
      </w:pPr>
    </w:p>
    <w:p w14:paraId="403FDFE3" w14:textId="24FA9EE7" w:rsidR="003D03A9" w:rsidRPr="007C04C2" w:rsidRDefault="003D03A9" w:rsidP="003D03A9">
      <w:pPr>
        <w:ind w:left="720"/>
        <w:jc w:val="both"/>
        <w:textAlignment w:val="baseline"/>
        <w:rPr>
          <w:rFonts w:ascii="Arial" w:hAnsi="Arial" w:cs="Arial"/>
          <w:sz w:val="22"/>
          <w:szCs w:val="22"/>
        </w:rPr>
      </w:pPr>
      <w:r w:rsidRPr="000D39BE">
        <w:rPr>
          <w:rFonts w:ascii="Arial" w:hAnsi="Arial" w:cs="Arial"/>
          <w:b/>
          <w:bCs/>
          <w:sz w:val="22"/>
          <w:szCs w:val="22"/>
        </w:rPr>
        <w:t>Operating Costs:</w:t>
      </w:r>
      <w:r w:rsidRPr="000D39BE">
        <w:rPr>
          <w:rFonts w:ascii="Arial" w:hAnsi="Arial" w:cs="Arial"/>
          <w:sz w:val="22"/>
          <w:szCs w:val="22"/>
        </w:rPr>
        <w:t> </w:t>
      </w:r>
      <w:r w:rsidRPr="000D39BE">
        <w:rPr>
          <w:rFonts w:ascii="ArialMT" w:hAnsi="ArialMT"/>
          <w:sz w:val="22"/>
          <w:szCs w:val="22"/>
        </w:rPr>
        <w:t>There are operating costs associated with the Proposed</w:t>
      </w:r>
      <w:r w:rsidRPr="007C04C2">
        <w:rPr>
          <w:rFonts w:ascii="ArialMT" w:hAnsi="ArialMT"/>
          <w:sz w:val="22"/>
          <w:szCs w:val="22"/>
        </w:rPr>
        <w:t xml:space="preserve"> Project. The </w:t>
      </w:r>
      <w:r w:rsidR="000A704C" w:rsidRPr="007C04C2">
        <w:rPr>
          <w:rFonts w:ascii="ArialMT" w:hAnsi="ArialMT"/>
          <w:sz w:val="22"/>
          <w:szCs w:val="22"/>
        </w:rPr>
        <w:t>average</w:t>
      </w:r>
      <w:r w:rsidRPr="007C04C2">
        <w:rPr>
          <w:rFonts w:ascii="ArialMT" w:hAnsi="ArialMT"/>
          <w:sz w:val="22"/>
          <w:szCs w:val="22"/>
        </w:rPr>
        <w:t xml:space="preserve"> incremental operating costs of the Proposed Project are anticipated to be </w:t>
      </w:r>
      <w:r w:rsidR="002C2BA9" w:rsidRPr="007C04C2">
        <w:rPr>
          <w:rFonts w:ascii="ArialMT" w:hAnsi="ArialMT"/>
          <w:sz w:val="22"/>
          <w:szCs w:val="22"/>
        </w:rPr>
        <w:t xml:space="preserve">approximately </w:t>
      </w:r>
      <w:r w:rsidR="000A704C" w:rsidRPr="00356B4E">
        <w:rPr>
          <w:rFonts w:ascii="ArialMT" w:hAnsi="ArialMT"/>
          <w:sz w:val="22"/>
          <w:szCs w:val="22"/>
        </w:rPr>
        <w:t>$</w:t>
      </w:r>
      <w:r w:rsidR="001A7267">
        <w:rPr>
          <w:rFonts w:ascii="ArialMT" w:hAnsi="ArialMT"/>
          <w:sz w:val="22"/>
          <w:szCs w:val="22"/>
        </w:rPr>
        <w:t xml:space="preserve">2,763,457. </w:t>
      </w:r>
    </w:p>
    <w:p w14:paraId="6D7CE918" w14:textId="77777777" w:rsidR="003D03A9" w:rsidRPr="007C04C2" w:rsidRDefault="003D03A9" w:rsidP="003D03A9">
      <w:pPr>
        <w:jc w:val="both"/>
        <w:textAlignment w:val="baseline"/>
        <w:rPr>
          <w:rFonts w:ascii="Segoe UI" w:hAnsi="Segoe UI" w:cs="Segoe UI"/>
          <w:sz w:val="18"/>
          <w:szCs w:val="18"/>
        </w:rPr>
      </w:pPr>
      <w:r w:rsidRPr="007C04C2">
        <w:rPr>
          <w:rFonts w:ascii="Arial" w:hAnsi="Arial" w:cs="Arial"/>
          <w:sz w:val="22"/>
          <w:szCs w:val="22"/>
        </w:rPr>
        <w:t> </w:t>
      </w:r>
    </w:p>
    <w:p w14:paraId="6C07318E" w14:textId="77777777" w:rsidR="003D03A9" w:rsidRPr="007C04C2" w:rsidRDefault="003D03A9" w:rsidP="003D03A9">
      <w:pPr>
        <w:jc w:val="both"/>
        <w:textAlignment w:val="baseline"/>
        <w:rPr>
          <w:rFonts w:ascii="Segoe UI" w:hAnsi="Segoe UI" w:cs="Segoe UI"/>
          <w:sz w:val="18"/>
          <w:szCs w:val="18"/>
        </w:rPr>
      </w:pPr>
      <w:r w:rsidRPr="007C04C2">
        <w:rPr>
          <w:rFonts w:ascii="Arial" w:hAnsi="Arial" w:cs="Arial"/>
          <w:b/>
          <w:bCs/>
          <w:sz w:val="22"/>
          <w:szCs w:val="22"/>
        </w:rPr>
        <w:t>List alternative options for the Proposed Project</w:t>
      </w:r>
      <w:r w:rsidRPr="007C04C2">
        <w:rPr>
          <w:rFonts w:ascii="Arial" w:hAnsi="Arial" w:cs="Arial"/>
          <w:sz w:val="22"/>
          <w:szCs w:val="22"/>
        </w:rPr>
        <w:t> </w:t>
      </w:r>
    </w:p>
    <w:p w14:paraId="6B050DE4" w14:textId="77777777" w:rsidR="003D03A9" w:rsidRPr="007C04C2" w:rsidRDefault="003D03A9" w:rsidP="003D03A9">
      <w:pPr>
        <w:jc w:val="both"/>
        <w:textAlignment w:val="baseline"/>
        <w:rPr>
          <w:rFonts w:ascii="Segoe UI" w:hAnsi="Segoe UI" w:cs="Segoe UI"/>
          <w:sz w:val="18"/>
          <w:szCs w:val="18"/>
        </w:rPr>
      </w:pPr>
      <w:r w:rsidRPr="007C04C2">
        <w:rPr>
          <w:rFonts w:ascii="Arial" w:hAnsi="Arial" w:cs="Arial"/>
          <w:sz w:val="22"/>
          <w:szCs w:val="22"/>
        </w:rPr>
        <w:t> </w:t>
      </w:r>
    </w:p>
    <w:p w14:paraId="3BF2E707" w14:textId="77777777" w:rsidR="003D03A9" w:rsidRPr="000D39BE" w:rsidRDefault="003D03A9" w:rsidP="003D03A9">
      <w:pPr>
        <w:ind w:left="720"/>
        <w:jc w:val="both"/>
        <w:textAlignment w:val="baseline"/>
        <w:rPr>
          <w:rFonts w:ascii="ArialMT" w:hAnsi="ArialMT"/>
          <w:sz w:val="22"/>
          <w:szCs w:val="22"/>
        </w:rPr>
      </w:pPr>
      <w:r w:rsidRPr="007C04C2">
        <w:rPr>
          <w:rFonts w:ascii="Arial" w:hAnsi="Arial" w:cs="Arial"/>
          <w:b/>
          <w:bCs/>
          <w:sz w:val="22"/>
          <w:szCs w:val="22"/>
        </w:rPr>
        <w:t>Alternative Proposal:</w:t>
      </w:r>
      <w:r w:rsidRPr="007C04C2">
        <w:rPr>
          <w:rFonts w:ascii="Arial" w:hAnsi="Arial" w:cs="Arial"/>
          <w:sz w:val="22"/>
          <w:szCs w:val="22"/>
        </w:rPr>
        <w:t> </w:t>
      </w:r>
      <w:r w:rsidRPr="007C04C2">
        <w:rPr>
          <w:rFonts w:ascii="ArialMT" w:hAnsi="ArialMT"/>
          <w:sz w:val="22"/>
          <w:szCs w:val="22"/>
        </w:rPr>
        <w:t xml:space="preserve">The alternative to the Proposed Project is to forego implementation of the Proposed Project and continue </w:t>
      </w:r>
      <w:r w:rsidRPr="000D39BE">
        <w:rPr>
          <w:rFonts w:ascii="ArialMT" w:hAnsi="ArialMT"/>
          <w:sz w:val="22"/>
          <w:szCs w:val="22"/>
        </w:rPr>
        <w:t xml:space="preserve">to operate BMC’s main campus without any changes to existing </w:t>
      </w:r>
      <w:r w:rsidR="007C04C2" w:rsidRPr="000D39BE">
        <w:rPr>
          <w:rFonts w:ascii="ArialMT" w:hAnsi="ArialMT"/>
          <w:sz w:val="22"/>
          <w:szCs w:val="22"/>
        </w:rPr>
        <w:t>MRI</w:t>
      </w:r>
      <w:r w:rsidRPr="000D39BE">
        <w:rPr>
          <w:rFonts w:ascii="ArialMT" w:hAnsi="ArialMT"/>
          <w:sz w:val="22"/>
          <w:szCs w:val="22"/>
        </w:rPr>
        <w:t xml:space="preserve"> capacity.</w:t>
      </w:r>
    </w:p>
    <w:p w14:paraId="7095D37A" w14:textId="77777777" w:rsidR="003D03A9" w:rsidRPr="000D39BE" w:rsidRDefault="003D03A9" w:rsidP="003D03A9">
      <w:pPr>
        <w:jc w:val="both"/>
        <w:textAlignment w:val="baseline"/>
        <w:rPr>
          <w:rFonts w:ascii="Segoe UI" w:hAnsi="Segoe UI" w:cs="Segoe UI"/>
          <w:sz w:val="18"/>
          <w:szCs w:val="18"/>
        </w:rPr>
      </w:pPr>
    </w:p>
    <w:p w14:paraId="3EDEEAA7" w14:textId="77777777" w:rsidR="003D03A9" w:rsidRPr="000D39BE" w:rsidRDefault="003D03A9" w:rsidP="003D03A9">
      <w:pPr>
        <w:ind w:left="1440"/>
        <w:jc w:val="both"/>
        <w:textAlignment w:val="baseline"/>
        <w:rPr>
          <w:rFonts w:ascii="Arial" w:hAnsi="Arial" w:cs="Arial"/>
          <w:sz w:val="22"/>
          <w:szCs w:val="22"/>
        </w:rPr>
      </w:pPr>
      <w:r w:rsidRPr="000D39BE">
        <w:rPr>
          <w:rFonts w:ascii="Arial" w:hAnsi="Arial" w:cs="Arial"/>
          <w:b/>
          <w:bCs/>
          <w:sz w:val="22"/>
          <w:szCs w:val="22"/>
        </w:rPr>
        <w:t>Alternative Quality:</w:t>
      </w:r>
      <w:r w:rsidRPr="000D39BE">
        <w:rPr>
          <w:rFonts w:ascii="Arial" w:hAnsi="Arial" w:cs="Arial"/>
          <w:sz w:val="22"/>
          <w:szCs w:val="22"/>
        </w:rPr>
        <w:t xml:space="preserve"> This alternative does not allow the Applicant to address the patient panel’s need for additional </w:t>
      </w:r>
      <w:r w:rsidR="000D39BE" w:rsidRPr="000D39BE">
        <w:rPr>
          <w:rFonts w:ascii="Arial" w:hAnsi="Arial" w:cs="Arial"/>
          <w:sz w:val="22"/>
          <w:szCs w:val="22"/>
        </w:rPr>
        <w:t>MRI</w:t>
      </w:r>
      <w:r w:rsidRPr="000D39BE">
        <w:rPr>
          <w:rFonts w:ascii="Arial" w:hAnsi="Arial" w:cs="Arial"/>
          <w:sz w:val="22"/>
          <w:szCs w:val="22"/>
        </w:rPr>
        <w:t xml:space="preserve"> services at BMC. Without the Proposed Project, </w:t>
      </w:r>
      <w:r w:rsidR="000D39BE" w:rsidRPr="000D39BE">
        <w:rPr>
          <w:rFonts w:ascii="Arial" w:hAnsi="Arial" w:cs="Arial"/>
          <w:sz w:val="22"/>
          <w:szCs w:val="22"/>
        </w:rPr>
        <w:t>MRI</w:t>
      </w:r>
      <w:r w:rsidRPr="000D39BE">
        <w:rPr>
          <w:rFonts w:ascii="Arial" w:hAnsi="Arial" w:cs="Arial"/>
          <w:sz w:val="22"/>
          <w:szCs w:val="22"/>
        </w:rPr>
        <w:t xml:space="preserve"> utilization rates will continue to rise to unsustainable levels as patient volumes continue to increase, throughput will continue to be negatively impacted, and patients will continue to face increased wait times and delays in diagnosis and treatment. All of these factors will have a negative impact on patient’s health outcomes and quality of life.</w:t>
      </w:r>
    </w:p>
    <w:p w14:paraId="08DCE1E9" w14:textId="77777777" w:rsidR="003D03A9" w:rsidRPr="000D39BE" w:rsidRDefault="003D03A9" w:rsidP="003D03A9">
      <w:pPr>
        <w:ind w:left="1440"/>
        <w:jc w:val="both"/>
        <w:textAlignment w:val="baseline"/>
        <w:rPr>
          <w:rFonts w:ascii="Segoe UI" w:hAnsi="Segoe UI" w:cs="Segoe UI"/>
          <w:color w:val="000000" w:themeColor="text1"/>
          <w:sz w:val="18"/>
          <w:szCs w:val="18"/>
        </w:rPr>
      </w:pPr>
    </w:p>
    <w:p w14:paraId="1CD367EF" w14:textId="77777777" w:rsidR="003D03A9" w:rsidRPr="000D39BE" w:rsidRDefault="003D03A9" w:rsidP="003D03A9">
      <w:pPr>
        <w:ind w:left="1440"/>
        <w:jc w:val="both"/>
        <w:textAlignment w:val="baseline"/>
        <w:rPr>
          <w:color w:val="000000" w:themeColor="text1"/>
        </w:rPr>
      </w:pPr>
      <w:r w:rsidRPr="000D39BE">
        <w:rPr>
          <w:rFonts w:ascii="Arial" w:hAnsi="Arial" w:cs="Arial"/>
          <w:b/>
          <w:bCs/>
          <w:color w:val="000000" w:themeColor="text1"/>
          <w:sz w:val="22"/>
          <w:szCs w:val="22"/>
        </w:rPr>
        <w:t>Alternative Efficiency:</w:t>
      </w:r>
      <w:r w:rsidRPr="000D39BE">
        <w:rPr>
          <w:rFonts w:ascii="Arial" w:hAnsi="Arial" w:cs="Arial"/>
          <w:color w:val="000000" w:themeColor="text1"/>
          <w:sz w:val="22"/>
          <w:szCs w:val="22"/>
        </w:rPr>
        <w:t> </w:t>
      </w:r>
      <w:r w:rsidRPr="000D39BE">
        <w:rPr>
          <w:rFonts w:ascii="ArialMT" w:hAnsi="ArialMT"/>
          <w:color w:val="000000" w:themeColor="text1"/>
          <w:sz w:val="22"/>
          <w:szCs w:val="22"/>
        </w:rPr>
        <w:t xml:space="preserve">This alternative would be inefficient as it would not provide additional access to necessary </w:t>
      </w:r>
      <w:r w:rsidR="000D39BE" w:rsidRPr="000D39BE">
        <w:rPr>
          <w:rFonts w:ascii="ArialMT" w:hAnsi="ArialMT"/>
          <w:color w:val="000000" w:themeColor="text1"/>
          <w:sz w:val="22"/>
          <w:szCs w:val="22"/>
        </w:rPr>
        <w:t>MRI</w:t>
      </w:r>
      <w:r w:rsidRPr="000D39BE">
        <w:rPr>
          <w:rFonts w:ascii="ArialMT" w:hAnsi="ArialMT"/>
          <w:color w:val="000000" w:themeColor="text1"/>
          <w:sz w:val="22"/>
          <w:szCs w:val="22"/>
        </w:rPr>
        <w:t xml:space="preserve"> services at BMC. </w:t>
      </w:r>
      <w:r w:rsidRPr="000D39BE">
        <w:rPr>
          <w:rFonts w:ascii="Arial" w:hAnsi="Arial" w:cs="Arial"/>
          <w:color w:val="000000" w:themeColor="text1"/>
          <w:sz w:val="22"/>
          <w:szCs w:val="22"/>
        </w:rPr>
        <w:t xml:space="preserve">Without additional </w:t>
      </w:r>
      <w:r w:rsidR="000D39BE" w:rsidRPr="000D39BE">
        <w:rPr>
          <w:rFonts w:ascii="Arial" w:hAnsi="Arial" w:cs="Arial"/>
          <w:color w:val="000000" w:themeColor="text1"/>
          <w:sz w:val="22"/>
          <w:szCs w:val="22"/>
        </w:rPr>
        <w:t>MRI</w:t>
      </w:r>
      <w:r w:rsidRPr="000D39BE">
        <w:rPr>
          <w:rFonts w:ascii="Arial" w:hAnsi="Arial" w:cs="Arial"/>
          <w:color w:val="000000" w:themeColor="text1"/>
          <w:sz w:val="22"/>
          <w:szCs w:val="22"/>
        </w:rPr>
        <w:t xml:space="preserve"> capacity, </w:t>
      </w:r>
      <w:r w:rsidR="000D39BE" w:rsidRPr="000D39BE">
        <w:rPr>
          <w:rFonts w:ascii="Arial" w:hAnsi="Arial" w:cs="Arial"/>
          <w:color w:val="000000" w:themeColor="text1"/>
          <w:sz w:val="22"/>
          <w:szCs w:val="22"/>
        </w:rPr>
        <w:t>access</w:t>
      </w:r>
      <w:r w:rsidRPr="000D39BE">
        <w:rPr>
          <w:rFonts w:ascii="Arial" w:hAnsi="Arial" w:cs="Arial"/>
          <w:color w:val="000000" w:themeColor="text1"/>
          <w:sz w:val="22"/>
          <w:szCs w:val="22"/>
        </w:rPr>
        <w:t xml:space="preserve"> challenges at BMC will persist and the area’s most vulnerable patients will continue to face long wait times as well as delays in diagnosis and treatment.</w:t>
      </w:r>
    </w:p>
    <w:p w14:paraId="75470FD1" w14:textId="77777777" w:rsidR="003D03A9" w:rsidRPr="000D39BE" w:rsidRDefault="003D03A9" w:rsidP="003D03A9">
      <w:pPr>
        <w:ind w:left="1440"/>
        <w:jc w:val="both"/>
        <w:textAlignment w:val="baseline"/>
        <w:rPr>
          <w:rFonts w:ascii="Segoe UI" w:hAnsi="Segoe UI" w:cs="Segoe UI"/>
          <w:sz w:val="18"/>
          <w:szCs w:val="18"/>
        </w:rPr>
      </w:pPr>
    </w:p>
    <w:p w14:paraId="4236B684" w14:textId="77777777" w:rsidR="003D03A9" w:rsidRPr="000D39BE" w:rsidRDefault="003D03A9" w:rsidP="003D03A9">
      <w:pPr>
        <w:ind w:left="1440"/>
        <w:jc w:val="both"/>
        <w:textAlignment w:val="baseline"/>
        <w:rPr>
          <w:rFonts w:ascii="Arial" w:hAnsi="Arial" w:cs="Arial"/>
          <w:sz w:val="22"/>
          <w:szCs w:val="22"/>
        </w:rPr>
      </w:pPr>
      <w:r w:rsidRPr="000D39BE">
        <w:rPr>
          <w:rFonts w:ascii="Arial" w:hAnsi="Arial" w:cs="Arial"/>
          <w:b/>
          <w:bCs/>
          <w:sz w:val="22"/>
          <w:szCs w:val="22"/>
        </w:rPr>
        <w:t>Alternative Capital Expense:</w:t>
      </w:r>
      <w:r w:rsidRPr="000D39BE">
        <w:rPr>
          <w:rFonts w:ascii="Arial" w:hAnsi="Arial" w:cs="Arial"/>
          <w:sz w:val="22"/>
          <w:szCs w:val="22"/>
        </w:rPr>
        <w:t> </w:t>
      </w:r>
      <w:r w:rsidRPr="000D39BE">
        <w:rPr>
          <w:rFonts w:ascii="ArialMT" w:hAnsi="ArialMT"/>
          <w:sz w:val="22"/>
          <w:szCs w:val="22"/>
        </w:rPr>
        <w:t xml:space="preserve">This alternative would not be associated with any capital expenses. However, it would not address the need for additional </w:t>
      </w:r>
      <w:r w:rsidR="009D3597" w:rsidRPr="000D39BE">
        <w:rPr>
          <w:rFonts w:ascii="ArialMT" w:hAnsi="ArialMT"/>
          <w:sz w:val="22"/>
          <w:szCs w:val="22"/>
        </w:rPr>
        <w:t>MRI</w:t>
      </w:r>
      <w:r w:rsidRPr="000D39BE">
        <w:rPr>
          <w:rFonts w:ascii="ArialMT" w:hAnsi="ArialMT"/>
          <w:sz w:val="22"/>
          <w:szCs w:val="22"/>
        </w:rPr>
        <w:t xml:space="preserve"> capacity at BMC, and, therefore, quality outcomes</w:t>
      </w:r>
      <w:r w:rsidR="00463FE6" w:rsidRPr="000D39BE">
        <w:rPr>
          <w:rFonts w:ascii="ArialMT" w:hAnsi="ArialMT"/>
          <w:sz w:val="22"/>
          <w:szCs w:val="22"/>
        </w:rPr>
        <w:t>,</w:t>
      </w:r>
      <w:r w:rsidR="006C402A" w:rsidRPr="000D39BE">
        <w:rPr>
          <w:rFonts w:ascii="ArialMT" w:hAnsi="ArialMT"/>
          <w:sz w:val="22"/>
          <w:szCs w:val="22"/>
        </w:rPr>
        <w:t xml:space="preserve"> </w:t>
      </w:r>
      <w:r w:rsidRPr="000D39BE">
        <w:rPr>
          <w:rFonts w:ascii="ArialMT" w:hAnsi="ArialMT"/>
          <w:sz w:val="22"/>
          <w:szCs w:val="22"/>
        </w:rPr>
        <w:t xml:space="preserve">operational </w:t>
      </w:r>
      <w:r w:rsidR="00463FE6" w:rsidRPr="000D39BE">
        <w:rPr>
          <w:rFonts w:ascii="ArialMT" w:hAnsi="ArialMT"/>
          <w:sz w:val="22"/>
          <w:szCs w:val="22"/>
        </w:rPr>
        <w:t xml:space="preserve">efficiencies, and </w:t>
      </w:r>
      <w:r w:rsidRPr="000D39BE">
        <w:rPr>
          <w:rFonts w:ascii="ArialMT" w:hAnsi="ArialMT"/>
          <w:sz w:val="22"/>
          <w:szCs w:val="22"/>
        </w:rPr>
        <w:lastRenderedPageBreak/>
        <w:t xml:space="preserve">cost </w:t>
      </w:r>
      <w:r w:rsidR="00463FE6" w:rsidRPr="000D39BE">
        <w:rPr>
          <w:rFonts w:ascii="ArialMT" w:hAnsi="ArialMT"/>
          <w:sz w:val="22"/>
          <w:szCs w:val="22"/>
        </w:rPr>
        <w:t xml:space="preserve">containment measures </w:t>
      </w:r>
      <w:r w:rsidRPr="000D39BE">
        <w:rPr>
          <w:rFonts w:ascii="ArialMT" w:hAnsi="ArialMT"/>
          <w:sz w:val="22"/>
          <w:szCs w:val="22"/>
        </w:rPr>
        <w:t xml:space="preserve">anticipated to be </w:t>
      </w:r>
      <w:r w:rsidR="00DE2836" w:rsidRPr="000D39BE">
        <w:rPr>
          <w:rFonts w:ascii="ArialMT" w:hAnsi="ArialMT"/>
          <w:sz w:val="22"/>
          <w:szCs w:val="22"/>
        </w:rPr>
        <w:t xml:space="preserve">achieved </w:t>
      </w:r>
      <w:r w:rsidRPr="000D39BE">
        <w:rPr>
          <w:rFonts w:ascii="ArialMT" w:hAnsi="ArialMT"/>
          <w:sz w:val="22"/>
          <w:szCs w:val="22"/>
        </w:rPr>
        <w:t xml:space="preserve">through the Proposed Project would not be realized. </w:t>
      </w:r>
    </w:p>
    <w:p w14:paraId="4804CDE1" w14:textId="77777777" w:rsidR="003D03A9" w:rsidRPr="000D39BE" w:rsidRDefault="003D03A9" w:rsidP="003D03A9">
      <w:pPr>
        <w:ind w:left="1440"/>
        <w:jc w:val="both"/>
        <w:textAlignment w:val="baseline"/>
        <w:rPr>
          <w:rFonts w:ascii="Segoe UI" w:hAnsi="Segoe UI" w:cs="Segoe UI"/>
          <w:sz w:val="18"/>
          <w:szCs w:val="18"/>
        </w:rPr>
      </w:pPr>
    </w:p>
    <w:p w14:paraId="7B5B081A" w14:textId="77777777" w:rsidR="0078772D" w:rsidRPr="009D3597" w:rsidRDefault="003D03A9" w:rsidP="00711E98">
      <w:pPr>
        <w:ind w:left="1440"/>
        <w:jc w:val="both"/>
        <w:textAlignment w:val="baseline"/>
        <w:rPr>
          <w:rFonts w:ascii="Segoe UI" w:hAnsi="Segoe UI" w:cs="Segoe UI"/>
          <w:sz w:val="18"/>
          <w:szCs w:val="18"/>
        </w:rPr>
      </w:pPr>
      <w:r w:rsidRPr="000D39BE">
        <w:rPr>
          <w:rFonts w:ascii="Arial" w:hAnsi="Arial" w:cs="Arial"/>
          <w:b/>
          <w:bCs/>
          <w:sz w:val="22"/>
          <w:szCs w:val="22"/>
        </w:rPr>
        <w:t>Alternative Operating Costs:</w:t>
      </w:r>
      <w:r w:rsidRPr="000D39BE">
        <w:rPr>
          <w:rFonts w:ascii="Arial" w:hAnsi="Arial" w:cs="Arial"/>
          <w:sz w:val="22"/>
          <w:szCs w:val="22"/>
        </w:rPr>
        <w:t> </w:t>
      </w:r>
      <w:r w:rsidRPr="000D39BE">
        <w:rPr>
          <w:rFonts w:ascii="ArialMT" w:hAnsi="ArialMT"/>
          <w:sz w:val="22"/>
          <w:szCs w:val="22"/>
        </w:rPr>
        <w:t xml:space="preserve">Although this alternative would not be associated with any operating costs, it would not address the need for additional </w:t>
      </w:r>
      <w:r w:rsidR="009D3597" w:rsidRPr="000D39BE">
        <w:rPr>
          <w:rFonts w:ascii="ArialMT" w:hAnsi="ArialMT"/>
          <w:sz w:val="22"/>
          <w:szCs w:val="22"/>
        </w:rPr>
        <w:t>MRI</w:t>
      </w:r>
      <w:r w:rsidRPr="000D39BE">
        <w:rPr>
          <w:rFonts w:ascii="ArialMT" w:hAnsi="ArialMT"/>
          <w:sz w:val="22"/>
          <w:szCs w:val="22"/>
        </w:rPr>
        <w:t xml:space="preserve"> capacity at BMC. Therefore, quality outcomes</w:t>
      </w:r>
      <w:r w:rsidR="00463FE6" w:rsidRPr="000D39BE">
        <w:rPr>
          <w:rFonts w:ascii="ArialMT" w:hAnsi="ArialMT"/>
          <w:sz w:val="22"/>
          <w:szCs w:val="22"/>
        </w:rPr>
        <w:t xml:space="preserve">, </w:t>
      </w:r>
      <w:r w:rsidRPr="000D39BE">
        <w:rPr>
          <w:rFonts w:ascii="ArialMT" w:hAnsi="ArialMT"/>
          <w:sz w:val="22"/>
          <w:szCs w:val="22"/>
        </w:rPr>
        <w:t xml:space="preserve">operational </w:t>
      </w:r>
      <w:r w:rsidR="00463FE6" w:rsidRPr="000D39BE">
        <w:rPr>
          <w:rFonts w:ascii="ArialMT" w:hAnsi="ArialMT"/>
          <w:sz w:val="22"/>
          <w:szCs w:val="22"/>
        </w:rPr>
        <w:t xml:space="preserve">efficiencies, </w:t>
      </w:r>
      <w:r w:rsidRPr="000D39BE">
        <w:rPr>
          <w:rFonts w:ascii="ArialMT" w:hAnsi="ArialMT"/>
          <w:sz w:val="22"/>
          <w:szCs w:val="22"/>
        </w:rPr>
        <w:t xml:space="preserve">and cost </w:t>
      </w:r>
      <w:r w:rsidR="00463FE6" w:rsidRPr="000D39BE">
        <w:rPr>
          <w:rFonts w:ascii="ArialMT" w:hAnsi="ArialMT"/>
          <w:sz w:val="22"/>
          <w:szCs w:val="22"/>
        </w:rPr>
        <w:t xml:space="preserve">containment </w:t>
      </w:r>
      <w:r w:rsidR="006C402A" w:rsidRPr="000D39BE">
        <w:rPr>
          <w:rFonts w:ascii="ArialMT" w:hAnsi="ArialMT"/>
          <w:sz w:val="22"/>
          <w:szCs w:val="22"/>
        </w:rPr>
        <w:t xml:space="preserve">measures </w:t>
      </w:r>
      <w:r w:rsidRPr="000D39BE">
        <w:rPr>
          <w:rFonts w:ascii="ArialMT" w:hAnsi="ArialMT"/>
          <w:sz w:val="22"/>
          <w:szCs w:val="22"/>
        </w:rPr>
        <w:t xml:space="preserve">anticipated to be </w:t>
      </w:r>
      <w:r w:rsidR="00DE2836" w:rsidRPr="000D39BE">
        <w:rPr>
          <w:rFonts w:ascii="ArialMT" w:hAnsi="ArialMT"/>
          <w:sz w:val="22"/>
          <w:szCs w:val="22"/>
        </w:rPr>
        <w:t xml:space="preserve">achieved </w:t>
      </w:r>
      <w:r w:rsidRPr="000D39BE">
        <w:rPr>
          <w:rFonts w:ascii="ArialMT" w:hAnsi="ArialMT"/>
          <w:sz w:val="22"/>
          <w:szCs w:val="22"/>
        </w:rPr>
        <w:t>through the Proposed Project would not be realized</w:t>
      </w:r>
      <w:r w:rsidRPr="009D3597">
        <w:rPr>
          <w:rFonts w:ascii="ArialMT" w:hAnsi="ArialMT"/>
          <w:sz w:val="22"/>
          <w:szCs w:val="22"/>
        </w:rPr>
        <w:t>.</w:t>
      </w:r>
      <w:r w:rsidR="00D767D6" w:rsidRPr="009D3597">
        <w:rPr>
          <w:rFonts w:ascii="Arial" w:hAnsi="Arial" w:cs="Arial"/>
          <w:sz w:val="22"/>
          <w:szCs w:val="22"/>
        </w:rPr>
        <w:t xml:space="preserve"> </w:t>
      </w:r>
    </w:p>
    <w:sectPr w:rsidR="0078772D" w:rsidRPr="009D3597" w:rsidSect="00A82A9F">
      <w:footerReference w:type="default" r:id="rId12"/>
      <w:pgSz w:w="12240" w:h="15840"/>
      <w:pgMar w:top="1080" w:right="1440" w:bottom="63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018D" w14:textId="77777777" w:rsidR="00DB1941" w:rsidRDefault="00DB1941" w:rsidP="009F76F1">
      <w:r>
        <w:separator/>
      </w:r>
    </w:p>
  </w:endnote>
  <w:endnote w:type="continuationSeparator" w:id="0">
    <w:p w14:paraId="678588A1" w14:textId="77777777" w:rsidR="00DB1941" w:rsidRDefault="00DB1941"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Content>
      <w:p w14:paraId="3A845EB5" w14:textId="77777777" w:rsidR="009F7444" w:rsidRDefault="009F7444"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3219FA" w14:textId="77777777" w:rsidR="009F7444" w:rsidRDefault="009F7444" w:rsidP="00112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315D" w14:textId="77777777" w:rsidR="009F7444" w:rsidRDefault="009F7444" w:rsidP="001125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7747"/>
      <w:docPartObj>
        <w:docPartGallery w:val="Page Numbers (Bottom of Page)"/>
        <w:docPartUnique/>
      </w:docPartObj>
    </w:sdtPr>
    <w:sdtEndPr>
      <w:rPr>
        <w:noProof/>
      </w:rPr>
    </w:sdtEndPr>
    <w:sdtContent>
      <w:p w14:paraId="7B11A1F5" w14:textId="7EB4E403" w:rsidR="004D7A6C" w:rsidRDefault="004D7A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AB815D" w14:textId="45FCA3A5" w:rsidR="001741C6" w:rsidRDefault="001741C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466" w14:textId="77777777" w:rsidR="004D7A6C" w:rsidRDefault="004D7A6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532922"/>
      <w:docPartObj>
        <w:docPartGallery w:val="Page Numbers (Bottom of Page)"/>
        <w:docPartUnique/>
      </w:docPartObj>
    </w:sdtPr>
    <w:sdtEndPr>
      <w:rPr>
        <w:noProof/>
      </w:rPr>
    </w:sdtEndPr>
    <w:sdtContent>
      <w:p w14:paraId="24A5D6F6" w14:textId="69FA7335" w:rsidR="004D7A6C" w:rsidRDefault="004D7A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90A37" w14:textId="77777777" w:rsidR="00F0647B" w:rsidRDefault="00F0647B" w:rsidP="001125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DE99" w14:textId="77777777" w:rsidR="00DB1941" w:rsidRDefault="00DB1941" w:rsidP="009F76F1">
      <w:r>
        <w:separator/>
      </w:r>
    </w:p>
  </w:footnote>
  <w:footnote w:type="continuationSeparator" w:id="0">
    <w:p w14:paraId="383491D6" w14:textId="77777777" w:rsidR="00DB1941" w:rsidRDefault="00DB1941" w:rsidP="009F76F1">
      <w:r>
        <w:continuationSeparator/>
      </w:r>
    </w:p>
  </w:footnote>
  <w:footnote w:id="1">
    <w:p w14:paraId="24CB80E8" w14:textId="77777777" w:rsidR="009F7444" w:rsidRPr="009E5207" w:rsidRDefault="009F7444" w:rsidP="009F76F1">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 Health System is currently comprised of the following four corporate affiliates: </w:t>
      </w:r>
    </w:p>
    <w:p w14:paraId="2E1D09AB" w14:textId="77777777" w:rsidR="009F7444" w:rsidRPr="009E5207" w:rsidRDefault="009F7444">
      <w:pPr>
        <w:pStyle w:val="FootnoteText"/>
        <w:numPr>
          <w:ilvl w:val="0"/>
          <w:numId w:val="2"/>
        </w:numPr>
        <w:rPr>
          <w:rFonts w:ascii="Arial" w:hAnsi="Arial" w:cs="Arial"/>
          <w:sz w:val="18"/>
          <w:szCs w:val="18"/>
        </w:rPr>
      </w:pPr>
      <w:r w:rsidRPr="009E5207">
        <w:rPr>
          <w:rFonts w:ascii="Arial" w:hAnsi="Arial" w:cs="Arial"/>
          <w:sz w:val="18"/>
          <w:szCs w:val="18"/>
        </w:rPr>
        <w:t xml:space="preserve">Boston Medical Center Corporation; </w:t>
      </w:r>
    </w:p>
    <w:p w14:paraId="2B08A03E" w14:textId="77777777" w:rsidR="009F7444" w:rsidRPr="009E5207" w:rsidRDefault="009F7444">
      <w:pPr>
        <w:pStyle w:val="FootnoteText"/>
        <w:numPr>
          <w:ilvl w:val="0"/>
          <w:numId w:val="2"/>
        </w:numPr>
        <w:rPr>
          <w:rFonts w:ascii="Arial" w:hAnsi="Arial" w:cs="Arial"/>
          <w:sz w:val="18"/>
          <w:szCs w:val="18"/>
        </w:rPr>
      </w:pPr>
      <w:r w:rsidRPr="009E5207">
        <w:rPr>
          <w:rFonts w:ascii="Arial" w:hAnsi="Arial" w:cs="Arial"/>
          <w:sz w:val="18"/>
          <w:szCs w:val="18"/>
        </w:rPr>
        <w:t xml:space="preserve">Boston Medical Center Health Plan, Inc., a non-profit corporation established to administer the WellSense Health Plan, a managed care organization providing comprehensive health insurance coverage options through Medicaid, Qualified Health Plans, and Senior Care Options to Massachusetts and New Hampshire residents; </w:t>
      </w:r>
    </w:p>
    <w:p w14:paraId="04F82A11" w14:textId="5D68636C" w:rsidR="009F7444" w:rsidRPr="009E5207" w:rsidRDefault="001864B4">
      <w:pPr>
        <w:pStyle w:val="FootnoteText"/>
        <w:numPr>
          <w:ilvl w:val="0"/>
          <w:numId w:val="2"/>
        </w:numPr>
        <w:rPr>
          <w:rFonts w:ascii="Arial" w:hAnsi="Arial" w:cs="Arial"/>
          <w:sz w:val="18"/>
          <w:szCs w:val="18"/>
        </w:rPr>
      </w:pPr>
      <w:r>
        <w:rPr>
          <w:rFonts w:ascii="Arial" w:hAnsi="Arial" w:cs="Arial"/>
          <w:sz w:val="18"/>
          <w:szCs w:val="18"/>
        </w:rPr>
        <w:t>Clearway Health</w:t>
      </w:r>
      <w:r w:rsidR="009F7444" w:rsidRPr="009E5207">
        <w:rPr>
          <w:rFonts w:ascii="Arial" w:hAnsi="Arial" w:cs="Arial"/>
          <w:sz w:val="18"/>
          <w:szCs w:val="18"/>
        </w:rPr>
        <w:t xml:space="preserve">, LLC, a pharmacy management services business with expertise in the operation of advanced health system specialty pharmacy programs; and </w:t>
      </w:r>
    </w:p>
    <w:p w14:paraId="3F7282DA" w14:textId="77777777" w:rsidR="009F7444" w:rsidRPr="009E5207" w:rsidRDefault="009F7444">
      <w:pPr>
        <w:pStyle w:val="FootnoteText"/>
        <w:numPr>
          <w:ilvl w:val="0"/>
          <w:numId w:val="2"/>
        </w:numPr>
        <w:rPr>
          <w:rFonts w:ascii="Arial" w:hAnsi="Arial" w:cs="Arial"/>
          <w:sz w:val="18"/>
          <w:szCs w:val="18"/>
        </w:rPr>
      </w:pPr>
      <w:r w:rsidRPr="009E5207">
        <w:rPr>
          <w:rFonts w:ascii="Arial" w:hAnsi="Arial" w:cs="Arial"/>
          <w:sz w:val="18"/>
          <w:szCs w:val="18"/>
        </w:rPr>
        <w:t xml:space="preserve">BMC Insurance Co., Ltd. of Vermont, a non-profit dormant captive insurance company originally formed to provide insurance coverage for property and certain liability exposures arising from acts of terrorism under the Terrorism Risk Insurance Act of 2002. </w:t>
      </w:r>
    </w:p>
    <w:p w14:paraId="2712B346" w14:textId="77777777" w:rsidR="009F7444" w:rsidRPr="009E5207" w:rsidRDefault="009F7444" w:rsidP="009F76F1">
      <w:pPr>
        <w:pStyle w:val="FootnoteText"/>
        <w:rPr>
          <w:rFonts w:ascii="Arial" w:hAnsi="Arial" w:cs="Arial"/>
          <w:sz w:val="18"/>
          <w:szCs w:val="18"/>
        </w:rPr>
      </w:pPr>
      <w:r w:rsidRPr="009E5207">
        <w:rPr>
          <w:rFonts w:ascii="Arial" w:hAnsi="Arial" w:cs="Arial"/>
          <w:sz w:val="18"/>
          <w:szCs w:val="18"/>
        </w:rPr>
        <w:t>BMC Health System is the sole corporate member of each of the four entities.</w:t>
      </w:r>
    </w:p>
  </w:footnote>
  <w:footnote w:id="2">
    <w:p w14:paraId="13744240" w14:textId="77777777" w:rsidR="009F7444" w:rsidRPr="009E5207" w:rsidRDefault="009F7444" w:rsidP="009D6A08">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BUMG is jointly owned and operated by Boston Medical Center Corporation and the Boston University Chobanian &amp; Avedisian School of Medicine.</w:t>
      </w:r>
    </w:p>
  </w:footnote>
  <w:footnote w:id="3">
    <w:p w14:paraId="6E1E3F1B" w14:textId="77777777" w:rsidR="009F7444" w:rsidRPr="009E5207" w:rsidRDefault="009F7444" w:rsidP="00736070">
      <w:pPr>
        <w:rPr>
          <w:rFonts w:ascii="Arial" w:hAnsi="Arial" w:cs="Arial"/>
          <w:color w:val="000000" w:themeColor="text1"/>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hAnsi="Arial" w:cs="Arial"/>
          <w:color w:val="000000" w:themeColor="text1"/>
          <w:sz w:val="18"/>
          <w:szCs w:val="18"/>
        </w:rPr>
        <w:t xml:space="preserve">Please note that BMC’s patient panel does not include utilization of patient care services at the following locations: </w:t>
      </w:r>
    </w:p>
    <w:p w14:paraId="1967CEF2" w14:textId="77777777" w:rsidR="009F7444" w:rsidRPr="009E5207" w:rsidRDefault="009F7444">
      <w:pPr>
        <w:pStyle w:val="ListParagraph"/>
        <w:numPr>
          <w:ilvl w:val="0"/>
          <w:numId w:val="13"/>
        </w:numPr>
        <w:rPr>
          <w:rFonts w:ascii="Arial" w:hAnsi="Arial" w:cs="Arial"/>
          <w:color w:val="000000" w:themeColor="text1"/>
          <w:sz w:val="18"/>
          <w:szCs w:val="18"/>
        </w:rPr>
      </w:pPr>
      <w:r w:rsidRPr="009E5207">
        <w:rPr>
          <w:rFonts w:ascii="Arial" w:hAnsi="Arial" w:cs="Arial"/>
          <w:color w:val="000000" w:themeColor="text1"/>
          <w:sz w:val="18"/>
          <w:szCs w:val="18"/>
        </w:rPr>
        <w:t xml:space="preserve">Codman Square Health Center (“CSHC”), including </w:t>
      </w:r>
      <w:r w:rsidRPr="009E5207">
        <w:rPr>
          <w:rFonts w:ascii="Arial" w:hAnsi="Arial" w:cs="Arial"/>
          <w:color w:val="000000" w:themeColor="text1"/>
          <w:sz w:val="18"/>
          <w:szCs w:val="18"/>
          <w:shd w:val="clear" w:color="auto" w:fill="FFFFFF"/>
        </w:rPr>
        <w:t>CSHC and TechBoston Academy School Health Center;</w:t>
      </w:r>
    </w:p>
    <w:p w14:paraId="3E7ACF30" w14:textId="77777777" w:rsidR="009F7444" w:rsidRPr="009E5207" w:rsidRDefault="009F7444">
      <w:pPr>
        <w:pStyle w:val="ListParagraph"/>
        <w:numPr>
          <w:ilvl w:val="0"/>
          <w:numId w:val="13"/>
        </w:numPr>
        <w:rPr>
          <w:rFonts w:ascii="Arial" w:hAnsi="Arial" w:cs="Arial"/>
          <w:color w:val="000000" w:themeColor="text1"/>
          <w:sz w:val="18"/>
          <w:szCs w:val="18"/>
        </w:rPr>
      </w:pPr>
      <w:r w:rsidRPr="009E5207">
        <w:rPr>
          <w:rFonts w:ascii="Arial" w:hAnsi="Arial" w:cs="Arial"/>
          <w:color w:val="000000" w:themeColor="text1"/>
          <w:sz w:val="18"/>
          <w:szCs w:val="18"/>
        </w:rPr>
        <w:t>East Boston Neighborhood Health Center (“EBNHC”), including EBNHC’s 20 Maverick Square, 79 Paris Street, and 10 Gove Street locations; EBHS School Based Health Center; Winthrop Community Health Center; and South End Community Health Center, including its 1601 Washington Street and 400 Shawmut Ave locations;</w:t>
      </w:r>
    </w:p>
    <w:p w14:paraId="086B43E6" w14:textId="77777777" w:rsidR="009F7444" w:rsidRPr="009E5207" w:rsidRDefault="009F7444">
      <w:pPr>
        <w:pStyle w:val="ListParagraph"/>
        <w:numPr>
          <w:ilvl w:val="0"/>
          <w:numId w:val="13"/>
        </w:numPr>
        <w:rPr>
          <w:rFonts w:ascii="Arial" w:hAnsi="Arial" w:cs="Arial"/>
          <w:color w:val="000000" w:themeColor="text1"/>
          <w:sz w:val="18"/>
          <w:szCs w:val="18"/>
        </w:rPr>
      </w:pPr>
      <w:r w:rsidRPr="009E5207">
        <w:rPr>
          <w:rFonts w:ascii="Arial" w:hAnsi="Arial" w:cs="Arial"/>
          <w:color w:val="000000" w:themeColor="text1"/>
          <w:sz w:val="18"/>
          <w:szCs w:val="18"/>
        </w:rPr>
        <w:t>DotHouse Health;</w:t>
      </w:r>
    </w:p>
    <w:p w14:paraId="161891C5" w14:textId="77777777" w:rsidR="009F7444" w:rsidRPr="009E5207" w:rsidRDefault="009F7444">
      <w:pPr>
        <w:pStyle w:val="ListParagraph"/>
        <w:numPr>
          <w:ilvl w:val="0"/>
          <w:numId w:val="13"/>
        </w:numPr>
        <w:rPr>
          <w:rFonts w:ascii="Arial" w:hAnsi="Arial" w:cs="Arial"/>
          <w:color w:val="000000" w:themeColor="text1"/>
          <w:sz w:val="18"/>
          <w:szCs w:val="18"/>
        </w:rPr>
      </w:pPr>
      <w:r w:rsidRPr="009E5207">
        <w:rPr>
          <w:rFonts w:ascii="Arial" w:hAnsi="Arial" w:cs="Arial"/>
          <w:color w:val="000000" w:themeColor="text1"/>
          <w:sz w:val="18"/>
          <w:szCs w:val="18"/>
        </w:rPr>
        <w:t xml:space="preserve">South Boston Community Health Center ("SBCHC"), including SBCHC’s </w:t>
      </w:r>
      <w:r w:rsidRPr="009E5207">
        <w:rPr>
          <w:rFonts w:ascii="Arial" w:hAnsi="Arial" w:cs="Arial"/>
          <w:color w:val="000000" w:themeColor="text1"/>
          <w:sz w:val="18"/>
          <w:szCs w:val="18"/>
          <w:shd w:val="clear" w:color="auto" w:fill="FFFFFF"/>
        </w:rPr>
        <w:t xml:space="preserve">386 West Broadway, 409 West Broadway, and 505 Congress Street locations; and </w:t>
      </w:r>
    </w:p>
    <w:p w14:paraId="479CE36B" w14:textId="77777777" w:rsidR="009F7444" w:rsidRPr="009E5207" w:rsidRDefault="009F7444">
      <w:pPr>
        <w:pStyle w:val="ListParagraph"/>
        <w:numPr>
          <w:ilvl w:val="0"/>
          <w:numId w:val="13"/>
        </w:numPr>
        <w:rPr>
          <w:rFonts w:ascii="Arial" w:hAnsi="Arial" w:cs="Arial"/>
          <w:color w:val="000000" w:themeColor="text1"/>
          <w:sz w:val="18"/>
          <w:szCs w:val="18"/>
        </w:rPr>
      </w:pPr>
      <w:r w:rsidRPr="009E5207">
        <w:rPr>
          <w:rFonts w:ascii="Arial" w:hAnsi="Arial" w:cs="Arial"/>
          <w:color w:val="000000" w:themeColor="text1"/>
          <w:sz w:val="18"/>
          <w:szCs w:val="18"/>
          <w:shd w:val="clear" w:color="auto" w:fill="FFFFFF"/>
        </w:rPr>
        <w:t>Greater Roslindale Medical &amp; Dental.</w:t>
      </w:r>
    </w:p>
    <w:p w14:paraId="68CD6A31" w14:textId="77777777" w:rsidR="009F7444" w:rsidRPr="009E5207" w:rsidRDefault="009F7444" w:rsidP="00DA71A4">
      <w:pPr>
        <w:rPr>
          <w:rFonts w:ascii="Arial" w:hAnsi="Arial" w:cs="Arial"/>
          <w:sz w:val="18"/>
          <w:szCs w:val="18"/>
        </w:rPr>
      </w:pPr>
      <w:r w:rsidRPr="009E5207">
        <w:rPr>
          <w:rFonts w:ascii="Arial" w:hAnsi="Arial" w:cs="Arial"/>
          <w:color w:val="000000" w:themeColor="text1"/>
          <w:sz w:val="18"/>
          <w:szCs w:val="18"/>
        </w:rPr>
        <w:t>Although listed on BMC’s hospital license, these providers are freestanding and utilize distinct data collection systems. With regard to the CHCs, the Applicant notes these providers are subject to federal standards which require them to collect data on a calendar year basis, and, therefore that the data for each cannot be amalgamated with the Hospital’s data which are collected on a FY basis. With regard to Greater Roslindale Medical &amp; Dental, the Applicant notes that the satellite utilizes an IT mechanism different from that of the Hospital which makes it difficult to achieve amalgamation without duplication of patient counts. Given these data aggregation challenges, patient panel data for each of the five (5) providers listed above are outlined separately at Appendix</w:t>
      </w:r>
      <w:r w:rsidRPr="009E5207">
        <w:rPr>
          <w:rFonts w:ascii="Arial" w:hAnsi="Arial" w:cs="Arial"/>
          <w:sz w:val="18"/>
          <w:szCs w:val="18"/>
        </w:rPr>
        <w:t xml:space="preserve"> 3A</w:t>
      </w:r>
      <w:r w:rsidRPr="009E5207">
        <w:rPr>
          <w:rFonts w:ascii="Arial" w:hAnsi="Arial" w:cs="Arial"/>
          <w:color w:val="000000" w:themeColor="text1"/>
          <w:sz w:val="18"/>
          <w:szCs w:val="18"/>
        </w:rPr>
        <w:t>. Notwithstanding these current data aggregation challenges, the Applicant notes that systems and processes are in place to ensure coordination of care, appropriate care transitions, and information sharing across BMC’s various locations.</w:t>
      </w:r>
    </w:p>
  </w:footnote>
  <w:footnote w:id="4">
    <w:p w14:paraId="2B6FD057" w14:textId="77777777"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 experienced a decrease in patients, visits, and discharges for several months in FY22 due to multiple factors. Specifically, in response to the COVID-19 Omicron surge, BMC, like many hospitals across the state, was subject to guidance mandating the reduction of non-essential, non-urgent surgical procedures and, therefore, experienced a decline in elective surgical inpatient care for a portion of FY22. Additionally, the Hospital experienced increases in COVID-19 patients requiring a higher level of inpatient care and longer lengths of stay as well as increases in acute non-COVID-19 patients during this time. These factors, as well as others (e.g., statewide staffing shortages, a decrease in COVID-19 vaccines as compared to earlier years, etc.), contribute to the data outlined in Table 1, which shows lower rates of patients and visits as compared to FY21, but nonetheless higher rates of patients and visits overall between FY20-FY22. </w:t>
      </w:r>
    </w:p>
  </w:footnote>
  <w:footnote w:id="5">
    <w:p w14:paraId="7B985AB7" w14:textId="77777777"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bookmarkStart w:id="0" w:name="_Hlk110938152"/>
      <w:r w:rsidRPr="009E5207">
        <w:rPr>
          <w:rFonts w:ascii="Arial" w:hAnsi="Arial" w:cs="Arial"/>
          <w:sz w:val="18"/>
          <w:szCs w:val="18"/>
        </w:rPr>
        <w:t xml:space="preserve"> </w:t>
      </w:r>
      <w:r w:rsidRPr="009E5207">
        <w:rPr>
          <w:rFonts w:ascii="Arial" w:hAnsi="Arial" w:cs="Arial"/>
          <w:color w:val="000000" w:themeColor="text1"/>
          <w:sz w:val="18"/>
          <w:szCs w:val="18"/>
        </w:rPr>
        <w:t xml:space="preserve">The unique patient/visit counts outlined in Table 1 include COVID-19 vaccination patients/visits. In FY21, the Hospital provided approximately 196K COVID-19 vaccinations during vaccine only visits. In FY22, the Hospital provided approximately 68K COVID-19 vaccinations during vaccine only visits. </w:t>
      </w:r>
      <w:r w:rsidRPr="009E5207">
        <w:rPr>
          <w:rFonts w:ascii="Arial" w:hAnsi="Arial" w:cs="Arial"/>
          <w:sz w:val="18"/>
          <w:szCs w:val="18"/>
        </w:rPr>
        <w:t>After accounting for these data, BMC’s patient panel visits in FY22 still represent an incr</w:t>
      </w:r>
      <w:bookmarkEnd w:id="0"/>
      <w:r w:rsidRPr="009E5207">
        <w:rPr>
          <w:rFonts w:ascii="Arial" w:hAnsi="Arial" w:cs="Arial"/>
          <w:sz w:val="18"/>
          <w:szCs w:val="18"/>
        </w:rPr>
        <w:t>ease from FY20.</w:t>
      </w:r>
    </w:p>
  </w:footnote>
  <w:footnote w:id="6">
    <w:p w14:paraId="4DDE5D36" w14:textId="77777777" w:rsidR="0078426F" w:rsidRPr="009E5207" w:rsidRDefault="0078426F" w:rsidP="0078426F">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BMC's FY is from 10/1 – 9/30. FY23 data are provided YTD through 3/2023 and, therefore, are subject to change. Accordingly, caution should be exercised in utilizing these data for purposes of annual comparisons. Please note that FY23 data are inclusive of patients seen at BBHC, which opened in October 2022. </w:t>
      </w:r>
    </w:p>
  </w:footnote>
  <w:footnote w:id="7">
    <w:p w14:paraId="230BDB77" w14:textId="77777777" w:rsidR="00EB4FB2" w:rsidRPr="009E5207" w:rsidRDefault="00EB4FB2" w:rsidP="00727C10">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eastAsiaTheme="minorHAnsi" w:hAnsi="Arial" w:cs="Arial"/>
          <w:sz w:val="18"/>
          <w:szCs w:val="18"/>
        </w:rPr>
        <w:t>Race/ethnicity data are based on patient self-reporting. For patients that reported multiple races, the primary race (the race selected first) was utilized for purposes of this DoN data pull.</w:t>
      </w:r>
    </w:p>
  </w:footnote>
  <w:footnote w:id="8">
    <w:p w14:paraId="18EF29EB" w14:textId="77777777" w:rsidR="009F7444" w:rsidRPr="009E5207" w:rsidRDefault="009F7444" w:rsidP="00EF2F8A">
      <w:pPr>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eastAsiaTheme="minorHAnsi" w:hAnsi="Arial" w:cs="Arial"/>
          <w:sz w:val="18"/>
          <w:szCs w:val="18"/>
        </w:rPr>
        <w:t>Other” includes: Not Specified, Other, Declined - Not Available, and Unknown.</w:t>
      </w:r>
    </w:p>
  </w:footnote>
  <w:footnote w:id="9">
    <w:p w14:paraId="2A27CD00" w14:textId="77777777" w:rsidR="00EB4FB2" w:rsidRPr="009E5207" w:rsidRDefault="00EB4FB2" w:rsidP="00727C10">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Corresponding zip codes are: Dorchester (02121, 02122, 02124, 02125); Boston (02104, 02108 – 02118, 02123, 02127, 02128, 02133, 02163, 02196, 02199, 02201, 02205, 02206, 02210, 02212, 02215 – 02217, 02241); Roxbury (02119, 02120); Brockton (02301 – 02304); Mattapan (02126); Hyde Park (02136); Revere (02151); Quincy (02169 – 02171, 02269); Chelsea (02150); and Lynn (01901 – 01905).</w:t>
      </w:r>
    </w:p>
  </w:footnote>
  <w:footnote w:id="10">
    <w:p w14:paraId="53F04E6B" w14:textId="77777777"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BMC's FY is from 10/1 – 9/30. FY23 data are provided YTD through 3/2023 and, therefore, are subject to change. Accordingly, caution should be exercised in utilizing these data for purposes of annual comparisons. Please note that FY23 data are inclusive of patients seen at BBHC, which opened in October 2022.</w:t>
      </w:r>
    </w:p>
  </w:footnote>
  <w:footnote w:id="11">
    <w:p w14:paraId="44FD3B68" w14:textId="77777777" w:rsidR="009F7444" w:rsidRPr="009E5207" w:rsidRDefault="009F7444" w:rsidP="00201D19">
      <w:pPr>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“Commercial” includes: Aetna, Allways Health Partners, Blue Cross Blue Shield, </w:t>
      </w:r>
      <w:bookmarkStart w:id="2" w:name="x__Hlk110502784"/>
      <w:r w:rsidRPr="009E5207">
        <w:rPr>
          <w:rFonts w:ascii="Arial" w:hAnsi="Arial" w:cs="Arial"/>
          <w:sz w:val="18"/>
          <w:szCs w:val="18"/>
        </w:rPr>
        <w:t>WellSense Health Plan</w:t>
      </w:r>
      <w:bookmarkEnd w:id="2"/>
    </w:p>
    <w:p w14:paraId="41DCEB22" w14:textId="77777777" w:rsidR="009F7444" w:rsidRPr="009E5207" w:rsidRDefault="009F7444" w:rsidP="00E8351E">
      <w:pPr>
        <w:pStyle w:val="FootnoteText"/>
        <w:rPr>
          <w:rFonts w:ascii="Arial" w:hAnsi="Arial" w:cs="Arial"/>
          <w:sz w:val="18"/>
          <w:szCs w:val="18"/>
        </w:rPr>
      </w:pPr>
      <w:r w:rsidRPr="009E5207">
        <w:rPr>
          <w:rFonts w:ascii="Arial" w:hAnsi="Arial" w:cs="Arial"/>
          <w:sz w:val="18"/>
          <w:szCs w:val="18"/>
        </w:rPr>
        <w:t>f/k/a BMC HealthNet, Cigna, Fallon, Harvard Pilgrim Health Care, Tufts, United, and Other Commercial Plan.</w:t>
      </w:r>
    </w:p>
  </w:footnote>
  <w:footnote w:id="12">
    <w:p w14:paraId="533555D6" w14:textId="77777777" w:rsidR="009F7444" w:rsidRPr="009E5207" w:rsidRDefault="009F7444" w:rsidP="00E8351E">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Please note that in some instances, the Applicant is not able to easily isolate whether a Commercial plan is HMO/POS or PPO/Indemnity. In these instances, in an effort to offer a complete payer mix for the patient panel, “Commercial – Other” has been provided an alternative category.</w:t>
      </w:r>
    </w:p>
  </w:footnote>
  <w:footnote w:id="13">
    <w:p w14:paraId="402ACE74" w14:textId="77777777" w:rsidR="009F7444" w:rsidRPr="009E5207" w:rsidRDefault="009F7444" w:rsidP="00E8351E">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“All Other”: Workers Comp, Motor Vehicle Accident, Government Other (e.g., Corrections, TriCare, VA), COVID-19 HRSA Uninsured Treatment Fund, International, Other Payer, and Not Specified.</w:t>
      </w:r>
    </w:p>
  </w:footnote>
  <w:footnote w:id="14">
    <w:p w14:paraId="4367BCA0" w14:textId="77777777" w:rsidR="003F28F2" w:rsidRPr="009E5207" w:rsidRDefault="003F28F2" w:rsidP="003F28F2">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BMC's FY is from 10/1 – 9/30. FY23 data are provided YTD through 3/2023 and, therefore, are subject to change. Accordingly, caution should be exercised in utilizing these data for purposes of annual comparisons.</w:t>
      </w:r>
    </w:p>
  </w:footnote>
  <w:footnote w:id="15">
    <w:p w14:paraId="21848622" w14:textId="77777777"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I</w:t>
      </w:r>
      <w:r w:rsidRPr="009E5207">
        <w:rPr>
          <w:rFonts w:ascii="Arial" w:eastAsiaTheme="minorHAnsi" w:hAnsi="Arial" w:cs="Arial"/>
          <w:sz w:val="18"/>
          <w:szCs w:val="18"/>
        </w:rPr>
        <w:t>ncludes: "Male" and "Other/Unknown" for confidentiality due to regulations related to data with counts &lt;11.</w:t>
      </w:r>
    </w:p>
  </w:footnote>
  <w:footnote w:id="16">
    <w:p w14:paraId="741A7794" w14:textId="77777777"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I</w:t>
      </w:r>
      <w:r w:rsidRPr="009E5207">
        <w:rPr>
          <w:rFonts w:ascii="Arial" w:eastAsiaTheme="minorHAnsi" w:hAnsi="Arial" w:cs="Arial"/>
          <w:sz w:val="18"/>
          <w:szCs w:val="18"/>
        </w:rPr>
        <w:t>ncludes: "65+" and " Unknown" for confidentiality due to regulations related to data with counts &lt;11.</w:t>
      </w:r>
    </w:p>
  </w:footnote>
  <w:footnote w:id="17">
    <w:p w14:paraId="366A4F91" w14:textId="77777777" w:rsidR="00290CD0" w:rsidRPr="009E5207" w:rsidRDefault="00290CD0" w:rsidP="00290CD0">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eastAsiaTheme="minorHAnsi" w:hAnsi="Arial" w:cs="Arial"/>
          <w:sz w:val="18"/>
          <w:szCs w:val="18"/>
        </w:rPr>
        <w:t>Race/ethnicity data are based on patient self-reporting. For patients that reported multiple races, the primary race (the race selected first) was utilized for purposes of this DoN data pull.</w:t>
      </w:r>
    </w:p>
  </w:footnote>
  <w:footnote w:id="18">
    <w:p w14:paraId="277B4F9C" w14:textId="77777777" w:rsidR="009F7444" w:rsidRPr="009E5207" w:rsidRDefault="009F7444" w:rsidP="00BB5A55">
      <w:pPr>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eastAsiaTheme="minorHAnsi" w:hAnsi="Arial" w:cs="Arial"/>
          <w:sz w:val="18"/>
          <w:szCs w:val="18"/>
        </w:rPr>
        <w:t>Other” includes: Not Specified, Other, Declined - Not Available, and Unknown.</w:t>
      </w:r>
    </w:p>
  </w:footnote>
  <w:footnote w:id="19">
    <w:p w14:paraId="40A9D6A8" w14:textId="77777777" w:rsidR="00290CD0" w:rsidRPr="009E5207" w:rsidRDefault="00290CD0" w:rsidP="00290CD0">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Corresponding zip codes are: Dorchester (02121, 02122, 02124, 02125); Boston (02104, 02108 – 02118, 02123, 02127, 02128, 02133, 02163, 02196, 02199, 02201, 02205, 02206, 02210, 02212, 02215 – 02217, 02241); Roxbury (02119, 02120); Brockton (02301 – 02304); Revere (02151); Chelsea (02150); Mattapan (02126); Quincy (02169 – 02171, 02269); Lynn (01901 – 01905); and Hyde Park (02136).</w:t>
      </w:r>
    </w:p>
  </w:footnote>
  <w:footnote w:id="20">
    <w:p w14:paraId="4E9CD3B5" w14:textId="77777777" w:rsidR="009F7444" w:rsidRPr="009E5207" w:rsidRDefault="009F7444" w:rsidP="00BA11EB">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BMC's FY is from 10/1 – 9/30. FY23 data is provided YTD through 3/2023 and, therefore, is subject to change.</w:t>
      </w:r>
    </w:p>
  </w:footnote>
  <w:footnote w:id="21">
    <w:p w14:paraId="71729713" w14:textId="77777777" w:rsidR="009F7444" w:rsidRPr="009E5207" w:rsidRDefault="009F7444" w:rsidP="00201D19">
      <w:pPr>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“Commercial” includes: Aetna, Allways Health Partners, Blue Cross Blue Shield, WellSense Health Plan</w:t>
      </w:r>
    </w:p>
    <w:p w14:paraId="541AA950" w14:textId="77777777" w:rsidR="009F7444" w:rsidRPr="009E5207" w:rsidRDefault="009F7444" w:rsidP="00201D19">
      <w:pPr>
        <w:pStyle w:val="FootnoteText"/>
        <w:rPr>
          <w:rFonts w:ascii="Arial" w:hAnsi="Arial" w:cs="Arial"/>
          <w:sz w:val="18"/>
          <w:szCs w:val="18"/>
        </w:rPr>
      </w:pPr>
      <w:r w:rsidRPr="009E5207">
        <w:rPr>
          <w:rFonts w:ascii="Arial" w:hAnsi="Arial" w:cs="Arial"/>
          <w:sz w:val="18"/>
          <w:szCs w:val="18"/>
        </w:rPr>
        <w:t>f/k/a BMC HealthNet, Cigna, Fallon, Harvard Pilgrim Health Care, Tufts, United, and Other Commercial Plan.</w:t>
      </w:r>
    </w:p>
  </w:footnote>
  <w:footnote w:id="22">
    <w:p w14:paraId="1DDE542E" w14:textId="77777777" w:rsidR="009F7444" w:rsidRPr="009E5207" w:rsidRDefault="009F7444" w:rsidP="00BA11EB">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Please note that in some instances, the Applicant is not able to easily isolate whether a Commercial plan is HMO/POS or PPO/Indemnity. In these instances, in an effort to offer a complete payer mix for the patient panel, “Commercial – Other” has been provided an alternative category.</w:t>
      </w:r>
    </w:p>
  </w:footnote>
  <w:footnote w:id="23">
    <w:p w14:paraId="755034AF" w14:textId="77777777" w:rsidR="009F7444" w:rsidRPr="009E5207" w:rsidRDefault="009F7444" w:rsidP="00BA11EB">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“All Other” includes: Workers Comp, Motor Vehicle Accident, Government Other (e.g., Corrections, TriCare, VA), COVID-19 HRSA Uninsured Treatment Fund, International, Other Payer, and Not Specified. </w:t>
      </w:r>
      <w:r w:rsidRPr="009E5207">
        <w:rPr>
          <w:rFonts w:ascii="Arial" w:hAnsi="Arial" w:cs="Arial"/>
          <w:sz w:val="18"/>
          <w:szCs w:val="18"/>
          <w:highlight w:val="yellow"/>
        </w:rPr>
        <w:t xml:space="preserve"> </w:t>
      </w:r>
    </w:p>
  </w:footnote>
  <w:footnote w:id="24">
    <w:p w14:paraId="210224D2" w14:textId="77777777" w:rsidR="009F7444" w:rsidRPr="009E5207" w:rsidRDefault="009F7444" w:rsidP="00904389">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BMC's FY is from 10/1 – 9/30. FY23 data is provided YTD through 3/2023 and, therefore, is subject to change.</w:t>
      </w:r>
    </w:p>
  </w:footnote>
  <w:footnote w:id="25">
    <w:p w14:paraId="6A4B60E1" w14:textId="77777777" w:rsidR="009F7444" w:rsidRPr="009E5207" w:rsidRDefault="009F7444" w:rsidP="00175C22">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Please note that the inpatient number provided also includes ED patients, observation patients, and bedded outpatients.</w:t>
      </w:r>
    </w:p>
  </w:footnote>
  <w:footnote w:id="26">
    <w:p w14:paraId="68D09AB6" w14:textId="77777777"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Please note that the inpatient number provided also includes ED patients, observation patients, and bedded outpatients. Additionally, please note that outpatient wait times are based on the third next available appointment. This is industry standard and measures average length of time in days between the day a patient makes a request for an appointment and the third available appointment available.</w:t>
      </w:r>
    </w:p>
  </w:footnote>
  <w:footnote w:id="27">
    <w:p w14:paraId="25CC2571" w14:textId="72532CB3" w:rsidR="009F7444" w:rsidRPr="00DD3D84" w:rsidRDefault="009F7444" w:rsidP="0038109A">
      <w:pPr>
        <w:rPr>
          <w:rFonts w:ascii="Arial" w:hAnsi="Arial" w:cs="Arial"/>
          <w:sz w:val="18"/>
          <w:szCs w:val="18"/>
        </w:rPr>
      </w:pPr>
      <w:r w:rsidRPr="00DD3D84">
        <w:rPr>
          <w:rStyle w:val="FootnoteReference"/>
          <w:rFonts w:ascii="Arial" w:hAnsi="Arial" w:cs="Arial"/>
          <w:sz w:val="18"/>
          <w:szCs w:val="18"/>
        </w:rPr>
        <w:footnoteRef/>
      </w:r>
      <w:r w:rsidRPr="00DD3D84">
        <w:rPr>
          <w:rFonts w:ascii="Arial" w:hAnsi="Arial" w:cs="Arial"/>
          <w:sz w:val="18"/>
          <w:szCs w:val="18"/>
        </w:rPr>
        <w:t xml:space="preserve"> </w:t>
      </w:r>
      <w:hyperlink r:id="rId1" w:history="1">
        <w:r w:rsidRPr="00DD3D84">
          <w:rPr>
            <w:rStyle w:val="Hyperlink"/>
            <w:rFonts w:ascii="Arial" w:hAnsi="Arial" w:cs="Arial"/>
            <w:i/>
            <w:iCs/>
            <w:color w:val="auto"/>
            <w:sz w:val="18"/>
            <w:szCs w:val="18"/>
            <w:u w:val="none"/>
          </w:rPr>
          <w:t>UMDI-DOT Vintage 2018 – EXCEL Age/Sex Details</w:t>
        </w:r>
      </w:hyperlink>
      <w:r w:rsidRPr="00DD3D84">
        <w:rPr>
          <w:rFonts w:ascii="Arial" w:hAnsi="Arial" w:cs="Arial"/>
          <w:sz w:val="18"/>
          <w:szCs w:val="18"/>
        </w:rPr>
        <w:t xml:space="preserve">, </w:t>
      </w:r>
      <w:r w:rsidRPr="00DD3D84">
        <w:rPr>
          <w:rFonts w:ascii="Arial" w:hAnsi="Arial" w:cs="Arial"/>
          <w:smallCaps/>
          <w:sz w:val="18"/>
          <w:szCs w:val="18"/>
        </w:rPr>
        <w:t>Massachusetts Population Estimates Program, UMass Donahue Institute</w:t>
      </w:r>
      <w:r w:rsidRPr="00DD3D84">
        <w:rPr>
          <w:rFonts w:ascii="Arial" w:hAnsi="Arial" w:cs="Arial"/>
          <w:sz w:val="18"/>
          <w:szCs w:val="18"/>
        </w:rPr>
        <w:t xml:space="preserve">, </w:t>
      </w:r>
      <w:hyperlink r:id="rId2" w:history="1">
        <w:r w:rsidR="00DD3D84" w:rsidRPr="00DD3D84">
          <w:rPr>
            <w:rStyle w:val="Hyperlink"/>
            <w:rFonts w:ascii="Arial" w:hAnsi="Arial" w:cs="Arial"/>
            <w:color w:val="auto"/>
            <w:sz w:val="18"/>
            <w:szCs w:val="18"/>
            <w:u w:val="none"/>
          </w:rPr>
          <w:t>http://pep.donahue-institute.org/publications/AgeSexDetails_UMDI-DOT_V2018.xlsx</w:t>
        </w:r>
      </w:hyperlink>
      <w:r w:rsidR="00DD3D84" w:rsidRPr="00DD3D84">
        <w:rPr>
          <w:rFonts w:ascii="Arial" w:hAnsi="Arial" w:cs="Arial"/>
          <w:sz w:val="18"/>
          <w:szCs w:val="18"/>
        </w:rPr>
        <w:t xml:space="preserve"> </w:t>
      </w:r>
      <w:r w:rsidRPr="00DD3D84">
        <w:rPr>
          <w:rFonts w:ascii="Arial" w:hAnsi="Arial" w:cs="Arial"/>
          <w:sz w:val="18"/>
          <w:szCs w:val="18"/>
        </w:rPr>
        <w:t>.</w:t>
      </w:r>
    </w:p>
  </w:footnote>
  <w:footnote w:id="28">
    <w:p w14:paraId="23C5140E" w14:textId="77777777" w:rsidR="009F7444" w:rsidRPr="00DD3D84" w:rsidRDefault="009F7444" w:rsidP="00DD0A69">
      <w:pPr>
        <w:pStyle w:val="FootnoteText"/>
        <w:rPr>
          <w:rFonts w:ascii="Arial" w:hAnsi="Arial" w:cs="Arial"/>
          <w:sz w:val="18"/>
          <w:szCs w:val="18"/>
        </w:rPr>
      </w:pPr>
      <w:r w:rsidRPr="00DD3D84">
        <w:rPr>
          <w:rStyle w:val="FootnoteReference"/>
          <w:rFonts w:ascii="Arial" w:hAnsi="Arial" w:cs="Arial"/>
          <w:sz w:val="18"/>
          <w:szCs w:val="18"/>
        </w:rPr>
        <w:footnoteRef/>
      </w:r>
      <w:r w:rsidRPr="00DD3D84">
        <w:rPr>
          <w:rFonts w:ascii="Arial" w:hAnsi="Arial" w:cs="Arial"/>
          <w:sz w:val="18"/>
          <w:szCs w:val="18"/>
        </w:rPr>
        <w:t xml:space="preserve"> </w:t>
      </w:r>
      <w:r w:rsidRPr="00DD3D84">
        <w:rPr>
          <w:rFonts w:ascii="Arial" w:hAnsi="Arial" w:cs="Arial"/>
          <w:i/>
          <w:iCs/>
          <w:sz w:val="18"/>
          <w:szCs w:val="18"/>
        </w:rPr>
        <w:t>Id.</w:t>
      </w:r>
    </w:p>
  </w:footnote>
  <w:footnote w:id="29">
    <w:p w14:paraId="5A9F12CF" w14:textId="77777777" w:rsidR="009F7444" w:rsidRPr="00DD3D84" w:rsidRDefault="009F7444" w:rsidP="00DD0A69">
      <w:pPr>
        <w:pStyle w:val="FootnoteText"/>
        <w:rPr>
          <w:rFonts w:ascii="Arial" w:hAnsi="Arial" w:cs="Arial"/>
          <w:sz w:val="18"/>
          <w:szCs w:val="18"/>
          <w:highlight w:val="cyan"/>
        </w:rPr>
      </w:pPr>
      <w:r w:rsidRPr="00DD3D84">
        <w:rPr>
          <w:rStyle w:val="FootnoteReference"/>
          <w:rFonts w:ascii="Arial" w:hAnsi="Arial" w:cs="Arial"/>
          <w:sz w:val="18"/>
          <w:szCs w:val="18"/>
        </w:rPr>
        <w:footnoteRef/>
      </w:r>
      <w:r w:rsidRPr="00DD3D84">
        <w:rPr>
          <w:rFonts w:ascii="Arial" w:hAnsi="Arial" w:cs="Arial"/>
          <w:sz w:val="18"/>
          <w:szCs w:val="18"/>
        </w:rPr>
        <w:t xml:space="preserve"> </w:t>
      </w:r>
      <w:r w:rsidRPr="00DD3D84">
        <w:rPr>
          <w:rFonts w:ascii="Arial" w:hAnsi="Arial" w:cs="Arial"/>
          <w:i/>
          <w:iCs/>
          <w:sz w:val="18"/>
          <w:szCs w:val="18"/>
        </w:rPr>
        <w:t>Id.</w:t>
      </w:r>
    </w:p>
  </w:footnote>
  <w:footnote w:id="30">
    <w:p w14:paraId="23A1721B" w14:textId="12C5ED13" w:rsidR="009F7444" w:rsidRPr="009E5207" w:rsidRDefault="009F7444">
      <w:pPr>
        <w:pStyle w:val="FootnoteText"/>
        <w:rPr>
          <w:rFonts w:ascii="Arial" w:hAnsi="Arial" w:cs="Arial"/>
          <w:sz w:val="18"/>
          <w:szCs w:val="18"/>
        </w:rPr>
      </w:pPr>
      <w:r w:rsidRPr="00DD3D84">
        <w:rPr>
          <w:rStyle w:val="FootnoteReference"/>
          <w:rFonts w:ascii="Arial" w:hAnsi="Arial" w:cs="Arial"/>
          <w:sz w:val="18"/>
          <w:szCs w:val="18"/>
        </w:rPr>
        <w:footnoteRef/>
      </w:r>
      <w:r w:rsidRPr="00DD3D84">
        <w:rPr>
          <w:rFonts w:ascii="Arial" w:hAnsi="Arial" w:cs="Arial"/>
          <w:sz w:val="18"/>
          <w:szCs w:val="18"/>
        </w:rPr>
        <w:t xml:space="preserve"> </w:t>
      </w:r>
      <w:hyperlink r:id="rId3" w:history="1">
        <w:r w:rsidRPr="00DD3D84">
          <w:rPr>
            <w:rStyle w:val="Hyperlink"/>
            <w:rFonts w:ascii="Helvetica" w:hAnsi="Helvetica"/>
            <w:smallCaps/>
            <w:color w:val="auto"/>
            <w:sz w:val="16"/>
            <w:szCs w:val="16"/>
            <w:u w:val="none"/>
          </w:rPr>
          <w:t>World Health Organization, World Report on Aging and Health</w:t>
        </w:r>
      </w:hyperlink>
      <w:r w:rsidRPr="00DD3D84">
        <w:rPr>
          <w:rFonts w:ascii="Helvetica" w:hAnsi="Helvetica"/>
          <w:sz w:val="16"/>
          <w:szCs w:val="16"/>
        </w:rPr>
        <w:t xml:space="preserve"> </w:t>
      </w:r>
      <w:r w:rsidRPr="00DD3D84">
        <w:rPr>
          <w:rFonts w:ascii="Helvetica" w:hAnsi="Helvetica"/>
          <w:sz w:val="18"/>
          <w:szCs w:val="18"/>
        </w:rPr>
        <w:t xml:space="preserve">(2015), </w:t>
      </w:r>
      <w:r w:rsidRPr="00DD3D84">
        <w:rPr>
          <w:rFonts w:ascii="Helvetica" w:hAnsi="Helvetica"/>
          <w:i/>
          <w:iCs/>
          <w:sz w:val="18"/>
          <w:szCs w:val="18"/>
        </w:rPr>
        <w:t xml:space="preserve">available at </w:t>
      </w:r>
      <w:hyperlink r:id="rId4" w:history="1">
        <w:r w:rsidR="00DD3D84" w:rsidRPr="00DD3D84">
          <w:rPr>
            <w:rStyle w:val="Hyperlink"/>
            <w:rFonts w:ascii="Helvetica" w:hAnsi="Helvetica"/>
            <w:color w:val="auto"/>
            <w:sz w:val="18"/>
            <w:szCs w:val="18"/>
            <w:u w:val="none"/>
          </w:rPr>
          <w:t>http://apps.who.inUiris/bitstream/10665/186463/1/9789240694811_eng.pdf</w:t>
        </w:r>
      </w:hyperlink>
      <w:r w:rsidR="00DD3D84" w:rsidRPr="00DD3D84">
        <w:rPr>
          <w:rFonts w:ascii="Helvetica" w:hAnsi="Helvetica"/>
          <w:sz w:val="18"/>
          <w:szCs w:val="18"/>
        </w:rPr>
        <w:t xml:space="preserve"> </w:t>
      </w:r>
      <w:r w:rsidRPr="00DD3D84">
        <w:rPr>
          <w:rFonts w:ascii="Helvetica" w:hAnsi="Helvetica"/>
          <w:sz w:val="18"/>
          <w:szCs w:val="18"/>
        </w:rPr>
        <w:t>.</w:t>
      </w:r>
    </w:p>
  </w:footnote>
  <w:footnote w:id="31">
    <w:p w14:paraId="19D7E65D" w14:textId="70757CD2" w:rsidR="00FF30ED" w:rsidRDefault="00FF30ED">
      <w:pPr>
        <w:pStyle w:val="FootnoteText"/>
      </w:pPr>
      <w:r>
        <w:rPr>
          <w:rStyle w:val="FootnoteReference"/>
        </w:rPr>
        <w:footnoteRef/>
      </w:r>
      <w:r>
        <w:t xml:space="preserve"> </w:t>
      </w:r>
      <w:r w:rsidRPr="003422B8">
        <w:rPr>
          <w:rFonts w:ascii="Arial" w:hAnsi="Arial" w:cs="Arial"/>
          <w:sz w:val="18"/>
          <w:szCs w:val="18"/>
        </w:rPr>
        <w:t>Except for certain holidays, such as Christmas, etc.</w:t>
      </w:r>
    </w:p>
  </w:footnote>
  <w:footnote w:id="32">
    <w:p w14:paraId="03A346A9" w14:textId="77777777" w:rsidR="009F7444" w:rsidRPr="002764A2" w:rsidRDefault="009F7444" w:rsidP="00EF05CA">
      <w:pPr>
        <w:rPr>
          <w:rFonts w:ascii="Arial" w:eastAsiaTheme="minorHAnsi" w:hAnsi="Arial" w:cs="Arial"/>
          <w:kern w:val="2"/>
          <w:sz w:val="18"/>
          <w:szCs w:val="18"/>
          <w14:ligatures w14:val="standardContextual"/>
        </w:rPr>
      </w:pPr>
      <w:r w:rsidRPr="002764A2">
        <w:rPr>
          <w:rStyle w:val="FootnoteReference"/>
          <w:rFonts w:ascii="Arial" w:hAnsi="Arial" w:cs="Arial"/>
          <w:sz w:val="18"/>
          <w:szCs w:val="18"/>
        </w:rPr>
        <w:footnoteRef/>
      </w:r>
      <w:r w:rsidRPr="002764A2">
        <w:rPr>
          <w:rFonts w:ascii="Arial" w:hAnsi="Arial" w:cs="Arial"/>
          <w:sz w:val="18"/>
          <w:szCs w:val="18"/>
        </w:rPr>
        <w:t xml:space="preserve"> </w:t>
      </w:r>
      <w:r w:rsidRPr="002764A2">
        <w:rPr>
          <w:rFonts w:ascii="Arial" w:eastAsiaTheme="minorHAnsi" w:hAnsi="Arial" w:cs="Arial"/>
          <w:kern w:val="2"/>
          <w:sz w:val="18"/>
          <w:szCs w:val="18"/>
          <w14:ligatures w14:val="standardContextual"/>
        </w:rPr>
        <w:t>Chandrajit.P. Raut et al., High Rates of Histopathologic Discordance in Sarcoma with Implications for Clinical Care, J. OF ONCOLOGY PRAG. 29, 10065, 10065-10065 (2011).</w:t>
      </w:r>
    </w:p>
  </w:footnote>
  <w:footnote w:id="33">
    <w:p w14:paraId="29DA747F" w14:textId="77777777" w:rsidR="009F7444" w:rsidRPr="002764A2" w:rsidRDefault="009F7444">
      <w:pPr>
        <w:pStyle w:val="FootnoteText"/>
        <w:rPr>
          <w:rFonts w:ascii="Arial" w:hAnsi="Arial" w:cs="Arial"/>
          <w:sz w:val="18"/>
          <w:szCs w:val="18"/>
        </w:rPr>
      </w:pPr>
      <w:r w:rsidRPr="002764A2">
        <w:rPr>
          <w:rStyle w:val="FootnoteReference"/>
          <w:rFonts w:ascii="Arial" w:hAnsi="Arial" w:cs="Arial"/>
          <w:sz w:val="18"/>
          <w:szCs w:val="18"/>
        </w:rPr>
        <w:footnoteRef/>
      </w:r>
      <w:r w:rsidRPr="002764A2">
        <w:rPr>
          <w:rFonts w:ascii="Arial" w:hAnsi="Arial" w:cs="Arial"/>
          <w:sz w:val="18"/>
          <w:szCs w:val="18"/>
        </w:rPr>
        <w:t xml:space="preserve"> Center for Financing, Access, and Cost Trends, AHRQ, Household Component of the Medical Expenditure Panel Survey, 2004</w:t>
      </w:r>
    </w:p>
  </w:footnote>
  <w:footnote w:id="34">
    <w:p w14:paraId="321FB8B7" w14:textId="6FAC84FE" w:rsidR="00A825F6" w:rsidRPr="002764A2" w:rsidRDefault="009F7444">
      <w:pPr>
        <w:pStyle w:val="FootnoteText"/>
        <w:rPr>
          <w:rFonts w:ascii="Arial" w:hAnsi="Arial" w:cs="Arial"/>
          <w:sz w:val="18"/>
          <w:szCs w:val="18"/>
        </w:rPr>
      </w:pPr>
      <w:r w:rsidRPr="002764A2">
        <w:rPr>
          <w:rStyle w:val="FootnoteReference"/>
          <w:rFonts w:ascii="Arial" w:hAnsi="Arial" w:cs="Arial"/>
          <w:sz w:val="18"/>
          <w:szCs w:val="18"/>
        </w:rPr>
        <w:footnoteRef/>
      </w:r>
      <w:r w:rsidR="00F12C10">
        <w:rPr>
          <w:rFonts w:ascii="Arial" w:hAnsi="Arial" w:cs="Arial"/>
          <w:sz w:val="18"/>
          <w:szCs w:val="18"/>
        </w:rPr>
        <w:t xml:space="preserve"> Medical Imaging and Technology Alliance.</w:t>
      </w:r>
      <w:r w:rsidRPr="002764A2">
        <w:rPr>
          <w:rFonts w:ascii="Arial" w:hAnsi="Arial" w:cs="Arial"/>
          <w:sz w:val="18"/>
          <w:szCs w:val="18"/>
        </w:rPr>
        <w:t xml:space="preserve"> </w:t>
      </w:r>
      <w:hyperlink r:id="rId5" w:history="1">
        <w:r w:rsidR="00A825F6" w:rsidRPr="00FE00D9">
          <w:rPr>
            <w:rStyle w:val="Hyperlink"/>
            <w:rFonts w:ascii="Arial" w:hAnsi="Arial" w:cs="Arial"/>
            <w:sz w:val="18"/>
            <w:szCs w:val="18"/>
          </w:rPr>
          <w:t>https://www.medicalimaging.org/medical-imaging/benefits-of-medical-imaging/health-care-costs-quality</w:t>
        </w:r>
      </w:hyperlink>
      <w:r w:rsidR="00F12C10">
        <w:rPr>
          <w:rFonts w:ascii="Arial" w:hAnsi="Arial" w:cs="Arial"/>
          <w:sz w:val="18"/>
          <w:szCs w:val="18"/>
        </w:rPr>
        <w:t xml:space="preserve">. Accessed May, 2023. </w:t>
      </w:r>
    </w:p>
  </w:footnote>
  <w:footnote w:id="35">
    <w:p w14:paraId="60A3E182" w14:textId="77777777" w:rsidR="009F7444" w:rsidRDefault="009F7444">
      <w:pPr>
        <w:pStyle w:val="FootnoteText"/>
      </w:pPr>
      <w:r w:rsidRPr="002764A2">
        <w:rPr>
          <w:rStyle w:val="FootnoteReference"/>
          <w:rFonts w:ascii="Arial" w:hAnsi="Arial" w:cs="Arial"/>
          <w:sz w:val="18"/>
          <w:szCs w:val="18"/>
        </w:rPr>
        <w:footnoteRef/>
      </w:r>
      <w:r w:rsidRPr="002764A2">
        <w:rPr>
          <w:rFonts w:ascii="Arial" w:hAnsi="Arial" w:cs="Arial"/>
          <w:sz w:val="18"/>
          <w:szCs w:val="18"/>
        </w:rPr>
        <w:t xml:space="preserve"> </w:t>
      </w:r>
      <w:bookmarkStart w:id="7" w:name="_Hlk138117446"/>
      <w:r w:rsidRPr="002764A2">
        <w:rPr>
          <w:rFonts w:ascii="Arial" w:hAnsi="Arial" w:cs="Arial"/>
          <w:i/>
          <w:iCs/>
          <w:sz w:val="18"/>
          <w:szCs w:val="18"/>
        </w:rPr>
        <w:t>Id.</w:t>
      </w:r>
      <w:bookmarkEnd w:id="7"/>
    </w:p>
  </w:footnote>
  <w:footnote w:id="36">
    <w:p w14:paraId="0A0F2AF2" w14:textId="77777777" w:rsidR="009F7444" w:rsidRDefault="009F7444">
      <w:pPr>
        <w:pStyle w:val="FootnoteText"/>
      </w:pPr>
      <w:r>
        <w:rPr>
          <w:rStyle w:val="FootnoteReference"/>
        </w:rPr>
        <w:footnoteRef/>
      </w:r>
      <w:r>
        <w:t xml:space="preserve"> </w:t>
      </w:r>
      <w:r w:rsidRPr="00CE52A6">
        <w:rPr>
          <w:rFonts w:ascii="Arial" w:hAnsi="Arial" w:cs="Arial"/>
          <w:i/>
          <w:iCs/>
          <w:sz w:val="18"/>
          <w:szCs w:val="18"/>
        </w:rPr>
        <w:t>Id.</w:t>
      </w:r>
    </w:p>
  </w:footnote>
  <w:footnote w:id="37">
    <w:p w14:paraId="02EF3CEA" w14:textId="77777777" w:rsidR="009F7444" w:rsidRDefault="009F7444">
      <w:pPr>
        <w:pStyle w:val="FootnoteText"/>
      </w:pPr>
      <w:r>
        <w:rPr>
          <w:rStyle w:val="FootnoteReference"/>
        </w:rPr>
        <w:footnoteRef/>
      </w:r>
      <w:r>
        <w:t xml:space="preserve"> </w:t>
      </w:r>
      <w:r w:rsidRPr="00CE52A6">
        <w:rPr>
          <w:rFonts w:ascii="Arial" w:hAnsi="Arial" w:cs="Arial"/>
          <w:i/>
          <w:iCs/>
          <w:sz w:val="18"/>
          <w:szCs w:val="18"/>
        </w:rPr>
        <w:t>Id.</w:t>
      </w:r>
    </w:p>
  </w:footnote>
  <w:footnote w:id="38">
    <w:p w14:paraId="2F009CEC" w14:textId="77777777" w:rsidR="009F7444" w:rsidRPr="00D90581" w:rsidRDefault="009F7444">
      <w:pPr>
        <w:pStyle w:val="FootnoteText"/>
        <w:rPr>
          <w:rFonts w:ascii="Arial" w:hAnsi="Arial" w:cs="Arial"/>
          <w:sz w:val="18"/>
          <w:szCs w:val="18"/>
        </w:rPr>
      </w:pPr>
      <w:r w:rsidRPr="00D90581">
        <w:rPr>
          <w:rStyle w:val="FootnoteReference"/>
          <w:rFonts w:ascii="Arial" w:hAnsi="Arial" w:cs="Arial"/>
          <w:sz w:val="18"/>
          <w:szCs w:val="18"/>
        </w:rPr>
        <w:footnoteRef/>
      </w:r>
      <w:r w:rsidRPr="00D90581">
        <w:rPr>
          <w:rFonts w:ascii="Arial" w:hAnsi="Arial" w:cs="Arial"/>
          <w:sz w:val="18"/>
          <w:szCs w:val="18"/>
        </w:rPr>
        <w:t xml:space="preserve"> van Beek EJR, Kuhl C, Anzai Y, Desmond P, Ehman RL, Gong Q, Gold G, Gulani V, Hall-Craggs M, Leiner T, Lim CCT, Pipe JG, Reeder S, Reinhold C, Smits M, Sodickson DK, Tempany C, Vargas HA, Wang M. Value of MRI in medicine: More than just another test? J Magn Reson Imaging. 2019 Jun;49(7):e14-e25. doi: 10.1002/jmri.26211. Epub 2018 Aug 25. PMID: 30145852; PMCID: PMC7036752.</w:t>
      </w:r>
    </w:p>
  </w:footnote>
  <w:footnote w:id="39">
    <w:p w14:paraId="4590E141" w14:textId="77777777" w:rsidR="009F7444" w:rsidRDefault="009F7444">
      <w:pPr>
        <w:pStyle w:val="FootnoteText"/>
      </w:pPr>
      <w:r>
        <w:rPr>
          <w:rStyle w:val="FootnoteReference"/>
        </w:rPr>
        <w:footnoteRef/>
      </w:r>
      <w:r>
        <w:t xml:space="preserve"> </w:t>
      </w:r>
      <w:r w:rsidRPr="001C0073">
        <w:rPr>
          <w:rFonts w:ascii="Arial" w:hAnsi="Arial" w:cs="Arial"/>
          <w:i/>
          <w:iCs/>
          <w:sz w:val="18"/>
          <w:szCs w:val="18"/>
        </w:rPr>
        <w:t>Id.</w:t>
      </w:r>
    </w:p>
  </w:footnote>
  <w:footnote w:id="40">
    <w:p w14:paraId="621E4B16" w14:textId="77777777" w:rsidR="009F7444" w:rsidRPr="00ED0216" w:rsidRDefault="009F7444">
      <w:pPr>
        <w:pStyle w:val="FootnoteText"/>
      </w:pPr>
      <w:r>
        <w:rPr>
          <w:rStyle w:val="FootnoteReference"/>
        </w:rPr>
        <w:footnoteRef/>
      </w:r>
      <w:r>
        <w:t xml:space="preserve"> </w:t>
      </w:r>
      <w:r w:rsidRPr="00CF1FCF">
        <w:rPr>
          <w:rFonts w:ascii="Arial" w:hAnsi="Arial" w:cs="Arial"/>
          <w:sz w:val="18"/>
          <w:szCs w:val="18"/>
        </w:rPr>
        <w:t xml:space="preserve">Lee </w:t>
      </w:r>
      <w:r w:rsidRPr="00ED0216">
        <w:rPr>
          <w:rFonts w:ascii="Arial" w:hAnsi="Arial" w:cs="Arial"/>
          <w:sz w:val="18"/>
          <w:szCs w:val="18"/>
        </w:rPr>
        <w:t>DW, Duszak R Jr, Hughes DR. Comparative analysis of Medicare spending for medical imaging: sustained dramatic slowdown compared with other services. Am J Roentgenol 2013;201:1277–1282.</w:t>
      </w:r>
    </w:p>
  </w:footnote>
  <w:footnote w:id="41">
    <w:p w14:paraId="3F3367FB" w14:textId="03F03958" w:rsidR="009F7444" w:rsidRPr="00ED0216" w:rsidRDefault="009F7444" w:rsidP="00907510">
      <w:pPr>
        <w:pStyle w:val="FootnoteText"/>
        <w:rPr>
          <w:rFonts w:ascii="Arial" w:hAnsi="Arial" w:cs="Arial"/>
          <w:sz w:val="18"/>
          <w:szCs w:val="18"/>
        </w:rPr>
      </w:pPr>
      <w:r w:rsidRPr="00ED0216">
        <w:rPr>
          <w:rStyle w:val="FootnoteReference"/>
          <w:rFonts w:ascii="Arial" w:hAnsi="Arial" w:cs="Arial"/>
          <w:sz w:val="18"/>
          <w:szCs w:val="18"/>
        </w:rPr>
        <w:footnoteRef/>
      </w:r>
      <w:r w:rsidRPr="00ED0216">
        <w:rPr>
          <w:rFonts w:ascii="Arial" w:hAnsi="Arial" w:cs="Arial"/>
          <w:sz w:val="18"/>
          <w:szCs w:val="18"/>
        </w:rPr>
        <w:t xml:space="preserve"> </w:t>
      </w:r>
      <w:hyperlink r:id="rId6" w:history="1">
        <w:r w:rsidRPr="00ED0216">
          <w:rPr>
            <w:rStyle w:val="Hyperlink"/>
            <w:rFonts w:ascii="Arial" w:hAnsi="Arial" w:cs="Arial"/>
            <w:i/>
            <w:iCs/>
            <w:color w:val="auto"/>
            <w:sz w:val="18"/>
            <w:szCs w:val="18"/>
            <w:u w:val="none"/>
          </w:rPr>
          <w:t>Social Determinants of Health</w:t>
        </w:r>
      </w:hyperlink>
      <w:r w:rsidRPr="00ED0216">
        <w:rPr>
          <w:rFonts w:ascii="Arial" w:hAnsi="Arial" w:cs="Arial"/>
          <w:sz w:val="18"/>
          <w:szCs w:val="18"/>
        </w:rPr>
        <w:t xml:space="preserve">, </w:t>
      </w:r>
      <w:r w:rsidRPr="00ED0216">
        <w:rPr>
          <w:rFonts w:ascii="Arial" w:hAnsi="Arial" w:cs="Arial"/>
          <w:smallCaps/>
          <w:sz w:val="18"/>
          <w:szCs w:val="18"/>
        </w:rPr>
        <w:t>American Hospital Association</w:t>
      </w:r>
      <w:r w:rsidRPr="00ED0216">
        <w:rPr>
          <w:rFonts w:ascii="Arial" w:hAnsi="Arial" w:cs="Arial"/>
          <w:sz w:val="18"/>
          <w:szCs w:val="18"/>
        </w:rPr>
        <w:t>,https://www.aha.org/social-determinants-health/populationcommunity-health/community-partnerships</w:t>
      </w:r>
      <w:r w:rsidR="00ED0216" w:rsidRPr="00ED0216">
        <w:rPr>
          <w:rFonts w:ascii="Arial" w:hAnsi="Arial" w:cs="Arial"/>
          <w:sz w:val="18"/>
          <w:szCs w:val="18"/>
        </w:rPr>
        <w:t xml:space="preserve"> </w:t>
      </w:r>
      <w:r w:rsidRPr="00ED0216">
        <w:rPr>
          <w:rStyle w:val="Hyperlink"/>
          <w:rFonts w:ascii="Arial" w:hAnsi="Arial" w:cs="Arial"/>
          <w:color w:val="auto"/>
          <w:sz w:val="18"/>
          <w:szCs w:val="18"/>
          <w:u w:val="none"/>
        </w:rPr>
        <w:t xml:space="preserve">; </w:t>
      </w:r>
      <w:r w:rsidRPr="00ED0216">
        <w:rPr>
          <w:rFonts w:ascii="Arial" w:hAnsi="Arial" w:cs="Arial"/>
          <w:sz w:val="18"/>
          <w:szCs w:val="18"/>
        </w:rPr>
        <w:t>LaPointe,</w:t>
      </w:r>
      <w:r w:rsidRPr="00ED0216">
        <w:rPr>
          <w:rFonts w:ascii="Arial" w:hAnsi="Arial" w:cs="Arial"/>
          <w:i/>
          <w:iCs/>
          <w:sz w:val="18"/>
          <w:szCs w:val="18"/>
        </w:rPr>
        <w:t xml:space="preserve"> </w:t>
      </w:r>
      <w:hyperlink r:id="rId7" w:history="1">
        <w:r w:rsidRPr="00ED0216">
          <w:rPr>
            <w:rStyle w:val="Hyperlink"/>
            <w:rFonts w:ascii="Arial" w:hAnsi="Arial" w:cs="Arial"/>
            <w:i/>
            <w:iCs/>
            <w:color w:val="auto"/>
            <w:sz w:val="18"/>
            <w:szCs w:val="18"/>
            <w:u w:val="none"/>
          </w:rPr>
          <w:t>How Addressing Social Determinants of Health Cuts Healthcare Costs</w:t>
        </w:r>
      </w:hyperlink>
      <w:r w:rsidRPr="00ED0216">
        <w:rPr>
          <w:rFonts w:ascii="Arial" w:hAnsi="Arial" w:cs="Arial"/>
          <w:sz w:val="18"/>
          <w:szCs w:val="18"/>
        </w:rPr>
        <w:t xml:space="preserve">, </w:t>
      </w:r>
      <w:r w:rsidRPr="00ED0216">
        <w:rPr>
          <w:rFonts w:ascii="Arial" w:hAnsi="Arial" w:cs="Arial"/>
          <w:smallCaps/>
          <w:sz w:val="18"/>
          <w:szCs w:val="18"/>
        </w:rPr>
        <w:t>Revcycle Intelligence: Value Based Care,</w:t>
      </w:r>
      <w:r w:rsidRPr="00ED0216">
        <w:rPr>
          <w:rFonts w:ascii="Arial" w:hAnsi="Arial" w:cs="Arial"/>
          <w:sz w:val="18"/>
          <w:szCs w:val="18"/>
        </w:rPr>
        <w:t xml:space="preserve"> </w:t>
      </w:r>
      <w:hyperlink r:id="rId8" w:history="1">
        <w:r w:rsidR="00105E15" w:rsidRPr="00ED0216">
          <w:rPr>
            <w:rStyle w:val="Hyperlink"/>
            <w:rFonts w:ascii="Arial" w:hAnsi="Arial" w:cs="Arial"/>
            <w:color w:val="auto"/>
            <w:sz w:val="18"/>
            <w:szCs w:val="18"/>
            <w:u w:val="none"/>
          </w:rPr>
          <w:t>https://revcycleintelligence.com/news/how-addressing-social-determinants-of-health-cuts-healthcare-costs</w:t>
        </w:r>
      </w:hyperlink>
      <w:r w:rsidR="00105E15" w:rsidRPr="00ED0216">
        <w:rPr>
          <w:rFonts w:ascii="Arial" w:hAnsi="Arial" w:cs="Arial"/>
          <w:sz w:val="18"/>
          <w:szCs w:val="18"/>
        </w:rPr>
        <w:t xml:space="preserve"> </w:t>
      </w:r>
      <w:r w:rsidRPr="00ED0216">
        <w:rPr>
          <w:rFonts w:ascii="Arial" w:hAnsi="Arial" w:cs="Arial"/>
          <w:sz w:val="18"/>
          <w:szCs w:val="18"/>
        </w:rPr>
        <w:t xml:space="preserve"> (last visited Jul. 20, 2022).</w:t>
      </w:r>
    </w:p>
  </w:footnote>
  <w:footnote w:id="42">
    <w:p w14:paraId="3228CB9F" w14:textId="65C334CC" w:rsidR="009F7444" w:rsidRPr="00A53A83" w:rsidRDefault="009F7444" w:rsidP="00907510">
      <w:pPr>
        <w:pStyle w:val="FootnoteText"/>
        <w:rPr>
          <w:rFonts w:ascii="Arial" w:hAnsi="Arial" w:cs="Arial"/>
          <w:sz w:val="18"/>
          <w:szCs w:val="18"/>
        </w:rPr>
      </w:pPr>
      <w:r w:rsidRPr="00ED0216">
        <w:rPr>
          <w:rStyle w:val="FootnoteReference"/>
          <w:rFonts w:ascii="Arial" w:hAnsi="Arial" w:cs="Arial"/>
          <w:sz w:val="18"/>
          <w:szCs w:val="18"/>
        </w:rPr>
        <w:footnoteRef/>
      </w:r>
      <w:r w:rsidRPr="00ED0216">
        <w:rPr>
          <w:rFonts w:ascii="Arial" w:hAnsi="Arial" w:cs="Arial"/>
          <w:sz w:val="18"/>
          <w:szCs w:val="18"/>
        </w:rPr>
        <w:t xml:space="preserve"> LaPointe, </w:t>
      </w:r>
      <w:r w:rsidRPr="00ED0216">
        <w:rPr>
          <w:rFonts w:ascii="Arial" w:hAnsi="Arial" w:cs="Arial"/>
          <w:i/>
          <w:iCs/>
          <w:sz w:val="18"/>
          <w:szCs w:val="18"/>
        </w:rPr>
        <w:t>supra</w:t>
      </w:r>
      <w:r w:rsidRPr="00ED0216">
        <w:rPr>
          <w:rFonts w:ascii="Arial" w:hAnsi="Arial" w:cs="Arial"/>
          <w:sz w:val="18"/>
          <w:szCs w:val="18"/>
        </w:rPr>
        <w:t xml:space="preserve"> note</w:t>
      </w:r>
      <w:r w:rsidR="00013C24" w:rsidRPr="00ED0216">
        <w:rPr>
          <w:rFonts w:ascii="Arial" w:hAnsi="Arial" w:cs="Arial"/>
          <w:sz w:val="18"/>
          <w:szCs w:val="18"/>
        </w:rPr>
        <w:t xml:space="preserve"> 41</w:t>
      </w:r>
      <w:r w:rsidRPr="00ED0216">
        <w:rPr>
          <w:rFonts w:ascii="Arial" w:hAnsi="Arial" w:cs="Arial"/>
          <w:sz w:val="18"/>
          <w:szCs w:val="18"/>
        </w:rPr>
        <w:t>.</w:t>
      </w:r>
    </w:p>
  </w:footnote>
  <w:footnote w:id="43">
    <w:p w14:paraId="62185885" w14:textId="753F3969" w:rsidR="009F7444" w:rsidRPr="001F3ECC" w:rsidRDefault="009F7444" w:rsidP="00DF35E4">
      <w:pPr>
        <w:pStyle w:val="Heading1"/>
        <w:spacing w:before="0" w:beforeAutospacing="0" w:after="0" w:afterAutospacing="0"/>
        <w:rPr>
          <w:rFonts w:ascii="Arial" w:hAnsi="Arial" w:cs="Arial"/>
          <w:b w:val="0"/>
          <w:bCs w:val="0"/>
          <w:sz w:val="18"/>
          <w:szCs w:val="18"/>
        </w:rPr>
      </w:pPr>
      <w:r w:rsidRPr="00A53A83">
        <w:rPr>
          <w:rStyle w:val="FootnoteReference"/>
          <w:rFonts w:ascii="Arial" w:hAnsi="Arial" w:cs="Arial"/>
          <w:b w:val="0"/>
          <w:bCs w:val="0"/>
          <w:sz w:val="18"/>
          <w:szCs w:val="18"/>
        </w:rPr>
        <w:footnoteRef/>
      </w:r>
      <w:r w:rsidRPr="00A53A83">
        <w:rPr>
          <w:rFonts w:ascii="Arial" w:hAnsi="Arial" w:cs="Arial"/>
          <w:b w:val="0"/>
          <w:bCs w:val="0"/>
          <w:sz w:val="18"/>
          <w:szCs w:val="18"/>
        </w:rPr>
        <w:t xml:space="preserve"> Lasser, </w:t>
      </w:r>
      <w:r w:rsidRPr="001F3ECC">
        <w:rPr>
          <w:rFonts w:ascii="Arial" w:hAnsi="Arial" w:cs="Arial"/>
          <w:b w:val="0"/>
          <w:bCs w:val="0"/>
          <w:sz w:val="18"/>
          <w:szCs w:val="18"/>
        </w:rPr>
        <w:t>et al.,</w:t>
      </w:r>
      <w:r w:rsidRPr="001F3ECC">
        <w:rPr>
          <w:rFonts w:ascii="Arial" w:hAnsi="Arial" w:cs="Arial"/>
          <w:b w:val="0"/>
          <w:bCs w:val="0"/>
          <w:i/>
          <w:iCs/>
          <w:sz w:val="18"/>
          <w:szCs w:val="18"/>
        </w:rPr>
        <w:t xml:space="preserve"> </w:t>
      </w:r>
      <w:hyperlink r:id="rId9" w:history="1">
        <w:r w:rsidRPr="001F3ECC">
          <w:rPr>
            <w:rStyle w:val="Hyperlink"/>
            <w:rFonts w:ascii="Arial" w:hAnsi="Arial" w:cs="Arial"/>
            <w:b w:val="0"/>
            <w:bCs w:val="0"/>
            <w:i/>
            <w:iCs/>
            <w:color w:val="auto"/>
            <w:sz w:val="18"/>
            <w:szCs w:val="18"/>
            <w:u w:val="none"/>
          </w:rPr>
          <w:t>Massachusetts Health Reform’s Effect on Hospitals’ Racial Mix of Patients and on Patients’ Use of Safety-net Hospitals</w:t>
        </w:r>
      </w:hyperlink>
      <w:r w:rsidRPr="001F3ECC">
        <w:rPr>
          <w:rFonts w:ascii="Arial" w:hAnsi="Arial" w:cs="Arial"/>
          <w:b w:val="0"/>
          <w:bCs w:val="0"/>
          <w:i/>
          <w:iCs/>
          <w:sz w:val="18"/>
          <w:szCs w:val="18"/>
        </w:rPr>
        <w:t>,</w:t>
      </w:r>
      <w:r w:rsidRPr="001F3ECC">
        <w:rPr>
          <w:rStyle w:val="Emphasis"/>
          <w:rFonts w:ascii="Arial" w:hAnsi="Arial" w:cs="Arial"/>
          <w:b w:val="0"/>
          <w:bCs w:val="0"/>
          <w:sz w:val="18"/>
          <w:szCs w:val="18"/>
        </w:rPr>
        <w:t xml:space="preserve"> 54 </w:t>
      </w:r>
      <w:r w:rsidRPr="001F3ECC">
        <w:rPr>
          <w:rStyle w:val="Emphasis"/>
          <w:rFonts w:ascii="Arial" w:hAnsi="Arial" w:cs="Arial"/>
          <w:b w:val="0"/>
          <w:bCs w:val="0"/>
          <w:smallCaps/>
          <w:sz w:val="18"/>
          <w:szCs w:val="18"/>
        </w:rPr>
        <w:t>Medical Care</w:t>
      </w:r>
      <w:r w:rsidRPr="001F3ECC">
        <w:rPr>
          <w:rFonts w:ascii="Arial" w:hAnsi="Arial" w:cs="Arial"/>
          <w:b w:val="0"/>
          <w:bCs w:val="0"/>
          <w:sz w:val="18"/>
          <w:szCs w:val="18"/>
        </w:rPr>
        <w:t xml:space="preserve"> 827 (2016), </w:t>
      </w:r>
      <w:r w:rsidRPr="001F3ECC">
        <w:rPr>
          <w:rFonts w:ascii="Arial" w:hAnsi="Arial" w:cs="Arial"/>
          <w:b w:val="0"/>
          <w:bCs w:val="0"/>
          <w:i/>
          <w:iCs/>
          <w:sz w:val="18"/>
          <w:szCs w:val="18"/>
        </w:rPr>
        <w:t>available at</w:t>
      </w:r>
      <w:r w:rsidRPr="001F3ECC">
        <w:rPr>
          <w:rFonts w:ascii="Arial" w:hAnsi="Arial" w:cs="Arial"/>
          <w:b w:val="0"/>
          <w:bCs w:val="0"/>
          <w:sz w:val="18"/>
          <w:szCs w:val="18"/>
        </w:rPr>
        <w:t xml:space="preserve"> </w:t>
      </w:r>
      <w:hyperlink r:id="rId10" w:history="1">
        <w:r w:rsidR="00464CC7" w:rsidRPr="001F3ECC">
          <w:rPr>
            <w:rStyle w:val="Hyperlink"/>
            <w:rFonts w:ascii="Arial" w:hAnsi="Arial" w:cs="Arial"/>
            <w:b w:val="0"/>
            <w:bCs w:val="0"/>
            <w:color w:val="auto"/>
            <w:sz w:val="18"/>
            <w:szCs w:val="18"/>
            <w:u w:val="none"/>
          </w:rPr>
          <w:t>https://www.ncbi.nlm.nih.gov/pmc/articles/PMC4989238/</w:t>
        </w:r>
      </w:hyperlink>
      <w:r w:rsidR="00464CC7" w:rsidRPr="001F3ECC">
        <w:rPr>
          <w:rFonts w:ascii="Arial" w:hAnsi="Arial" w:cs="Arial"/>
          <w:b w:val="0"/>
          <w:bCs w:val="0"/>
          <w:sz w:val="18"/>
          <w:szCs w:val="18"/>
        </w:rPr>
        <w:t xml:space="preserve"> </w:t>
      </w:r>
      <w:r w:rsidRPr="001F3ECC">
        <w:rPr>
          <w:rFonts w:ascii="Arial" w:hAnsi="Arial" w:cs="Arial"/>
          <w:b w:val="0"/>
          <w:bCs w:val="0"/>
          <w:sz w:val="18"/>
          <w:szCs w:val="18"/>
        </w:rPr>
        <w:t>;</w:t>
      </w:r>
      <w:r w:rsidRPr="001F3ECC">
        <w:rPr>
          <w:rFonts w:ascii="Arial" w:hAnsi="Arial" w:cs="Arial"/>
          <w:sz w:val="18"/>
          <w:szCs w:val="18"/>
        </w:rPr>
        <w:t xml:space="preserve"> </w:t>
      </w:r>
      <w:r w:rsidRPr="001F3ECC">
        <w:rPr>
          <w:rFonts w:ascii="Arial" w:hAnsi="Arial" w:cs="Arial"/>
          <w:b w:val="0"/>
          <w:bCs w:val="0"/>
          <w:sz w:val="18"/>
          <w:szCs w:val="18"/>
        </w:rPr>
        <w:t xml:space="preserve">Ku, et al., </w:t>
      </w:r>
      <w:hyperlink r:id="rId11" w:history="1">
        <w:r w:rsidRPr="001F3ECC">
          <w:rPr>
            <w:rStyle w:val="Hyperlink"/>
            <w:rFonts w:ascii="Arial" w:hAnsi="Arial" w:cs="Arial"/>
            <w:b w:val="0"/>
            <w:bCs w:val="0"/>
            <w:i/>
            <w:iCs/>
            <w:color w:val="auto"/>
            <w:sz w:val="18"/>
            <w:szCs w:val="18"/>
            <w:u w:val="none"/>
          </w:rPr>
          <w:t>Safety-Net Providers After Health Care Reform: Lessons From Massachusetts</w:t>
        </w:r>
        <w:r w:rsidRPr="001F3ECC">
          <w:rPr>
            <w:rStyle w:val="Hyperlink"/>
            <w:rFonts w:ascii="Arial" w:hAnsi="Arial" w:cs="Arial"/>
            <w:b w:val="0"/>
            <w:bCs w:val="0"/>
            <w:color w:val="auto"/>
            <w:sz w:val="18"/>
            <w:szCs w:val="18"/>
            <w:u w:val="none"/>
          </w:rPr>
          <w:t>,</w:t>
        </w:r>
      </w:hyperlink>
      <w:r w:rsidRPr="001F3ECC">
        <w:rPr>
          <w:rStyle w:val="Subtitle1"/>
          <w:rFonts w:ascii="Arial" w:hAnsi="Arial" w:cs="Arial"/>
          <w:b w:val="0"/>
          <w:bCs w:val="0"/>
          <w:sz w:val="18"/>
          <w:szCs w:val="18"/>
        </w:rPr>
        <w:t xml:space="preserve"> 8 </w:t>
      </w:r>
      <w:r w:rsidRPr="001F3ECC">
        <w:rPr>
          <w:rStyle w:val="Subtitle1"/>
          <w:rFonts w:ascii="Arial" w:hAnsi="Arial" w:cs="Arial"/>
          <w:b w:val="0"/>
          <w:bCs w:val="0"/>
          <w:smallCaps/>
          <w:sz w:val="18"/>
          <w:szCs w:val="18"/>
        </w:rPr>
        <w:t>Arch Intern. Med.</w:t>
      </w:r>
      <w:r w:rsidRPr="001F3ECC">
        <w:rPr>
          <w:rStyle w:val="Subtitle1"/>
          <w:rFonts w:ascii="Arial" w:hAnsi="Arial" w:cs="Arial"/>
          <w:b w:val="0"/>
          <w:bCs w:val="0"/>
          <w:sz w:val="18"/>
          <w:szCs w:val="18"/>
        </w:rPr>
        <w:t xml:space="preserve"> 1379 (2011), </w:t>
      </w:r>
      <w:r w:rsidRPr="001F3ECC">
        <w:rPr>
          <w:rStyle w:val="Subtitle1"/>
          <w:rFonts w:ascii="Arial" w:hAnsi="Arial" w:cs="Arial"/>
          <w:b w:val="0"/>
          <w:bCs w:val="0"/>
          <w:i/>
          <w:iCs/>
          <w:sz w:val="18"/>
          <w:szCs w:val="18"/>
        </w:rPr>
        <w:t>available at</w:t>
      </w:r>
      <w:r w:rsidRPr="001F3ECC">
        <w:rPr>
          <w:rStyle w:val="Subtitle1"/>
          <w:rFonts w:ascii="Arial" w:hAnsi="Arial" w:cs="Arial"/>
          <w:b w:val="0"/>
          <w:bCs w:val="0"/>
          <w:sz w:val="18"/>
          <w:szCs w:val="18"/>
        </w:rPr>
        <w:t xml:space="preserve"> </w:t>
      </w:r>
      <w:hyperlink r:id="rId12" w:history="1">
        <w:r w:rsidR="00464CC7" w:rsidRPr="001F3ECC">
          <w:rPr>
            <w:rStyle w:val="Hyperlink"/>
            <w:rFonts w:ascii="Arial" w:hAnsi="Arial" w:cs="Arial"/>
            <w:b w:val="0"/>
            <w:bCs w:val="0"/>
            <w:color w:val="auto"/>
            <w:sz w:val="18"/>
            <w:szCs w:val="18"/>
            <w:u w:val="none"/>
          </w:rPr>
          <w:t>https://jamanetwork.com/journals/jamainternalmedicine/fullarticle/1105879</w:t>
        </w:r>
      </w:hyperlink>
      <w:r w:rsidR="00464CC7" w:rsidRPr="001F3ECC">
        <w:rPr>
          <w:rStyle w:val="Subtitle1"/>
          <w:rFonts w:ascii="Arial" w:hAnsi="Arial" w:cs="Arial"/>
          <w:b w:val="0"/>
          <w:bCs w:val="0"/>
          <w:sz w:val="18"/>
          <w:szCs w:val="18"/>
        </w:rPr>
        <w:t xml:space="preserve"> </w:t>
      </w:r>
      <w:r w:rsidRPr="001F3ECC">
        <w:rPr>
          <w:rStyle w:val="Subtitle1"/>
          <w:rFonts w:ascii="Arial" w:hAnsi="Arial" w:cs="Arial"/>
          <w:b w:val="0"/>
          <w:bCs w:val="0"/>
          <w:sz w:val="18"/>
          <w:szCs w:val="18"/>
        </w:rPr>
        <w:t xml:space="preserve">; </w:t>
      </w:r>
      <w:r w:rsidRPr="001F3ECC">
        <w:rPr>
          <w:rFonts w:ascii="Arial" w:hAnsi="Arial" w:cs="Arial"/>
          <w:b w:val="0"/>
          <w:bCs w:val="0"/>
          <w:sz w:val="18"/>
          <w:szCs w:val="18"/>
        </w:rPr>
        <w:t xml:space="preserve">Mohan, et al., </w:t>
      </w:r>
      <w:hyperlink r:id="rId13" w:history="1">
        <w:r w:rsidRPr="001F3ECC">
          <w:rPr>
            <w:rStyle w:val="Hyperlink"/>
            <w:rFonts w:ascii="Arial" w:hAnsi="Arial" w:cs="Arial"/>
            <w:b w:val="0"/>
            <w:bCs w:val="0"/>
            <w:i/>
            <w:iCs/>
            <w:color w:val="auto"/>
            <w:sz w:val="18"/>
            <w:szCs w:val="18"/>
            <w:u w:val="none"/>
          </w:rPr>
          <w:t>The health of safety net hospitals following Massachusetts health care reform: changes in volume, revenue, costs, and operating margins from 2006 to 2009</w:t>
        </w:r>
      </w:hyperlink>
      <w:r w:rsidRPr="001F3ECC">
        <w:rPr>
          <w:rFonts w:ascii="Arial" w:hAnsi="Arial" w:cs="Arial"/>
          <w:b w:val="0"/>
          <w:bCs w:val="0"/>
          <w:sz w:val="18"/>
          <w:szCs w:val="18"/>
        </w:rPr>
        <w:t xml:space="preserve">, 43 </w:t>
      </w:r>
      <w:r w:rsidRPr="001F3ECC">
        <w:rPr>
          <w:rFonts w:ascii="Arial" w:hAnsi="Arial" w:cs="Arial"/>
          <w:b w:val="0"/>
          <w:bCs w:val="0"/>
          <w:smallCaps/>
          <w:sz w:val="18"/>
          <w:szCs w:val="18"/>
        </w:rPr>
        <w:t>Int. J. Health Serv.</w:t>
      </w:r>
      <w:r w:rsidRPr="001F3ECC">
        <w:rPr>
          <w:rFonts w:ascii="Arial" w:hAnsi="Arial" w:cs="Arial"/>
          <w:b w:val="0"/>
          <w:bCs w:val="0"/>
          <w:sz w:val="18"/>
          <w:szCs w:val="18"/>
        </w:rPr>
        <w:t xml:space="preserve"> 321 (2013), </w:t>
      </w:r>
      <w:r w:rsidRPr="001F3ECC">
        <w:rPr>
          <w:rFonts w:ascii="Arial" w:hAnsi="Arial" w:cs="Arial"/>
          <w:b w:val="0"/>
          <w:bCs w:val="0"/>
          <w:i/>
          <w:iCs/>
          <w:sz w:val="18"/>
          <w:szCs w:val="18"/>
        </w:rPr>
        <w:t>available at</w:t>
      </w:r>
      <w:r w:rsidRPr="001F3ECC">
        <w:rPr>
          <w:rFonts w:ascii="Arial" w:hAnsi="Arial" w:cs="Arial"/>
          <w:b w:val="0"/>
          <w:bCs w:val="0"/>
          <w:sz w:val="18"/>
          <w:szCs w:val="18"/>
        </w:rPr>
        <w:t xml:space="preserve"> </w:t>
      </w:r>
      <w:hyperlink r:id="rId14" w:history="1">
        <w:r w:rsidR="00464CC7" w:rsidRPr="001F3ECC">
          <w:rPr>
            <w:rStyle w:val="Hyperlink"/>
            <w:rFonts w:ascii="Arial" w:hAnsi="Arial" w:cs="Arial"/>
            <w:b w:val="0"/>
            <w:bCs w:val="0"/>
            <w:color w:val="auto"/>
            <w:sz w:val="18"/>
            <w:szCs w:val="18"/>
            <w:u w:val="none"/>
          </w:rPr>
          <w:t>https://pubmed.ncbi.nlm.nih.gov/23821908/</w:t>
        </w:r>
      </w:hyperlink>
      <w:r w:rsidR="00464CC7" w:rsidRPr="001F3ECC">
        <w:rPr>
          <w:rFonts w:ascii="Arial" w:hAnsi="Arial" w:cs="Arial"/>
          <w:b w:val="0"/>
          <w:bCs w:val="0"/>
          <w:sz w:val="18"/>
          <w:szCs w:val="18"/>
        </w:rPr>
        <w:t xml:space="preserve"> </w:t>
      </w:r>
      <w:r w:rsidRPr="001F3ECC">
        <w:rPr>
          <w:rFonts w:ascii="Arial" w:hAnsi="Arial" w:cs="Arial"/>
          <w:b w:val="0"/>
          <w:bCs w:val="0"/>
          <w:sz w:val="18"/>
          <w:szCs w:val="18"/>
        </w:rPr>
        <w:t>.</w:t>
      </w:r>
    </w:p>
  </w:footnote>
  <w:footnote w:id="44">
    <w:p w14:paraId="5B08C446" w14:textId="1D1C9965" w:rsidR="009F7444" w:rsidRPr="001F3ECC" w:rsidRDefault="009F7444" w:rsidP="00DF35E4">
      <w:pPr>
        <w:pStyle w:val="FootnoteText"/>
        <w:rPr>
          <w:rFonts w:ascii="Arial" w:hAnsi="Arial" w:cs="Arial"/>
          <w:sz w:val="18"/>
          <w:szCs w:val="18"/>
        </w:rPr>
      </w:pPr>
      <w:r w:rsidRPr="001F3ECC">
        <w:rPr>
          <w:rStyle w:val="FootnoteReference"/>
          <w:rFonts w:ascii="Arial" w:hAnsi="Arial" w:cs="Arial"/>
          <w:sz w:val="18"/>
          <w:szCs w:val="18"/>
        </w:rPr>
        <w:footnoteRef/>
      </w:r>
      <w:r w:rsidRPr="001F3ECC">
        <w:rPr>
          <w:rFonts w:ascii="Arial" w:hAnsi="Arial" w:cs="Arial"/>
          <w:sz w:val="18"/>
          <w:szCs w:val="18"/>
        </w:rPr>
        <w:t xml:space="preserve"> Lasser, et al., </w:t>
      </w:r>
      <w:r w:rsidRPr="001F3ECC">
        <w:rPr>
          <w:rFonts w:ascii="Arial" w:hAnsi="Arial" w:cs="Arial"/>
          <w:i/>
          <w:iCs/>
          <w:sz w:val="18"/>
          <w:szCs w:val="18"/>
        </w:rPr>
        <w:t>supra</w:t>
      </w:r>
      <w:r w:rsidRPr="001F3ECC">
        <w:rPr>
          <w:rFonts w:ascii="Arial" w:hAnsi="Arial" w:cs="Arial"/>
          <w:sz w:val="18"/>
          <w:szCs w:val="18"/>
        </w:rPr>
        <w:t xml:space="preserve"> note </w:t>
      </w:r>
      <w:r w:rsidRPr="001F3ECC">
        <w:rPr>
          <w:rFonts w:ascii="Arial" w:hAnsi="Arial" w:cs="Arial"/>
          <w:sz w:val="18"/>
          <w:szCs w:val="18"/>
        </w:rPr>
        <w:fldChar w:fldCharType="begin"/>
      </w:r>
      <w:r w:rsidRPr="001F3ECC">
        <w:rPr>
          <w:rFonts w:ascii="Arial" w:hAnsi="Arial" w:cs="Arial"/>
          <w:sz w:val="18"/>
          <w:szCs w:val="18"/>
        </w:rPr>
        <w:instrText xml:space="preserve"> NOTEREF _Ref134939691 \h  \* MERGEFORMAT </w:instrText>
      </w:r>
      <w:r w:rsidRPr="001F3ECC">
        <w:rPr>
          <w:rFonts w:ascii="Arial" w:hAnsi="Arial" w:cs="Arial"/>
          <w:sz w:val="18"/>
          <w:szCs w:val="18"/>
        </w:rPr>
      </w:r>
      <w:r w:rsidRPr="001F3ECC">
        <w:rPr>
          <w:rFonts w:ascii="Arial" w:hAnsi="Arial" w:cs="Arial"/>
          <w:sz w:val="18"/>
          <w:szCs w:val="18"/>
        </w:rPr>
        <w:fldChar w:fldCharType="separate"/>
      </w:r>
      <w:r w:rsidR="002B5DBD" w:rsidRPr="001F3ECC">
        <w:rPr>
          <w:rFonts w:ascii="Arial" w:hAnsi="Arial" w:cs="Arial"/>
          <w:sz w:val="18"/>
          <w:szCs w:val="18"/>
        </w:rPr>
        <w:t>43</w:t>
      </w:r>
      <w:r w:rsidRPr="001F3ECC">
        <w:rPr>
          <w:rFonts w:ascii="Arial" w:hAnsi="Arial" w:cs="Arial"/>
          <w:sz w:val="18"/>
          <w:szCs w:val="18"/>
        </w:rPr>
        <w:fldChar w:fldCharType="end"/>
      </w:r>
      <w:r w:rsidRPr="001F3ECC">
        <w:rPr>
          <w:rFonts w:ascii="Arial" w:hAnsi="Arial" w:cs="Arial"/>
          <w:sz w:val="18"/>
          <w:szCs w:val="18"/>
        </w:rPr>
        <w:t xml:space="preserve">; Ku, et al., </w:t>
      </w:r>
      <w:r w:rsidRPr="001F3ECC">
        <w:rPr>
          <w:rFonts w:ascii="Arial" w:hAnsi="Arial" w:cs="Arial"/>
          <w:i/>
          <w:iCs/>
          <w:sz w:val="18"/>
          <w:szCs w:val="18"/>
        </w:rPr>
        <w:t>supra</w:t>
      </w:r>
      <w:r w:rsidRPr="001F3ECC">
        <w:rPr>
          <w:rFonts w:ascii="Arial" w:hAnsi="Arial" w:cs="Arial"/>
          <w:sz w:val="18"/>
          <w:szCs w:val="18"/>
        </w:rPr>
        <w:t xml:space="preserve"> note </w:t>
      </w:r>
      <w:r w:rsidRPr="001F3ECC">
        <w:rPr>
          <w:rFonts w:ascii="Arial" w:hAnsi="Arial" w:cs="Arial"/>
          <w:sz w:val="18"/>
          <w:szCs w:val="18"/>
        </w:rPr>
        <w:fldChar w:fldCharType="begin"/>
      </w:r>
      <w:r w:rsidRPr="001F3ECC">
        <w:rPr>
          <w:rFonts w:ascii="Arial" w:hAnsi="Arial" w:cs="Arial"/>
          <w:sz w:val="18"/>
          <w:szCs w:val="18"/>
        </w:rPr>
        <w:instrText xml:space="preserve"> NOTEREF _Ref134939691 \h  \* MERGEFORMAT </w:instrText>
      </w:r>
      <w:r w:rsidRPr="001F3ECC">
        <w:rPr>
          <w:rFonts w:ascii="Arial" w:hAnsi="Arial" w:cs="Arial"/>
          <w:sz w:val="18"/>
          <w:szCs w:val="18"/>
        </w:rPr>
      </w:r>
      <w:r w:rsidRPr="001F3ECC">
        <w:rPr>
          <w:rFonts w:ascii="Arial" w:hAnsi="Arial" w:cs="Arial"/>
          <w:sz w:val="18"/>
          <w:szCs w:val="18"/>
        </w:rPr>
        <w:fldChar w:fldCharType="separate"/>
      </w:r>
      <w:r w:rsidR="002B5DBD" w:rsidRPr="001F3ECC">
        <w:rPr>
          <w:rFonts w:ascii="Arial" w:hAnsi="Arial" w:cs="Arial"/>
          <w:sz w:val="18"/>
          <w:szCs w:val="18"/>
        </w:rPr>
        <w:t>43</w:t>
      </w:r>
      <w:r w:rsidRPr="001F3ECC">
        <w:rPr>
          <w:rFonts w:ascii="Arial" w:hAnsi="Arial" w:cs="Arial"/>
          <w:sz w:val="18"/>
          <w:szCs w:val="18"/>
        </w:rPr>
        <w:fldChar w:fldCharType="end"/>
      </w:r>
      <w:r w:rsidRPr="001F3ECC">
        <w:rPr>
          <w:rFonts w:ascii="Arial" w:hAnsi="Arial" w:cs="Arial"/>
          <w:sz w:val="18"/>
          <w:szCs w:val="18"/>
        </w:rPr>
        <w:t xml:space="preserve">; Mohan, et al., </w:t>
      </w:r>
      <w:r w:rsidRPr="001F3ECC">
        <w:rPr>
          <w:rFonts w:ascii="Arial" w:hAnsi="Arial" w:cs="Arial"/>
          <w:i/>
          <w:iCs/>
          <w:sz w:val="18"/>
          <w:szCs w:val="18"/>
        </w:rPr>
        <w:t>supra</w:t>
      </w:r>
      <w:r w:rsidRPr="001F3ECC">
        <w:rPr>
          <w:rFonts w:ascii="Arial" w:hAnsi="Arial" w:cs="Arial"/>
          <w:sz w:val="18"/>
          <w:szCs w:val="18"/>
        </w:rPr>
        <w:t xml:space="preserve"> note </w:t>
      </w:r>
      <w:r w:rsidRPr="001F3ECC">
        <w:rPr>
          <w:rFonts w:ascii="Arial" w:hAnsi="Arial" w:cs="Arial"/>
          <w:sz w:val="18"/>
          <w:szCs w:val="18"/>
        </w:rPr>
        <w:fldChar w:fldCharType="begin"/>
      </w:r>
      <w:r w:rsidRPr="001F3ECC">
        <w:rPr>
          <w:rFonts w:ascii="Arial" w:hAnsi="Arial" w:cs="Arial"/>
          <w:sz w:val="18"/>
          <w:szCs w:val="18"/>
        </w:rPr>
        <w:instrText xml:space="preserve"> NOTEREF _Ref134939691 \h  \* MERGEFORMAT </w:instrText>
      </w:r>
      <w:r w:rsidRPr="001F3ECC">
        <w:rPr>
          <w:rFonts w:ascii="Arial" w:hAnsi="Arial" w:cs="Arial"/>
          <w:sz w:val="18"/>
          <w:szCs w:val="18"/>
        </w:rPr>
      </w:r>
      <w:r w:rsidRPr="001F3ECC">
        <w:rPr>
          <w:rFonts w:ascii="Arial" w:hAnsi="Arial" w:cs="Arial"/>
          <w:sz w:val="18"/>
          <w:szCs w:val="18"/>
        </w:rPr>
        <w:fldChar w:fldCharType="separate"/>
      </w:r>
      <w:r w:rsidR="002B5DBD" w:rsidRPr="001F3ECC">
        <w:rPr>
          <w:rFonts w:ascii="Arial" w:hAnsi="Arial" w:cs="Arial"/>
          <w:sz w:val="18"/>
          <w:szCs w:val="18"/>
        </w:rPr>
        <w:t>43</w:t>
      </w:r>
      <w:r w:rsidRPr="001F3ECC">
        <w:rPr>
          <w:rFonts w:ascii="Arial" w:hAnsi="Arial" w:cs="Arial"/>
          <w:sz w:val="18"/>
          <w:szCs w:val="18"/>
        </w:rPr>
        <w:fldChar w:fldCharType="end"/>
      </w:r>
      <w:r w:rsidRPr="001F3ECC">
        <w:rPr>
          <w:rFonts w:ascii="Arial" w:hAnsi="Arial" w:cs="Arial"/>
          <w:sz w:val="18"/>
          <w:szCs w:val="18"/>
        </w:rPr>
        <w:t xml:space="preserve">. </w:t>
      </w:r>
    </w:p>
  </w:footnote>
  <w:footnote w:id="45">
    <w:p w14:paraId="7A5EA916" w14:textId="6A2354A1" w:rsidR="009F7444" w:rsidRPr="001F3ECC" w:rsidRDefault="009F7444" w:rsidP="00867405">
      <w:pPr>
        <w:rPr>
          <w:rFonts w:ascii="Arial" w:hAnsi="Arial" w:cs="Arial"/>
          <w:smallCaps/>
          <w:sz w:val="18"/>
          <w:szCs w:val="18"/>
        </w:rPr>
      </w:pPr>
      <w:r w:rsidRPr="001F3ECC">
        <w:rPr>
          <w:rStyle w:val="FootnoteReference"/>
          <w:rFonts w:ascii="Arial" w:hAnsi="Arial" w:cs="Arial"/>
          <w:sz w:val="18"/>
          <w:szCs w:val="18"/>
        </w:rPr>
        <w:footnoteRef/>
      </w:r>
      <w:r w:rsidRPr="001F3ECC">
        <w:rPr>
          <w:rFonts w:ascii="Arial" w:hAnsi="Arial" w:cs="Arial"/>
          <w:sz w:val="18"/>
          <w:szCs w:val="18"/>
        </w:rPr>
        <w:t xml:space="preserve"> Lasser, et al., </w:t>
      </w:r>
      <w:r w:rsidRPr="001F3ECC">
        <w:rPr>
          <w:rFonts w:ascii="Arial" w:hAnsi="Arial" w:cs="Arial"/>
          <w:i/>
          <w:iCs/>
          <w:sz w:val="18"/>
          <w:szCs w:val="18"/>
        </w:rPr>
        <w:t>supra</w:t>
      </w:r>
      <w:r w:rsidRPr="001F3ECC">
        <w:rPr>
          <w:rFonts w:ascii="Arial" w:hAnsi="Arial" w:cs="Arial"/>
          <w:sz w:val="18"/>
          <w:szCs w:val="18"/>
        </w:rPr>
        <w:t xml:space="preserve"> note </w:t>
      </w:r>
      <w:r w:rsidRPr="001F3ECC">
        <w:rPr>
          <w:rFonts w:ascii="Arial" w:hAnsi="Arial" w:cs="Arial"/>
          <w:sz w:val="18"/>
          <w:szCs w:val="18"/>
        </w:rPr>
        <w:fldChar w:fldCharType="begin"/>
      </w:r>
      <w:r w:rsidRPr="001F3ECC">
        <w:rPr>
          <w:rFonts w:ascii="Arial" w:hAnsi="Arial" w:cs="Arial"/>
          <w:sz w:val="18"/>
          <w:szCs w:val="18"/>
        </w:rPr>
        <w:instrText xml:space="preserve"> NOTEREF _Ref134939691 \h  \* MERGEFORMAT </w:instrText>
      </w:r>
      <w:r w:rsidRPr="001F3ECC">
        <w:rPr>
          <w:rFonts w:ascii="Arial" w:hAnsi="Arial" w:cs="Arial"/>
          <w:sz w:val="18"/>
          <w:szCs w:val="18"/>
        </w:rPr>
      </w:r>
      <w:r w:rsidRPr="001F3ECC">
        <w:rPr>
          <w:rFonts w:ascii="Arial" w:hAnsi="Arial" w:cs="Arial"/>
          <w:sz w:val="18"/>
          <w:szCs w:val="18"/>
        </w:rPr>
        <w:fldChar w:fldCharType="separate"/>
      </w:r>
      <w:r w:rsidR="002B5DBD" w:rsidRPr="001F3ECC">
        <w:rPr>
          <w:rFonts w:ascii="Arial" w:hAnsi="Arial" w:cs="Arial"/>
          <w:sz w:val="18"/>
          <w:szCs w:val="18"/>
        </w:rPr>
        <w:t>43</w:t>
      </w:r>
      <w:r w:rsidRPr="001F3ECC">
        <w:rPr>
          <w:rFonts w:ascii="Arial" w:hAnsi="Arial" w:cs="Arial"/>
          <w:sz w:val="18"/>
          <w:szCs w:val="18"/>
        </w:rPr>
        <w:fldChar w:fldCharType="end"/>
      </w:r>
      <w:r w:rsidRPr="001F3ECC">
        <w:rPr>
          <w:rFonts w:ascii="Arial" w:hAnsi="Arial" w:cs="Arial"/>
          <w:sz w:val="18"/>
          <w:szCs w:val="18"/>
        </w:rPr>
        <w:t xml:space="preserve">; Ku, et al., </w:t>
      </w:r>
      <w:r w:rsidRPr="001F3ECC">
        <w:rPr>
          <w:rFonts w:ascii="Arial" w:hAnsi="Arial" w:cs="Arial"/>
          <w:i/>
          <w:iCs/>
          <w:sz w:val="18"/>
          <w:szCs w:val="18"/>
        </w:rPr>
        <w:t>supra</w:t>
      </w:r>
      <w:r w:rsidRPr="001F3ECC">
        <w:rPr>
          <w:rFonts w:ascii="Arial" w:hAnsi="Arial" w:cs="Arial"/>
          <w:sz w:val="18"/>
          <w:szCs w:val="18"/>
        </w:rPr>
        <w:t xml:space="preserve"> note </w:t>
      </w:r>
      <w:r w:rsidRPr="001F3ECC">
        <w:rPr>
          <w:rFonts w:ascii="Arial" w:hAnsi="Arial" w:cs="Arial"/>
          <w:sz w:val="18"/>
          <w:szCs w:val="18"/>
        </w:rPr>
        <w:fldChar w:fldCharType="begin"/>
      </w:r>
      <w:r w:rsidRPr="001F3ECC">
        <w:rPr>
          <w:rFonts w:ascii="Arial" w:hAnsi="Arial" w:cs="Arial"/>
          <w:sz w:val="18"/>
          <w:szCs w:val="18"/>
        </w:rPr>
        <w:instrText xml:space="preserve"> NOTEREF _Ref134939691 \h  \* MERGEFORMAT </w:instrText>
      </w:r>
      <w:r w:rsidRPr="001F3ECC">
        <w:rPr>
          <w:rFonts w:ascii="Arial" w:hAnsi="Arial" w:cs="Arial"/>
          <w:sz w:val="18"/>
          <w:szCs w:val="18"/>
        </w:rPr>
      </w:r>
      <w:r w:rsidRPr="001F3ECC">
        <w:rPr>
          <w:rFonts w:ascii="Arial" w:hAnsi="Arial" w:cs="Arial"/>
          <w:sz w:val="18"/>
          <w:szCs w:val="18"/>
        </w:rPr>
        <w:fldChar w:fldCharType="separate"/>
      </w:r>
      <w:r w:rsidR="002B5DBD" w:rsidRPr="001F3ECC">
        <w:rPr>
          <w:rFonts w:ascii="Arial" w:hAnsi="Arial" w:cs="Arial"/>
          <w:sz w:val="18"/>
          <w:szCs w:val="18"/>
        </w:rPr>
        <w:t>43</w:t>
      </w:r>
      <w:r w:rsidRPr="001F3ECC">
        <w:rPr>
          <w:rFonts w:ascii="Arial" w:hAnsi="Arial" w:cs="Arial"/>
          <w:sz w:val="18"/>
          <w:szCs w:val="18"/>
        </w:rPr>
        <w:fldChar w:fldCharType="end"/>
      </w:r>
      <w:r w:rsidRPr="001F3ECC">
        <w:rPr>
          <w:rFonts w:ascii="Arial" w:hAnsi="Arial" w:cs="Arial"/>
          <w:sz w:val="18"/>
          <w:szCs w:val="18"/>
        </w:rPr>
        <w:t xml:space="preserve">; Mohan, et al., </w:t>
      </w:r>
      <w:r w:rsidRPr="001F3ECC">
        <w:rPr>
          <w:rFonts w:ascii="Arial" w:hAnsi="Arial" w:cs="Arial"/>
          <w:i/>
          <w:iCs/>
          <w:sz w:val="18"/>
          <w:szCs w:val="18"/>
        </w:rPr>
        <w:t>supra</w:t>
      </w:r>
      <w:r w:rsidRPr="001F3ECC">
        <w:rPr>
          <w:rFonts w:ascii="Arial" w:hAnsi="Arial" w:cs="Arial"/>
          <w:sz w:val="18"/>
          <w:szCs w:val="18"/>
        </w:rPr>
        <w:t xml:space="preserve"> note </w:t>
      </w:r>
      <w:r w:rsidRPr="001F3ECC">
        <w:rPr>
          <w:rFonts w:ascii="Arial" w:hAnsi="Arial" w:cs="Arial"/>
          <w:sz w:val="18"/>
          <w:szCs w:val="18"/>
        </w:rPr>
        <w:fldChar w:fldCharType="begin"/>
      </w:r>
      <w:r w:rsidRPr="001F3ECC">
        <w:rPr>
          <w:rFonts w:ascii="Arial" w:hAnsi="Arial" w:cs="Arial"/>
          <w:sz w:val="18"/>
          <w:szCs w:val="18"/>
        </w:rPr>
        <w:instrText xml:space="preserve"> NOTEREF _Ref134939691 \h  \* MERGEFORMAT </w:instrText>
      </w:r>
      <w:r w:rsidRPr="001F3ECC">
        <w:rPr>
          <w:rFonts w:ascii="Arial" w:hAnsi="Arial" w:cs="Arial"/>
          <w:sz w:val="18"/>
          <w:szCs w:val="18"/>
        </w:rPr>
      </w:r>
      <w:r w:rsidRPr="001F3ECC">
        <w:rPr>
          <w:rFonts w:ascii="Arial" w:hAnsi="Arial" w:cs="Arial"/>
          <w:sz w:val="18"/>
          <w:szCs w:val="18"/>
        </w:rPr>
        <w:fldChar w:fldCharType="separate"/>
      </w:r>
      <w:r w:rsidR="002B5DBD" w:rsidRPr="001F3ECC">
        <w:rPr>
          <w:rFonts w:ascii="Arial" w:hAnsi="Arial" w:cs="Arial"/>
          <w:sz w:val="18"/>
          <w:szCs w:val="18"/>
        </w:rPr>
        <w:t>43</w:t>
      </w:r>
      <w:r w:rsidRPr="001F3ECC">
        <w:rPr>
          <w:rFonts w:ascii="Arial" w:hAnsi="Arial" w:cs="Arial"/>
          <w:sz w:val="18"/>
          <w:szCs w:val="18"/>
        </w:rPr>
        <w:fldChar w:fldCharType="end"/>
      </w:r>
      <w:r w:rsidRPr="001F3ECC">
        <w:rPr>
          <w:rFonts w:ascii="Arial" w:hAnsi="Arial" w:cs="Arial"/>
          <w:sz w:val="18"/>
          <w:szCs w:val="18"/>
        </w:rPr>
        <w:t xml:space="preserve">; Kim, et al., </w:t>
      </w:r>
      <w:hyperlink r:id="rId15" w:history="1">
        <w:r w:rsidRPr="001F3ECC">
          <w:rPr>
            <w:rStyle w:val="Hyperlink"/>
            <w:rFonts w:ascii="Arial" w:hAnsi="Arial" w:cs="Arial"/>
            <w:i/>
            <w:iCs/>
            <w:color w:val="auto"/>
            <w:sz w:val="18"/>
            <w:szCs w:val="18"/>
            <w:u w:val="none"/>
          </w:rPr>
          <w:t>The Importance of Safety-Net Hospitals in Emergency General Surgery</w:t>
        </w:r>
      </w:hyperlink>
      <w:r w:rsidRPr="001F3ECC">
        <w:rPr>
          <w:rFonts w:ascii="Arial" w:hAnsi="Arial" w:cs="Arial"/>
          <w:sz w:val="18"/>
          <w:szCs w:val="18"/>
        </w:rPr>
        <w:t xml:space="preserve">, </w:t>
      </w:r>
      <w:r w:rsidRPr="001F3ECC">
        <w:rPr>
          <w:rFonts w:ascii="Arial" w:hAnsi="Arial" w:cs="Arial"/>
          <w:smallCaps/>
          <w:sz w:val="18"/>
          <w:szCs w:val="18"/>
        </w:rPr>
        <w:t xml:space="preserve">J. Gastrointestinal Surgery </w:t>
      </w:r>
      <w:r w:rsidRPr="001F3ECC">
        <w:rPr>
          <w:rFonts w:ascii="Arial" w:hAnsi="Arial" w:cs="Arial"/>
          <w:sz w:val="18"/>
          <w:szCs w:val="18"/>
        </w:rPr>
        <w:t xml:space="preserve">(2018), </w:t>
      </w:r>
      <w:r w:rsidRPr="001F3ECC">
        <w:rPr>
          <w:rFonts w:ascii="Arial" w:hAnsi="Arial" w:cs="Arial"/>
          <w:i/>
          <w:iCs/>
          <w:sz w:val="18"/>
          <w:szCs w:val="18"/>
        </w:rPr>
        <w:t>available at</w:t>
      </w:r>
      <w:r w:rsidRPr="001F3ECC">
        <w:rPr>
          <w:rFonts w:ascii="Arial" w:hAnsi="Arial" w:cs="Arial"/>
          <w:sz w:val="18"/>
          <w:szCs w:val="18"/>
        </w:rPr>
        <w:t xml:space="preserve"> </w:t>
      </w:r>
      <w:hyperlink r:id="rId16" w:history="1">
        <w:r w:rsidR="00464CC7" w:rsidRPr="001F3ECC">
          <w:rPr>
            <w:rStyle w:val="Hyperlink"/>
            <w:rFonts w:ascii="Arial" w:hAnsi="Arial" w:cs="Arial"/>
            <w:color w:val="auto"/>
            <w:sz w:val="18"/>
            <w:szCs w:val="18"/>
            <w:u w:val="none"/>
          </w:rPr>
          <w:t>https://www.researchgate.net/profile/Young-Kim-122/publication/326565167_The_Importance_of_Safety-Net_Hospitals_in_Emergency_General_Surgery/links/5b6300f30f7e9bc79a762ac1/The-Importance-of-Safety-Net-Hospitals-in-Emergency-General-Surgery.pdf</w:t>
        </w:r>
      </w:hyperlink>
      <w:r w:rsidR="00464CC7" w:rsidRPr="001F3ECC">
        <w:rPr>
          <w:rFonts w:ascii="Arial" w:hAnsi="Arial" w:cs="Arial"/>
          <w:sz w:val="18"/>
          <w:szCs w:val="18"/>
        </w:rPr>
        <w:t xml:space="preserve"> </w:t>
      </w:r>
      <w:r w:rsidRPr="001F3ECC">
        <w:rPr>
          <w:rFonts w:ascii="Arial" w:hAnsi="Arial" w:cs="Arial"/>
          <w:sz w:val="18"/>
          <w:szCs w:val="18"/>
        </w:rPr>
        <w:t>.</w:t>
      </w:r>
    </w:p>
  </w:footnote>
  <w:footnote w:id="46">
    <w:p w14:paraId="1C89B445" w14:textId="3FFFE00F" w:rsidR="009F7444" w:rsidRPr="001F3ECC" w:rsidRDefault="009F7444" w:rsidP="00867405">
      <w:pPr>
        <w:pStyle w:val="NormalWeb"/>
        <w:spacing w:before="0" w:beforeAutospacing="0" w:after="0" w:afterAutospacing="0"/>
        <w:rPr>
          <w:rFonts w:ascii="Arial" w:hAnsi="Arial" w:cs="Arial"/>
          <w:sz w:val="18"/>
          <w:szCs w:val="18"/>
        </w:rPr>
      </w:pPr>
      <w:r w:rsidRPr="001F3ECC">
        <w:rPr>
          <w:rStyle w:val="FootnoteReference"/>
          <w:rFonts w:ascii="Arial" w:hAnsi="Arial" w:cs="Arial"/>
          <w:sz w:val="18"/>
          <w:szCs w:val="18"/>
        </w:rPr>
        <w:footnoteRef/>
      </w:r>
      <w:r w:rsidRPr="001F3ECC">
        <w:rPr>
          <w:rFonts w:ascii="Arial" w:hAnsi="Arial" w:cs="Arial"/>
          <w:sz w:val="18"/>
          <w:szCs w:val="18"/>
        </w:rPr>
        <w:t xml:space="preserve"> </w:t>
      </w:r>
      <w:hyperlink r:id="rId17" w:history="1">
        <w:r w:rsidRPr="001F3ECC">
          <w:rPr>
            <w:rStyle w:val="Hyperlink"/>
            <w:rFonts w:ascii="Arial" w:hAnsi="Arial" w:cs="Arial"/>
            <w:i/>
            <w:iCs/>
            <w:color w:val="auto"/>
            <w:sz w:val="18"/>
            <w:szCs w:val="18"/>
            <w:u w:val="none"/>
          </w:rPr>
          <w:t>Magnetic Resonance Imaging (MRI),</w:t>
        </w:r>
      </w:hyperlink>
      <w:r w:rsidRPr="001F3ECC">
        <w:rPr>
          <w:rFonts w:ascii="Arial" w:hAnsi="Arial" w:cs="Arial"/>
          <w:i/>
          <w:iCs/>
          <w:sz w:val="18"/>
          <w:szCs w:val="18"/>
        </w:rPr>
        <w:t xml:space="preserve"> </w:t>
      </w:r>
      <w:r w:rsidRPr="001F3ECC">
        <w:rPr>
          <w:rFonts w:ascii="Arial" w:hAnsi="Arial" w:cs="Arial"/>
          <w:smallCaps/>
          <w:sz w:val="18"/>
          <w:szCs w:val="18"/>
        </w:rPr>
        <w:t>Nat’l Inst. Biomedical Imaging &amp; Bioengineering</w:t>
      </w:r>
      <w:r w:rsidRPr="001F3ECC">
        <w:rPr>
          <w:rFonts w:ascii="Arial" w:hAnsi="Arial" w:cs="Arial"/>
          <w:sz w:val="18"/>
          <w:szCs w:val="18"/>
        </w:rPr>
        <w:t xml:space="preserve">, </w:t>
      </w:r>
      <w:hyperlink r:id="rId18" w:history="1">
        <w:r w:rsidR="00464CC7" w:rsidRPr="001F3ECC">
          <w:rPr>
            <w:rStyle w:val="Hyperlink"/>
            <w:rFonts w:ascii="Arial" w:hAnsi="Arial" w:cs="Arial"/>
            <w:color w:val="auto"/>
            <w:sz w:val="18"/>
            <w:szCs w:val="18"/>
            <w:u w:val="none"/>
          </w:rPr>
          <w:t>https://www.nibib.nih.gov/science-education/science-topics/magnetic-resonance-imaging-mri</w:t>
        </w:r>
      </w:hyperlink>
      <w:r w:rsidR="00464CC7" w:rsidRPr="001F3ECC">
        <w:rPr>
          <w:rFonts w:ascii="Arial" w:hAnsi="Arial" w:cs="Arial"/>
          <w:sz w:val="18"/>
          <w:szCs w:val="18"/>
        </w:rPr>
        <w:t xml:space="preserve"> </w:t>
      </w:r>
      <w:r w:rsidRPr="001F3ECC">
        <w:rPr>
          <w:rFonts w:ascii="Arial" w:hAnsi="Arial" w:cs="Arial"/>
          <w:sz w:val="18"/>
          <w:szCs w:val="18"/>
        </w:rPr>
        <w:t xml:space="preserve"> (last visited May 13, 2023); Moser, et al., </w:t>
      </w:r>
      <w:hyperlink r:id="rId19" w:history="1">
        <w:r w:rsidRPr="001F3ECC">
          <w:rPr>
            <w:rStyle w:val="Hyperlink"/>
            <w:rFonts w:ascii="Arial" w:hAnsi="Arial" w:cs="Arial"/>
            <w:i/>
            <w:iCs/>
            <w:color w:val="auto"/>
            <w:sz w:val="18"/>
            <w:szCs w:val="18"/>
            <w:u w:val="none"/>
          </w:rPr>
          <w:t>Magnetic resonance imaging methodology</w:t>
        </w:r>
      </w:hyperlink>
      <w:r w:rsidRPr="001F3ECC">
        <w:rPr>
          <w:rFonts w:ascii="Arial" w:hAnsi="Arial" w:cs="Arial"/>
          <w:sz w:val="18"/>
          <w:szCs w:val="18"/>
        </w:rPr>
        <w:t xml:space="preserve">, 36 </w:t>
      </w:r>
      <w:r w:rsidRPr="001F3ECC">
        <w:rPr>
          <w:rFonts w:ascii="Arial" w:hAnsi="Arial" w:cs="Arial"/>
          <w:smallCaps/>
          <w:sz w:val="18"/>
          <w:szCs w:val="18"/>
        </w:rPr>
        <w:t>European J. Nuclear Med. &amp; Molecular Imaging</w:t>
      </w:r>
      <w:r w:rsidRPr="001F3ECC">
        <w:rPr>
          <w:rFonts w:ascii="Arial" w:hAnsi="Arial" w:cs="Arial"/>
          <w:sz w:val="18"/>
          <w:szCs w:val="18"/>
        </w:rPr>
        <w:t xml:space="preserve"> 30 (2009), </w:t>
      </w:r>
      <w:r w:rsidRPr="001F3ECC">
        <w:rPr>
          <w:rFonts w:ascii="Arial" w:hAnsi="Arial" w:cs="Arial"/>
          <w:i/>
          <w:iCs/>
          <w:sz w:val="18"/>
          <w:szCs w:val="18"/>
        </w:rPr>
        <w:t>available at</w:t>
      </w:r>
      <w:r w:rsidRPr="001F3ECC">
        <w:rPr>
          <w:rFonts w:ascii="Arial" w:hAnsi="Arial" w:cs="Arial"/>
          <w:sz w:val="18"/>
          <w:szCs w:val="18"/>
        </w:rPr>
        <w:t xml:space="preserve"> </w:t>
      </w:r>
      <w:hyperlink r:id="rId20" w:history="1">
        <w:r w:rsidR="00464CC7" w:rsidRPr="001F3ECC">
          <w:rPr>
            <w:rStyle w:val="Hyperlink"/>
            <w:rFonts w:ascii="Arial" w:hAnsi="Arial" w:cs="Arial"/>
            <w:color w:val="auto"/>
            <w:sz w:val="18"/>
            <w:szCs w:val="18"/>
            <w:u w:val="none"/>
          </w:rPr>
          <w:t>https://link.springer.com/article/10.1007/s00259-008-0938-3</w:t>
        </w:r>
      </w:hyperlink>
      <w:r w:rsidR="00464CC7" w:rsidRPr="001F3ECC">
        <w:rPr>
          <w:rFonts w:ascii="Arial" w:hAnsi="Arial" w:cs="Arial"/>
          <w:sz w:val="18"/>
          <w:szCs w:val="18"/>
        </w:rPr>
        <w:t xml:space="preserve"> </w:t>
      </w:r>
      <w:r w:rsidRPr="001F3ECC">
        <w:rPr>
          <w:rFonts w:ascii="Arial" w:hAnsi="Arial" w:cs="Arial"/>
          <w:sz w:val="18"/>
          <w:szCs w:val="18"/>
        </w:rPr>
        <w:t xml:space="preserve">. </w:t>
      </w:r>
    </w:p>
  </w:footnote>
  <w:footnote w:id="47">
    <w:p w14:paraId="69D57788" w14:textId="18D37DB2" w:rsidR="009F7444" w:rsidRPr="001F3ECC" w:rsidRDefault="009F7444" w:rsidP="00867405">
      <w:pPr>
        <w:pStyle w:val="FootnoteText"/>
        <w:rPr>
          <w:rFonts w:ascii="Arial" w:hAnsi="Arial" w:cs="Arial"/>
          <w:sz w:val="18"/>
          <w:szCs w:val="18"/>
        </w:rPr>
      </w:pPr>
      <w:r w:rsidRPr="001F3ECC">
        <w:rPr>
          <w:rStyle w:val="FootnoteReference"/>
          <w:rFonts w:ascii="Arial" w:hAnsi="Arial" w:cs="Arial"/>
          <w:sz w:val="18"/>
          <w:szCs w:val="18"/>
        </w:rPr>
        <w:footnoteRef/>
      </w:r>
      <w:r w:rsidRPr="001F3ECC">
        <w:rPr>
          <w:rFonts w:ascii="Arial" w:hAnsi="Arial" w:cs="Arial"/>
          <w:sz w:val="18"/>
          <w:szCs w:val="18"/>
        </w:rPr>
        <w:t xml:space="preserve"> </w:t>
      </w:r>
      <w:r w:rsidRPr="001F3ECC">
        <w:rPr>
          <w:rFonts w:ascii="Arial" w:hAnsi="Arial" w:cs="Arial"/>
          <w:smallCaps/>
          <w:sz w:val="18"/>
          <w:szCs w:val="18"/>
        </w:rPr>
        <w:t>Nat’l Inst. Biomedical Imaging &amp; Bioengineering</w:t>
      </w:r>
      <w:r w:rsidRPr="001F3ECC">
        <w:rPr>
          <w:rFonts w:ascii="Arial" w:hAnsi="Arial" w:cs="Arial"/>
          <w:sz w:val="18"/>
          <w:szCs w:val="18"/>
        </w:rPr>
        <w:t xml:space="preserve">, </w:t>
      </w:r>
      <w:r w:rsidRPr="001F3ECC">
        <w:rPr>
          <w:rFonts w:ascii="Arial" w:hAnsi="Arial" w:cs="Arial"/>
          <w:i/>
          <w:iCs/>
          <w:sz w:val="18"/>
          <w:szCs w:val="18"/>
        </w:rPr>
        <w:t>supra</w:t>
      </w:r>
      <w:r w:rsidRPr="001F3ECC">
        <w:rPr>
          <w:rFonts w:ascii="Arial" w:hAnsi="Arial" w:cs="Arial"/>
          <w:sz w:val="18"/>
          <w:szCs w:val="18"/>
        </w:rPr>
        <w:t xml:space="preserve"> note </w:t>
      </w:r>
      <w:r w:rsidR="00B12886" w:rsidRPr="001F3ECC">
        <w:rPr>
          <w:rFonts w:ascii="Arial" w:hAnsi="Arial" w:cs="Arial"/>
          <w:sz w:val="18"/>
          <w:szCs w:val="18"/>
        </w:rPr>
        <w:t>46</w:t>
      </w:r>
      <w:r w:rsidRPr="001F3ECC">
        <w:rPr>
          <w:rFonts w:ascii="Arial" w:hAnsi="Arial" w:cs="Arial"/>
          <w:sz w:val="18"/>
          <w:szCs w:val="18"/>
        </w:rPr>
        <w:t xml:space="preserve">; Moser, et al., </w:t>
      </w:r>
      <w:r w:rsidRPr="001F3ECC">
        <w:rPr>
          <w:rFonts w:ascii="Arial" w:hAnsi="Arial" w:cs="Arial"/>
          <w:i/>
          <w:iCs/>
          <w:sz w:val="18"/>
          <w:szCs w:val="18"/>
        </w:rPr>
        <w:t>supra</w:t>
      </w:r>
      <w:r w:rsidRPr="001F3ECC">
        <w:rPr>
          <w:rFonts w:ascii="Arial" w:hAnsi="Arial" w:cs="Arial"/>
          <w:sz w:val="18"/>
          <w:szCs w:val="18"/>
        </w:rPr>
        <w:t xml:space="preserve"> note</w:t>
      </w:r>
      <w:r w:rsidR="00B12886" w:rsidRPr="001F3ECC">
        <w:rPr>
          <w:rFonts w:ascii="Arial" w:hAnsi="Arial" w:cs="Arial"/>
          <w:sz w:val="18"/>
          <w:szCs w:val="18"/>
        </w:rPr>
        <w:t xml:space="preserve"> 46</w:t>
      </w:r>
      <w:r w:rsidRPr="001F3ECC">
        <w:rPr>
          <w:rFonts w:ascii="Arial" w:hAnsi="Arial" w:cs="Arial"/>
          <w:sz w:val="18"/>
          <w:szCs w:val="18"/>
        </w:rPr>
        <w:t>.</w:t>
      </w:r>
    </w:p>
  </w:footnote>
  <w:footnote w:id="48">
    <w:p w14:paraId="3D578CA6" w14:textId="1055CFA0" w:rsidR="009F7444" w:rsidRPr="005B3B6A" w:rsidRDefault="009F7444" w:rsidP="00867405">
      <w:pPr>
        <w:pStyle w:val="FootnoteText"/>
        <w:rPr>
          <w:rFonts w:ascii="Arial" w:hAnsi="Arial" w:cs="Arial"/>
          <w:sz w:val="18"/>
          <w:szCs w:val="18"/>
        </w:rPr>
      </w:pPr>
      <w:r w:rsidRPr="001F3ECC">
        <w:rPr>
          <w:rStyle w:val="FootnoteReference"/>
          <w:rFonts w:ascii="Arial" w:hAnsi="Arial" w:cs="Arial"/>
          <w:sz w:val="18"/>
          <w:szCs w:val="18"/>
        </w:rPr>
        <w:footnoteRef/>
      </w:r>
      <w:r w:rsidRPr="001F3ECC">
        <w:rPr>
          <w:rFonts w:ascii="Arial" w:hAnsi="Arial" w:cs="Arial"/>
          <w:sz w:val="18"/>
          <w:szCs w:val="18"/>
        </w:rPr>
        <w:t xml:space="preserve"> </w:t>
      </w:r>
      <w:r w:rsidRPr="001F3ECC">
        <w:rPr>
          <w:rFonts w:ascii="Arial" w:hAnsi="Arial" w:cs="Arial"/>
          <w:smallCaps/>
          <w:sz w:val="18"/>
          <w:szCs w:val="18"/>
        </w:rPr>
        <w:t>Nat’l Inst. Biomedical Imaging &amp; Bioengineering</w:t>
      </w:r>
      <w:r w:rsidRPr="001F3ECC">
        <w:rPr>
          <w:rFonts w:ascii="Arial" w:hAnsi="Arial" w:cs="Arial"/>
          <w:sz w:val="18"/>
          <w:szCs w:val="18"/>
        </w:rPr>
        <w:t xml:space="preserve">, </w:t>
      </w:r>
      <w:r w:rsidRPr="001F3ECC">
        <w:rPr>
          <w:rFonts w:ascii="Arial" w:hAnsi="Arial" w:cs="Arial"/>
          <w:i/>
          <w:iCs/>
          <w:sz w:val="18"/>
          <w:szCs w:val="18"/>
        </w:rPr>
        <w:t>supra</w:t>
      </w:r>
      <w:r w:rsidRPr="001F3ECC">
        <w:rPr>
          <w:rFonts w:ascii="Arial" w:hAnsi="Arial" w:cs="Arial"/>
          <w:sz w:val="18"/>
          <w:szCs w:val="18"/>
        </w:rPr>
        <w:t xml:space="preserve"> note </w:t>
      </w:r>
      <w:r w:rsidR="00B12886" w:rsidRPr="001F3ECC">
        <w:rPr>
          <w:rFonts w:ascii="Arial" w:hAnsi="Arial" w:cs="Arial"/>
          <w:sz w:val="18"/>
          <w:szCs w:val="18"/>
        </w:rPr>
        <w:t>46</w:t>
      </w:r>
      <w:r w:rsidRPr="001F3ECC">
        <w:rPr>
          <w:rFonts w:ascii="Arial" w:hAnsi="Arial" w:cs="Arial"/>
          <w:sz w:val="18"/>
          <w:szCs w:val="18"/>
        </w:rPr>
        <w:t xml:space="preserve">; Moser, et al., </w:t>
      </w:r>
      <w:r w:rsidRPr="001F3ECC">
        <w:rPr>
          <w:rFonts w:ascii="Arial" w:hAnsi="Arial" w:cs="Arial"/>
          <w:i/>
          <w:iCs/>
          <w:sz w:val="18"/>
          <w:szCs w:val="18"/>
        </w:rPr>
        <w:t>supra</w:t>
      </w:r>
      <w:r w:rsidRPr="001F3ECC">
        <w:rPr>
          <w:rFonts w:ascii="Arial" w:hAnsi="Arial" w:cs="Arial"/>
          <w:sz w:val="18"/>
          <w:szCs w:val="18"/>
        </w:rPr>
        <w:t xml:space="preserve"> </w:t>
      </w:r>
      <w:r w:rsidRPr="005B3B6A">
        <w:rPr>
          <w:rFonts w:ascii="Arial" w:hAnsi="Arial" w:cs="Arial"/>
          <w:sz w:val="18"/>
          <w:szCs w:val="18"/>
        </w:rPr>
        <w:t xml:space="preserve">note </w:t>
      </w:r>
      <w:r w:rsidR="00B12886">
        <w:rPr>
          <w:rFonts w:ascii="Arial" w:hAnsi="Arial" w:cs="Arial"/>
          <w:sz w:val="18"/>
          <w:szCs w:val="18"/>
        </w:rPr>
        <w:t>46</w:t>
      </w:r>
      <w:r w:rsidRPr="005B3B6A">
        <w:rPr>
          <w:rFonts w:ascii="Arial" w:hAnsi="Arial" w:cs="Arial"/>
          <w:sz w:val="18"/>
          <w:szCs w:val="18"/>
        </w:rPr>
        <w:t>.</w:t>
      </w:r>
    </w:p>
  </w:footnote>
  <w:footnote w:id="49">
    <w:p w14:paraId="62BB99E3" w14:textId="1C4C80C4" w:rsidR="009F7444" w:rsidRPr="00661B99" w:rsidRDefault="009F7444" w:rsidP="00867405">
      <w:pPr>
        <w:pStyle w:val="FootnoteText"/>
        <w:rPr>
          <w:rFonts w:ascii="Arial" w:hAnsi="Arial" w:cs="Arial"/>
          <w:sz w:val="18"/>
          <w:szCs w:val="18"/>
        </w:rPr>
      </w:pPr>
      <w:r w:rsidRPr="00661B99">
        <w:rPr>
          <w:rStyle w:val="FootnoteReference"/>
          <w:rFonts w:ascii="Arial" w:hAnsi="Arial" w:cs="Arial"/>
          <w:sz w:val="18"/>
          <w:szCs w:val="18"/>
        </w:rPr>
        <w:footnoteRef/>
      </w:r>
      <w:r w:rsidRPr="00661B99">
        <w:rPr>
          <w:rFonts w:ascii="Arial" w:hAnsi="Arial" w:cs="Arial"/>
          <w:sz w:val="18"/>
          <w:szCs w:val="18"/>
        </w:rPr>
        <w:t xml:space="preserve"> </w:t>
      </w:r>
      <w:r w:rsidRPr="00661B99">
        <w:rPr>
          <w:rFonts w:ascii="Arial" w:hAnsi="Arial" w:cs="Arial"/>
          <w:smallCaps/>
          <w:sz w:val="18"/>
          <w:szCs w:val="18"/>
        </w:rPr>
        <w:t>Nat’l Inst. Biomedical Imaging &amp; Bioengineering</w:t>
      </w:r>
      <w:r w:rsidRPr="00661B99">
        <w:rPr>
          <w:rFonts w:ascii="Arial" w:hAnsi="Arial" w:cs="Arial"/>
          <w:sz w:val="18"/>
          <w:szCs w:val="18"/>
        </w:rPr>
        <w:t xml:space="preserve">, </w:t>
      </w:r>
      <w:r w:rsidRPr="00661B99">
        <w:rPr>
          <w:rFonts w:ascii="Arial" w:hAnsi="Arial" w:cs="Arial"/>
          <w:i/>
          <w:iCs/>
          <w:sz w:val="18"/>
          <w:szCs w:val="18"/>
        </w:rPr>
        <w:t>supra</w:t>
      </w:r>
      <w:r w:rsidRPr="00661B99">
        <w:rPr>
          <w:rFonts w:ascii="Arial" w:hAnsi="Arial" w:cs="Arial"/>
          <w:sz w:val="18"/>
          <w:szCs w:val="18"/>
        </w:rPr>
        <w:t xml:space="preserve"> note </w:t>
      </w:r>
      <w:r w:rsidR="00B12886">
        <w:rPr>
          <w:rFonts w:ascii="Arial" w:hAnsi="Arial" w:cs="Arial"/>
          <w:sz w:val="18"/>
          <w:szCs w:val="18"/>
        </w:rPr>
        <w:t>46</w:t>
      </w:r>
      <w:r w:rsidRPr="00661B99">
        <w:rPr>
          <w:rFonts w:ascii="Arial" w:hAnsi="Arial" w:cs="Arial"/>
          <w:sz w:val="18"/>
          <w:szCs w:val="18"/>
        </w:rPr>
        <w:t xml:space="preserve">; Moser, et al., </w:t>
      </w:r>
      <w:r w:rsidRPr="00661B99">
        <w:rPr>
          <w:rFonts w:ascii="Arial" w:hAnsi="Arial" w:cs="Arial"/>
          <w:i/>
          <w:iCs/>
          <w:sz w:val="18"/>
          <w:szCs w:val="18"/>
        </w:rPr>
        <w:t>supra</w:t>
      </w:r>
      <w:r w:rsidRPr="00661B99">
        <w:rPr>
          <w:rFonts w:ascii="Arial" w:hAnsi="Arial" w:cs="Arial"/>
          <w:sz w:val="18"/>
          <w:szCs w:val="18"/>
        </w:rPr>
        <w:t xml:space="preserve"> note </w:t>
      </w:r>
      <w:r w:rsidR="00B12886">
        <w:rPr>
          <w:rFonts w:ascii="Arial" w:hAnsi="Arial" w:cs="Arial"/>
          <w:sz w:val="18"/>
          <w:szCs w:val="18"/>
        </w:rPr>
        <w:t>46</w:t>
      </w:r>
      <w:r w:rsidRPr="00661B99">
        <w:rPr>
          <w:rFonts w:ascii="Arial" w:hAnsi="Arial" w:cs="Arial"/>
          <w:sz w:val="18"/>
          <w:szCs w:val="18"/>
        </w:rPr>
        <w:t>.</w:t>
      </w:r>
    </w:p>
  </w:footnote>
  <w:footnote w:id="50">
    <w:p w14:paraId="520B94A5" w14:textId="58C10BB3" w:rsidR="009F7444" w:rsidRPr="000923F6" w:rsidRDefault="009F7444">
      <w:pPr>
        <w:pStyle w:val="FootnoteText"/>
        <w:rPr>
          <w:rFonts w:ascii="Arial" w:hAnsi="Arial" w:cs="Arial"/>
          <w:sz w:val="18"/>
          <w:szCs w:val="18"/>
        </w:rPr>
      </w:pPr>
      <w:r w:rsidRPr="00661B99">
        <w:rPr>
          <w:rStyle w:val="FootnoteReference"/>
          <w:rFonts w:ascii="Arial" w:hAnsi="Arial" w:cs="Arial"/>
          <w:sz w:val="18"/>
          <w:szCs w:val="18"/>
        </w:rPr>
        <w:footnoteRef/>
      </w:r>
      <w:r w:rsidRPr="00661B99">
        <w:rPr>
          <w:rFonts w:ascii="Arial" w:hAnsi="Arial" w:cs="Arial"/>
          <w:sz w:val="18"/>
          <w:szCs w:val="18"/>
        </w:rPr>
        <w:t xml:space="preserve"> </w:t>
      </w:r>
      <w:r w:rsidRPr="000923F6">
        <w:rPr>
          <w:rFonts w:ascii="Arial" w:hAnsi="Arial" w:cs="Arial"/>
          <w:sz w:val="18"/>
          <w:szCs w:val="18"/>
        </w:rPr>
        <w:t xml:space="preserve">Moser, et al., </w:t>
      </w:r>
      <w:r w:rsidRPr="000923F6">
        <w:rPr>
          <w:rFonts w:ascii="Arial" w:hAnsi="Arial" w:cs="Arial"/>
          <w:i/>
          <w:iCs/>
          <w:sz w:val="18"/>
          <w:szCs w:val="18"/>
        </w:rPr>
        <w:t>supra</w:t>
      </w:r>
      <w:r w:rsidRPr="000923F6">
        <w:rPr>
          <w:rFonts w:ascii="Arial" w:hAnsi="Arial" w:cs="Arial"/>
          <w:sz w:val="18"/>
          <w:szCs w:val="18"/>
        </w:rPr>
        <w:t xml:space="preserve"> note </w:t>
      </w:r>
      <w:r w:rsidR="00B12886" w:rsidRPr="000923F6">
        <w:rPr>
          <w:rFonts w:ascii="Arial" w:hAnsi="Arial" w:cs="Arial"/>
          <w:sz w:val="18"/>
          <w:szCs w:val="18"/>
        </w:rPr>
        <w:t>46</w:t>
      </w:r>
      <w:r w:rsidRPr="000923F6">
        <w:rPr>
          <w:rFonts w:ascii="Arial" w:hAnsi="Arial" w:cs="Arial"/>
          <w:sz w:val="18"/>
          <w:szCs w:val="18"/>
        </w:rPr>
        <w:t xml:space="preserve">. </w:t>
      </w:r>
    </w:p>
  </w:footnote>
  <w:footnote w:id="51">
    <w:p w14:paraId="21526F76" w14:textId="421E675B" w:rsidR="009F7444" w:rsidRPr="000923F6" w:rsidRDefault="009F7444">
      <w:pPr>
        <w:pStyle w:val="FootnoteText"/>
        <w:rPr>
          <w:rFonts w:ascii="Arial" w:hAnsi="Arial" w:cs="Arial"/>
          <w:sz w:val="18"/>
          <w:szCs w:val="18"/>
        </w:rPr>
      </w:pPr>
      <w:r w:rsidRPr="000923F6">
        <w:rPr>
          <w:rStyle w:val="FootnoteReference"/>
          <w:rFonts w:ascii="Arial" w:hAnsi="Arial" w:cs="Arial"/>
          <w:sz w:val="18"/>
          <w:szCs w:val="18"/>
        </w:rPr>
        <w:footnoteRef/>
      </w:r>
      <w:hyperlink r:id="rId21" w:history="1">
        <w:r w:rsidRPr="000923F6">
          <w:rPr>
            <w:rStyle w:val="Hyperlink"/>
            <w:rFonts w:ascii="Arial" w:hAnsi="Arial" w:cs="Arial"/>
            <w:i/>
            <w:iCs/>
            <w:color w:val="auto"/>
            <w:sz w:val="18"/>
            <w:szCs w:val="18"/>
            <w:u w:val="none"/>
          </w:rPr>
          <w:t>Technology Trends: MRI Time to Upgrade? —</w:t>
        </w:r>
        <w:r w:rsidRPr="000923F6">
          <w:rPr>
            <w:rStyle w:val="Hyperlink"/>
            <w:rFonts w:ascii="Arial" w:hAnsi="Arial" w:cs="Arial"/>
            <w:color w:val="auto"/>
            <w:sz w:val="18"/>
            <w:szCs w:val="18"/>
            <w:u w:val="none"/>
          </w:rPr>
          <w:t xml:space="preserve"> </w:t>
        </w:r>
        <w:r w:rsidRPr="000923F6">
          <w:rPr>
            <w:rStyle w:val="Hyperlink"/>
            <w:rFonts w:ascii="Arial" w:hAnsi="Arial" w:cs="Arial"/>
            <w:i/>
            <w:iCs/>
            <w:color w:val="auto"/>
            <w:sz w:val="18"/>
            <w:szCs w:val="18"/>
            <w:u w:val="none"/>
          </w:rPr>
          <w:t>Considerations for the Move From 1.5T to 3T</w:t>
        </w:r>
      </w:hyperlink>
      <w:r w:rsidRPr="000923F6">
        <w:rPr>
          <w:rStyle w:val="Strong"/>
          <w:rFonts w:ascii="Arial" w:hAnsi="Arial" w:cs="Arial"/>
          <w:b w:val="0"/>
          <w:bCs w:val="0"/>
          <w:sz w:val="18"/>
          <w:szCs w:val="18"/>
        </w:rPr>
        <w:t xml:space="preserve">, 17 </w:t>
      </w:r>
      <w:r w:rsidRPr="000923F6">
        <w:rPr>
          <w:rStyle w:val="Strong"/>
          <w:rFonts w:ascii="Arial" w:hAnsi="Arial" w:cs="Arial"/>
          <w:b w:val="0"/>
          <w:bCs w:val="0"/>
          <w:smallCaps/>
          <w:sz w:val="18"/>
          <w:szCs w:val="18"/>
        </w:rPr>
        <w:t>Radiology Today</w:t>
      </w:r>
      <w:r w:rsidRPr="000923F6">
        <w:rPr>
          <w:rStyle w:val="Strong"/>
          <w:rFonts w:ascii="Arial" w:hAnsi="Arial" w:cs="Arial"/>
          <w:b w:val="0"/>
          <w:bCs w:val="0"/>
          <w:sz w:val="18"/>
          <w:szCs w:val="18"/>
        </w:rPr>
        <w:t xml:space="preserve"> 22 (2016), </w:t>
      </w:r>
      <w:r w:rsidRPr="000923F6">
        <w:rPr>
          <w:rStyle w:val="Strong"/>
          <w:rFonts w:ascii="Arial" w:hAnsi="Arial" w:cs="Arial"/>
          <w:b w:val="0"/>
          <w:bCs w:val="0"/>
          <w:i/>
          <w:iCs/>
          <w:sz w:val="18"/>
          <w:szCs w:val="18"/>
        </w:rPr>
        <w:t>available at</w:t>
      </w:r>
      <w:r w:rsidRPr="000923F6">
        <w:rPr>
          <w:rStyle w:val="Strong"/>
          <w:rFonts w:ascii="Arial" w:hAnsi="Arial" w:cs="Arial"/>
          <w:b w:val="0"/>
          <w:bCs w:val="0"/>
          <w:sz w:val="18"/>
          <w:szCs w:val="18"/>
        </w:rPr>
        <w:t xml:space="preserve"> </w:t>
      </w:r>
      <w:hyperlink r:id="rId22" w:history="1">
        <w:r w:rsidR="000923F6" w:rsidRPr="000923F6">
          <w:rPr>
            <w:rStyle w:val="Hyperlink"/>
            <w:rFonts w:ascii="Arial" w:hAnsi="Arial" w:cs="Arial"/>
            <w:color w:val="auto"/>
            <w:sz w:val="18"/>
            <w:szCs w:val="18"/>
            <w:u w:val="none"/>
          </w:rPr>
          <w:t>https://www.radiologytoday.net/archive/rt0216p22.shtml</w:t>
        </w:r>
      </w:hyperlink>
      <w:r w:rsidR="000923F6" w:rsidRPr="000923F6">
        <w:rPr>
          <w:rStyle w:val="Strong"/>
          <w:rFonts w:ascii="Arial" w:hAnsi="Arial" w:cs="Arial"/>
          <w:b w:val="0"/>
          <w:bCs w:val="0"/>
          <w:sz w:val="18"/>
          <w:szCs w:val="18"/>
        </w:rPr>
        <w:t xml:space="preserve"> </w:t>
      </w:r>
      <w:r w:rsidRPr="000923F6">
        <w:rPr>
          <w:rStyle w:val="Strong"/>
          <w:rFonts w:ascii="Arial" w:hAnsi="Arial" w:cs="Arial"/>
          <w:sz w:val="18"/>
          <w:szCs w:val="18"/>
        </w:rPr>
        <w:t xml:space="preserve">; </w:t>
      </w:r>
      <w:hyperlink r:id="rId23" w:history="1">
        <w:r w:rsidRPr="000923F6">
          <w:rPr>
            <w:rStyle w:val="Hyperlink"/>
            <w:rFonts w:ascii="Arial" w:hAnsi="Arial" w:cs="Arial"/>
            <w:i/>
            <w:iCs/>
            <w:color w:val="auto"/>
            <w:sz w:val="18"/>
            <w:szCs w:val="18"/>
            <w:u w:val="none"/>
          </w:rPr>
          <w:t>What Does Tesla Mean for an MRI and its Magnet?</w:t>
        </w:r>
        <w:r w:rsidRPr="000923F6">
          <w:rPr>
            <w:rStyle w:val="Hyperlink"/>
            <w:rFonts w:ascii="Arial" w:hAnsi="Arial" w:cs="Arial"/>
            <w:color w:val="auto"/>
            <w:sz w:val="18"/>
            <w:szCs w:val="18"/>
            <w:u w:val="none"/>
          </w:rPr>
          <w:t>,</w:t>
        </w:r>
      </w:hyperlink>
      <w:r w:rsidRPr="000923F6">
        <w:rPr>
          <w:rFonts w:ascii="Arial" w:hAnsi="Arial" w:cs="Arial"/>
          <w:sz w:val="18"/>
          <w:szCs w:val="18"/>
        </w:rPr>
        <w:t xml:space="preserve"> </w:t>
      </w:r>
      <w:r w:rsidRPr="000923F6">
        <w:rPr>
          <w:rFonts w:ascii="Arial" w:hAnsi="Arial" w:cs="Arial"/>
          <w:smallCaps/>
          <w:sz w:val="18"/>
          <w:szCs w:val="18"/>
        </w:rPr>
        <w:t>GE Healthcare</w:t>
      </w:r>
      <w:r w:rsidRPr="000923F6">
        <w:rPr>
          <w:rFonts w:ascii="Arial" w:hAnsi="Arial" w:cs="Arial"/>
          <w:sz w:val="18"/>
          <w:szCs w:val="18"/>
        </w:rPr>
        <w:t xml:space="preserve"> (2019), </w:t>
      </w:r>
      <w:hyperlink r:id="rId24" w:history="1">
        <w:r w:rsidR="000923F6" w:rsidRPr="000923F6">
          <w:rPr>
            <w:rStyle w:val="Hyperlink"/>
            <w:rFonts w:ascii="Arial" w:hAnsi="Arial" w:cs="Arial"/>
            <w:color w:val="auto"/>
            <w:sz w:val="18"/>
            <w:szCs w:val="18"/>
            <w:u w:val="none"/>
          </w:rPr>
          <w:t>https://www.gehealthcare.com/insights/article/what-does-tesla-mean-for-an-mri-and-its-magnet</w:t>
        </w:r>
      </w:hyperlink>
      <w:r w:rsidR="000923F6" w:rsidRPr="000923F6">
        <w:rPr>
          <w:rFonts w:ascii="Arial" w:hAnsi="Arial" w:cs="Arial"/>
          <w:sz w:val="18"/>
          <w:szCs w:val="18"/>
        </w:rPr>
        <w:t xml:space="preserve"> </w:t>
      </w:r>
      <w:r w:rsidRPr="000923F6">
        <w:rPr>
          <w:rFonts w:ascii="Arial" w:hAnsi="Arial" w:cs="Arial"/>
          <w:sz w:val="18"/>
          <w:szCs w:val="18"/>
        </w:rPr>
        <w:t>.</w:t>
      </w:r>
    </w:p>
  </w:footnote>
  <w:footnote w:id="52">
    <w:p w14:paraId="728ABC75" w14:textId="77777777" w:rsidR="009F7444" w:rsidRPr="000923F6" w:rsidRDefault="009F7444">
      <w:pPr>
        <w:pStyle w:val="FootnoteText"/>
        <w:rPr>
          <w:rFonts w:ascii="Arial" w:hAnsi="Arial" w:cs="Arial"/>
          <w:sz w:val="18"/>
          <w:szCs w:val="18"/>
        </w:rPr>
      </w:pPr>
      <w:r w:rsidRPr="000923F6">
        <w:rPr>
          <w:rStyle w:val="FootnoteReference"/>
          <w:rFonts w:ascii="Arial" w:hAnsi="Arial" w:cs="Arial"/>
          <w:sz w:val="18"/>
          <w:szCs w:val="18"/>
        </w:rPr>
        <w:footnoteRef/>
      </w:r>
      <w:r w:rsidRPr="000923F6">
        <w:rPr>
          <w:rFonts w:ascii="Arial" w:hAnsi="Arial" w:cs="Arial"/>
          <w:sz w:val="18"/>
          <w:szCs w:val="18"/>
        </w:rPr>
        <w:t xml:space="preserve"> Jung JI. Magnetic Resonance Imaging for Patients with Cardiac Implantable Electronic Devices: Reduced Concerns Regarding Safety, but Scrutiny Remains Critical. Korean Circ J. 2016 Nov;46(6):765-767. doi: 10.4070/kcj.2016.46.6.765. Epub 2016 Nov 1. PMID: 27826333; PMCID: PMC5099330.</w:t>
      </w:r>
    </w:p>
  </w:footnote>
  <w:footnote w:id="53">
    <w:p w14:paraId="4F6CD65B" w14:textId="77777777" w:rsidR="009F7444" w:rsidRPr="000923F6" w:rsidRDefault="009F7444">
      <w:pPr>
        <w:pStyle w:val="FootnoteText"/>
      </w:pPr>
      <w:r w:rsidRPr="000923F6">
        <w:rPr>
          <w:rStyle w:val="FootnoteReference"/>
        </w:rPr>
        <w:footnoteRef/>
      </w:r>
      <w:r w:rsidRPr="000923F6">
        <w:t xml:space="preserve"> </w:t>
      </w:r>
      <w:r w:rsidRPr="000923F6">
        <w:rPr>
          <w:rFonts w:ascii="Arial" w:hAnsi="Arial" w:cs="Arial"/>
          <w:i/>
          <w:iCs/>
          <w:sz w:val="18"/>
          <w:szCs w:val="18"/>
        </w:rPr>
        <w:t>Id.</w:t>
      </w:r>
    </w:p>
  </w:footnote>
  <w:footnote w:id="54">
    <w:p w14:paraId="1D6832A8" w14:textId="77777777" w:rsidR="009F7444" w:rsidRPr="000923F6" w:rsidRDefault="009F7444">
      <w:pPr>
        <w:pStyle w:val="FootnoteText"/>
        <w:rPr>
          <w:rFonts w:ascii="Arial" w:hAnsi="Arial" w:cs="Arial"/>
          <w:sz w:val="18"/>
          <w:szCs w:val="18"/>
        </w:rPr>
      </w:pPr>
      <w:r w:rsidRPr="000923F6">
        <w:rPr>
          <w:rStyle w:val="FootnoteReference"/>
          <w:rFonts w:ascii="Arial" w:hAnsi="Arial" w:cs="Arial"/>
          <w:sz w:val="18"/>
          <w:szCs w:val="18"/>
        </w:rPr>
        <w:footnoteRef/>
      </w:r>
      <w:r w:rsidRPr="000923F6">
        <w:rPr>
          <w:rFonts w:ascii="Arial" w:hAnsi="Arial" w:cs="Arial"/>
          <w:sz w:val="18"/>
          <w:szCs w:val="18"/>
        </w:rPr>
        <w:t xml:space="preserve"> </w:t>
      </w:r>
      <w:bookmarkStart w:id="14" w:name="_Hlk138151103"/>
      <w:r w:rsidRPr="000923F6">
        <w:rPr>
          <w:rFonts w:ascii="Arial" w:hAnsi="Arial" w:cs="Arial"/>
          <w:i/>
          <w:iCs/>
          <w:sz w:val="18"/>
          <w:szCs w:val="18"/>
        </w:rPr>
        <w:t>Id.</w:t>
      </w:r>
      <w:bookmarkEnd w:id="14"/>
    </w:p>
  </w:footnote>
  <w:footnote w:id="55">
    <w:p w14:paraId="416C2974" w14:textId="77777777" w:rsidR="009F7444" w:rsidRPr="000923F6" w:rsidRDefault="009F7444">
      <w:pPr>
        <w:pStyle w:val="FootnoteText"/>
        <w:rPr>
          <w:rFonts w:ascii="Arial" w:hAnsi="Arial" w:cs="Arial"/>
          <w:sz w:val="18"/>
          <w:szCs w:val="18"/>
        </w:rPr>
      </w:pPr>
      <w:r w:rsidRPr="000923F6">
        <w:rPr>
          <w:rStyle w:val="FootnoteReference"/>
          <w:rFonts w:ascii="Arial" w:hAnsi="Arial" w:cs="Arial"/>
          <w:sz w:val="18"/>
          <w:szCs w:val="18"/>
        </w:rPr>
        <w:footnoteRef/>
      </w:r>
      <w:r w:rsidRPr="000923F6">
        <w:rPr>
          <w:rFonts w:ascii="Arial" w:hAnsi="Arial" w:cs="Arial"/>
          <w:sz w:val="18"/>
          <w:szCs w:val="18"/>
        </w:rPr>
        <w:t xml:space="preserve"> </w:t>
      </w:r>
      <w:r w:rsidRPr="000923F6">
        <w:rPr>
          <w:rFonts w:ascii="Arial" w:hAnsi="Arial" w:cs="Arial"/>
          <w:i/>
          <w:iCs/>
          <w:sz w:val="18"/>
          <w:szCs w:val="18"/>
        </w:rPr>
        <w:t>Id.</w:t>
      </w:r>
    </w:p>
  </w:footnote>
  <w:footnote w:id="56">
    <w:p w14:paraId="6D7F197C" w14:textId="7D865630" w:rsidR="009F7444" w:rsidRPr="000923F6" w:rsidRDefault="009F7444">
      <w:pPr>
        <w:pStyle w:val="FootnoteText"/>
      </w:pPr>
      <w:r w:rsidRPr="000923F6">
        <w:rPr>
          <w:rStyle w:val="FootnoteReference"/>
          <w:rFonts w:ascii="Arial" w:hAnsi="Arial" w:cs="Arial"/>
          <w:sz w:val="18"/>
          <w:szCs w:val="18"/>
        </w:rPr>
        <w:footnoteRef/>
      </w:r>
      <w:r w:rsidRPr="000923F6">
        <w:rPr>
          <w:rFonts w:ascii="Arial" w:hAnsi="Arial" w:cs="Arial"/>
          <w:sz w:val="18"/>
          <w:szCs w:val="18"/>
        </w:rPr>
        <w:t xml:space="preserve"> Saman Nazarian, Roy Beinart, Henry R. Halperin. </w:t>
      </w:r>
      <w:hyperlink r:id="rId25" w:history="1">
        <w:r w:rsidRPr="000923F6">
          <w:rPr>
            <w:rStyle w:val="Hyperlink"/>
            <w:rFonts w:ascii="Arial" w:hAnsi="Arial" w:cs="Arial"/>
            <w:color w:val="auto"/>
            <w:sz w:val="18"/>
            <w:szCs w:val="18"/>
            <w:u w:val="none"/>
          </w:rPr>
          <w:t>Magnetic Resonance Imaging and Implantable Devices 2013</w:t>
        </w:r>
      </w:hyperlink>
      <w:r w:rsidRPr="000923F6">
        <w:rPr>
          <w:rFonts w:ascii="Arial" w:hAnsi="Arial" w:cs="Arial"/>
          <w:sz w:val="18"/>
          <w:szCs w:val="18"/>
        </w:rPr>
        <w:t xml:space="preserve">. Circulation: Arrhythmia and Electrophysiology 419-428. Vol. 6 doi:10.1161/CIRCEP.113.000116 </w:t>
      </w:r>
      <w:hyperlink r:id="rId26" w:history="1">
        <w:r w:rsidR="000923F6" w:rsidRPr="000923F6">
          <w:rPr>
            <w:rStyle w:val="Hyperlink"/>
            <w:rFonts w:ascii="Arial" w:hAnsi="Arial" w:cs="Arial"/>
            <w:color w:val="auto"/>
            <w:sz w:val="18"/>
            <w:szCs w:val="18"/>
            <w:u w:val="none"/>
          </w:rPr>
          <w:t>https://www.ahajournals.org/doi/abs/10.1161/CIRCEP.113.000116</w:t>
        </w:r>
      </w:hyperlink>
      <w:r w:rsidR="000923F6" w:rsidRPr="000923F6">
        <w:rPr>
          <w:rFonts w:ascii="Arial" w:hAnsi="Arial" w:cs="Arial"/>
          <w:sz w:val="18"/>
          <w:szCs w:val="18"/>
        </w:rPr>
        <w:t xml:space="preserve"> </w:t>
      </w:r>
    </w:p>
  </w:footnote>
  <w:footnote w:id="57">
    <w:p w14:paraId="40019BCA" w14:textId="77777777" w:rsidR="009F7444" w:rsidRPr="000923F6" w:rsidRDefault="009F7444">
      <w:pPr>
        <w:pStyle w:val="FootnoteText"/>
      </w:pPr>
      <w:r w:rsidRPr="000923F6">
        <w:rPr>
          <w:rStyle w:val="FootnoteReference"/>
        </w:rPr>
        <w:footnoteRef/>
      </w:r>
      <w:r w:rsidRPr="000923F6">
        <w:t xml:space="preserve"> </w:t>
      </w:r>
      <w:r w:rsidRPr="000923F6">
        <w:rPr>
          <w:rFonts w:ascii="Arial" w:hAnsi="Arial" w:cs="Arial"/>
          <w:i/>
          <w:iCs/>
          <w:sz w:val="18"/>
          <w:szCs w:val="18"/>
        </w:rPr>
        <w:t>Id.</w:t>
      </w:r>
    </w:p>
  </w:footnote>
  <w:footnote w:id="58">
    <w:p w14:paraId="18C26409" w14:textId="1772B90A" w:rsidR="009F7444" w:rsidRPr="009E5207" w:rsidRDefault="009F7444">
      <w:pPr>
        <w:pStyle w:val="FootnoteText"/>
        <w:rPr>
          <w:rFonts w:ascii="Arial" w:hAnsi="Arial" w:cs="Arial"/>
          <w:sz w:val="18"/>
          <w:szCs w:val="18"/>
        </w:rPr>
      </w:pPr>
      <w:r w:rsidRPr="000923F6">
        <w:rPr>
          <w:rStyle w:val="FootnoteReference"/>
          <w:rFonts w:ascii="Arial" w:hAnsi="Arial" w:cs="Arial"/>
          <w:sz w:val="18"/>
          <w:szCs w:val="18"/>
        </w:rPr>
        <w:footnoteRef/>
      </w:r>
      <w:r w:rsidRPr="000923F6">
        <w:rPr>
          <w:rFonts w:ascii="Arial" w:hAnsi="Arial" w:cs="Arial"/>
          <w:sz w:val="18"/>
          <w:szCs w:val="18"/>
        </w:rPr>
        <w:t xml:space="preserve"> </w:t>
      </w:r>
      <w:r w:rsidR="00E9247B" w:rsidRPr="000923F6">
        <w:rPr>
          <w:rFonts w:ascii="Arial" w:hAnsi="Arial" w:cs="Arial"/>
          <w:sz w:val="18"/>
          <w:szCs w:val="18"/>
        </w:rPr>
        <w:t xml:space="preserve">Tanenbaum, </w:t>
      </w:r>
      <w:hyperlink r:id="rId27" w:history="1">
        <w:r w:rsidR="00E9247B" w:rsidRPr="000923F6">
          <w:rPr>
            <w:rStyle w:val="Hyperlink"/>
            <w:rFonts w:ascii="Arial" w:hAnsi="Arial" w:cs="Arial"/>
            <w:color w:val="auto"/>
            <w:sz w:val="18"/>
            <w:szCs w:val="18"/>
            <w:u w:val="none"/>
          </w:rPr>
          <w:t>3T MRI in clinical practice</w:t>
        </w:r>
      </w:hyperlink>
      <w:r w:rsidR="00E9247B" w:rsidRPr="000923F6">
        <w:rPr>
          <w:rFonts w:ascii="Arial" w:hAnsi="Arial" w:cs="Arial"/>
          <w:sz w:val="18"/>
          <w:szCs w:val="18"/>
        </w:rPr>
        <w:t xml:space="preserve">, 34 APPLIED RADIOLOGY 8 (2005), available at </w:t>
      </w:r>
      <w:hyperlink r:id="rId28" w:history="1">
        <w:r w:rsidR="000923F6" w:rsidRPr="000923F6">
          <w:rPr>
            <w:rStyle w:val="Hyperlink"/>
            <w:rFonts w:ascii="Arial" w:hAnsi="Arial" w:cs="Arial"/>
            <w:color w:val="auto"/>
            <w:sz w:val="18"/>
            <w:szCs w:val="18"/>
            <w:u w:val="none"/>
          </w:rPr>
          <w:t>https://appliedradiology.com/articles/3t-mri-in-clinical-practice</w:t>
        </w:r>
      </w:hyperlink>
      <w:r w:rsidR="000923F6" w:rsidRPr="000923F6">
        <w:rPr>
          <w:rFonts w:ascii="Arial" w:hAnsi="Arial" w:cs="Arial"/>
          <w:sz w:val="18"/>
          <w:szCs w:val="18"/>
        </w:rPr>
        <w:t xml:space="preserve"> </w:t>
      </w:r>
      <w:r w:rsidR="00E9247B" w:rsidRPr="000923F6">
        <w:rPr>
          <w:rFonts w:ascii="Arial" w:hAnsi="Arial" w:cs="Arial"/>
          <w:sz w:val="18"/>
          <w:szCs w:val="18"/>
        </w:rPr>
        <w:t xml:space="preserve">; </w:t>
      </w:r>
      <w:r w:rsidRPr="000923F6">
        <w:rPr>
          <w:rFonts w:ascii="Arial" w:hAnsi="Arial" w:cs="Arial"/>
          <w:sz w:val="18"/>
          <w:szCs w:val="18"/>
        </w:rPr>
        <w:t xml:space="preserve">Loria, </w:t>
      </w:r>
      <w:r w:rsidRPr="000923F6">
        <w:rPr>
          <w:rFonts w:ascii="Arial" w:hAnsi="Arial" w:cs="Arial"/>
          <w:i/>
          <w:iCs/>
          <w:sz w:val="18"/>
          <w:szCs w:val="18"/>
        </w:rPr>
        <w:t>supra</w:t>
      </w:r>
      <w:r w:rsidRPr="000923F6">
        <w:rPr>
          <w:rFonts w:ascii="Arial" w:hAnsi="Arial" w:cs="Arial"/>
          <w:sz w:val="18"/>
          <w:szCs w:val="18"/>
        </w:rPr>
        <w:t xml:space="preserve"> note </w:t>
      </w:r>
      <w:r w:rsidR="00D37C91" w:rsidRPr="000923F6">
        <w:rPr>
          <w:rFonts w:ascii="Arial" w:hAnsi="Arial" w:cs="Arial"/>
          <w:sz w:val="18"/>
          <w:szCs w:val="18"/>
        </w:rPr>
        <w:t>46</w:t>
      </w:r>
      <w:r w:rsidRPr="000923F6">
        <w:rPr>
          <w:rFonts w:ascii="Arial" w:hAnsi="Arial" w:cs="Arial"/>
          <w:sz w:val="18"/>
          <w:szCs w:val="18"/>
        </w:rPr>
        <w:t xml:space="preserve">; </w:t>
      </w:r>
      <w:r w:rsidRPr="000923F6">
        <w:rPr>
          <w:rFonts w:ascii="Arial" w:hAnsi="Arial" w:cs="Arial"/>
          <w:i/>
          <w:iCs/>
          <w:sz w:val="18"/>
          <w:szCs w:val="18"/>
        </w:rPr>
        <w:t>What Does Tesla Mean for an MRI and its Magnet?</w:t>
      </w:r>
      <w:r w:rsidRPr="000923F6">
        <w:rPr>
          <w:rFonts w:ascii="Arial" w:hAnsi="Arial" w:cs="Arial"/>
          <w:sz w:val="18"/>
          <w:szCs w:val="18"/>
        </w:rPr>
        <w:t xml:space="preserve">, </w:t>
      </w:r>
      <w:r w:rsidRPr="000923F6">
        <w:rPr>
          <w:rFonts w:ascii="Arial" w:hAnsi="Arial" w:cs="Arial"/>
          <w:i/>
          <w:iCs/>
          <w:sz w:val="18"/>
          <w:szCs w:val="18"/>
        </w:rPr>
        <w:t>supra</w:t>
      </w:r>
      <w:r w:rsidRPr="000923F6">
        <w:rPr>
          <w:rFonts w:ascii="Arial" w:hAnsi="Arial" w:cs="Arial"/>
          <w:sz w:val="18"/>
          <w:szCs w:val="18"/>
        </w:rPr>
        <w:t xml:space="preserve"> note </w:t>
      </w:r>
      <w:r w:rsidRPr="000923F6">
        <w:rPr>
          <w:rFonts w:ascii="Arial" w:hAnsi="Arial" w:cs="Arial"/>
          <w:sz w:val="18"/>
          <w:szCs w:val="18"/>
        </w:rPr>
        <w:fldChar w:fldCharType="begin"/>
      </w:r>
      <w:r w:rsidRPr="000923F6">
        <w:rPr>
          <w:rFonts w:ascii="Arial" w:hAnsi="Arial" w:cs="Arial"/>
          <w:sz w:val="18"/>
          <w:szCs w:val="18"/>
        </w:rPr>
        <w:instrText xml:space="preserve"> NOTEREF _Ref134943731 \h  \* MERGEFORMAT </w:instrText>
      </w:r>
      <w:r w:rsidRPr="000923F6">
        <w:rPr>
          <w:rFonts w:ascii="Arial" w:hAnsi="Arial" w:cs="Arial"/>
          <w:sz w:val="18"/>
          <w:szCs w:val="18"/>
        </w:rPr>
      </w:r>
      <w:r w:rsidRPr="000923F6">
        <w:rPr>
          <w:rFonts w:ascii="Arial" w:hAnsi="Arial" w:cs="Arial"/>
          <w:sz w:val="18"/>
          <w:szCs w:val="18"/>
        </w:rPr>
        <w:fldChar w:fldCharType="separate"/>
      </w:r>
      <w:r w:rsidR="002B5DBD" w:rsidRPr="000923F6">
        <w:rPr>
          <w:rFonts w:ascii="Arial" w:hAnsi="Arial" w:cs="Arial"/>
          <w:sz w:val="18"/>
          <w:szCs w:val="18"/>
        </w:rPr>
        <w:t>51</w:t>
      </w:r>
      <w:r w:rsidRPr="000923F6">
        <w:rPr>
          <w:rFonts w:ascii="Arial" w:hAnsi="Arial" w:cs="Arial"/>
          <w:sz w:val="18"/>
          <w:szCs w:val="18"/>
        </w:rPr>
        <w:fldChar w:fldCharType="end"/>
      </w:r>
      <w:r w:rsidRPr="000923F6">
        <w:rPr>
          <w:rFonts w:ascii="Arial" w:hAnsi="Arial" w:cs="Arial"/>
          <w:sz w:val="18"/>
          <w:szCs w:val="18"/>
        </w:rPr>
        <w:t>.</w:t>
      </w:r>
    </w:p>
  </w:footnote>
  <w:footnote w:id="59">
    <w:p w14:paraId="748463F7" w14:textId="634A801B" w:rsidR="009F7444" w:rsidRPr="00EE5383"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Tanenbaum, </w:t>
      </w:r>
      <w:r w:rsidRPr="00EE5383">
        <w:rPr>
          <w:rFonts w:ascii="Arial" w:hAnsi="Arial" w:cs="Arial"/>
          <w:i/>
          <w:iCs/>
          <w:sz w:val="18"/>
          <w:szCs w:val="18"/>
        </w:rPr>
        <w:t>supra</w:t>
      </w:r>
      <w:r w:rsidRPr="00EE5383">
        <w:rPr>
          <w:rFonts w:ascii="Arial" w:hAnsi="Arial" w:cs="Arial"/>
          <w:sz w:val="18"/>
          <w:szCs w:val="18"/>
        </w:rPr>
        <w:t xml:space="preserve"> note</w:t>
      </w:r>
      <w:r w:rsidR="00A63B8F" w:rsidRPr="00EE5383">
        <w:rPr>
          <w:rFonts w:ascii="Arial" w:hAnsi="Arial" w:cs="Arial"/>
          <w:sz w:val="18"/>
          <w:szCs w:val="18"/>
        </w:rPr>
        <w:t xml:space="preserve"> 58</w:t>
      </w:r>
      <w:r w:rsidRPr="00EE5383">
        <w:rPr>
          <w:rFonts w:ascii="Arial" w:hAnsi="Arial" w:cs="Arial"/>
          <w:sz w:val="18"/>
          <w:szCs w:val="18"/>
        </w:rPr>
        <w:t>.</w:t>
      </w:r>
    </w:p>
  </w:footnote>
  <w:footnote w:id="60">
    <w:p w14:paraId="15FBEB80" w14:textId="17DF1D48" w:rsidR="009F7444" w:rsidRPr="00EE5383"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w:t>
      </w:r>
      <w:r w:rsidR="00AB207F" w:rsidRPr="00EE5383">
        <w:rPr>
          <w:rFonts w:ascii="Arial" w:hAnsi="Arial" w:cs="Arial"/>
          <w:sz w:val="18"/>
          <w:szCs w:val="18"/>
        </w:rPr>
        <w:t xml:space="preserve">Technology Trends: </w:t>
      </w:r>
      <w:hyperlink r:id="rId29" w:history="1">
        <w:r w:rsidR="00AB207F" w:rsidRPr="00EE5383">
          <w:rPr>
            <w:rStyle w:val="Hyperlink"/>
            <w:rFonts w:ascii="Arial" w:hAnsi="Arial" w:cs="Arial"/>
            <w:color w:val="auto"/>
            <w:sz w:val="18"/>
            <w:szCs w:val="18"/>
            <w:u w:val="none"/>
          </w:rPr>
          <w:t>MRI Time to Upgrade? — Considerations for the Move From 1.5T to 3T</w:t>
        </w:r>
      </w:hyperlink>
      <w:r w:rsidR="00AB207F" w:rsidRPr="00EE5383">
        <w:rPr>
          <w:rFonts w:ascii="Arial" w:hAnsi="Arial" w:cs="Arial"/>
          <w:sz w:val="18"/>
          <w:szCs w:val="18"/>
        </w:rPr>
        <w:t xml:space="preserve">, 17 RADIOLOGY TODAY 22 (2016), available at </w:t>
      </w:r>
      <w:hyperlink r:id="rId30" w:history="1">
        <w:r w:rsidR="000923F6" w:rsidRPr="00EE5383">
          <w:rPr>
            <w:rStyle w:val="Hyperlink"/>
            <w:rFonts w:ascii="Arial" w:hAnsi="Arial" w:cs="Arial"/>
            <w:color w:val="auto"/>
            <w:sz w:val="18"/>
            <w:szCs w:val="18"/>
            <w:u w:val="none"/>
          </w:rPr>
          <w:t>https://www.radiologytoday.net/archive/rt0216p22.shtml</w:t>
        </w:r>
      </w:hyperlink>
      <w:r w:rsidR="000923F6" w:rsidRPr="00EE5383">
        <w:rPr>
          <w:rFonts w:ascii="Arial" w:hAnsi="Arial" w:cs="Arial"/>
          <w:sz w:val="18"/>
          <w:szCs w:val="18"/>
        </w:rPr>
        <w:t xml:space="preserve"> </w:t>
      </w:r>
      <w:r w:rsidR="00AB207F" w:rsidRPr="00EE5383">
        <w:rPr>
          <w:rFonts w:ascii="Arial" w:hAnsi="Arial" w:cs="Arial"/>
          <w:sz w:val="18"/>
          <w:szCs w:val="18"/>
        </w:rPr>
        <w:t xml:space="preserve">; </w:t>
      </w:r>
      <w:hyperlink r:id="rId31" w:history="1">
        <w:r w:rsidR="00AB207F" w:rsidRPr="00EE5383">
          <w:rPr>
            <w:rStyle w:val="Hyperlink"/>
            <w:rFonts w:ascii="Arial" w:hAnsi="Arial" w:cs="Arial"/>
            <w:color w:val="auto"/>
            <w:sz w:val="18"/>
            <w:szCs w:val="18"/>
            <w:u w:val="none"/>
          </w:rPr>
          <w:t>What Does Tesla Mean for an MRI and its Magnet?,</w:t>
        </w:r>
      </w:hyperlink>
      <w:r w:rsidR="00AB207F" w:rsidRPr="00EE5383">
        <w:rPr>
          <w:rFonts w:ascii="Arial" w:hAnsi="Arial" w:cs="Arial"/>
          <w:sz w:val="18"/>
          <w:szCs w:val="18"/>
        </w:rPr>
        <w:t xml:space="preserve"> GE HEALTHCARE (2019), </w:t>
      </w:r>
      <w:hyperlink r:id="rId32" w:history="1">
        <w:r w:rsidR="00A204D1" w:rsidRPr="00EE5383">
          <w:rPr>
            <w:rStyle w:val="Hyperlink"/>
            <w:rFonts w:ascii="Arial" w:hAnsi="Arial" w:cs="Arial"/>
            <w:color w:val="auto"/>
            <w:sz w:val="18"/>
            <w:szCs w:val="18"/>
            <w:u w:val="none"/>
          </w:rPr>
          <w:t>https://www.gehealthcare.com/insights/article/what-does-tesla-mean-for-an-mri-and-its-magnet</w:t>
        </w:r>
      </w:hyperlink>
      <w:r w:rsidR="00A204D1" w:rsidRPr="00EE5383">
        <w:rPr>
          <w:rFonts w:ascii="Arial" w:hAnsi="Arial" w:cs="Arial"/>
          <w:sz w:val="18"/>
          <w:szCs w:val="18"/>
        </w:rPr>
        <w:t xml:space="preserve">; and </w:t>
      </w:r>
      <w:hyperlink r:id="rId33" w:history="1">
        <w:r w:rsidR="00AD5D8E" w:rsidRPr="00EE5383">
          <w:rPr>
            <w:rStyle w:val="Hyperlink"/>
            <w:rFonts w:ascii="Arial" w:hAnsi="Arial" w:cs="Arial"/>
            <w:color w:val="auto"/>
            <w:sz w:val="18"/>
            <w:szCs w:val="18"/>
            <w:u w:val="none"/>
          </w:rPr>
          <w:t>What does Telsa Mean for an MRI and its Magnet (2019</w:t>
        </w:r>
      </w:hyperlink>
      <w:r w:rsidR="00AD5D8E" w:rsidRPr="00EE5383">
        <w:rPr>
          <w:rFonts w:ascii="Arial" w:hAnsi="Arial" w:cs="Arial"/>
          <w:sz w:val="18"/>
          <w:szCs w:val="18"/>
        </w:rPr>
        <w:t>)</w:t>
      </w:r>
      <w:r w:rsidR="00B25126" w:rsidRPr="00EE5383">
        <w:rPr>
          <w:rFonts w:ascii="Arial" w:hAnsi="Arial" w:cs="Arial"/>
          <w:sz w:val="18"/>
          <w:szCs w:val="18"/>
        </w:rPr>
        <w:t xml:space="preserve">, </w:t>
      </w:r>
      <w:hyperlink r:id="rId34" w:history="1">
        <w:r w:rsidR="00B25126" w:rsidRPr="00EE5383">
          <w:rPr>
            <w:rStyle w:val="Hyperlink"/>
            <w:rFonts w:ascii="Arial" w:hAnsi="Arial" w:cs="Arial"/>
            <w:color w:val="auto"/>
            <w:sz w:val="18"/>
            <w:szCs w:val="18"/>
            <w:u w:val="none"/>
          </w:rPr>
          <w:t>https://www.gehealthcare.com/insights/article/what-does-tesla-mean-for-an-mri-and-its-magnet</w:t>
        </w:r>
      </w:hyperlink>
      <w:r w:rsidR="00B25126" w:rsidRPr="00EE5383">
        <w:rPr>
          <w:rFonts w:ascii="Arial" w:hAnsi="Arial" w:cs="Arial"/>
          <w:sz w:val="18"/>
          <w:szCs w:val="18"/>
        </w:rPr>
        <w:t xml:space="preserve"> </w:t>
      </w:r>
    </w:p>
  </w:footnote>
  <w:footnote w:id="61">
    <w:p w14:paraId="7C864F35" w14:textId="62260EF9" w:rsidR="009F7444" w:rsidRPr="00EE5383"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w:t>
      </w:r>
      <w:hyperlink r:id="rId35" w:anchor=":~:text=1.5%20T%20MRIs%20are%20great,is%20a%20much%20safer%20option" w:history="1">
        <w:r w:rsidR="00B25126" w:rsidRPr="00EE5383">
          <w:rPr>
            <w:rStyle w:val="Hyperlink"/>
            <w:rFonts w:ascii="Arial" w:hAnsi="Arial" w:cs="Arial"/>
            <w:color w:val="auto"/>
            <w:sz w:val="18"/>
            <w:szCs w:val="18"/>
            <w:u w:val="none"/>
          </w:rPr>
          <w:t>https://www.touchstoneimaging.com/mri-machines-101-understanding-the-differences/#:~:text=1.5%20T%20MRIs%20are%20great,is%20a%20much%20safer%20option</w:t>
        </w:r>
      </w:hyperlink>
      <w:r w:rsidRPr="00EE5383">
        <w:rPr>
          <w:rFonts w:ascii="Arial" w:hAnsi="Arial" w:cs="Arial"/>
          <w:sz w:val="18"/>
          <w:szCs w:val="18"/>
        </w:rPr>
        <w:t>.</w:t>
      </w:r>
      <w:r w:rsidR="00B25126" w:rsidRPr="00EE5383">
        <w:rPr>
          <w:rFonts w:ascii="Arial" w:hAnsi="Arial" w:cs="Arial"/>
          <w:sz w:val="18"/>
          <w:szCs w:val="18"/>
        </w:rPr>
        <w:t xml:space="preserve"> </w:t>
      </w:r>
    </w:p>
  </w:footnote>
  <w:footnote w:id="62">
    <w:p w14:paraId="4B7DF208" w14:textId="3817F7FE" w:rsidR="006E64E6" w:rsidRPr="00EE5383" w:rsidRDefault="006E64E6">
      <w:pPr>
        <w:pStyle w:val="FootnoteText"/>
      </w:pPr>
      <w:r w:rsidRPr="00EE5383">
        <w:rPr>
          <w:rStyle w:val="FootnoteReference"/>
          <w:rFonts w:ascii="Arial" w:hAnsi="Arial" w:cs="Arial"/>
          <w:sz w:val="18"/>
          <w:szCs w:val="18"/>
        </w:rPr>
        <w:footnoteRef/>
      </w:r>
      <w:r w:rsidRPr="00EE5383">
        <w:rPr>
          <w:rFonts w:ascii="Arial" w:hAnsi="Arial" w:cs="Arial"/>
          <w:sz w:val="18"/>
          <w:szCs w:val="18"/>
        </w:rPr>
        <w:t xml:space="preserve"> </w:t>
      </w:r>
      <w:r w:rsidRPr="00EE5383">
        <w:rPr>
          <w:rFonts w:ascii="Arial" w:hAnsi="Arial" w:cs="Arial"/>
          <w:sz w:val="18"/>
          <w:szCs w:val="18"/>
          <w:shd w:val="clear" w:color="auto" w:fill="FFFFFF"/>
        </w:rPr>
        <w:t>Yasaka K, Tanishima T, Ohtake Y, Tajima T, Akai H, Ohtomo K, Abe O, Kiryu S. Deep learning reconstruction for 1.5 T cervical spine MRI: effect on interobserver agreement in the evaluation of degenerative changes. Eur Radiol. 2022 Sep;32(9):6118-6125. doi: 10.1007/s00330-022-08729-z. Epub 2022 Mar 29. PMID: 35348861.</w:t>
      </w:r>
    </w:p>
  </w:footnote>
  <w:footnote w:id="63">
    <w:p w14:paraId="4799AFEC" w14:textId="35622003" w:rsidR="009F7444" w:rsidRPr="00EE5383" w:rsidRDefault="009F7444" w:rsidP="00C34822">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Tanenbaum, </w:t>
      </w:r>
      <w:r w:rsidRPr="00EE5383">
        <w:rPr>
          <w:rFonts w:ascii="Arial" w:hAnsi="Arial" w:cs="Arial"/>
          <w:i/>
          <w:iCs/>
          <w:sz w:val="18"/>
          <w:szCs w:val="18"/>
        </w:rPr>
        <w:t>supra</w:t>
      </w:r>
      <w:r w:rsidRPr="00EE5383">
        <w:rPr>
          <w:rFonts w:ascii="Arial" w:hAnsi="Arial" w:cs="Arial"/>
          <w:sz w:val="18"/>
          <w:szCs w:val="18"/>
        </w:rPr>
        <w:t xml:space="preserve"> note</w:t>
      </w:r>
      <w:r w:rsidR="00B25126" w:rsidRPr="00EE5383">
        <w:rPr>
          <w:rFonts w:ascii="Arial" w:hAnsi="Arial" w:cs="Arial"/>
          <w:sz w:val="18"/>
          <w:szCs w:val="18"/>
        </w:rPr>
        <w:t xml:space="preserve"> 58</w:t>
      </w:r>
      <w:r w:rsidRPr="00EE5383">
        <w:rPr>
          <w:rFonts w:ascii="Arial" w:hAnsi="Arial" w:cs="Arial"/>
          <w:sz w:val="18"/>
          <w:szCs w:val="18"/>
        </w:rPr>
        <w:t xml:space="preserve">; </w:t>
      </w:r>
      <w:hyperlink r:id="rId36" w:history="1">
        <w:r w:rsidRPr="00EE5383">
          <w:rPr>
            <w:rStyle w:val="Hyperlink"/>
            <w:rFonts w:ascii="Arial" w:hAnsi="Arial" w:cs="Arial"/>
            <w:i/>
            <w:iCs/>
            <w:color w:val="auto"/>
            <w:sz w:val="18"/>
            <w:szCs w:val="18"/>
            <w:u w:val="none"/>
          </w:rPr>
          <w:t xml:space="preserve">Magnetic Resonance Imaging (MRI) </w:t>
        </w:r>
        <w:r w:rsidRPr="00EE5383">
          <w:rPr>
            <w:rStyle w:val="Hyperlink"/>
            <w:rFonts w:ascii="Arial" w:hAnsi="Arial" w:cs="Arial"/>
            <w:color w:val="auto"/>
            <w:sz w:val="18"/>
            <w:szCs w:val="18"/>
            <w:u w:val="none"/>
          </w:rPr>
          <w:t xml:space="preserve">- </w:t>
        </w:r>
        <w:r w:rsidRPr="00EE5383">
          <w:rPr>
            <w:rStyle w:val="Hyperlink"/>
            <w:rFonts w:ascii="Arial" w:hAnsi="Arial" w:cs="Arial"/>
            <w:i/>
            <w:iCs/>
            <w:color w:val="auto"/>
            <w:sz w:val="18"/>
            <w:szCs w:val="18"/>
            <w:u w:val="none"/>
          </w:rPr>
          <w:t>Spine,</w:t>
        </w:r>
      </w:hyperlink>
      <w:r w:rsidRPr="00EE5383">
        <w:rPr>
          <w:rFonts w:ascii="Arial" w:hAnsi="Arial" w:cs="Arial"/>
          <w:i/>
          <w:iCs/>
          <w:sz w:val="18"/>
          <w:szCs w:val="18"/>
        </w:rPr>
        <w:t xml:space="preserve"> </w:t>
      </w:r>
      <w:r w:rsidRPr="00EE5383">
        <w:rPr>
          <w:rFonts w:ascii="Arial" w:hAnsi="Arial" w:cs="Arial"/>
          <w:smallCaps/>
          <w:sz w:val="18"/>
          <w:szCs w:val="18"/>
        </w:rPr>
        <w:t>RadiologyInfo.org</w:t>
      </w:r>
      <w:r w:rsidRPr="00EE5383">
        <w:rPr>
          <w:rFonts w:ascii="Arial" w:hAnsi="Arial" w:cs="Arial"/>
          <w:sz w:val="18"/>
          <w:szCs w:val="18"/>
        </w:rPr>
        <w:t xml:space="preserve">, </w:t>
      </w:r>
      <w:hyperlink r:id="rId37" w:history="1">
        <w:r w:rsidR="000923F6" w:rsidRPr="00EE5383">
          <w:rPr>
            <w:rStyle w:val="Hyperlink"/>
            <w:rFonts w:ascii="Arial" w:hAnsi="Arial" w:cs="Arial"/>
            <w:color w:val="auto"/>
            <w:sz w:val="18"/>
            <w:szCs w:val="18"/>
            <w:u w:val="none"/>
          </w:rPr>
          <w:t>https://www.radiologyinfo.org/en/info/spinemr</w:t>
        </w:r>
      </w:hyperlink>
      <w:r w:rsidR="000923F6" w:rsidRPr="00EE5383">
        <w:rPr>
          <w:rFonts w:ascii="Arial" w:hAnsi="Arial" w:cs="Arial"/>
          <w:sz w:val="18"/>
          <w:szCs w:val="18"/>
        </w:rPr>
        <w:t xml:space="preserve"> </w:t>
      </w:r>
      <w:r w:rsidRPr="00EE5383">
        <w:rPr>
          <w:rFonts w:ascii="Arial" w:hAnsi="Arial" w:cs="Arial"/>
          <w:sz w:val="18"/>
          <w:szCs w:val="18"/>
        </w:rPr>
        <w:t xml:space="preserve"> (last updated Apr. 15, 2022); Winegar, et al., </w:t>
      </w:r>
      <w:hyperlink r:id="rId38" w:history="1">
        <w:r w:rsidRPr="00EE5383">
          <w:rPr>
            <w:rStyle w:val="Hyperlink"/>
            <w:rFonts w:ascii="Arial" w:hAnsi="Arial" w:cs="Arial"/>
            <w:i/>
            <w:iCs/>
            <w:color w:val="auto"/>
            <w:spacing w:val="-2"/>
            <w:sz w:val="18"/>
            <w:szCs w:val="18"/>
            <w:u w:val="none"/>
          </w:rPr>
          <w:t>Magnetic resonance imaging of the spine</w:t>
        </w:r>
        <w:r w:rsidRPr="00EE5383">
          <w:rPr>
            <w:rStyle w:val="Hyperlink"/>
            <w:rFonts w:ascii="Arial" w:hAnsi="Arial" w:cs="Arial"/>
            <w:color w:val="auto"/>
            <w:spacing w:val="-2"/>
            <w:sz w:val="18"/>
            <w:szCs w:val="18"/>
            <w:u w:val="none"/>
          </w:rPr>
          <w:t>,</w:t>
        </w:r>
      </w:hyperlink>
      <w:r w:rsidRPr="00EE5383">
        <w:rPr>
          <w:rFonts w:ascii="Arial" w:hAnsi="Arial" w:cs="Arial"/>
          <w:b/>
          <w:bCs/>
          <w:spacing w:val="-2"/>
          <w:sz w:val="18"/>
          <w:szCs w:val="18"/>
        </w:rPr>
        <w:t xml:space="preserve"> </w:t>
      </w:r>
      <w:r w:rsidRPr="00EE5383">
        <w:rPr>
          <w:rFonts w:ascii="Arial" w:hAnsi="Arial" w:cs="Arial"/>
          <w:spacing w:val="-2"/>
          <w:sz w:val="18"/>
          <w:szCs w:val="18"/>
        </w:rPr>
        <w:t xml:space="preserve">85 </w:t>
      </w:r>
      <w:r w:rsidRPr="00EE5383">
        <w:rPr>
          <w:rFonts w:ascii="Arial" w:hAnsi="Arial" w:cs="Arial"/>
          <w:smallCaps/>
          <w:spacing w:val="-2"/>
          <w:sz w:val="18"/>
          <w:szCs w:val="18"/>
        </w:rPr>
        <w:t>Pol. J. Radiology</w:t>
      </w:r>
      <w:r w:rsidRPr="00EE5383">
        <w:rPr>
          <w:rFonts w:ascii="Arial" w:hAnsi="Arial" w:cs="Arial"/>
          <w:spacing w:val="-2"/>
          <w:sz w:val="18"/>
          <w:szCs w:val="18"/>
        </w:rPr>
        <w:t xml:space="preserve"> 550 (2020), </w:t>
      </w:r>
      <w:r w:rsidRPr="00EE5383">
        <w:rPr>
          <w:rFonts w:ascii="Arial" w:hAnsi="Arial" w:cs="Arial"/>
          <w:i/>
          <w:iCs/>
          <w:spacing w:val="-2"/>
          <w:sz w:val="18"/>
          <w:szCs w:val="18"/>
        </w:rPr>
        <w:t>available at</w:t>
      </w:r>
      <w:r w:rsidRPr="00EE5383">
        <w:rPr>
          <w:rFonts w:ascii="Arial" w:hAnsi="Arial" w:cs="Arial"/>
          <w:spacing w:val="-2"/>
          <w:sz w:val="18"/>
          <w:szCs w:val="18"/>
        </w:rPr>
        <w:t xml:space="preserve"> </w:t>
      </w:r>
      <w:hyperlink r:id="rId39" w:history="1">
        <w:r w:rsidR="000923F6" w:rsidRPr="00EE5383">
          <w:rPr>
            <w:rStyle w:val="Hyperlink"/>
            <w:rFonts w:ascii="Arial" w:hAnsi="Arial" w:cs="Arial"/>
            <w:color w:val="auto"/>
            <w:spacing w:val="-2"/>
            <w:sz w:val="18"/>
            <w:szCs w:val="18"/>
            <w:u w:val="none"/>
          </w:rPr>
          <w:t>https://www.ncbi.nlm.nih.gov/pmc/articles/PMC7571515</w:t>
        </w:r>
      </w:hyperlink>
      <w:r w:rsidR="000923F6" w:rsidRPr="00EE5383">
        <w:rPr>
          <w:rFonts w:ascii="Arial" w:hAnsi="Arial" w:cs="Arial"/>
          <w:spacing w:val="-2"/>
          <w:sz w:val="18"/>
          <w:szCs w:val="18"/>
        </w:rPr>
        <w:t xml:space="preserve"> </w:t>
      </w:r>
      <w:r w:rsidRPr="00EE5383">
        <w:rPr>
          <w:rFonts w:ascii="Arial" w:hAnsi="Arial" w:cs="Arial"/>
          <w:spacing w:val="-2"/>
          <w:sz w:val="18"/>
          <w:szCs w:val="18"/>
        </w:rPr>
        <w:t xml:space="preserve">/; </w:t>
      </w:r>
      <w:hyperlink r:id="rId40" w:history="1">
        <w:r w:rsidRPr="00EE5383">
          <w:rPr>
            <w:rStyle w:val="Hyperlink"/>
            <w:rFonts w:ascii="Arial" w:hAnsi="Arial" w:cs="Arial"/>
            <w:i/>
            <w:iCs/>
            <w:color w:val="auto"/>
            <w:sz w:val="18"/>
            <w:szCs w:val="18"/>
            <w:u w:val="none"/>
          </w:rPr>
          <w:t>Musculoskeletal MRI</w:t>
        </w:r>
      </w:hyperlink>
      <w:r w:rsidRPr="00EE5383">
        <w:rPr>
          <w:rFonts w:ascii="Arial" w:hAnsi="Arial" w:cs="Arial"/>
          <w:i/>
          <w:iCs/>
          <w:sz w:val="18"/>
          <w:szCs w:val="18"/>
        </w:rPr>
        <w:t xml:space="preserve">, </w:t>
      </w:r>
      <w:r w:rsidRPr="00EE5383">
        <w:rPr>
          <w:rFonts w:ascii="Arial" w:hAnsi="Arial" w:cs="Arial"/>
          <w:smallCaps/>
          <w:sz w:val="18"/>
          <w:szCs w:val="18"/>
        </w:rPr>
        <w:t>RadiologyInfo.org</w:t>
      </w:r>
      <w:r w:rsidRPr="00EE5383">
        <w:rPr>
          <w:rFonts w:ascii="Arial" w:hAnsi="Arial" w:cs="Arial"/>
          <w:sz w:val="18"/>
          <w:szCs w:val="18"/>
        </w:rPr>
        <w:t xml:space="preserve">, </w:t>
      </w:r>
      <w:hyperlink r:id="rId41" w:history="1">
        <w:r w:rsidR="000923F6" w:rsidRPr="00EE5383">
          <w:rPr>
            <w:rStyle w:val="Hyperlink"/>
            <w:rFonts w:ascii="Arial" w:hAnsi="Arial" w:cs="Arial"/>
            <w:color w:val="auto"/>
            <w:sz w:val="18"/>
            <w:szCs w:val="18"/>
            <w:u w:val="none"/>
          </w:rPr>
          <w:t>https://www.radiologyinfo.org/en/info/muscmr</w:t>
        </w:r>
      </w:hyperlink>
      <w:r w:rsidR="000923F6" w:rsidRPr="00EE5383">
        <w:rPr>
          <w:rFonts w:ascii="Arial" w:hAnsi="Arial" w:cs="Arial"/>
          <w:sz w:val="18"/>
          <w:szCs w:val="18"/>
        </w:rPr>
        <w:t xml:space="preserve"> </w:t>
      </w:r>
      <w:r w:rsidRPr="00EE5383">
        <w:rPr>
          <w:rFonts w:ascii="Arial" w:hAnsi="Arial" w:cs="Arial"/>
          <w:sz w:val="18"/>
          <w:szCs w:val="18"/>
        </w:rPr>
        <w:t xml:space="preserve"> (last updated Jul. 30, 2021); Deyle, </w:t>
      </w:r>
      <w:hyperlink r:id="rId42" w:history="1">
        <w:r w:rsidRPr="00EE5383">
          <w:rPr>
            <w:rStyle w:val="Hyperlink"/>
            <w:rFonts w:ascii="Arial" w:hAnsi="Arial" w:cs="Arial"/>
            <w:i/>
            <w:iCs/>
            <w:color w:val="auto"/>
            <w:sz w:val="18"/>
            <w:szCs w:val="18"/>
            <w:u w:val="none"/>
          </w:rPr>
          <w:t xml:space="preserve">The role of MRI in musculoskeletal practice: </w:t>
        </w:r>
        <w:r w:rsidRPr="00EE5383">
          <w:rPr>
            <w:rStyle w:val="Hyperlink"/>
            <w:rFonts w:ascii="Arial" w:hAnsi="Arial" w:cs="Arial"/>
            <w:color w:val="auto"/>
            <w:sz w:val="18"/>
            <w:szCs w:val="18"/>
            <w:u w:val="none"/>
          </w:rPr>
          <w:t xml:space="preserve">a </w:t>
        </w:r>
        <w:r w:rsidRPr="00EE5383">
          <w:rPr>
            <w:rStyle w:val="Hyperlink"/>
            <w:rFonts w:ascii="Arial" w:hAnsi="Arial" w:cs="Arial"/>
            <w:i/>
            <w:iCs/>
            <w:color w:val="auto"/>
            <w:sz w:val="18"/>
            <w:szCs w:val="18"/>
            <w:u w:val="none"/>
          </w:rPr>
          <w:t>clinical perspective</w:t>
        </w:r>
      </w:hyperlink>
      <w:r w:rsidRPr="00EE5383">
        <w:rPr>
          <w:rFonts w:ascii="Arial" w:hAnsi="Arial" w:cs="Arial"/>
          <w:i/>
          <w:iCs/>
          <w:sz w:val="18"/>
          <w:szCs w:val="18"/>
        </w:rPr>
        <w:t xml:space="preserve">, </w:t>
      </w:r>
      <w:r w:rsidRPr="00EE5383">
        <w:rPr>
          <w:rFonts w:ascii="Arial" w:hAnsi="Arial" w:cs="Arial"/>
          <w:sz w:val="18"/>
          <w:szCs w:val="18"/>
        </w:rPr>
        <w:t xml:space="preserve">19 </w:t>
      </w:r>
      <w:r w:rsidRPr="00EE5383">
        <w:rPr>
          <w:rFonts w:ascii="Arial" w:hAnsi="Arial" w:cs="Arial"/>
          <w:smallCaps/>
          <w:sz w:val="18"/>
          <w:szCs w:val="18"/>
        </w:rPr>
        <w:t>J. Manual &amp; Manipulative Therapy</w:t>
      </w:r>
      <w:r w:rsidRPr="00EE5383">
        <w:rPr>
          <w:rFonts w:ascii="Arial" w:hAnsi="Arial" w:cs="Arial"/>
          <w:sz w:val="18"/>
          <w:szCs w:val="18"/>
        </w:rPr>
        <w:t xml:space="preserve"> 152 (2011), </w:t>
      </w:r>
      <w:r w:rsidRPr="00EE5383">
        <w:rPr>
          <w:rFonts w:ascii="Arial" w:hAnsi="Arial" w:cs="Arial"/>
          <w:i/>
          <w:iCs/>
          <w:sz w:val="18"/>
          <w:szCs w:val="18"/>
        </w:rPr>
        <w:t xml:space="preserve">available at </w:t>
      </w:r>
      <w:hyperlink r:id="rId43" w:history="1">
        <w:r w:rsidR="000923F6" w:rsidRPr="00EE5383">
          <w:rPr>
            <w:rStyle w:val="Hyperlink"/>
            <w:rFonts w:ascii="Arial" w:hAnsi="Arial" w:cs="Arial"/>
            <w:color w:val="auto"/>
            <w:sz w:val="18"/>
            <w:szCs w:val="18"/>
            <w:u w:val="none"/>
          </w:rPr>
          <w:t>https://www.ncbi.nlm.nih.gov/pmc/articles/PMC3143009</w:t>
        </w:r>
      </w:hyperlink>
      <w:r w:rsidR="000923F6" w:rsidRPr="00EE5383">
        <w:rPr>
          <w:rFonts w:ascii="Arial" w:hAnsi="Arial" w:cs="Arial"/>
          <w:sz w:val="18"/>
          <w:szCs w:val="18"/>
        </w:rPr>
        <w:t xml:space="preserve"> </w:t>
      </w:r>
      <w:r w:rsidRPr="00EE5383">
        <w:rPr>
          <w:rFonts w:ascii="Arial" w:hAnsi="Arial" w:cs="Arial"/>
          <w:sz w:val="18"/>
          <w:szCs w:val="18"/>
        </w:rPr>
        <w:t xml:space="preserve">/; Maravi et al., </w:t>
      </w:r>
      <w:hyperlink r:id="rId44" w:history="1">
        <w:r w:rsidRPr="00EE5383">
          <w:rPr>
            <w:rStyle w:val="Hyperlink"/>
            <w:rFonts w:ascii="Arial" w:hAnsi="Arial" w:cs="Arial"/>
            <w:i/>
            <w:iCs/>
            <w:color w:val="auto"/>
            <w:sz w:val="18"/>
            <w:szCs w:val="18"/>
            <w:u w:val="none"/>
          </w:rPr>
          <w:t>Role of MRI in Orthopaedics</w:t>
        </w:r>
      </w:hyperlink>
      <w:r w:rsidRPr="00EE5383">
        <w:rPr>
          <w:rFonts w:ascii="Arial" w:hAnsi="Arial" w:cs="Arial"/>
          <w:i/>
          <w:iCs/>
          <w:sz w:val="18"/>
          <w:szCs w:val="18"/>
        </w:rPr>
        <w:t xml:space="preserve">, </w:t>
      </w:r>
      <w:r w:rsidRPr="00EE5383">
        <w:rPr>
          <w:rFonts w:ascii="Arial" w:hAnsi="Arial" w:cs="Arial"/>
          <w:sz w:val="18"/>
          <w:szCs w:val="18"/>
        </w:rPr>
        <w:t xml:space="preserve">21 </w:t>
      </w:r>
      <w:r w:rsidRPr="00EE5383">
        <w:rPr>
          <w:rFonts w:ascii="Arial" w:hAnsi="Arial" w:cs="Arial"/>
          <w:smallCaps/>
          <w:sz w:val="18"/>
          <w:szCs w:val="18"/>
        </w:rPr>
        <w:t>Orthopaedic J. M.P. Chapter</w:t>
      </w:r>
      <w:r w:rsidRPr="00EE5383">
        <w:rPr>
          <w:rFonts w:ascii="Arial" w:hAnsi="Arial" w:cs="Arial"/>
          <w:sz w:val="18"/>
          <w:szCs w:val="18"/>
        </w:rPr>
        <w:t xml:space="preserve"> 74 (2015), </w:t>
      </w:r>
      <w:r w:rsidRPr="00EE5383">
        <w:rPr>
          <w:rFonts w:ascii="Arial" w:hAnsi="Arial" w:cs="Arial"/>
          <w:i/>
          <w:iCs/>
          <w:sz w:val="18"/>
          <w:szCs w:val="18"/>
        </w:rPr>
        <w:t xml:space="preserve">available at </w:t>
      </w:r>
      <w:hyperlink r:id="rId45" w:history="1">
        <w:r w:rsidR="000923F6" w:rsidRPr="00EE5383">
          <w:rPr>
            <w:rStyle w:val="Hyperlink"/>
            <w:rFonts w:ascii="Arial" w:hAnsi="Arial" w:cs="Arial"/>
            <w:color w:val="auto"/>
            <w:sz w:val="18"/>
            <w:szCs w:val="18"/>
            <w:u w:val="none"/>
          </w:rPr>
          <w:t>https://ojmpc.com/index.php/ojmpc/article/view/18/18</w:t>
        </w:r>
      </w:hyperlink>
      <w:r w:rsidR="000923F6" w:rsidRPr="00EE5383">
        <w:rPr>
          <w:rFonts w:ascii="Arial" w:hAnsi="Arial" w:cs="Arial"/>
          <w:sz w:val="18"/>
          <w:szCs w:val="18"/>
        </w:rPr>
        <w:t xml:space="preserve"> </w:t>
      </w:r>
      <w:r w:rsidRPr="00EE5383">
        <w:rPr>
          <w:rFonts w:ascii="Arial" w:hAnsi="Arial" w:cs="Arial"/>
          <w:sz w:val="18"/>
          <w:szCs w:val="18"/>
        </w:rPr>
        <w:t>.</w:t>
      </w:r>
    </w:p>
  </w:footnote>
  <w:footnote w:id="64">
    <w:p w14:paraId="6DFEBA63" w14:textId="33E67DC1" w:rsidR="009F7444" w:rsidRPr="00EE5383"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Tanenbaum, </w:t>
      </w:r>
      <w:r w:rsidRPr="00EE5383">
        <w:rPr>
          <w:rFonts w:ascii="Arial" w:hAnsi="Arial" w:cs="Arial"/>
          <w:i/>
          <w:iCs/>
          <w:sz w:val="18"/>
          <w:szCs w:val="18"/>
        </w:rPr>
        <w:t>supra</w:t>
      </w:r>
      <w:r w:rsidRPr="00EE5383">
        <w:rPr>
          <w:rFonts w:ascii="Arial" w:hAnsi="Arial" w:cs="Arial"/>
          <w:sz w:val="18"/>
          <w:szCs w:val="18"/>
        </w:rPr>
        <w:t xml:space="preserve"> note</w:t>
      </w:r>
      <w:r w:rsidR="001A6303" w:rsidRPr="00EE5383">
        <w:rPr>
          <w:rFonts w:ascii="Arial" w:hAnsi="Arial" w:cs="Arial"/>
          <w:sz w:val="18"/>
          <w:szCs w:val="18"/>
        </w:rPr>
        <w:t xml:space="preserve"> 58</w:t>
      </w:r>
      <w:r w:rsidRPr="00EE5383">
        <w:rPr>
          <w:rFonts w:ascii="Arial" w:hAnsi="Arial" w:cs="Arial"/>
          <w:sz w:val="18"/>
          <w:szCs w:val="18"/>
        </w:rPr>
        <w:t xml:space="preserve">; </w:t>
      </w:r>
      <w:r w:rsidRPr="00EE5383">
        <w:rPr>
          <w:rFonts w:ascii="Arial" w:hAnsi="Arial" w:cs="Arial"/>
          <w:i/>
          <w:iCs/>
          <w:sz w:val="18"/>
          <w:szCs w:val="18"/>
        </w:rPr>
        <w:t xml:space="preserve">Magnetic Resonance Imaging (MRI) </w:t>
      </w:r>
      <w:r w:rsidRPr="00EE5383">
        <w:rPr>
          <w:rFonts w:ascii="Arial" w:hAnsi="Arial" w:cs="Arial"/>
          <w:sz w:val="18"/>
          <w:szCs w:val="18"/>
        </w:rPr>
        <w:t xml:space="preserve">- </w:t>
      </w:r>
      <w:r w:rsidRPr="00EE5383">
        <w:rPr>
          <w:rFonts w:ascii="Arial" w:hAnsi="Arial" w:cs="Arial"/>
          <w:i/>
          <w:iCs/>
          <w:sz w:val="18"/>
          <w:szCs w:val="18"/>
        </w:rPr>
        <w:t>Spine</w:t>
      </w:r>
      <w:r w:rsidRPr="00EE5383">
        <w:rPr>
          <w:rFonts w:ascii="Arial" w:hAnsi="Arial" w:cs="Arial"/>
          <w:sz w:val="18"/>
          <w:szCs w:val="18"/>
        </w:rPr>
        <w:t xml:space="preserve">, </w:t>
      </w:r>
      <w:r w:rsidRPr="00EE5383">
        <w:rPr>
          <w:rFonts w:ascii="Arial" w:hAnsi="Arial" w:cs="Arial"/>
          <w:i/>
          <w:iCs/>
          <w:sz w:val="18"/>
          <w:szCs w:val="18"/>
        </w:rPr>
        <w:t>supra</w:t>
      </w:r>
      <w:r w:rsidRPr="00EE5383">
        <w:rPr>
          <w:rFonts w:ascii="Arial" w:hAnsi="Arial" w:cs="Arial"/>
          <w:sz w:val="18"/>
          <w:szCs w:val="18"/>
        </w:rPr>
        <w:t xml:space="preserve"> note </w:t>
      </w:r>
      <w:r w:rsidR="00B16C01" w:rsidRPr="00EE5383">
        <w:rPr>
          <w:rFonts w:ascii="Arial" w:hAnsi="Arial" w:cs="Arial"/>
          <w:sz w:val="18"/>
          <w:szCs w:val="18"/>
        </w:rPr>
        <w:t>63</w:t>
      </w:r>
      <w:r w:rsidRPr="00EE5383">
        <w:rPr>
          <w:rFonts w:ascii="Arial" w:hAnsi="Arial" w:cs="Arial"/>
          <w:sz w:val="18"/>
          <w:szCs w:val="18"/>
        </w:rPr>
        <w:t xml:space="preserve">; Winegar, et al., </w:t>
      </w:r>
      <w:r w:rsidRPr="00EE5383">
        <w:rPr>
          <w:rFonts w:ascii="Arial" w:hAnsi="Arial" w:cs="Arial"/>
          <w:i/>
          <w:iCs/>
          <w:sz w:val="18"/>
          <w:szCs w:val="18"/>
        </w:rPr>
        <w:t>supra</w:t>
      </w:r>
      <w:r w:rsidRPr="00EE5383">
        <w:rPr>
          <w:rFonts w:ascii="Arial" w:hAnsi="Arial" w:cs="Arial"/>
          <w:sz w:val="18"/>
          <w:szCs w:val="18"/>
        </w:rPr>
        <w:t xml:space="preserve"> note </w:t>
      </w:r>
      <w:r w:rsidR="00B16C01" w:rsidRPr="00EE5383">
        <w:rPr>
          <w:rFonts w:ascii="Arial" w:hAnsi="Arial" w:cs="Arial"/>
          <w:sz w:val="18"/>
          <w:szCs w:val="18"/>
        </w:rPr>
        <w:t>63</w:t>
      </w:r>
      <w:r w:rsidRPr="00EE5383">
        <w:rPr>
          <w:rFonts w:ascii="Arial" w:hAnsi="Arial" w:cs="Arial"/>
          <w:sz w:val="18"/>
          <w:szCs w:val="18"/>
        </w:rPr>
        <w:t xml:space="preserve">; </w:t>
      </w:r>
      <w:r w:rsidRPr="00EE5383">
        <w:rPr>
          <w:rFonts w:ascii="Arial" w:hAnsi="Arial" w:cs="Arial"/>
          <w:i/>
          <w:iCs/>
          <w:sz w:val="18"/>
          <w:szCs w:val="18"/>
        </w:rPr>
        <w:t>Musculoskeletal MRI, supra</w:t>
      </w:r>
      <w:r w:rsidRPr="00EE5383">
        <w:rPr>
          <w:rFonts w:ascii="Arial" w:hAnsi="Arial" w:cs="Arial"/>
          <w:sz w:val="18"/>
          <w:szCs w:val="18"/>
        </w:rPr>
        <w:t xml:space="preserve"> note </w:t>
      </w:r>
      <w:r w:rsidR="00B16C01" w:rsidRPr="00EE5383">
        <w:rPr>
          <w:rFonts w:ascii="Arial" w:hAnsi="Arial" w:cs="Arial"/>
          <w:sz w:val="18"/>
          <w:szCs w:val="18"/>
        </w:rPr>
        <w:t>63</w:t>
      </w:r>
      <w:r w:rsidRPr="00EE5383">
        <w:rPr>
          <w:rFonts w:ascii="Arial" w:hAnsi="Arial" w:cs="Arial"/>
          <w:sz w:val="18"/>
          <w:szCs w:val="18"/>
        </w:rPr>
        <w:t xml:space="preserve">; Deyle, </w:t>
      </w:r>
      <w:r w:rsidRPr="00EE5383">
        <w:rPr>
          <w:rFonts w:ascii="Arial" w:hAnsi="Arial" w:cs="Arial"/>
          <w:i/>
          <w:iCs/>
          <w:sz w:val="18"/>
          <w:szCs w:val="18"/>
        </w:rPr>
        <w:t>supra</w:t>
      </w:r>
      <w:r w:rsidRPr="00EE5383">
        <w:rPr>
          <w:rFonts w:ascii="Arial" w:hAnsi="Arial" w:cs="Arial"/>
          <w:sz w:val="18"/>
          <w:szCs w:val="18"/>
        </w:rPr>
        <w:t xml:space="preserve"> note </w:t>
      </w:r>
      <w:r w:rsidRPr="00EE5383">
        <w:rPr>
          <w:rFonts w:ascii="Arial" w:hAnsi="Arial" w:cs="Arial"/>
          <w:sz w:val="18"/>
          <w:szCs w:val="18"/>
        </w:rPr>
        <w:fldChar w:fldCharType="begin"/>
      </w:r>
      <w:r w:rsidRPr="00EE5383">
        <w:rPr>
          <w:rFonts w:ascii="Arial" w:hAnsi="Arial" w:cs="Arial"/>
          <w:sz w:val="18"/>
          <w:szCs w:val="18"/>
        </w:rPr>
        <w:instrText xml:space="preserve"> NOTEREF _Ref135078813 \h  \* MERGEFORMAT </w:instrText>
      </w:r>
      <w:r w:rsidRPr="00EE5383">
        <w:rPr>
          <w:rFonts w:ascii="Arial" w:hAnsi="Arial" w:cs="Arial"/>
          <w:sz w:val="18"/>
          <w:szCs w:val="18"/>
        </w:rPr>
      </w:r>
      <w:r w:rsidRPr="00EE5383">
        <w:rPr>
          <w:rFonts w:ascii="Arial" w:hAnsi="Arial" w:cs="Arial"/>
          <w:sz w:val="18"/>
          <w:szCs w:val="18"/>
        </w:rPr>
        <w:fldChar w:fldCharType="separate"/>
      </w:r>
      <w:r w:rsidR="002B5DBD" w:rsidRPr="00EE5383">
        <w:rPr>
          <w:rFonts w:ascii="Arial" w:hAnsi="Arial" w:cs="Arial"/>
          <w:sz w:val="18"/>
          <w:szCs w:val="18"/>
        </w:rPr>
        <w:t>63</w:t>
      </w:r>
      <w:r w:rsidRPr="00EE5383">
        <w:rPr>
          <w:rFonts w:ascii="Arial" w:hAnsi="Arial" w:cs="Arial"/>
          <w:sz w:val="18"/>
          <w:szCs w:val="18"/>
        </w:rPr>
        <w:fldChar w:fldCharType="end"/>
      </w:r>
      <w:r w:rsidRPr="00EE5383">
        <w:rPr>
          <w:rFonts w:ascii="Arial" w:hAnsi="Arial" w:cs="Arial"/>
          <w:sz w:val="18"/>
          <w:szCs w:val="18"/>
        </w:rPr>
        <w:t xml:space="preserve">; Maravi et al., </w:t>
      </w:r>
      <w:r w:rsidRPr="00EE5383">
        <w:rPr>
          <w:rFonts w:ascii="Arial" w:hAnsi="Arial" w:cs="Arial"/>
          <w:i/>
          <w:iCs/>
          <w:sz w:val="18"/>
          <w:szCs w:val="18"/>
        </w:rPr>
        <w:t>supra</w:t>
      </w:r>
      <w:r w:rsidRPr="00EE5383">
        <w:rPr>
          <w:rFonts w:ascii="Arial" w:hAnsi="Arial" w:cs="Arial"/>
          <w:sz w:val="18"/>
          <w:szCs w:val="18"/>
        </w:rPr>
        <w:t xml:space="preserve"> note </w:t>
      </w:r>
      <w:r w:rsidR="00B16C01" w:rsidRPr="00EE5383">
        <w:rPr>
          <w:rFonts w:ascii="Arial" w:hAnsi="Arial" w:cs="Arial"/>
          <w:sz w:val="18"/>
          <w:szCs w:val="18"/>
        </w:rPr>
        <w:t>63</w:t>
      </w:r>
      <w:r w:rsidRPr="00EE5383">
        <w:rPr>
          <w:rFonts w:ascii="Arial" w:hAnsi="Arial" w:cs="Arial"/>
          <w:sz w:val="18"/>
          <w:szCs w:val="18"/>
        </w:rPr>
        <w:t>.</w:t>
      </w:r>
    </w:p>
  </w:footnote>
  <w:footnote w:id="65">
    <w:p w14:paraId="60415702" w14:textId="77777777" w:rsidR="009F7444" w:rsidRPr="00EE5383"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w:t>
      </w:r>
      <w:r w:rsidRPr="00EE5383">
        <w:rPr>
          <w:rFonts w:ascii="Arial" w:hAnsi="Arial" w:cs="Arial"/>
          <w:i/>
          <w:iCs/>
          <w:sz w:val="18"/>
          <w:szCs w:val="18"/>
        </w:rPr>
        <w:t>Id.</w:t>
      </w:r>
    </w:p>
  </w:footnote>
  <w:footnote w:id="66">
    <w:p w14:paraId="45B3C90F" w14:textId="15135057" w:rsidR="009F7444" w:rsidRPr="00EE5383" w:rsidRDefault="009F7444">
      <w:pPr>
        <w:pStyle w:val="FootnoteText"/>
        <w:rPr>
          <w:rFonts w:ascii="Arial" w:hAnsi="Arial" w:cs="Arial"/>
          <w:sz w:val="18"/>
          <w:szCs w:val="18"/>
          <w:highlight w:val="yellow"/>
        </w:rPr>
      </w:pPr>
      <w:r w:rsidRPr="00EE5383">
        <w:rPr>
          <w:rStyle w:val="FootnoteReference"/>
          <w:rFonts w:ascii="Arial" w:hAnsi="Arial" w:cs="Arial"/>
          <w:sz w:val="18"/>
          <w:szCs w:val="18"/>
        </w:rPr>
        <w:footnoteRef/>
      </w:r>
      <w:r w:rsidRPr="00EE5383">
        <w:rPr>
          <w:rFonts w:ascii="Arial" w:hAnsi="Arial" w:cs="Arial"/>
          <w:sz w:val="18"/>
          <w:szCs w:val="18"/>
        </w:rPr>
        <w:t xml:space="preserve"> Tanenbaum, </w:t>
      </w:r>
      <w:r w:rsidRPr="00EE5383">
        <w:rPr>
          <w:rFonts w:ascii="Arial" w:hAnsi="Arial" w:cs="Arial"/>
          <w:i/>
          <w:iCs/>
          <w:sz w:val="18"/>
          <w:szCs w:val="18"/>
        </w:rPr>
        <w:t>supra</w:t>
      </w:r>
      <w:r w:rsidRPr="00EE5383">
        <w:rPr>
          <w:rFonts w:ascii="Arial" w:hAnsi="Arial" w:cs="Arial"/>
          <w:sz w:val="18"/>
          <w:szCs w:val="18"/>
        </w:rPr>
        <w:t xml:space="preserve"> note</w:t>
      </w:r>
      <w:r w:rsidR="00595FAE" w:rsidRPr="00EE5383">
        <w:rPr>
          <w:rFonts w:ascii="Arial" w:hAnsi="Arial" w:cs="Arial"/>
          <w:sz w:val="18"/>
          <w:szCs w:val="18"/>
        </w:rPr>
        <w:t xml:space="preserve"> 58</w:t>
      </w:r>
      <w:r w:rsidRPr="00EE5383">
        <w:rPr>
          <w:rFonts w:ascii="Arial" w:hAnsi="Arial" w:cs="Arial"/>
          <w:sz w:val="18"/>
          <w:szCs w:val="18"/>
        </w:rPr>
        <w:t xml:space="preserve">; </w:t>
      </w:r>
      <w:hyperlink r:id="rId46" w:history="1">
        <w:r w:rsidRPr="00EE5383">
          <w:rPr>
            <w:rStyle w:val="Hyperlink"/>
            <w:rFonts w:ascii="Arial" w:hAnsi="Arial" w:cs="Arial"/>
            <w:i/>
            <w:iCs/>
            <w:color w:val="auto"/>
            <w:sz w:val="18"/>
            <w:szCs w:val="18"/>
            <w:u w:val="none"/>
          </w:rPr>
          <w:t>Abdominal and Pelvic MRI</w:t>
        </w:r>
      </w:hyperlink>
      <w:r w:rsidRPr="00EE5383">
        <w:rPr>
          <w:rFonts w:ascii="Arial" w:hAnsi="Arial" w:cs="Arial"/>
          <w:i/>
          <w:iCs/>
          <w:sz w:val="18"/>
          <w:szCs w:val="18"/>
        </w:rPr>
        <w:t xml:space="preserve">, </w:t>
      </w:r>
      <w:r w:rsidRPr="00EE5383">
        <w:rPr>
          <w:rFonts w:ascii="Arial" w:hAnsi="Arial" w:cs="Arial"/>
          <w:smallCaps/>
          <w:sz w:val="18"/>
          <w:szCs w:val="18"/>
        </w:rPr>
        <w:t>RadiologyInfo.org</w:t>
      </w:r>
      <w:r w:rsidRPr="00EE5383">
        <w:rPr>
          <w:rFonts w:ascii="Arial" w:hAnsi="Arial" w:cs="Arial"/>
          <w:sz w:val="18"/>
          <w:szCs w:val="18"/>
        </w:rPr>
        <w:t xml:space="preserve">, </w:t>
      </w:r>
      <w:hyperlink r:id="rId47" w:history="1">
        <w:r w:rsidR="00EE5383" w:rsidRPr="00EE5383">
          <w:rPr>
            <w:rStyle w:val="Hyperlink"/>
            <w:rFonts w:ascii="Arial" w:hAnsi="Arial" w:cs="Arial"/>
            <w:color w:val="auto"/>
            <w:sz w:val="18"/>
            <w:szCs w:val="18"/>
            <w:u w:val="none"/>
          </w:rPr>
          <w:t>https://www.radiologyinfo.org/en/info/mri-abdomen-pelvis</w:t>
        </w:r>
      </w:hyperlink>
      <w:r w:rsidR="00EE5383" w:rsidRPr="00EE5383">
        <w:rPr>
          <w:rFonts w:ascii="Arial" w:hAnsi="Arial" w:cs="Arial"/>
          <w:sz w:val="18"/>
          <w:szCs w:val="18"/>
        </w:rPr>
        <w:t xml:space="preserve"> </w:t>
      </w:r>
      <w:r w:rsidRPr="00EE5383">
        <w:rPr>
          <w:rFonts w:ascii="Arial" w:hAnsi="Arial" w:cs="Arial"/>
          <w:sz w:val="18"/>
          <w:szCs w:val="18"/>
        </w:rPr>
        <w:t xml:space="preserve"> (last updated Jun. 1, 2022); Caraiani, et al., </w:t>
      </w:r>
      <w:hyperlink r:id="rId48" w:history="1">
        <w:r w:rsidRPr="00EE5383">
          <w:rPr>
            <w:rStyle w:val="Hyperlink"/>
            <w:rFonts w:ascii="Arial" w:hAnsi="Arial" w:cs="Arial"/>
            <w:i/>
            <w:iCs/>
            <w:color w:val="auto"/>
            <w:spacing w:val="-2"/>
            <w:sz w:val="18"/>
            <w:szCs w:val="18"/>
            <w:u w:val="none"/>
          </w:rPr>
          <w:t>Indications for abdominal imaging: When and what to choose?</w:t>
        </w:r>
        <w:r w:rsidRPr="00EE5383">
          <w:rPr>
            <w:rStyle w:val="Hyperlink"/>
            <w:rFonts w:ascii="Arial" w:hAnsi="Arial" w:cs="Arial"/>
            <w:color w:val="auto"/>
            <w:spacing w:val="-2"/>
            <w:sz w:val="18"/>
            <w:szCs w:val="18"/>
            <w:u w:val="none"/>
          </w:rPr>
          <w:t>,</w:t>
        </w:r>
      </w:hyperlink>
      <w:r w:rsidRPr="00EE5383">
        <w:rPr>
          <w:rFonts w:ascii="Arial" w:hAnsi="Arial" w:cs="Arial"/>
          <w:spacing w:val="-2"/>
          <w:sz w:val="18"/>
          <w:szCs w:val="18"/>
        </w:rPr>
        <w:t xml:space="preserve"> </w:t>
      </w:r>
      <w:r w:rsidRPr="00EE5383">
        <w:rPr>
          <w:rFonts w:ascii="Arial" w:hAnsi="Arial" w:cs="Arial"/>
          <w:smallCaps/>
          <w:spacing w:val="-2"/>
          <w:sz w:val="18"/>
          <w:szCs w:val="18"/>
        </w:rPr>
        <w:t xml:space="preserve">20 J. </w:t>
      </w:r>
      <w:hyperlink r:id="rId49" w:history="1">
        <w:r w:rsidRPr="00EE5383">
          <w:rPr>
            <w:rStyle w:val="Hyperlink"/>
            <w:rFonts w:ascii="Arial" w:hAnsi="Arial" w:cs="Arial"/>
            <w:smallCaps/>
            <w:color w:val="auto"/>
            <w:spacing w:val="-2"/>
            <w:sz w:val="18"/>
            <w:szCs w:val="18"/>
            <w:u w:val="none"/>
          </w:rPr>
          <w:t>Ultrasound 43</w:t>
        </w:r>
      </w:hyperlink>
      <w:r w:rsidRPr="00EE5383">
        <w:rPr>
          <w:rFonts w:ascii="Arial" w:hAnsi="Arial" w:cs="Arial"/>
          <w:spacing w:val="-2"/>
          <w:sz w:val="18"/>
          <w:szCs w:val="18"/>
        </w:rPr>
        <w:t xml:space="preserve"> (2020), </w:t>
      </w:r>
      <w:r w:rsidRPr="00EE5383">
        <w:rPr>
          <w:rFonts w:ascii="Arial" w:hAnsi="Arial" w:cs="Arial"/>
          <w:i/>
          <w:iCs/>
          <w:spacing w:val="-2"/>
          <w:sz w:val="18"/>
          <w:szCs w:val="18"/>
        </w:rPr>
        <w:t>available at</w:t>
      </w:r>
      <w:r w:rsidRPr="00EE5383">
        <w:rPr>
          <w:rFonts w:ascii="Arial" w:hAnsi="Arial" w:cs="Arial"/>
          <w:spacing w:val="-2"/>
          <w:sz w:val="18"/>
          <w:szCs w:val="18"/>
        </w:rPr>
        <w:t xml:space="preserve"> </w:t>
      </w:r>
      <w:hyperlink r:id="rId50" w:history="1">
        <w:r w:rsidR="00EE5383" w:rsidRPr="00EE5383">
          <w:rPr>
            <w:rStyle w:val="Hyperlink"/>
            <w:rFonts w:ascii="Arial" w:hAnsi="Arial" w:cs="Arial"/>
            <w:color w:val="auto"/>
            <w:sz w:val="18"/>
            <w:szCs w:val="18"/>
            <w:u w:val="none"/>
          </w:rPr>
          <w:t>https://www.ncbi.nlm.nih.gov/pmc/articles/PMC7266076/</w:t>
        </w:r>
      </w:hyperlink>
      <w:r w:rsidR="00EE5383" w:rsidRPr="00EE5383">
        <w:rPr>
          <w:rFonts w:ascii="Arial" w:hAnsi="Arial" w:cs="Arial"/>
          <w:sz w:val="18"/>
          <w:szCs w:val="18"/>
        </w:rPr>
        <w:t xml:space="preserve"> </w:t>
      </w:r>
      <w:r w:rsidRPr="00EE5383">
        <w:rPr>
          <w:rFonts w:ascii="Arial" w:hAnsi="Arial" w:cs="Arial"/>
          <w:sz w:val="18"/>
          <w:szCs w:val="18"/>
        </w:rPr>
        <w:t>.</w:t>
      </w:r>
    </w:p>
  </w:footnote>
  <w:footnote w:id="67">
    <w:p w14:paraId="1D351C6B" w14:textId="5437C65D" w:rsidR="009F7444" w:rsidRPr="00EE5383"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Tanenbaum, </w:t>
      </w:r>
      <w:r w:rsidRPr="00EE5383">
        <w:rPr>
          <w:rFonts w:ascii="Arial" w:hAnsi="Arial" w:cs="Arial"/>
          <w:i/>
          <w:iCs/>
          <w:sz w:val="18"/>
          <w:szCs w:val="18"/>
        </w:rPr>
        <w:t>supra</w:t>
      </w:r>
      <w:r w:rsidRPr="00EE5383">
        <w:rPr>
          <w:rFonts w:ascii="Arial" w:hAnsi="Arial" w:cs="Arial"/>
          <w:sz w:val="18"/>
          <w:szCs w:val="18"/>
        </w:rPr>
        <w:t xml:space="preserve"> note </w:t>
      </w:r>
      <w:r w:rsidR="00D42038" w:rsidRPr="00EE5383">
        <w:rPr>
          <w:rFonts w:ascii="Arial" w:hAnsi="Arial" w:cs="Arial"/>
          <w:sz w:val="18"/>
          <w:szCs w:val="18"/>
        </w:rPr>
        <w:t>58</w:t>
      </w:r>
      <w:r w:rsidRPr="00EE5383">
        <w:rPr>
          <w:rFonts w:ascii="Arial" w:hAnsi="Arial" w:cs="Arial"/>
          <w:sz w:val="18"/>
          <w:szCs w:val="18"/>
        </w:rPr>
        <w:t xml:space="preserve">; </w:t>
      </w:r>
      <w:r w:rsidRPr="00EE5383">
        <w:rPr>
          <w:rFonts w:ascii="Arial" w:hAnsi="Arial" w:cs="Arial"/>
          <w:i/>
          <w:iCs/>
          <w:sz w:val="18"/>
          <w:szCs w:val="18"/>
        </w:rPr>
        <w:t xml:space="preserve">Abdominal and Pelvic MRI, supra note </w:t>
      </w:r>
      <w:r w:rsidRPr="00EE5383">
        <w:rPr>
          <w:rFonts w:ascii="Arial" w:hAnsi="Arial" w:cs="Arial"/>
          <w:sz w:val="18"/>
          <w:szCs w:val="18"/>
        </w:rPr>
        <w:fldChar w:fldCharType="begin"/>
      </w:r>
      <w:r w:rsidRPr="00EE5383">
        <w:rPr>
          <w:rFonts w:ascii="Arial" w:hAnsi="Arial" w:cs="Arial"/>
          <w:i/>
          <w:iCs/>
          <w:sz w:val="18"/>
          <w:szCs w:val="18"/>
        </w:rPr>
        <w:instrText xml:space="preserve"> NOTEREF _Ref135083692 \h </w:instrText>
      </w:r>
      <w:r w:rsidRPr="00EE5383">
        <w:rPr>
          <w:rFonts w:ascii="Arial" w:hAnsi="Arial" w:cs="Arial"/>
          <w:sz w:val="18"/>
          <w:szCs w:val="18"/>
        </w:rPr>
        <w:instrText xml:space="preserve"> \* MERGEFORMAT </w:instrText>
      </w:r>
      <w:r w:rsidRPr="00EE5383">
        <w:rPr>
          <w:rFonts w:ascii="Arial" w:hAnsi="Arial" w:cs="Arial"/>
          <w:sz w:val="18"/>
          <w:szCs w:val="18"/>
        </w:rPr>
      </w:r>
      <w:r w:rsidRPr="00EE5383">
        <w:rPr>
          <w:rFonts w:ascii="Arial" w:hAnsi="Arial" w:cs="Arial"/>
          <w:sz w:val="18"/>
          <w:szCs w:val="18"/>
        </w:rPr>
        <w:fldChar w:fldCharType="separate"/>
      </w:r>
      <w:r w:rsidR="002B5DBD" w:rsidRPr="00EE5383">
        <w:rPr>
          <w:rFonts w:ascii="Arial" w:hAnsi="Arial" w:cs="Arial"/>
          <w:i/>
          <w:iCs/>
          <w:sz w:val="18"/>
          <w:szCs w:val="18"/>
        </w:rPr>
        <w:t>66</w:t>
      </w:r>
      <w:r w:rsidRPr="00EE5383">
        <w:rPr>
          <w:rFonts w:ascii="Arial" w:hAnsi="Arial" w:cs="Arial"/>
          <w:sz w:val="18"/>
          <w:szCs w:val="18"/>
        </w:rPr>
        <w:fldChar w:fldCharType="end"/>
      </w:r>
      <w:r w:rsidRPr="00EE5383">
        <w:rPr>
          <w:rFonts w:ascii="Arial" w:hAnsi="Arial" w:cs="Arial"/>
          <w:sz w:val="18"/>
          <w:szCs w:val="18"/>
        </w:rPr>
        <w:t>; Caraiani, et al.,</w:t>
      </w:r>
      <w:r w:rsidRPr="00EE5383">
        <w:rPr>
          <w:rFonts w:ascii="Arial" w:hAnsi="Arial" w:cs="Arial"/>
          <w:i/>
          <w:iCs/>
          <w:sz w:val="18"/>
          <w:szCs w:val="18"/>
        </w:rPr>
        <w:t xml:space="preserve"> supra note </w:t>
      </w:r>
      <w:r w:rsidRPr="00EE5383">
        <w:rPr>
          <w:rFonts w:ascii="Arial" w:hAnsi="Arial" w:cs="Arial"/>
          <w:sz w:val="18"/>
          <w:szCs w:val="18"/>
        </w:rPr>
        <w:fldChar w:fldCharType="begin"/>
      </w:r>
      <w:r w:rsidRPr="00EE5383">
        <w:rPr>
          <w:rFonts w:ascii="Arial" w:hAnsi="Arial" w:cs="Arial"/>
          <w:i/>
          <w:iCs/>
          <w:sz w:val="18"/>
          <w:szCs w:val="18"/>
        </w:rPr>
        <w:instrText xml:space="preserve"> NOTEREF _Ref135083692 \h </w:instrText>
      </w:r>
      <w:r w:rsidRPr="00EE5383">
        <w:rPr>
          <w:rFonts w:ascii="Arial" w:hAnsi="Arial" w:cs="Arial"/>
          <w:sz w:val="18"/>
          <w:szCs w:val="18"/>
        </w:rPr>
        <w:instrText xml:space="preserve"> \* MERGEFORMAT </w:instrText>
      </w:r>
      <w:r w:rsidRPr="00EE5383">
        <w:rPr>
          <w:rFonts w:ascii="Arial" w:hAnsi="Arial" w:cs="Arial"/>
          <w:sz w:val="18"/>
          <w:szCs w:val="18"/>
        </w:rPr>
      </w:r>
      <w:r w:rsidRPr="00EE5383">
        <w:rPr>
          <w:rFonts w:ascii="Arial" w:hAnsi="Arial" w:cs="Arial"/>
          <w:sz w:val="18"/>
          <w:szCs w:val="18"/>
        </w:rPr>
        <w:fldChar w:fldCharType="separate"/>
      </w:r>
      <w:r w:rsidR="002B5DBD" w:rsidRPr="00EE5383">
        <w:rPr>
          <w:rFonts w:ascii="Arial" w:hAnsi="Arial" w:cs="Arial"/>
          <w:i/>
          <w:iCs/>
          <w:sz w:val="18"/>
          <w:szCs w:val="18"/>
        </w:rPr>
        <w:t>66</w:t>
      </w:r>
      <w:r w:rsidRPr="00EE5383">
        <w:rPr>
          <w:rFonts w:ascii="Arial" w:hAnsi="Arial" w:cs="Arial"/>
          <w:sz w:val="18"/>
          <w:szCs w:val="18"/>
        </w:rPr>
        <w:fldChar w:fldCharType="end"/>
      </w:r>
      <w:r w:rsidRPr="00EE5383">
        <w:rPr>
          <w:rFonts w:ascii="Arial" w:hAnsi="Arial" w:cs="Arial"/>
          <w:sz w:val="18"/>
          <w:szCs w:val="18"/>
        </w:rPr>
        <w:t xml:space="preserve">. </w:t>
      </w:r>
    </w:p>
  </w:footnote>
  <w:footnote w:id="68">
    <w:p w14:paraId="198FF1CA" w14:textId="78519CE4" w:rsidR="009F7444" w:rsidRPr="00D42038" w:rsidRDefault="009F7444">
      <w:pPr>
        <w:pStyle w:val="FootnoteText"/>
        <w:rPr>
          <w:rFonts w:ascii="Arial" w:hAnsi="Arial" w:cs="Arial"/>
          <w:sz w:val="18"/>
          <w:szCs w:val="18"/>
        </w:rPr>
      </w:pPr>
      <w:r w:rsidRPr="00EE5383">
        <w:rPr>
          <w:rStyle w:val="FootnoteReference"/>
          <w:rFonts w:ascii="Arial" w:hAnsi="Arial" w:cs="Arial"/>
          <w:sz w:val="18"/>
          <w:szCs w:val="18"/>
        </w:rPr>
        <w:footnoteRef/>
      </w:r>
      <w:r w:rsidRPr="00EE5383">
        <w:rPr>
          <w:rFonts w:ascii="Arial" w:hAnsi="Arial" w:cs="Arial"/>
          <w:sz w:val="18"/>
          <w:szCs w:val="18"/>
        </w:rPr>
        <w:t xml:space="preserve"> Tanenbaum, </w:t>
      </w:r>
      <w:r w:rsidRPr="00EE5383">
        <w:rPr>
          <w:rFonts w:ascii="Arial" w:hAnsi="Arial" w:cs="Arial"/>
          <w:i/>
          <w:iCs/>
          <w:sz w:val="18"/>
          <w:szCs w:val="18"/>
        </w:rPr>
        <w:t>supra</w:t>
      </w:r>
      <w:r w:rsidRPr="00EE5383">
        <w:rPr>
          <w:rFonts w:ascii="Arial" w:hAnsi="Arial" w:cs="Arial"/>
          <w:sz w:val="18"/>
          <w:szCs w:val="18"/>
        </w:rPr>
        <w:t xml:space="preserve"> note </w:t>
      </w:r>
      <w:r w:rsidR="00D42038" w:rsidRPr="00EE5383">
        <w:rPr>
          <w:rFonts w:ascii="Arial" w:hAnsi="Arial" w:cs="Arial"/>
          <w:sz w:val="18"/>
          <w:szCs w:val="18"/>
        </w:rPr>
        <w:t>58</w:t>
      </w:r>
      <w:r w:rsidRPr="00EE5383">
        <w:rPr>
          <w:rFonts w:ascii="Arial" w:hAnsi="Arial" w:cs="Arial"/>
          <w:sz w:val="18"/>
          <w:szCs w:val="18"/>
        </w:rPr>
        <w:t xml:space="preserve">; </w:t>
      </w:r>
      <w:r w:rsidRPr="00EE5383">
        <w:rPr>
          <w:rFonts w:ascii="Arial" w:hAnsi="Arial" w:cs="Arial"/>
          <w:i/>
          <w:iCs/>
          <w:sz w:val="18"/>
          <w:szCs w:val="18"/>
        </w:rPr>
        <w:t xml:space="preserve">Abdominal and Pelvic MRI, supra note </w:t>
      </w:r>
      <w:r w:rsidRPr="00EE5383">
        <w:rPr>
          <w:rFonts w:ascii="Arial" w:hAnsi="Arial" w:cs="Arial"/>
          <w:sz w:val="18"/>
          <w:szCs w:val="18"/>
        </w:rPr>
        <w:fldChar w:fldCharType="begin"/>
      </w:r>
      <w:r w:rsidRPr="00EE5383">
        <w:rPr>
          <w:rFonts w:ascii="Arial" w:hAnsi="Arial" w:cs="Arial"/>
          <w:i/>
          <w:iCs/>
          <w:sz w:val="18"/>
          <w:szCs w:val="18"/>
        </w:rPr>
        <w:instrText xml:space="preserve"> NOTEREF _Ref135083692 \h </w:instrText>
      </w:r>
      <w:r w:rsidRPr="00EE5383">
        <w:rPr>
          <w:rFonts w:ascii="Arial" w:hAnsi="Arial" w:cs="Arial"/>
          <w:sz w:val="18"/>
          <w:szCs w:val="18"/>
        </w:rPr>
        <w:instrText xml:space="preserve"> \* MERGEFORMAT </w:instrText>
      </w:r>
      <w:r w:rsidRPr="00EE5383">
        <w:rPr>
          <w:rFonts w:ascii="Arial" w:hAnsi="Arial" w:cs="Arial"/>
          <w:sz w:val="18"/>
          <w:szCs w:val="18"/>
        </w:rPr>
      </w:r>
      <w:r w:rsidRPr="00EE5383">
        <w:rPr>
          <w:rFonts w:ascii="Arial" w:hAnsi="Arial" w:cs="Arial"/>
          <w:sz w:val="18"/>
          <w:szCs w:val="18"/>
        </w:rPr>
        <w:fldChar w:fldCharType="separate"/>
      </w:r>
      <w:r w:rsidR="002B5DBD" w:rsidRPr="00EE5383">
        <w:rPr>
          <w:rFonts w:ascii="Arial" w:hAnsi="Arial" w:cs="Arial"/>
          <w:i/>
          <w:iCs/>
          <w:sz w:val="18"/>
          <w:szCs w:val="18"/>
        </w:rPr>
        <w:t>66</w:t>
      </w:r>
      <w:r w:rsidRPr="00EE5383">
        <w:rPr>
          <w:rFonts w:ascii="Arial" w:hAnsi="Arial" w:cs="Arial"/>
          <w:sz w:val="18"/>
          <w:szCs w:val="18"/>
        </w:rPr>
        <w:fldChar w:fldCharType="end"/>
      </w:r>
      <w:r w:rsidRPr="00EE5383">
        <w:rPr>
          <w:rFonts w:ascii="Arial" w:hAnsi="Arial" w:cs="Arial"/>
          <w:sz w:val="18"/>
          <w:szCs w:val="18"/>
        </w:rPr>
        <w:t>.</w:t>
      </w:r>
    </w:p>
  </w:footnote>
  <w:footnote w:id="69">
    <w:p w14:paraId="5E0A599C" w14:textId="18E6133E" w:rsidR="009F7444" w:rsidRPr="00B373ED" w:rsidRDefault="009F7444" w:rsidP="00B373ED">
      <w:pPr>
        <w:pStyle w:val="NormalWeb"/>
        <w:spacing w:before="0" w:beforeAutospacing="0" w:after="0" w:afterAutospacing="0"/>
      </w:pPr>
      <w:r w:rsidRPr="00DC548A">
        <w:rPr>
          <w:rStyle w:val="FootnoteReference"/>
          <w:rFonts w:ascii="Arial" w:hAnsi="Arial" w:cs="Arial"/>
          <w:sz w:val="18"/>
          <w:szCs w:val="18"/>
        </w:rPr>
        <w:footnoteRef/>
      </w:r>
      <w:r w:rsidRPr="00DC548A">
        <w:rPr>
          <w:rFonts w:ascii="Arial" w:hAnsi="Arial" w:cs="Arial"/>
          <w:sz w:val="18"/>
          <w:szCs w:val="18"/>
        </w:rPr>
        <w:t xml:space="preserve"> </w:t>
      </w:r>
      <w:r w:rsidRPr="00DC548A">
        <w:rPr>
          <w:rFonts w:ascii="Helvetica" w:hAnsi="Helvetica"/>
          <w:smallCaps/>
          <w:sz w:val="16"/>
          <w:szCs w:val="16"/>
        </w:rPr>
        <w:t xml:space="preserve">World Health Organization, </w:t>
      </w:r>
      <w:r w:rsidRPr="00DC548A">
        <w:rPr>
          <w:rFonts w:ascii="Arial" w:hAnsi="Arial" w:cs="Arial"/>
          <w:i/>
          <w:iCs/>
          <w:sz w:val="18"/>
          <w:szCs w:val="18"/>
        </w:rPr>
        <w:t>supra</w:t>
      </w:r>
      <w:r w:rsidRPr="00DC548A">
        <w:rPr>
          <w:rFonts w:ascii="Arial" w:hAnsi="Arial" w:cs="Arial"/>
          <w:sz w:val="18"/>
          <w:szCs w:val="18"/>
        </w:rPr>
        <w:t xml:space="preserve"> note </w:t>
      </w:r>
      <w:r w:rsidRPr="00DC548A">
        <w:rPr>
          <w:rFonts w:ascii="Arial" w:hAnsi="Arial" w:cs="Arial"/>
          <w:sz w:val="18"/>
          <w:szCs w:val="18"/>
        </w:rPr>
        <w:fldChar w:fldCharType="begin"/>
      </w:r>
      <w:r w:rsidRPr="00DC548A">
        <w:rPr>
          <w:rFonts w:ascii="Arial" w:hAnsi="Arial" w:cs="Arial"/>
          <w:sz w:val="18"/>
          <w:szCs w:val="18"/>
        </w:rPr>
        <w:instrText xml:space="preserve"> NOTEREF _Ref135141700 \h  \* MERGEFORMAT </w:instrText>
      </w:r>
      <w:r w:rsidRPr="00DC548A">
        <w:rPr>
          <w:rFonts w:ascii="Arial" w:hAnsi="Arial" w:cs="Arial"/>
          <w:sz w:val="18"/>
          <w:szCs w:val="18"/>
        </w:rPr>
      </w:r>
      <w:r w:rsidRPr="00DC548A">
        <w:rPr>
          <w:rFonts w:ascii="Arial" w:hAnsi="Arial" w:cs="Arial"/>
          <w:sz w:val="18"/>
          <w:szCs w:val="18"/>
        </w:rPr>
        <w:fldChar w:fldCharType="separate"/>
      </w:r>
      <w:r w:rsidR="002B5DBD">
        <w:rPr>
          <w:rFonts w:ascii="Arial" w:hAnsi="Arial" w:cs="Arial"/>
          <w:sz w:val="18"/>
          <w:szCs w:val="18"/>
        </w:rPr>
        <w:t>30</w:t>
      </w:r>
      <w:r w:rsidRPr="00DC548A">
        <w:rPr>
          <w:rFonts w:ascii="Arial" w:hAnsi="Arial" w:cs="Arial"/>
          <w:sz w:val="18"/>
          <w:szCs w:val="18"/>
        </w:rPr>
        <w:fldChar w:fldCharType="end"/>
      </w:r>
      <w:r w:rsidRPr="00DC548A">
        <w:rPr>
          <w:rFonts w:ascii="Arial" w:hAnsi="Arial" w:cs="Arial"/>
          <w:sz w:val="18"/>
          <w:szCs w:val="18"/>
        </w:rPr>
        <w:t>.</w:t>
      </w:r>
    </w:p>
  </w:footnote>
  <w:footnote w:id="70">
    <w:p w14:paraId="4E1C9C66" w14:textId="77777777" w:rsidR="009F7444" w:rsidRPr="000062C7" w:rsidRDefault="009F7444">
      <w:pPr>
        <w:pStyle w:val="FootnoteText"/>
        <w:rPr>
          <w:rFonts w:ascii="Arial" w:hAnsi="Arial" w:cs="Arial"/>
          <w:sz w:val="18"/>
          <w:szCs w:val="18"/>
        </w:rPr>
      </w:pPr>
      <w:r w:rsidRPr="000062C7">
        <w:rPr>
          <w:rStyle w:val="FootnoteReference"/>
          <w:rFonts w:ascii="Arial" w:hAnsi="Arial" w:cs="Arial"/>
          <w:sz w:val="18"/>
          <w:szCs w:val="18"/>
        </w:rPr>
        <w:footnoteRef/>
      </w:r>
      <w:r w:rsidRPr="000062C7">
        <w:rPr>
          <w:rFonts w:ascii="Arial" w:hAnsi="Arial" w:cs="Arial"/>
          <w:sz w:val="18"/>
          <w:szCs w:val="18"/>
        </w:rPr>
        <w:t xml:space="preserve"> Please note that outpatient wait times are based on the third next available appointment This is industry standard and measures average length of time in days between the day a patient makes a request for an appointment and the third available appointment available.</w:t>
      </w:r>
    </w:p>
  </w:footnote>
  <w:footnote w:id="71">
    <w:p w14:paraId="3AA8D005" w14:textId="1B6524BE" w:rsidR="009F7444" w:rsidRPr="006A4A41" w:rsidRDefault="009F7444" w:rsidP="00834993">
      <w:pPr>
        <w:rPr>
          <w:rFonts w:ascii="Arial" w:hAnsi="Arial" w:cs="Arial"/>
          <w:color w:val="333333"/>
          <w:sz w:val="18"/>
          <w:szCs w:val="18"/>
        </w:rPr>
      </w:pPr>
      <w:r w:rsidRPr="006A4A41">
        <w:rPr>
          <w:rStyle w:val="FootnoteReference"/>
          <w:rFonts w:ascii="Arial" w:hAnsi="Arial" w:cs="Arial"/>
          <w:sz w:val="18"/>
          <w:szCs w:val="18"/>
        </w:rPr>
        <w:footnoteRef/>
      </w:r>
      <w:r w:rsidRPr="006A4A41">
        <w:rPr>
          <w:rFonts w:ascii="Arial" w:hAnsi="Arial" w:cs="Arial"/>
          <w:sz w:val="18"/>
          <w:szCs w:val="18"/>
        </w:rPr>
        <w:t xml:space="preserve"> </w:t>
      </w:r>
      <w:r w:rsidRPr="006A4A41">
        <w:rPr>
          <w:rFonts w:ascii="Arial" w:hAnsi="Arial" w:cs="Arial"/>
          <w:color w:val="333333"/>
          <w:sz w:val="18"/>
          <w:szCs w:val="18"/>
        </w:rPr>
        <w:t xml:space="preserve">Lasser, et al., </w:t>
      </w:r>
      <w:r w:rsidRPr="006A4A41">
        <w:rPr>
          <w:rFonts w:ascii="Arial" w:hAnsi="Arial" w:cs="Arial"/>
          <w:i/>
          <w:iCs/>
          <w:color w:val="333333"/>
          <w:sz w:val="18"/>
          <w:szCs w:val="18"/>
        </w:rPr>
        <w:t>supra</w:t>
      </w:r>
      <w:r w:rsidRPr="006A4A41">
        <w:rPr>
          <w:rFonts w:ascii="Arial" w:hAnsi="Arial" w:cs="Arial"/>
          <w:color w:val="333333"/>
          <w:sz w:val="18"/>
          <w:szCs w:val="18"/>
        </w:rPr>
        <w:t xml:space="preserve"> note</w:t>
      </w:r>
      <w:r w:rsidRPr="006A4A41">
        <w:rPr>
          <w:rFonts w:ascii="Arial" w:hAnsi="Arial" w:cs="Arial"/>
          <w:sz w:val="18"/>
          <w:szCs w:val="18"/>
        </w:rPr>
        <w:t xml:space="preserve"> </w:t>
      </w:r>
      <w:r w:rsidRPr="006A4A41">
        <w:rPr>
          <w:rFonts w:ascii="Arial" w:hAnsi="Arial" w:cs="Arial"/>
          <w:sz w:val="18"/>
          <w:szCs w:val="18"/>
        </w:rPr>
        <w:fldChar w:fldCharType="begin"/>
      </w:r>
      <w:r w:rsidRPr="006A4A41">
        <w:rPr>
          <w:rFonts w:ascii="Arial" w:hAnsi="Arial" w:cs="Arial"/>
          <w:sz w:val="18"/>
          <w:szCs w:val="18"/>
        </w:rPr>
        <w:instrText xml:space="preserve"> NOTEREF _Ref109198267 \h  \* MERGEFORMAT </w:instrText>
      </w:r>
      <w:r w:rsidRPr="006A4A41">
        <w:rPr>
          <w:rFonts w:ascii="Arial" w:hAnsi="Arial" w:cs="Arial"/>
          <w:sz w:val="18"/>
          <w:szCs w:val="18"/>
        </w:rPr>
      </w:r>
      <w:r w:rsidRPr="006A4A41">
        <w:rPr>
          <w:rFonts w:ascii="Arial" w:hAnsi="Arial" w:cs="Arial"/>
          <w:sz w:val="18"/>
          <w:szCs w:val="18"/>
        </w:rPr>
        <w:fldChar w:fldCharType="separate"/>
      </w:r>
      <w:r w:rsidR="002B5DBD" w:rsidRPr="006A4A41">
        <w:rPr>
          <w:rFonts w:ascii="Arial" w:hAnsi="Arial" w:cs="Arial"/>
          <w:sz w:val="18"/>
          <w:szCs w:val="18"/>
        </w:rPr>
        <w:t>43</w:t>
      </w:r>
      <w:r w:rsidRPr="006A4A41">
        <w:rPr>
          <w:rFonts w:ascii="Arial" w:hAnsi="Arial" w:cs="Arial"/>
          <w:sz w:val="18"/>
          <w:szCs w:val="18"/>
        </w:rPr>
        <w:fldChar w:fldCharType="end"/>
      </w:r>
      <w:r w:rsidRPr="006A4A41">
        <w:rPr>
          <w:rFonts w:ascii="Arial" w:hAnsi="Arial" w:cs="Arial"/>
          <w:color w:val="333333"/>
          <w:sz w:val="18"/>
          <w:szCs w:val="18"/>
        </w:rPr>
        <w:t xml:space="preserve">; </w:t>
      </w:r>
      <w:r w:rsidRPr="006A4A41">
        <w:rPr>
          <w:rFonts w:ascii="Arial" w:hAnsi="Arial" w:cs="Arial"/>
          <w:sz w:val="18"/>
          <w:szCs w:val="18"/>
        </w:rPr>
        <w:t xml:space="preserve">Ku, et al., </w:t>
      </w:r>
      <w:r w:rsidRPr="006A4A41">
        <w:rPr>
          <w:rFonts w:ascii="Arial" w:hAnsi="Arial" w:cs="Arial"/>
          <w:i/>
          <w:iCs/>
          <w:sz w:val="18"/>
          <w:szCs w:val="18"/>
        </w:rPr>
        <w:t>supra</w:t>
      </w:r>
      <w:r w:rsidRPr="006A4A41">
        <w:rPr>
          <w:rFonts w:ascii="Arial" w:hAnsi="Arial" w:cs="Arial"/>
          <w:sz w:val="18"/>
          <w:szCs w:val="18"/>
        </w:rPr>
        <w:t xml:space="preserve"> note </w:t>
      </w:r>
      <w:r w:rsidRPr="006A4A41">
        <w:rPr>
          <w:rFonts w:ascii="Arial" w:hAnsi="Arial" w:cs="Arial"/>
          <w:sz w:val="18"/>
          <w:szCs w:val="18"/>
        </w:rPr>
        <w:fldChar w:fldCharType="begin"/>
      </w:r>
      <w:r w:rsidRPr="006A4A41">
        <w:rPr>
          <w:rFonts w:ascii="Arial" w:hAnsi="Arial" w:cs="Arial"/>
          <w:sz w:val="18"/>
          <w:szCs w:val="18"/>
        </w:rPr>
        <w:instrText xml:space="preserve"> NOTEREF _Ref109198267 \h  \* MERGEFORMAT </w:instrText>
      </w:r>
      <w:r w:rsidRPr="006A4A41">
        <w:rPr>
          <w:rFonts w:ascii="Arial" w:hAnsi="Arial" w:cs="Arial"/>
          <w:sz w:val="18"/>
          <w:szCs w:val="18"/>
        </w:rPr>
      </w:r>
      <w:r w:rsidRPr="006A4A41">
        <w:rPr>
          <w:rFonts w:ascii="Arial" w:hAnsi="Arial" w:cs="Arial"/>
          <w:sz w:val="18"/>
          <w:szCs w:val="18"/>
        </w:rPr>
        <w:fldChar w:fldCharType="separate"/>
      </w:r>
      <w:r w:rsidR="002B5DBD" w:rsidRPr="006A4A41">
        <w:rPr>
          <w:rFonts w:ascii="Arial" w:hAnsi="Arial" w:cs="Arial"/>
          <w:sz w:val="18"/>
          <w:szCs w:val="18"/>
        </w:rPr>
        <w:t>43</w:t>
      </w:r>
      <w:r w:rsidRPr="006A4A41">
        <w:rPr>
          <w:rFonts w:ascii="Arial" w:hAnsi="Arial" w:cs="Arial"/>
          <w:sz w:val="18"/>
          <w:szCs w:val="18"/>
        </w:rPr>
        <w:fldChar w:fldCharType="end"/>
      </w:r>
      <w:r w:rsidRPr="006A4A41">
        <w:rPr>
          <w:rFonts w:ascii="Arial" w:hAnsi="Arial" w:cs="Arial"/>
          <w:sz w:val="18"/>
          <w:szCs w:val="18"/>
        </w:rPr>
        <w:t xml:space="preserve">; Mohan, et al., </w:t>
      </w:r>
      <w:r w:rsidRPr="006A4A41">
        <w:rPr>
          <w:rFonts w:ascii="Arial" w:hAnsi="Arial" w:cs="Arial"/>
          <w:i/>
          <w:iCs/>
          <w:sz w:val="18"/>
          <w:szCs w:val="18"/>
        </w:rPr>
        <w:t>supra</w:t>
      </w:r>
      <w:r w:rsidRPr="006A4A41">
        <w:rPr>
          <w:rFonts w:ascii="Arial" w:hAnsi="Arial" w:cs="Arial"/>
          <w:sz w:val="18"/>
          <w:szCs w:val="18"/>
        </w:rPr>
        <w:t xml:space="preserve"> note</w:t>
      </w:r>
      <w:r w:rsidRPr="006A4A41">
        <w:rPr>
          <w:rFonts w:ascii="Arial" w:hAnsi="Arial" w:cs="Arial"/>
          <w:color w:val="333333"/>
          <w:sz w:val="18"/>
          <w:szCs w:val="18"/>
        </w:rPr>
        <w:t xml:space="preserve"> </w:t>
      </w:r>
      <w:r w:rsidRPr="006A4A41">
        <w:rPr>
          <w:rFonts w:ascii="Arial" w:hAnsi="Arial" w:cs="Arial"/>
          <w:sz w:val="18"/>
          <w:szCs w:val="18"/>
        </w:rPr>
        <w:fldChar w:fldCharType="begin"/>
      </w:r>
      <w:r w:rsidRPr="006A4A41">
        <w:rPr>
          <w:rFonts w:ascii="Arial" w:hAnsi="Arial" w:cs="Arial"/>
          <w:sz w:val="18"/>
          <w:szCs w:val="18"/>
        </w:rPr>
        <w:instrText xml:space="preserve"> NOTEREF _Ref109198267 \h  \* MERGEFORMAT </w:instrText>
      </w:r>
      <w:r w:rsidRPr="006A4A41">
        <w:rPr>
          <w:rFonts w:ascii="Arial" w:hAnsi="Arial" w:cs="Arial"/>
          <w:sz w:val="18"/>
          <w:szCs w:val="18"/>
        </w:rPr>
      </w:r>
      <w:r w:rsidRPr="006A4A41">
        <w:rPr>
          <w:rFonts w:ascii="Arial" w:hAnsi="Arial" w:cs="Arial"/>
          <w:sz w:val="18"/>
          <w:szCs w:val="18"/>
        </w:rPr>
        <w:fldChar w:fldCharType="separate"/>
      </w:r>
      <w:r w:rsidR="002B5DBD" w:rsidRPr="006A4A41">
        <w:rPr>
          <w:rFonts w:ascii="Arial" w:hAnsi="Arial" w:cs="Arial"/>
          <w:sz w:val="18"/>
          <w:szCs w:val="18"/>
        </w:rPr>
        <w:t>43</w:t>
      </w:r>
      <w:r w:rsidRPr="006A4A41">
        <w:rPr>
          <w:rFonts w:ascii="Arial" w:hAnsi="Arial" w:cs="Arial"/>
          <w:sz w:val="18"/>
          <w:szCs w:val="18"/>
        </w:rPr>
        <w:fldChar w:fldCharType="end"/>
      </w:r>
      <w:r w:rsidRPr="006A4A41">
        <w:rPr>
          <w:rFonts w:ascii="Arial" w:hAnsi="Arial" w:cs="Arial"/>
          <w:sz w:val="18"/>
          <w:szCs w:val="18"/>
        </w:rPr>
        <w:t>.</w:t>
      </w:r>
    </w:p>
  </w:footnote>
  <w:footnote w:id="72">
    <w:p w14:paraId="794116EC" w14:textId="64F8FB9B" w:rsidR="009F7444" w:rsidRPr="009E5207" w:rsidRDefault="009F7444" w:rsidP="00834993">
      <w:pPr>
        <w:pStyle w:val="FootnoteText"/>
        <w:rPr>
          <w:rFonts w:ascii="Arial" w:hAnsi="Arial" w:cs="Arial"/>
          <w:sz w:val="18"/>
          <w:szCs w:val="18"/>
          <w:highlight w:val="cyan"/>
        </w:rPr>
      </w:pPr>
      <w:r w:rsidRPr="006A4A41">
        <w:rPr>
          <w:rStyle w:val="FootnoteReference"/>
          <w:rFonts w:ascii="Arial" w:hAnsi="Arial" w:cs="Arial"/>
          <w:sz w:val="18"/>
          <w:szCs w:val="18"/>
        </w:rPr>
        <w:footnoteRef/>
      </w:r>
      <w:r w:rsidRPr="006A4A41">
        <w:rPr>
          <w:rFonts w:ascii="Arial" w:hAnsi="Arial" w:cs="Arial"/>
          <w:sz w:val="18"/>
          <w:szCs w:val="18"/>
        </w:rPr>
        <w:t xml:space="preserve"> </w:t>
      </w:r>
      <w:r w:rsidRPr="006A4A41">
        <w:rPr>
          <w:rFonts w:ascii="Arial" w:hAnsi="Arial" w:cs="Arial"/>
          <w:color w:val="333333"/>
          <w:sz w:val="18"/>
          <w:szCs w:val="18"/>
        </w:rPr>
        <w:t xml:space="preserve">Lasser, et al., </w:t>
      </w:r>
      <w:r w:rsidRPr="006A4A41">
        <w:rPr>
          <w:rFonts w:ascii="Arial" w:hAnsi="Arial" w:cs="Arial"/>
          <w:i/>
          <w:iCs/>
          <w:color w:val="333333"/>
          <w:sz w:val="18"/>
          <w:szCs w:val="18"/>
        </w:rPr>
        <w:t>supra</w:t>
      </w:r>
      <w:r w:rsidRPr="006A4A41">
        <w:rPr>
          <w:rFonts w:ascii="Arial" w:hAnsi="Arial" w:cs="Arial"/>
          <w:color w:val="333333"/>
          <w:sz w:val="18"/>
          <w:szCs w:val="18"/>
        </w:rPr>
        <w:t xml:space="preserve"> note </w:t>
      </w:r>
      <w:r w:rsidRPr="006A4A41">
        <w:rPr>
          <w:rFonts w:ascii="Arial" w:hAnsi="Arial" w:cs="Arial"/>
          <w:sz w:val="18"/>
          <w:szCs w:val="18"/>
        </w:rPr>
        <w:fldChar w:fldCharType="begin"/>
      </w:r>
      <w:r w:rsidRPr="006A4A41">
        <w:rPr>
          <w:rFonts w:ascii="Arial" w:hAnsi="Arial" w:cs="Arial"/>
          <w:sz w:val="18"/>
          <w:szCs w:val="18"/>
        </w:rPr>
        <w:instrText xml:space="preserve"> NOTEREF _Ref109198267 \h  \* MERGEFORMAT </w:instrText>
      </w:r>
      <w:r w:rsidRPr="006A4A41">
        <w:rPr>
          <w:rFonts w:ascii="Arial" w:hAnsi="Arial" w:cs="Arial"/>
          <w:sz w:val="18"/>
          <w:szCs w:val="18"/>
        </w:rPr>
      </w:r>
      <w:r w:rsidRPr="006A4A41">
        <w:rPr>
          <w:rFonts w:ascii="Arial" w:hAnsi="Arial" w:cs="Arial"/>
          <w:sz w:val="18"/>
          <w:szCs w:val="18"/>
        </w:rPr>
        <w:fldChar w:fldCharType="separate"/>
      </w:r>
      <w:r w:rsidR="002B5DBD" w:rsidRPr="006A4A41">
        <w:rPr>
          <w:rFonts w:ascii="Arial" w:hAnsi="Arial" w:cs="Arial"/>
          <w:sz w:val="18"/>
          <w:szCs w:val="18"/>
        </w:rPr>
        <w:t>43</w:t>
      </w:r>
      <w:r w:rsidRPr="006A4A41">
        <w:rPr>
          <w:rFonts w:ascii="Arial" w:hAnsi="Arial" w:cs="Arial"/>
          <w:sz w:val="18"/>
          <w:szCs w:val="18"/>
        </w:rPr>
        <w:fldChar w:fldCharType="end"/>
      </w:r>
      <w:r w:rsidRPr="006A4A41">
        <w:rPr>
          <w:rFonts w:ascii="Arial" w:hAnsi="Arial" w:cs="Arial"/>
          <w:color w:val="333333"/>
          <w:sz w:val="18"/>
          <w:szCs w:val="18"/>
        </w:rPr>
        <w:t xml:space="preserve">; </w:t>
      </w:r>
      <w:r w:rsidRPr="006A4A41">
        <w:rPr>
          <w:rFonts w:ascii="Arial" w:hAnsi="Arial" w:cs="Arial"/>
          <w:sz w:val="18"/>
          <w:szCs w:val="18"/>
        </w:rPr>
        <w:t xml:space="preserve">Ku, et al., </w:t>
      </w:r>
      <w:r w:rsidRPr="006A4A41">
        <w:rPr>
          <w:rFonts w:ascii="Arial" w:hAnsi="Arial" w:cs="Arial"/>
          <w:i/>
          <w:iCs/>
          <w:sz w:val="18"/>
          <w:szCs w:val="18"/>
        </w:rPr>
        <w:t>supra</w:t>
      </w:r>
      <w:r w:rsidRPr="006A4A41">
        <w:rPr>
          <w:rFonts w:ascii="Arial" w:hAnsi="Arial" w:cs="Arial"/>
          <w:sz w:val="18"/>
          <w:szCs w:val="18"/>
        </w:rPr>
        <w:t xml:space="preserve"> note</w:t>
      </w:r>
      <w:r w:rsidRPr="006A4A41">
        <w:rPr>
          <w:rFonts w:ascii="Arial" w:hAnsi="Arial" w:cs="Arial"/>
          <w:color w:val="333333"/>
          <w:sz w:val="18"/>
          <w:szCs w:val="18"/>
        </w:rPr>
        <w:t xml:space="preserve"> </w:t>
      </w:r>
      <w:r w:rsidRPr="006A4A41">
        <w:rPr>
          <w:rFonts w:ascii="Arial" w:hAnsi="Arial" w:cs="Arial"/>
          <w:sz w:val="18"/>
          <w:szCs w:val="18"/>
        </w:rPr>
        <w:fldChar w:fldCharType="begin"/>
      </w:r>
      <w:r w:rsidRPr="006A4A41">
        <w:rPr>
          <w:rFonts w:ascii="Arial" w:hAnsi="Arial" w:cs="Arial"/>
          <w:sz w:val="18"/>
          <w:szCs w:val="18"/>
        </w:rPr>
        <w:instrText xml:space="preserve"> NOTEREF _Ref109198267 \h  \* MERGEFORMAT </w:instrText>
      </w:r>
      <w:r w:rsidRPr="006A4A41">
        <w:rPr>
          <w:rFonts w:ascii="Arial" w:hAnsi="Arial" w:cs="Arial"/>
          <w:sz w:val="18"/>
          <w:szCs w:val="18"/>
        </w:rPr>
      </w:r>
      <w:r w:rsidRPr="006A4A41">
        <w:rPr>
          <w:rFonts w:ascii="Arial" w:hAnsi="Arial" w:cs="Arial"/>
          <w:sz w:val="18"/>
          <w:szCs w:val="18"/>
        </w:rPr>
        <w:fldChar w:fldCharType="separate"/>
      </w:r>
      <w:r w:rsidR="002B5DBD" w:rsidRPr="006A4A41">
        <w:rPr>
          <w:rFonts w:ascii="Arial" w:hAnsi="Arial" w:cs="Arial"/>
          <w:sz w:val="18"/>
          <w:szCs w:val="18"/>
        </w:rPr>
        <w:t>43</w:t>
      </w:r>
      <w:r w:rsidRPr="006A4A41">
        <w:rPr>
          <w:rFonts w:ascii="Arial" w:hAnsi="Arial" w:cs="Arial"/>
          <w:sz w:val="18"/>
          <w:szCs w:val="18"/>
        </w:rPr>
        <w:fldChar w:fldCharType="end"/>
      </w:r>
      <w:r w:rsidRPr="006A4A41">
        <w:rPr>
          <w:rFonts w:ascii="Arial" w:hAnsi="Arial" w:cs="Arial"/>
          <w:sz w:val="18"/>
          <w:szCs w:val="18"/>
        </w:rPr>
        <w:t>; Mohan, et al.,</w:t>
      </w:r>
      <w:r w:rsidRPr="001D7E8B">
        <w:rPr>
          <w:rFonts w:ascii="Arial" w:hAnsi="Arial" w:cs="Arial"/>
          <w:sz w:val="18"/>
          <w:szCs w:val="18"/>
        </w:rPr>
        <w:t xml:space="preserve"> </w:t>
      </w:r>
      <w:r w:rsidRPr="001D7E8B">
        <w:rPr>
          <w:rFonts w:ascii="Arial" w:hAnsi="Arial" w:cs="Arial"/>
          <w:i/>
          <w:iCs/>
          <w:sz w:val="18"/>
          <w:szCs w:val="18"/>
        </w:rPr>
        <w:t>supra</w:t>
      </w:r>
      <w:r w:rsidRPr="001D7E8B">
        <w:rPr>
          <w:rFonts w:ascii="Arial" w:hAnsi="Arial" w:cs="Arial"/>
          <w:sz w:val="18"/>
          <w:szCs w:val="18"/>
        </w:rPr>
        <w:t xml:space="preserve"> note</w:t>
      </w:r>
      <w:r w:rsidRPr="001D7E8B">
        <w:rPr>
          <w:rFonts w:ascii="Arial" w:hAnsi="Arial" w:cs="Arial"/>
          <w:color w:val="333333"/>
          <w:sz w:val="18"/>
          <w:szCs w:val="18"/>
        </w:rPr>
        <w:t xml:space="preserve"> </w:t>
      </w:r>
      <w:r w:rsidRPr="001D7E8B">
        <w:rPr>
          <w:rFonts w:ascii="Arial" w:hAnsi="Arial" w:cs="Arial"/>
          <w:sz w:val="18"/>
          <w:szCs w:val="18"/>
        </w:rPr>
        <w:fldChar w:fldCharType="begin"/>
      </w:r>
      <w:r w:rsidRPr="001D7E8B">
        <w:rPr>
          <w:rFonts w:ascii="Arial" w:hAnsi="Arial" w:cs="Arial"/>
          <w:sz w:val="18"/>
          <w:szCs w:val="18"/>
        </w:rPr>
        <w:instrText xml:space="preserve"> NOTEREF _Ref109198267 \h  \* MERGEFORMAT </w:instrText>
      </w:r>
      <w:r w:rsidRPr="001D7E8B">
        <w:rPr>
          <w:rFonts w:ascii="Arial" w:hAnsi="Arial" w:cs="Arial"/>
          <w:sz w:val="18"/>
          <w:szCs w:val="18"/>
        </w:rPr>
      </w:r>
      <w:r w:rsidRPr="001D7E8B">
        <w:rPr>
          <w:rFonts w:ascii="Arial" w:hAnsi="Arial" w:cs="Arial"/>
          <w:sz w:val="18"/>
          <w:szCs w:val="18"/>
        </w:rPr>
        <w:fldChar w:fldCharType="separate"/>
      </w:r>
      <w:r w:rsidR="002B5DBD">
        <w:rPr>
          <w:rFonts w:ascii="Arial" w:hAnsi="Arial" w:cs="Arial"/>
          <w:sz w:val="18"/>
          <w:szCs w:val="18"/>
        </w:rPr>
        <w:t>43</w:t>
      </w:r>
      <w:r w:rsidRPr="001D7E8B">
        <w:rPr>
          <w:rFonts w:ascii="Arial" w:hAnsi="Arial" w:cs="Arial"/>
          <w:sz w:val="18"/>
          <w:szCs w:val="18"/>
        </w:rPr>
        <w:fldChar w:fldCharType="end"/>
      </w:r>
      <w:r w:rsidRPr="001D7E8B">
        <w:rPr>
          <w:rFonts w:ascii="Arial" w:hAnsi="Arial" w:cs="Arial"/>
          <w:sz w:val="18"/>
          <w:szCs w:val="18"/>
        </w:rPr>
        <w:t>; Kim, et al.,</w:t>
      </w:r>
      <w:r w:rsidRPr="001D7E8B">
        <w:rPr>
          <w:rFonts w:ascii="Arial" w:hAnsi="Arial" w:cs="Arial"/>
          <w:i/>
          <w:iCs/>
          <w:sz w:val="18"/>
          <w:szCs w:val="18"/>
        </w:rPr>
        <w:t xml:space="preserve"> supra</w:t>
      </w:r>
      <w:r w:rsidRPr="001D7E8B">
        <w:rPr>
          <w:rFonts w:ascii="Arial" w:hAnsi="Arial" w:cs="Arial"/>
          <w:sz w:val="18"/>
          <w:szCs w:val="18"/>
        </w:rPr>
        <w:t xml:space="preserve"> note </w:t>
      </w:r>
      <w:r w:rsidRPr="001D7E8B">
        <w:rPr>
          <w:rFonts w:ascii="Arial" w:hAnsi="Arial" w:cs="Arial"/>
          <w:sz w:val="18"/>
          <w:szCs w:val="18"/>
        </w:rPr>
        <w:fldChar w:fldCharType="begin"/>
      </w:r>
      <w:r w:rsidRPr="001D7E8B">
        <w:rPr>
          <w:rFonts w:ascii="Arial" w:hAnsi="Arial" w:cs="Arial"/>
          <w:sz w:val="18"/>
          <w:szCs w:val="18"/>
        </w:rPr>
        <w:instrText xml:space="preserve"> NOTEREF _Ref109305374 \h  \* MERGEFORMAT </w:instrText>
      </w:r>
      <w:r w:rsidRPr="001D7E8B">
        <w:rPr>
          <w:rFonts w:ascii="Arial" w:hAnsi="Arial" w:cs="Arial"/>
          <w:sz w:val="18"/>
          <w:szCs w:val="18"/>
        </w:rPr>
      </w:r>
      <w:r w:rsidRPr="001D7E8B">
        <w:rPr>
          <w:rFonts w:ascii="Arial" w:hAnsi="Arial" w:cs="Arial"/>
          <w:sz w:val="18"/>
          <w:szCs w:val="18"/>
        </w:rPr>
        <w:fldChar w:fldCharType="separate"/>
      </w:r>
      <w:r w:rsidR="002B5DBD">
        <w:rPr>
          <w:rFonts w:ascii="Arial" w:hAnsi="Arial" w:cs="Arial"/>
          <w:sz w:val="18"/>
          <w:szCs w:val="18"/>
        </w:rPr>
        <w:t>45</w:t>
      </w:r>
      <w:r w:rsidRPr="001D7E8B">
        <w:rPr>
          <w:rFonts w:ascii="Arial" w:hAnsi="Arial" w:cs="Arial"/>
          <w:sz w:val="18"/>
          <w:szCs w:val="18"/>
        </w:rPr>
        <w:fldChar w:fldCharType="end"/>
      </w:r>
      <w:r w:rsidRPr="001D7E8B">
        <w:rPr>
          <w:rFonts w:ascii="Arial" w:hAnsi="Arial" w:cs="Arial"/>
          <w:sz w:val="18"/>
          <w:szCs w:val="18"/>
        </w:rPr>
        <w:t>.</w:t>
      </w:r>
    </w:p>
  </w:footnote>
  <w:footnote w:id="73">
    <w:p w14:paraId="51194409" w14:textId="32359C39" w:rsidR="009F7444" w:rsidRPr="007C5790" w:rsidRDefault="009F7444">
      <w:pPr>
        <w:pStyle w:val="FootnoteText"/>
        <w:rPr>
          <w:rFonts w:ascii="Arial" w:hAnsi="Arial" w:cs="Arial"/>
          <w:sz w:val="18"/>
          <w:szCs w:val="18"/>
        </w:rPr>
      </w:pPr>
      <w:r w:rsidRPr="007C5790">
        <w:rPr>
          <w:rStyle w:val="FootnoteReference"/>
          <w:rFonts w:ascii="Arial" w:hAnsi="Arial" w:cs="Arial"/>
          <w:sz w:val="18"/>
          <w:szCs w:val="18"/>
        </w:rPr>
        <w:footnoteRef/>
      </w:r>
      <w:r w:rsidRPr="007C5790">
        <w:rPr>
          <w:rFonts w:ascii="Arial" w:hAnsi="Arial" w:cs="Arial"/>
          <w:sz w:val="18"/>
          <w:szCs w:val="18"/>
        </w:rPr>
        <w:t xml:space="preserve"> Mendez-</w:t>
      </w:r>
      <w:r w:rsidRPr="00D0270C">
        <w:rPr>
          <w:rFonts w:ascii="Arial" w:hAnsi="Arial" w:cs="Arial"/>
          <w:sz w:val="18"/>
          <w:szCs w:val="18"/>
        </w:rPr>
        <w:t xml:space="preserve">Escobar, et al. </w:t>
      </w:r>
      <w:hyperlink r:id="rId51" w:history="1">
        <w:r w:rsidRPr="00D0270C">
          <w:rPr>
            <w:rStyle w:val="Hyperlink"/>
            <w:rFonts w:ascii="Arial" w:hAnsi="Arial" w:cs="Arial"/>
            <w:i/>
            <w:iCs/>
            <w:color w:val="auto"/>
            <w:sz w:val="18"/>
            <w:szCs w:val="18"/>
            <w:u w:val="none"/>
          </w:rPr>
          <w:t>Health Equity Accelerator: A Health System’s Approach – Boston Medical Center’s Health Equity Accelerator Aims to Eliminate Barriers to Health Equity</w:t>
        </w:r>
      </w:hyperlink>
      <w:r w:rsidRPr="00D0270C">
        <w:rPr>
          <w:rFonts w:ascii="Arial" w:hAnsi="Arial" w:cs="Arial"/>
          <w:sz w:val="18"/>
          <w:szCs w:val="18"/>
        </w:rPr>
        <w:t xml:space="preserve">, </w:t>
      </w:r>
      <w:r w:rsidRPr="00D0270C">
        <w:rPr>
          <w:rFonts w:ascii="Arial" w:hAnsi="Arial" w:cs="Arial"/>
          <w:smallCaps/>
          <w:sz w:val="18"/>
          <w:szCs w:val="18"/>
        </w:rPr>
        <w:t>New England J. Med. Catalyst</w:t>
      </w:r>
      <w:r w:rsidRPr="00D0270C">
        <w:rPr>
          <w:rFonts w:ascii="Arial" w:hAnsi="Arial" w:cs="Arial"/>
          <w:sz w:val="18"/>
          <w:szCs w:val="18"/>
        </w:rPr>
        <w:t xml:space="preserve"> (2022), </w:t>
      </w:r>
      <w:r w:rsidRPr="00D0270C">
        <w:rPr>
          <w:rFonts w:ascii="Arial" w:hAnsi="Arial" w:cs="Arial"/>
          <w:i/>
          <w:iCs/>
          <w:sz w:val="18"/>
          <w:szCs w:val="18"/>
        </w:rPr>
        <w:t>available at</w:t>
      </w:r>
      <w:r w:rsidRPr="00D0270C">
        <w:rPr>
          <w:rFonts w:ascii="Arial" w:hAnsi="Arial" w:cs="Arial"/>
          <w:sz w:val="18"/>
          <w:szCs w:val="18"/>
        </w:rPr>
        <w:t xml:space="preserve"> </w:t>
      </w:r>
      <w:hyperlink r:id="rId52" w:history="1">
        <w:r w:rsidR="00D0270C" w:rsidRPr="00D0270C">
          <w:rPr>
            <w:rStyle w:val="Hyperlink"/>
            <w:rFonts w:ascii="Arial" w:hAnsi="Arial" w:cs="Arial"/>
            <w:color w:val="auto"/>
            <w:sz w:val="18"/>
            <w:szCs w:val="18"/>
            <w:u w:val="none"/>
          </w:rPr>
          <w:t>https://catalyst.nejm.org/doi/full/10.1056/CAT.22.0115</w:t>
        </w:r>
      </w:hyperlink>
      <w:r w:rsidR="00D0270C" w:rsidRPr="00D0270C">
        <w:rPr>
          <w:rFonts w:ascii="Arial" w:hAnsi="Arial" w:cs="Arial"/>
          <w:sz w:val="18"/>
          <w:szCs w:val="18"/>
        </w:rPr>
        <w:t xml:space="preserve"> </w:t>
      </w:r>
      <w:r w:rsidRPr="00D0270C">
        <w:rPr>
          <w:rFonts w:ascii="Arial" w:hAnsi="Arial" w:cs="Arial"/>
          <w:sz w:val="18"/>
          <w:szCs w:val="18"/>
        </w:rPr>
        <w:t>.</w:t>
      </w:r>
    </w:p>
  </w:footnote>
  <w:footnote w:id="74">
    <w:p w14:paraId="5153E11D" w14:textId="77777777" w:rsidR="009F7444" w:rsidRPr="009E5207" w:rsidRDefault="009F7444">
      <w:pPr>
        <w:pStyle w:val="FootnoteText"/>
        <w:rPr>
          <w:rFonts w:ascii="Arial" w:hAnsi="Arial" w:cs="Arial"/>
          <w:sz w:val="18"/>
          <w:szCs w:val="18"/>
          <w:highlight w:val="cyan"/>
        </w:rPr>
      </w:pPr>
      <w:r w:rsidRPr="007C5790">
        <w:rPr>
          <w:rStyle w:val="FootnoteReference"/>
          <w:rFonts w:ascii="Arial" w:hAnsi="Arial" w:cs="Arial"/>
          <w:sz w:val="18"/>
          <w:szCs w:val="18"/>
        </w:rPr>
        <w:footnoteRef/>
      </w:r>
      <w:r w:rsidRPr="007C5790">
        <w:rPr>
          <w:rFonts w:ascii="Arial" w:hAnsi="Arial" w:cs="Arial"/>
          <w:sz w:val="18"/>
          <w:szCs w:val="18"/>
        </w:rPr>
        <w:t xml:space="preserve"> </w:t>
      </w:r>
      <w:r w:rsidRPr="007C5790">
        <w:rPr>
          <w:rFonts w:ascii="Arial" w:hAnsi="Arial" w:cs="Arial"/>
          <w:i/>
          <w:iCs/>
          <w:sz w:val="18"/>
          <w:szCs w:val="18"/>
        </w:rPr>
        <w:t>Id.</w:t>
      </w:r>
      <w:r w:rsidRPr="007C5790">
        <w:rPr>
          <w:rFonts w:ascii="Arial" w:hAnsi="Arial" w:cs="Arial"/>
          <w:sz w:val="18"/>
          <w:szCs w:val="18"/>
        </w:rPr>
        <w:t xml:space="preserve"> </w:t>
      </w:r>
    </w:p>
  </w:footnote>
  <w:footnote w:id="75">
    <w:p w14:paraId="19EFF931" w14:textId="77777777" w:rsidR="009F7444" w:rsidRPr="009E5207" w:rsidRDefault="009F7444">
      <w:pPr>
        <w:pStyle w:val="FootnoteText"/>
        <w:rPr>
          <w:rFonts w:ascii="Arial" w:hAnsi="Arial" w:cs="Arial"/>
          <w:sz w:val="18"/>
          <w:szCs w:val="18"/>
          <w:highlight w:val="cyan"/>
        </w:rPr>
      </w:pPr>
      <w:r w:rsidRPr="004F2021">
        <w:rPr>
          <w:rStyle w:val="FootnoteReference"/>
          <w:rFonts w:ascii="Arial" w:hAnsi="Arial" w:cs="Arial"/>
          <w:sz w:val="18"/>
          <w:szCs w:val="18"/>
        </w:rPr>
        <w:footnoteRef/>
      </w:r>
      <w:r w:rsidRPr="004F2021">
        <w:rPr>
          <w:rFonts w:ascii="Arial" w:hAnsi="Arial" w:cs="Arial"/>
          <w:sz w:val="18"/>
          <w:szCs w:val="18"/>
        </w:rPr>
        <w:t xml:space="preserve"> The Applicant notes that distribution of the meeting notices via the Equity Partnership Network ListServe was determined to be the best option for informing community and staff members of the meetings. </w:t>
      </w:r>
    </w:p>
  </w:footnote>
  <w:footnote w:id="76">
    <w:p w14:paraId="2637969B" w14:textId="77777777" w:rsidR="009F7444" w:rsidRPr="00B111B9" w:rsidRDefault="009F7444" w:rsidP="00EA5B24">
      <w:pPr>
        <w:pStyle w:val="FootnoteText"/>
        <w:rPr>
          <w:rFonts w:ascii="Arial" w:hAnsi="Arial" w:cs="Arial"/>
          <w:sz w:val="18"/>
          <w:szCs w:val="18"/>
        </w:rPr>
      </w:pPr>
      <w:r w:rsidRPr="00B111B9">
        <w:rPr>
          <w:rStyle w:val="FootnoteReference"/>
          <w:rFonts w:ascii="Arial" w:hAnsi="Arial" w:cs="Arial"/>
          <w:sz w:val="18"/>
          <w:szCs w:val="18"/>
        </w:rPr>
        <w:footnoteRef/>
      </w:r>
      <w:r w:rsidRPr="00B111B9">
        <w:rPr>
          <w:rFonts w:ascii="Arial" w:hAnsi="Arial" w:cs="Arial"/>
          <w:sz w:val="18"/>
          <w:szCs w:val="18"/>
        </w:rPr>
        <w:t xml:space="preserve"> The Applicant notes that the community meetings were held virtually over Zoom  as this is the standard way for these meetings to occur to obtain a larger audience.  </w:t>
      </w:r>
    </w:p>
  </w:footnote>
  <w:footnote w:id="77">
    <w:p w14:paraId="3D998EED" w14:textId="77777777" w:rsidR="009F7444" w:rsidRPr="009E5207" w:rsidRDefault="009F7444" w:rsidP="00EA5B24">
      <w:pPr>
        <w:pStyle w:val="FootnoteText"/>
        <w:rPr>
          <w:rFonts w:ascii="Arial" w:hAnsi="Arial" w:cs="Arial"/>
          <w:sz w:val="18"/>
          <w:szCs w:val="18"/>
          <w:highlight w:val="cyan"/>
        </w:rPr>
      </w:pPr>
      <w:r w:rsidRPr="00B111B9">
        <w:rPr>
          <w:rStyle w:val="FootnoteReference"/>
          <w:rFonts w:ascii="Arial" w:hAnsi="Arial" w:cs="Arial"/>
          <w:sz w:val="18"/>
          <w:szCs w:val="18"/>
        </w:rPr>
        <w:footnoteRef/>
      </w:r>
      <w:r w:rsidRPr="00B111B9">
        <w:rPr>
          <w:rFonts w:ascii="Arial" w:hAnsi="Arial" w:cs="Arial"/>
          <w:sz w:val="18"/>
          <w:szCs w:val="18"/>
        </w:rPr>
        <w:t xml:space="preserve"> The Applicant notes that the PFAC meeting was held virtually over Zoom as has been the case since the onset of the COVID-19 pandemic. </w:t>
      </w:r>
    </w:p>
  </w:footnote>
  <w:footnote w:id="78">
    <w:p w14:paraId="470CF30A" w14:textId="031408A0" w:rsidR="009F7444" w:rsidRPr="009E5207" w:rsidRDefault="009F7444" w:rsidP="00774749">
      <w:pPr>
        <w:rPr>
          <w:rFonts w:ascii="Arial" w:hAnsi="Arial" w:cs="Arial"/>
          <w:smallCaps/>
          <w:sz w:val="18"/>
          <w:szCs w:val="18"/>
        </w:rPr>
      </w:pPr>
      <w:r w:rsidRPr="002130ED">
        <w:rPr>
          <w:rStyle w:val="FootnoteReference"/>
          <w:rFonts w:ascii="Arial" w:hAnsi="Arial" w:cs="Arial"/>
          <w:sz w:val="18"/>
          <w:szCs w:val="18"/>
        </w:rPr>
        <w:footnoteRef/>
      </w:r>
      <w:r w:rsidRPr="002130ED">
        <w:rPr>
          <w:rFonts w:ascii="Arial" w:hAnsi="Arial" w:cs="Arial"/>
          <w:sz w:val="18"/>
          <w:szCs w:val="18"/>
        </w:rPr>
        <w:t xml:space="preserve"> </w:t>
      </w:r>
      <w:hyperlink r:id="rId53" w:history="1">
        <w:r w:rsidRPr="00F27AFB">
          <w:rPr>
            <w:rStyle w:val="Hyperlink"/>
            <w:rFonts w:ascii="Arial" w:hAnsi="Arial" w:cs="Arial"/>
            <w:i/>
            <w:iCs/>
            <w:color w:val="auto"/>
            <w:sz w:val="18"/>
            <w:szCs w:val="18"/>
            <w:u w:val="none"/>
          </w:rPr>
          <w:t>Chartbook on Access to Health Care, Elements of Access to Health Care: Timeliness</w:t>
        </w:r>
        <w:r w:rsidRPr="00F27AFB">
          <w:rPr>
            <w:rStyle w:val="Hyperlink"/>
            <w:rFonts w:ascii="Arial" w:hAnsi="Arial" w:cs="Arial"/>
            <w:color w:val="auto"/>
            <w:sz w:val="18"/>
            <w:szCs w:val="18"/>
            <w:u w:val="none"/>
          </w:rPr>
          <w:t>,</w:t>
        </w:r>
      </w:hyperlink>
      <w:r w:rsidRPr="00F27AFB">
        <w:rPr>
          <w:rFonts w:ascii="Arial" w:hAnsi="Arial" w:cs="Arial"/>
          <w:sz w:val="18"/>
          <w:szCs w:val="18"/>
        </w:rPr>
        <w:t xml:space="preserve"> </w:t>
      </w:r>
      <w:r w:rsidRPr="00F27AFB">
        <w:rPr>
          <w:rFonts w:ascii="Arial" w:hAnsi="Arial" w:cs="Arial"/>
          <w:smallCaps/>
          <w:sz w:val="18"/>
          <w:szCs w:val="18"/>
        </w:rPr>
        <w:t xml:space="preserve">Agency for Healthcare Research and Quality, </w:t>
      </w:r>
      <w:hyperlink r:id="rId54" w:history="1">
        <w:r w:rsidR="00F27AFB" w:rsidRPr="00F27AFB">
          <w:rPr>
            <w:rStyle w:val="Hyperlink"/>
            <w:rFonts w:ascii="Arial" w:hAnsi="Arial" w:cs="Arial"/>
            <w:color w:val="auto"/>
            <w:sz w:val="18"/>
            <w:szCs w:val="18"/>
            <w:u w:val="none"/>
          </w:rPr>
          <w:t>https://www.ahrq.gov/research/findings/nhqrdr/chartbooks/access/elements3.html</w:t>
        </w:r>
      </w:hyperlink>
      <w:r w:rsidR="00F27AFB" w:rsidRPr="00F27AFB">
        <w:rPr>
          <w:rFonts w:ascii="Arial" w:hAnsi="Arial" w:cs="Arial"/>
          <w:sz w:val="18"/>
          <w:szCs w:val="18"/>
        </w:rPr>
        <w:t xml:space="preserve"> </w:t>
      </w:r>
      <w:r w:rsidRPr="00F27AFB">
        <w:rPr>
          <w:rFonts w:ascii="Arial" w:hAnsi="Arial" w:cs="Arial"/>
          <w:sz w:val="18"/>
          <w:szCs w:val="18"/>
        </w:rPr>
        <w:t xml:space="preserve"> (last visited Jul. 20, 2022); Kaplan &amp; Porter, </w:t>
      </w:r>
      <w:hyperlink r:id="rId55" w:history="1">
        <w:r w:rsidRPr="00F27AFB">
          <w:rPr>
            <w:rStyle w:val="Hyperlink"/>
            <w:rFonts w:ascii="Arial" w:hAnsi="Arial" w:cs="Arial"/>
            <w:i/>
            <w:iCs/>
            <w:color w:val="auto"/>
            <w:sz w:val="18"/>
            <w:szCs w:val="18"/>
            <w:u w:val="none"/>
          </w:rPr>
          <w:t>The Big Idea: How to Solve the Cost Crisis in Health Care</w:t>
        </w:r>
        <w:r w:rsidRPr="00F27AFB">
          <w:rPr>
            <w:rStyle w:val="Hyperlink"/>
            <w:rFonts w:ascii="Arial" w:hAnsi="Arial" w:cs="Arial"/>
            <w:color w:val="auto"/>
            <w:sz w:val="18"/>
            <w:szCs w:val="18"/>
            <w:u w:val="none"/>
          </w:rPr>
          <w:t>,</w:t>
        </w:r>
      </w:hyperlink>
      <w:r w:rsidRPr="00F27AFB">
        <w:rPr>
          <w:rFonts w:ascii="Arial" w:hAnsi="Arial" w:cs="Arial"/>
          <w:sz w:val="18"/>
          <w:szCs w:val="18"/>
        </w:rPr>
        <w:t xml:space="preserve"> </w:t>
      </w:r>
      <w:r w:rsidRPr="00F27AFB">
        <w:rPr>
          <w:rFonts w:ascii="Arial" w:hAnsi="Arial" w:cs="Arial"/>
          <w:smallCaps/>
          <w:sz w:val="18"/>
          <w:szCs w:val="18"/>
        </w:rPr>
        <w:t>Harvard Business Review</w:t>
      </w:r>
      <w:r w:rsidRPr="00F27AFB">
        <w:rPr>
          <w:rFonts w:ascii="Arial" w:hAnsi="Arial" w:cs="Arial"/>
          <w:sz w:val="18"/>
          <w:szCs w:val="18"/>
        </w:rPr>
        <w:t xml:space="preserve"> (2011), </w:t>
      </w:r>
      <w:hyperlink r:id="rId56" w:history="1">
        <w:r w:rsidR="00F27AFB" w:rsidRPr="00F27AFB">
          <w:rPr>
            <w:rStyle w:val="Hyperlink"/>
            <w:rFonts w:ascii="Arial" w:hAnsi="Arial" w:cs="Arial"/>
            <w:color w:val="auto"/>
            <w:sz w:val="18"/>
            <w:szCs w:val="18"/>
            <w:u w:val="none"/>
          </w:rPr>
          <w:t>https://hbr.org/2011/09/how-to-solve-the-cost-crisis-in-health-care</w:t>
        </w:r>
      </w:hyperlink>
      <w:r w:rsidR="00F27AFB" w:rsidRPr="00F27AFB">
        <w:rPr>
          <w:rFonts w:ascii="Arial" w:hAnsi="Arial" w:cs="Arial"/>
          <w:sz w:val="18"/>
          <w:szCs w:val="18"/>
        </w:rPr>
        <w:t xml:space="preserve"> </w:t>
      </w:r>
      <w:r w:rsidRPr="00F27AFB">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57943"/>
    <w:multiLevelType w:val="multilevel"/>
    <w:tmpl w:val="875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CF4E78"/>
    <w:multiLevelType w:val="multilevel"/>
    <w:tmpl w:val="26D4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511F6"/>
    <w:multiLevelType w:val="multilevel"/>
    <w:tmpl w:val="7A7C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04F32"/>
    <w:multiLevelType w:val="hybridMultilevel"/>
    <w:tmpl w:val="5C0EEB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8734D6"/>
    <w:multiLevelType w:val="multilevel"/>
    <w:tmpl w:val="6B8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D06A3"/>
    <w:multiLevelType w:val="multilevel"/>
    <w:tmpl w:val="7FDA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D2E4F"/>
    <w:multiLevelType w:val="multilevel"/>
    <w:tmpl w:val="8582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E5F4E"/>
    <w:multiLevelType w:val="hybridMultilevel"/>
    <w:tmpl w:val="654EC082"/>
    <w:lvl w:ilvl="0" w:tplc="B1AA3FA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6B1D9B"/>
    <w:multiLevelType w:val="multilevel"/>
    <w:tmpl w:val="1AD2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9777C"/>
    <w:multiLevelType w:val="hybridMultilevel"/>
    <w:tmpl w:val="E1947856"/>
    <w:lvl w:ilvl="0" w:tplc="802ED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05AD6"/>
    <w:multiLevelType w:val="multilevel"/>
    <w:tmpl w:val="0AF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33A55"/>
    <w:multiLevelType w:val="multilevel"/>
    <w:tmpl w:val="26F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5575B3"/>
    <w:multiLevelType w:val="hybridMultilevel"/>
    <w:tmpl w:val="69CA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14589"/>
    <w:multiLevelType w:val="multilevel"/>
    <w:tmpl w:val="A4946F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02AA2"/>
    <w:multiLevelType w:val="multilevel"/>
    <w:tmpl w:val="6510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7B6507"/>
    <w:multiLevelType w:val="hybridMultilevel"/>
    <w:tmpl w:val="4B0C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E3924"/>
    <w:multiLevelType w:val="hybridMultilevel"/>
    <w:tmpl w:val="255C8DB4"/>
    <w:lvl w:ilvl="0" w:tplc="FB3E36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9B649B"/>
    <w:multiLevelType w:val="hybridMultilevel"/>
    <w:tmpl w:val="AB824234"/>
    <w:lvl w:ilvl="0" w:tplc="D7488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43D49"/>
    <w:multiLevelType w:val="hybridMultilevel"/>
    <w:tmpl w:val="965CD5A2"/>
    <w:lvl w:ilvl="0" w:tplc="3006E1EC">
      <w:start w:val="1"/>
      <w:numFmt w:val="upperLetter"/>
      <w:lvlText w:val="%1."/>
      <w:lvlJc w:val="left"/>
      <w:pPr>
        <w:ind w:left="479" w:hanging="360"/>
        <w:jc w:val="left"/>
      </w:pPr>
      <w:rPr>
        <w:rFonts w:ascii="Arial" w:eastAsia="Arial" w:hAnsi="Arial" w:cs="Arial" w:hint="default"/>
        <w:b w:val="0"/>
        <w:bCs w:val="0"/>
        <w:i w:val="0"/>
        <w:iCs w:val="0"/>
        <w:spacing w:val="0"/>
        <w:w w:val="99"/>
        <w:sz w:val="22"/>
        <w:szCs w:val="22"/>
        <w:lang w:val="en-US" w:eastAsia="en-US" w:bidi="ar-SA"/>
      </w:rPr>
    </w:lvl>
    <w:lvl w:ilvl="1" w:tplc="B8D69F64">
      <w:numFmt w:val="bullet"/>
      <w:lvlText w:val="•"/>
      <w:lvlJc w:val="left"/>
      <w:pPr>
        <w:ind w:left="1392" w:hanging="360"/>
      </w:pPr>
      <w:rPr>
        <w:rFonts w:hint="default"/>
        <w:lang w:val="en-US" w:eastAsia="en-US" w:bidi="ar-SA"/>
      </w:rPr>
    </w:lvl>
    <w:lvl w:ilvl="2" w:tplc="28C09F60">
      <w:numFmt w:val="bullet"/>
      <w:lvlText w:val="•"/>
      <w:lvlJc w:val="left"/>
      <w:pPr>
        <w:ind w:left="2304" w:hanging="360"/>
      </w:pPr>
      <w:rPr>
        <w:rFonts w:hint="default"/>
        <w:lang w:val="en-US" w:eastAsia="en-US" w:bidi="ar-SA"/>
      </w:rPr>
    </w:lvl>
    <w:lvl w:ilvl="3" w:tplc="ACF011A0">
      <w:numFmt w:val="bullet"/>
      <w:lvlText w:val="•"/>
      <w:lvlJc w:val="left"/>
      <w:pPr>
        <w:ind w:left="3216" w:hanging="360"/>
      </w:pPr>
      <w:rPr>
        <w:rFonts w:hint="default"/>
        <w:lang w:val="en-US" w:eastAsia="en-US" w:bidi="ar-SA"/>
      </w:rPr>
    </w:lvl>
    <w:lvl w:ilvl="4" w:tplc="8F30998E">
      <w:numFmt w:val="bullet"/>
      <w:lvlText w:val="•"/>
      <w:lvlJc w:val="left"/>
      <w:pPr>
        <w:ind w:left="4128" w:hanging="360"/>
      </w:pPr>
      <w:rPr>
        <w:rFonts w:hint="default"/>
        <w:lang w:val="en-US" w:eastAsia="en-US" w:bidi="ar-SA"/>
      </w:rPr>
    </w:lvl>
    <w:lvl w:ilvl="5" w:tplc="658E5E48">
      <w:numFmt w:val="bullet"/>
      <w:lvlText w:val="•"/>
      <w:lvlJc w:val="left"/>
      <w:pPr>
        <w:ind w:left="5040" w:hanging="360"/>
      </w:pPr>
      <w:rPr>
        <w:rFonts w:hint="default"/>
        <w:lang w:val="en-US" w:eastAsia="en-US" w:bidi="ar-SA"/>
      </w:rPr>
    </w:lvl>
    <w:lvl w:ilvl="6" w:tplc="88D26D3E">
      <w:numFmt w:val="bullet"/>
      <w:lvlText w:val="•"/>
      <w:lvlJc w:val="left"/>
      <w:pPr>
        <w:ind w:left="5952" w:hanging="360"/>
      </w:pPr>
      <w:rPr>
        <w:rFonts w:hint="default"/>
        <w:lang w:val="en-US" w:eastAsia="en-US" w:bidi="ar-SA"/>
      </w:rPr>
    </w:lvl>
    <w:lvl w:ilvl="7" w:tplc="49BC2BBA">
      <w:numFmt w:val="bullet"/>
      <w:lvlText w:val="•"/>
      <w:lvlJc w:val="left"/>
      <w:pPr>
        <w:ind w:left="6864" w:hanging="360"/>
      </w:pPr>
      <w:rPr>
        <w:rFonts w:hint="default"/>
        <w:lang w:val="en-US" w:eastAsia="en-US" w:bidi="ar-SA"/>
      </w:rPr>
    </w:lvl>
    <w:lvl w:ilvl="8" w:tplc="C980E384">
      <w:numFmt w:val="bullet"/>
      <w:lvlText w:val="•"/>
      <w:lvlJc w:val="left"/>
      <w:pPr>
        <w:ind w:left="7776" w:hanging="360"/>
      </w:pPr>
      <w:rPr>
        <w:rFonts w:hint="default"/>
        <w:lang w:val="en-US" w:eastAsia="en-US" w:bidi="ar-SA"/>
      </w:rPr>
    </w:lvl>
  </w:abstractNum>
  <w:abstractNum w:abstractNumId="48" w15:restartNumberingAfterBreak="0">
    <w:nsid w:val="7CEE0857"/>
    <w:multiLevelType w:val="multilevel"/>
    <w:tmpl w:val="5BE6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764593">
    <w:abstractNumId w:val="35"/>
  </w:num>
  <w:num w:numId="2" w16cid:durableId="1923678842">
    <w:abstractNumId w:val="10"/>
  </w:num>
  <w:num w:numId="3" w16cid:durableId="1811095313">
    <w:abstractNumId w:val="42"/>
  </w:num>
  <w:num w:numId="4" w16cid:durableId="1718123422">
    <w:abstractNumId w:val="20"/>
  </w:num>
  <w:num w:numId="5" w16cid:durableId="1026754477">
    <w:abstractNumId w:val="18"/>
  </w:num>
  <w:num w:numId="6" w16cid:durableId="585111122">
    <w:abstractNumId w:val="26"/>
  </w:num>
  <w:num w:numId="7" w16cid:durableId="815997509">
    <w:abstractNumId w:val="27"/>
  </w:num>
  <w:num w:numId="8" w16cid:durableId="879513681">
    <w:abstractNumId w:val="30"/>
  </w:num>
  <w:num w:numId="9" w16cid:durableId="1346974729">
    <w:abstractNumId w:val="46"/>
  </w:num>
  <w:num w:numId="10" w16cid:durableId="474101815">
    <w:abstractNumId w:val="21"/>
  </w:num>
  <w:num w:numId="11" w16cid:durableId="39744068">
    <w:abstractNumId w:val="32"/>
  </w:num>
  <w:num w:numId="12" w16cid:durableId="1998221298">
    <w:abstractNumId w:val="15"/>
  </w:num>
  <w:num w:numId="13" w16cid:durableId="414866988">
    <w:abstractNumId w:val="45"/>
  </w:num>
  <w:num w:numId="14" w16cid:durableId="386880103">
    <w:abstractNumId w:val="39"/>
  </w:num>
  <w:num w:numId="15" w16cid:durableId="1906330446">
    <w:abstractNumId w:val="29"/>
  </w:num>
  <w:num w:numId="16" w16cid:durableId="639379805">
    <w:abstractNumId w:val="19"/>
  </w:num>
  <w:num w:numId="17" w16cid:durableId="336423405">
    <w:abstractNumId w:val="22"/>
  </w:num>
  <w:num w:numId="18" w16cid:durableId="1155031140">
    <w:abstractNumId w:val="31"/>
  </w:num>
  <w:num w:numId="19" w16cid:durableId="1129741865">
    <w:abstractNumId w:val="36"/>
  </w:num>
  <w:num w:numId="20" w16cid:durableId="685211106">
    <w:abstractNumId w:val="9"/>
  </w:num>
  <w:num w:numId="21" w16cid:durableId="1311515113">
    <w:abstractNumId w:val="7"/>
  </w:num>
  <w:num w:numId="22" w16cid:durableId="1992173126">
    <w:abstractNumId w:val="6"/>
  </w:num>
  <w:num w:numId="23" w16cid:durableId="294799238">
    <w:abstractNumId w:val="5"/>
  </w:num>
  <w:num w:numId="24" w16cid:durableId="2046128631">
    <w:abstractNumId w:val="4"/>
  </w:num>
  <w:num w:numId="25" w16cid:durableId="688676007">
    <w:abstractNumId w:val="8"/>
  </w:num>
  <w:num w:numId="26" w16cid:durableId="564607069">
    <w:abstractNumId w:val="3"/>
  </w:num>
  <w:num w:numId="27" w16cid:durableId="1411780389">
    <w:abstractNumId w:val="2"/>
  </w:num>
  <w:num w:numId="28" w16cid:durableId="611786758">
    <w:abstractNumId w:val="1"/>
  </w:num>
  <w:num w:numId="29" w16cid:durableId="508102376">
    <w:abstractNumId w:val="0"/>
  </w:num>
  <w:num w:numId="30" w16cid:durableId="1323775567">
    <w:abstractNumId w:val="37"/>
  </w:num>
  <w:num w:numId="31" w16cid:durableId="330640374">
    <w:abstractNumId w:val="28"/>
  </w:num>
  <w:num w:numId="32" w16cid:durableId="2043898437">
    <w:abstractNumId w:val="44"/>
  </w:num>
  <w:num w:numId="33" w16cid:durableId="1963416697">
    <w:abstractNumId w:val="24"/>
  </w:num>
  <w:num w:numId="34" w16cid:durableId="1090354564">
    <w:abstractNumId w:val="43"/>
  </w:num>
  <w:num w:numId="35" w16cid:durableId="895898810">
    <w:abstractNumId w:val="25"/>
  </w:num>
  <w:num w:numId="36" w16cid:durableId="480465562">
    <w:abstractNumId w:val="48"/>
  </w:num>
  <w:num w:numId="37" w16cid:durableId="653338427">
    <w:abstractNumId w:val="41"/>
  </w:num>
  <w:num w:numId="38" w16cid:durableId="1498812780">
    <w:abstractNumId w:val="23"/>
  </w:num>
  <w:num w:numId="39" w16cid:durableId="1154495365">
    <w:abstractNumId w:val="34"/>
  </w:num>
  <w:num w:numId="40" w16cid:durableId="406801618">
    <w:abstractNumId w:val="33"/>
  </w:num>
  <w:num w:numId="41" w16cid:durableId="501286178">
    <w:abstractNumId w:val="12"/>
  </w:num>
  <w:num w:numId="42" w16cid:durableId="288972283">
    <w:abstractNumId w:val="13"/>
  </w:num>
  <w:num w:numId="43" w16cid:durableId="1028608725">
    <w:abstractNumId w:val="17"/>
  </w:num>
  <w:num w:numId="44" w16cid:durableId="1999649799">
    <w:abstractNumId w:val="11"/>
  </w:num>
  <w:num w:numId="45" w16cid:durableId="761999491">
    <w:abstractNumId w:val="16"/>
  </w:num>
  <w:num w:numId="46" w16cid:durableId="216818751">
    <w:abstractNumId w:val="14"/>
  </w:num>
  <w:num w:numId="47" w16cid:durableId="1163469876">
    <w:abstractNumId w:val="38"/>
  </w:num>
  <w:num w:numId="48" w16cid:durableId="1285427652">
    <w:abstractNumId w:val="40"/>
  </w:num>
  <w:num w:numId="49" w16cid:durableId="1370839354">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2393"/>
    <w:rsid w:val="00004983"/>
    <w:rsid w:val="000049DE"/>
    <w:rsid w:val="00004CC7"/>
    <w:rsid w:val="000062C7"/>
    <w:rsid w:val="0000691C"/>
    <w:rsid w:val="00006D63"/>
    <w:rsid w:val="00007DBF"/>
    <w:rsid w:val="000105A1"/>
    <w:rsid w:val="000130B0"/>
    <w:rsid w:val="000137DE"/>
    <w:rsid w:val="00013C24"/>
    <w:rsid w:val="00014410"/>
    <w:rsid w:val="00014540"/>
    <w:rsid w:val="00014D24"/>
    <w:rsid w:val="00015E81"/>
    <w:rsid w:val="00020AF7"/>
    <w:rsid w:val="00021EB1"/>
    <w:rsid w:val="00022714"/>
    <w:rsid w:val="00022EB2"/>
    <w:rsid w:val="000234B2"/>
    <w:rsid w:val="0002371F"/>
    <w:rsid w:val="000237B4"/>
    <w:rsid w:val="000249E0"/>
    <w:rsid w:val="00025308"/>
    <w:rsid w:val="00026F84"/>
    <w:rsid w:val="00033E4A"/>
    <w:rsid w:val="00033F49"/>
    <w:rsid w:val="00033F88"/>
    <w:rsid w:val="00035165"/>
    <w:rsid w:val="00035187"/>
    <w:rsid w:val="00035D68"/>
    <w:rsid w:val="00040D44"/>
    <w:rsid w:val="00041D59"/>
    <w:rsid w:val="00043B48"/>
    <w:rsid w:val="00044462"/>
    <w:rsid w:val="00044E8D"/>
    <w:rsid w:val="00045487"/>
    <w:rsid w:val="000461C0"/>
    <w:rsid w:val="000469C4"/>
    <w:rsid w:val="000478BC"/>
    <w:rsid w:val="00053743"/>
    <w:rsid w:val="0005508C"/>
    <w:rsid w:val="00055DED"/>
    <w:rsid w:val="00056483"/>
    <w:rsid w:val="00056C32"/>
    <w:rsid w:val="000573C8"/>
    <w:rsid w:val="00057AA4"/>
    <w:rsid w:val="00062E93"/>
    <w:rsid w:val="00063251"/>
    <w:rsid w:val="00063458"/>
    <w:rsid w:val="000640F4"/>
    <w:rsid w:val="00064B86"/>
    <w:rsid w:val="00064F18"/>
    <w:rsid w:val="000652C1"/>
    <w:rsid w:val="00067768"/>
    <w:rsid w:val="00067E14"/>
    <w:rsid w:val="00070026"/>
    <w:rsid w:val="000702CF"/>
    <w:rsid w:val="000715EE"/>
    <w:rsid w:val="00071FC6"/>
    <w:rsid w:val="00073F0F"/>
    <w:rsid w:val="00074306"/>
    <w:rsid w:val="000749EF"/>
    <w:rsid w:val="00075601"/>
    <w:rsid w:val="0007691A"/>
    <w:rsid w:val="00076D3C"/>
    <w:rsid w:val="00080ABE"/>
    <w:rsid w:val="00080DCE"/>
    <w:rsid w:val="000824B7"/>
    <w:rsid w:val="000833D9"/>
    <w:rsid w:val="00085238"/>
    <w:rsid w:val="0008546E"/>
    <w:rsid w:val="000870E5"/>
    <w:rsid w:val="0008783E"/>
    <w:rsid w:val="00090128"/>
    <w:rsid w:val="000923F6"/>
    <w:rsid w:val="000937E9"/>
    <w:rsid w:val="00095891"/>
    <w:rsid w:val="000A14BE"/>
    <w:rsid w:val="000A2E6A"/>
    <w:rsid w:val="000A2F2A"/>
    <w:rsid w:val="000A586D"/>
    <w:rsid w:val="000A6195"/>
    <w:rsid w:val="000A704C"/>
    <w:rsid w:val="000A76C2"/>
    <w:rsid w:val="000B40A9"/>
    <w:rsid w:val="000B5A88"/>
    <w:rsid w:val="000B6560"/>
    <w:rsid w:val="000C1506"/>
    <w:rsid w:val="000C27A8"/>
    <w:rsid w:val="000C289B"/>
    <w:rsid w:val="000C43D5"/>
    <w:rsid w:val="000C7B0B"/>
    <w:rsid w:val="000D1F21"/>
    <w:rsid w:val="000D2515"/>
    <w:rsid w:val="000D36CF"/>
    <w:rsid w:val="000D38EF"/>
    <w:rsid w:val="000D39BE"/>
    <w:rsid w:val="000D43FE"/>
    <w:rsid w:val="000D5952"/>
    <w:rsid w:val="000E0D3E"/>
    <w:rsid w:val="000E212B"/>
    <w:rsid w:val="000E25E8"/>
    <w:rsid w:val="000E2633"/>
    <w:rsid w:val="000E4732"/>
    <w:rsid w:val="000E5101"/>
    <w:rsid w:val="000E624D"/>
    <w:rsid w:val="000E7D29"/>
    <w:rsid w:val="000F24EE"/>
    <w:rsid w:val="000F2874"/>
    <w:rsid w:val="000F2D81"/>
    <w:rsid w:val="000F312B"/>
    <w:rsid w:val="000F5868"/>
    <w:rsid w:val="000F5AA2"/>
    <w:rsid w:val="000F679F"/>
    <w:rsid w:val="000F6FC7"/>
    <w:rsid w:val="00101AF9"/>
    <w:rsid w:val="001020C4"/>
    <w:rsid w:val="001042E0"/>
    <w:rsid w:val="00105626"/>
    <w:rsid w:val="00105849"/>
    <w:rsid w:val="00105E15"/>
    <w:rsid w:val="00106685"/>
    <w:rsid w:val="0011012B"/>
    <w:rsid w:val="0011122E"/>
    <w:rsid w:val="00111DFA"/>
    <w:rsid w:val="0011254C"/>
    <w:rsid w:val="0011281A"/>
    <w:rsid w:val="001136EB"/>
    <w:rsid w:val="00113D3F"/>
    <w:rsid w:val="00117124"/>
    <w:rsid w:val="001173F0"/>
    <w:rsid w:val="00117A76"/>
    <w:rsid w:val="00122225"/>
    <w:rsid w:val="001227D8"/>
    <w:rsid w:val="001230D6"/>
    <w:rsid w:val="001245D1"/>
    <w:rsid w:val="0012683E"/>
    <w:rsid w:val="00127884"/>
    <w:rsid w:val="0013000E"/>
    <w:rsid w:val="001309D9"/>
    <w:rsid w:val="001322B8"/>
    <w:rsid w:val="001329A5"/>
    <w:rsid w:val="00133522"/>
    <w:rsid w:val="00134365"/>
    <w:rsid w:val="001357B3"/>
    <w:rsid w:val="0013585E"/>
    <w:rsid w:val="00140782"/>
    <w:rsid w:val="00140D01"/>
    <w:rsid w:val="001475A8"/>
    <w:rsid w:val="00150348"/>
    <w:rsid w:val="0015068E"/>
    <w:rsid w:val="00152935"/>
    <w:rsid w:val="00153F2A"/>
    <w:rsid w:val="001556BE"/>
    <w:rsid w:val="00155EA1"/>
    <w:rsid w:val="00160756"/>
    <w:rsid w:val="00161FAC"/>
    <w:rsid w:val="001634A2"/>
    <w:rsid w:val="00163FF1"/>
    <w:rsid w:val="00166657"/>
    <w:rsid w:val="00166EDF"/>
    <w:rsid w:val="00167785"/>
    <w:rsid w:val="001726BA"/>
    <w:rsid w:val="00173E47"/>
    <w:rsid w:val="001741C6"/>
    <w:rsid w:val="00175C22"/>
    <w:rsid w:val="00176DC2"/>
    <w:rsid w:val="00176F89"/>
    <w:rsid w:val="0017741F"/>
    <w:rsid w:val="001826D9"/>
    <w:rsid w:val="00183400"/>
    <w:rsid w:val="00183B64"/>
    <w:rsid w:val="001864B4"/>
    <w:rsid w:val="00192246"/>
    <w:rsid w:val="00192AA6"/>
    <w:rsid w:val="00193228"/>
    <w:rsid w:val="001933D1"/>
    <w:rsid w:val="001940D0"/>
    <w:rsid w:val="00194527"/>
    <w:rsid w:val="001948F4"/>
    <w:rsid w:val="00194DED"/>
    <w:rsid w:val="00195145"/>
    <w:rsid w:val="00195743"/>
    <w:rsid w:val="00195F49"/>
    <w:rsid w:val="00197578"/>
    <w:rsid w:val="0019775F"/>
    <w:rsid w:val="001A06FB"/>
    <w:rsid w:val="001A1B14"/>
    <w:rsid w:val="001A2F45"/>
    <w:rsid w:val="001A38F9"/>
    <w:rsid w:val="001A4E72"/>
    <w:rsid w:val="001A6303"/>
    <w:rsid w:val="001A6EFE"/>
    <w:rsid w:val="001A7267"/>
    <w:rsid w:val="001B010E"/>
    <w:rsid w:val="001B134C"/>
    <w:rsid w:val="001B19A4"/>
    <w:rsid w:val="001B263B"/>
    <w:rsid w:val="001B36C7"/>
    <w:rsid w:val="001B3926"/>
    <w:rsid w:val="001B51C5"/>
    <w:rsid w:val="001B5792"/>
    <w:rsid w:val="001B5A47"/>
    <w:rsid w:val="001B755C"/>
    <w:rsid w:val="001C0073"/>
    <w:rsid w:val="001C0274"/>
    <w:rsid w:val="001C3970"/>
    <w:rsid w:val="001C3BC7"/>
    <w:rsid w:val="001C446E"/>
    <w:rsid w:val="001C61FE"/>
    <w:rsid w:val="001C67CE"/>
    <w:rsid w:val="001C75E6"/>
    <w:rsid w:val="001D0501"/>
    <w:rsid w:val="001D0D4A"/>
    <w:rsid w:val="001D119C"/>
    <w:rsid w:val="001D19B0"/>
    <w:rsid w:val="001D1ECA"/>
    <w:rsid w:val="001D1F6D"/>
    <w:rsid w:val="001D2162"/>
    <w:rsid w:val="001D3171"/>
    <w:rsid w:val="001D44EB"/>
    <w:rsid w:val="001D4EA0"/>
    <w:rsid w:val="001D5FE5"/>
    <w:rsid w:val="001D61A8"/>
    <w:rsid w:val="001D6533"/>
    <w:rsid w:val="001D7718"/>
    <w:rsid w:val="001D7E8B"/>
    <w:rsid w:val="001E0375"/>
    <w:rsid w:val="001E04DA"/>
    <w:rsid w:val="001E0B41"/>
    <w:rsid w:val="001E154F"/>
    <w:rsid w:val="001E375A"/>
    <w:rsid w:val="001E44FF"/>
    <w:rsid w:val="001E501B"/>
    <w:rsid w:val="001E5EE4"/>
    <w:rsid w:val="001E6C0D"/>
    <w:rsid w:val="001E74A5"/>
    <w:rsid w:val="001E74E6"/>
    <w:rsid w:val="001F0C25"/>
    <w:rsid w:val="001F19D4"/>
    <w:rsid w:val="001F1B38"/>
    <w:rsid w:val="001F3ECC"/>
    <w:rsid w:val="001F5FD9"/>
    <w:rsid w:val="00200100"/>
    <w:rsid w:val="00200186"/>
    <w:rsid w:val="002007F6"/>
    <w:rsid w:val="00200CC6"/>
    <w:rsid w:val="00201D19"/>
    <w:rsid w:val="002034E7"/>
    <w:rsid w:val="00205052"/>
    <w:rsid w:val="002059BC"/>
    <w:rsid w:val="00205CC0"/>
    <w:rsid w:val="00205F5F"/>
    <w:rsid w:val="0021058A"/>
    <w:rsid w:val="0021143B"/>
    <w:rsid w:val="00211A13"/>
    <w:rsid w:val="002122FE"/>
    <w:rsid w:val="002130ED"/>
    <w:rsid w:val="00213935"/>
    <w:rsid w:val="00213F35"/>
    <w:rsid w:val="00213FE5"/>
    <w:rsid w:val="00216E94"/>
    <w:rsid w:val="00217C53"/>
    <w:rsid w:val="00220ADF"/>
    <w:rsid w:val="002210DD"/>
    <w:rsid w:val="002222CF"/>
    <w:rsid w:val="00223150"/>
    <w:rsid w:val="00223444"/>
    <w:rsid w:val="002249D5"/>
    <w:rsid w:val="00227C20"/>
    <w:rsid w:val="002302CF"/>
    <w:rsid w:val="002314A5"/>
    <w:rsid w:val="002316CE"/>
    <w:rsid w:val="002321D0"/>
    <w:rsid w:val="0023221B"/>
    <w:rsid w:val="002324EE"/>
    <w:rsid w:val="00232ABC"/>
    <w:rsid w:val="00232FB2"/>
    <w:rsid w:val="002335BF"/>
    <w:rsid w:val="00235B9A"/>
    <w:rsid w:val="00240099"/>
    <w:rsid w:val="0024062E"/>
    <w:rsid w:val="00240E94"/>
    <w:rsid w:val="002412C3"/>
    <w:rsid w:val="002412C7"/>
    <w:rsid w:val="00243598"/>
    <w:rsid w:val="00244291"/>
    <w:rsid w:val="00244B5E"/>
    <w:rsid w:val="002462B4"/>
    <w:rsid w:val="00247065"/>
    <w:rsid w:val="00247A1B"/>
    <w:rsid w:val="00247FAF"/>
    <w:rsid w:val="00250C49"/>
    <w:rsid w:val="002512C2"/>
    <w:rsid w:val="00251C68"/>
    <w:rsid w:val="00253156"/>
    <w:rsid w:val="0025469B"/>
    <w:rsid w:val="00255A4E"/>
    <w:rsid w:val="00255AA5"/>
    <w:rsid w:val="002563DE"/>
    <w:rsid w:val="00256CB0"/>
    <w:rsid w:val="0025744F"/>
    <w:rsid w:val="00260F61"/>
    <w:rsid w:val="00261186"/>
    <w:rsid w:val="002611B0"/>
    <w:rsid w:val="00264BCD"/>
    <w:rsid w:val="00266BFE"/>
    <w:rsid w:val="00271386"/>
    <w:rsid w:val="0027440C"/>
    <w:rsid w:val="002752FE"/>
    <w:rsid w:val="002760B0"/>
    <w:rsid w:val="002764A2"/>
    <w:rsid w:val="00276504"/>
    <w:rsid w:val="00277E6E"/>
    <w:rsid w:val="002800C1"/>
    <w:rsid w:val="00281C17"/>
    <w:rsid w:val="00281CF4"/>
    <w:rsid w:val="00282049"/>
    <w:rsid w:val="00283127"/>
    <w:rsid w:val="00283E52"/>
    <w:rsid w:val="00283EB0"/>
    <w:rsid w:val="00285E8F"/>
    <w:rsid w:val="002869F8"/>
    <w:rsid w:val="002900F5"/>
    <w:rsid w:val="00290CD0"/>
    <w:rsid w:val="002921A7"/>
    <w:rsid w:val="002926D8"/>
    <w:rsid w:val="00292C63"/>
    <w:rsid w:val="00292DB2"/>
    <w:rsid w:val="00293D28"/>
    <w:rsid w:val="00293D9E"/>
    <w:rsid w:val="00294C94"/>
    <w:rsid w:val="002951A9"/>
    <w:rsid w:val="002A0054"/>
    <w:rsid w:val="002A0902"/>
    <w:rsid w:val="002A2520"/>
    <w:rsid w:val="002A44B1"/>
    <w:rsid w:val="002A4944"/>
    <w:rsid w:val="002A5084"/>
    <w:rsid w:val="002A61C7"/>
    <w:rsid w:val="002A6206"/>
    <w:rsid w:val="002A6625"/>
    <w:rsid w:val="002A75E7"/>
    <w:rsid w:val="002B03F3"/>
    <w:rsid w:val="002B0547"/>
    <w:rsid w:val="002B1ED9"/>
    <w:rsid w:val="002B52EC"/>
    <w:rsid w:val="002B5DBD"/>
    <w:rsid w:val="002B5E70"/>
    <w:rsid w:val="002B768A"/>
    <w:rsid w:val="002B7D27"/>
    <w:rsid w:val="002C005A"/>
    <w:rsid w:val="002C2BA9"/>
    <w:rsid w:val="002C3288"/>
    <w:rsid w:val="002C3AB0"/>
    <w:rsid w:val="002C3F3B"/>
    <w:rsid w:val="002C43EE"/>
    <w:rsid w:val="002C4643"/>
    <w:rsid w:val="002D119F"/>
    <w:rsid w:val="002D15E3"/>
    <w:rsid w:val="002D169D"/>
    <w:rsid w:val="002D1D94"/>
    <w:rsid w:val="002D1DFF"/>
    <w:rsid w:val="002D22BC"/>
    <w:rsid w:val="002D2C79"/>
    <w:rsid w:val="002D30FC"/>
    <w:rsid w:val="002D3FE6"/>
    <w:rsid w:val="002D6C51"/>
    <w:rsid w:val="002D7DE4"/>
    <w:rsid w:val="002D7F7F"/>
    <w:rsid w:val="002E081E"/>
    <w:rsid w:val="002E1F00"/>
    <w:rsid w:val="002E30B8"/>
    <w:rsid w:val="002E52AD"/>
    <w:rsid w:val="002E7755"/>
    <w:rsid w:val="002F1348"/>
    <w:rsid w:val="002F1CF5"/>
    <w:rsid w:val="002F20FF"/>
    <w:rsid w:val="002F24B7"/>
    <w:rsid w:val="002F2747"/>
    <w:rsid w:val="002F3075"/>
    <w:rsid w:val="002F35A2"/>
    <w:rsid w:val="002F4C1C"/>
    <w:rsid w:val="002F5293"/>
    <w:rsid w:val="002F7924"/>
    <w:rsid w:val="0030180C"/>
    <w:rsid w:val="00301851"/>
    <w:rsid w:val="003020D5"/>
    <w:rsid w:val="0030216B"/>
    <w:rsid w:val="00303A9E"/>
    <w:rsid w:val="00304B08"/>
    <w:rsid w:val="003058DB"/>
    <w:rsid w:val="003063CC"/>
    <w:rsid w:val="003078D7"/>
    <w:rsid w:val="0031038B"/>
    <w:rsid w:val="00311686"/>
    <w:rsid w:val="00311D7A"/>
    <w:rsid w:val="003139BB"/>
    <w:rsid w:val="003142EA"/>
    <w:rsid w:val="0031468F"/>
    <w:rsid w:val="003163F5"/>
    <w:rsid w:val="00317FA3"/>
    <w:rsid w:val="00320ED3"/>
    <w:rsid w:val="0032166C"/>
    <w:rsid w:val="00322054"/>
    <w:rsid w:val="00322D37"/>
    <w:rsid w:val="003249FC"/>
    <w:rsid w:val="00325FB3"/>
    <w:rsid w:val="00327348"/>
    <w:rsid w:val="003276BA"/>
    <w:rsid w:val="00327D1D"/>
    <w:rsid w:val="00333D77"/>
    <w:rsid w:val="00334815"/>
    <w:rsid w:val="003366FB"/>
    <w:rsid w:val="00337988"/>
    <w:rsid w:val="00340F4F"/>
    <w:rsid w:val="003411C9"/>
    <w:rsid w:val="00341429"/>
    <w:rsid w:val="003422B8"/>
    <w:rsid w:val="00342F3B"/>
    <w:rsid w:val="00345CD6"/>
    <w:rsid w:val="003468B8"/>
    <w:rsid w:val="003506B7"/>
    <w:rsid w:val="003509B6"/>
    <w:rsid w:val="00350AD1"/>
    <w:rsid w:val="003512E0"/>
    <w:rsid w:val="003518FD"/>
    <w:rsid w:val="00352623"/>
    <w:rsid w:val="00352945"/>
    <w:rsid w:val="0035486F"/>
    <w:rsid w:val="00355F79"/>
    <w:rsid w:val="00356792"/>
    <w:rsid w:val="00356B4E"/>
    <w:rsid w:val="00357F71"/>
    <w:rsid w:val="00360DBC"/>
    <w:rsid w:val="00362443"/>
    <w:rsid w:val="00362D96"/>
    <w:rsid w:val="00363E11"/>
    <w:rsid w:val="0036431F"/>
    <w:rsid w:val="003643A8"/>
    <w:rsid w:val="0036536C"/>
    <w:rsid w:val="003655E8"/>
    <w:rsid w:val="00366355"/>
    <w:rsid w:val="00366360"/>
    <w:rsid w:val="00366453"/>
    <w:rsid w:val="00366A18"/>
    <w:rsid w:val="00367D28"/>
    <w:rsid w:val="0037011D"/>
    <w:rsid w:val="0037028A"/>
    <w:rsid w:val="00373DC4"/>
    <w:rsid w:val="0037779F"/>
    <w:rsid w:val="00380B2C"/>
    <w:rsid w:val="0038109A"/>
    <w:rsid w:val="00381F9E"/>
    <w:rsid w:val="00383E02"/>
    <w:rsid w:val="00384D4D"/>
    <w:rsid w:val="00384FA1"/>
    <w:rsid w:val="003851A7"/>
    <w:rsid w:val="003855C1"/>
    <w:rsid w:val="003858C2"/>
    <w:rsid w:val="00391C97"/>
    <w:rsid w:val="0039280D"/>
    <w:rsid w:val="003933EE"/>
    <w:rsid w:val="00394A4A"/>
    <w:rsid w:val="00395860"/>
    <w:rsid w:val="00396007"/>
    <w:rsid w:val="00396B58"/>
    <w:rsid w:val="00396D68"/>
    <w:rsid w:val="003A0FCC"/>
    <w:rsid w:val="003A1274"/>
    <w:rsid w:val="003A236F"/>
    <w:rsid w:val="003A2B15"/>
    <w:rsid w:val="003A40AE"/>
    <w:rsid w:val="003B0320"/>
    <w:rsid w:val="003B0B4C"/>
    <w:rsid w:val="003B0C98"/>
    <w:rsid w:val="003B1B3D"/>
    <w:rsid w:val="003B36E6"/>
    <w:rsid w:val="003B5A2F"/>
    <w:rsid w:val="003B7800"/>
    <w:rsid w:val="003B79C1"/>
    <w:rsid w:val="003B7A23"/>
    <w:rsid w:val="003C02EB"/>
    <w:rsid w:val="003C12EA"/>
    <w:rsid w:val="003C1ACB"/>
    <w:rsid w:val="003C2659"/>
    <w:rsid w:val="003C2B67"/>
    <w:rsid w:val="003C3B68"/>
    <w:rsid w:val="003C487B"/>
    <w:rsid w:val="003C5809"/>
    <w:rsid w:val="003C657D"/>
    <w:rsid w:val="003C6D04"/>
    <w:rsid w:val="003C7573"/>
    <w:rsid w:val="003D03A9"/>
    <w:rsid w:val="003D1BD6"/>
    <w:rsid w:val="003D48E8"/>
    <w:rsid w:val="003D49BD"/>
    <w:rsid w:val="003D5F14"/>
    <w:rsid w:val="003E058E"/>
    <w:rsid w:val="003E37C6"/>
    <w:rsid w:val="003E3AEB"/>
    <w:rsid w:val="003E4FF1"/>
    <w:rsid w:val="003E54B5"/>
    <w:rsid w:val="003E56C3"/>
    <w:rsid w:val="003E5850"/>
    <w:rsid w:val="003E6CBF"/>
    <w:rsid w:val="003E789A"/>
    <w:rsid w:val="003E7AC7"/>
    <w:rsid w:val="003F28F2"/>
    <w:rsid w:val="003F2AF8"/>
    <w:rsid w:val="003F3B10"/>
    <w:rsid w:val="003F5F6C"/>
    <w:rsid w:val="003F61A6"/>
    <w:rsid w:val="003F6615"/>
    <w:rsid w:val="003F770E"/>
    <w:rsid w:val="00400B2F"/>
    <w:rsid w:val="00402008"/>
    <w:rsid w:val="00402113"/>
    <w:rsid w:val="00402D80"/>
    <w:rsid w:val="00403D5D"/>
    <w:rsid w:val="00407CE6"/>
    <w:rsid w:val="0041038D"/>
    <w:rsid w:val="00410C22"/>
    <w:rsid w:val="004126BD"/>
    <w:rsid w:val="004129C3"/>
    <w:rsid w:val="004143E6"/>
    <w:rsid w:val="00415997"/>
    <w:rsid w:val="004174B4"/>
    <w:rsid w:val="00421615"/>
    <w:rsid w:val="004216FB"/>
    <w:rsid w:val="00422EDA"/>
    <w:rsid w:val="00423719"/>
    <w:rsid w:val="0042439E"/>
    <w:rsid w:val="00424CAD"/>
    <w:rsid w:val="004250BA"/>
    <w:rsid w:val="004251A7"/>
    <w:rsid w:val="00426732"/>
    <w:rsid w:val="00431971"/>
    <w:rsid w:val="0043225F"/>
    <w:rsid w:val="0043255C"/>
    <w:rsid w:val="00432799"/>
    <w:rsid w:val="00432FC5"/>
    <w:rsid w:val="004332A4"/>
    <w:rsid w:val="00433A6B"/>
    <w:rsid w:val="00433ECA"/>
    <w:rsid w:val="00434336"/>
    <w:rsid w:val="00434E78"/>
    <w:rsid w:val="0043535F"/>
    <w:rsid w:val="00440898"/>
    <w:rsid w:val="00440D56"/>
    <w:rsid w:val="00442AC5"/>
    <w:rsid w:val="00443385"/>
    <w:rsid w:val="00443825"/>
    <w:rsid w:val="00444116"/>
    <w:rsid w:val="0044496B"/>
    <w:rsid w:val="00446AC0"/>
    <w:rsid w:val="00446D21"/>
    <w:rsid w:val="004478CE"/>
    <w:rsid w:val="00447C8A"/>
    <w:rsid w:val="0045107F"/>
    <w:rsid w:val="00451A04"/>
    <w:rsid w:val="00454928"/>
    <w:rsid w:val="00455E81"/>
    <w:rsid w:val="004563C4"/>
    <w:rsid w:val="004572D9"/>
    <w:rsid w:val="004603FF"/>
    <w:rsid w:val="00461039"/>
    <w:rsid w:val="00461758"/>
    <w:rsid w:val="00463259"/>
    <w:rsid w:val="00463D71"/>
    <w:rsid w:val="00463FE6"/>
    <w:rsid w:val="004640E8"/>
    <w:rsid w:val="004647B6"/>
    <w:rsid w:val="00464CC7"/>
    <w:rsid w:val="004653F7"/>
    <w:rsid w:val="00466BC1"/>
    <w:rsid w:val="00466C62"/>
    <w:rsid w:val="004675A9"/>
    <w:rsid w:val="00467F08"/>
    <w:rsid w:val="0047029E"/>
    <w:rsid w:val="004728EE"/>
    <w:rsid w:val="00473068"/>
    <w:rsid w:val="00473ED8"/>
    <w:rsid w:val="004752DF"/>
    <w:rsid w:val="0047756B"/>
    <w:rsid w:val="00480B62"/>
    <w:rsid w:val="00481BC4"/>
    <w:rsid w:val="004825A8"/>
    <w:rsid w:val="0048275B"/>
    <w:rsid w:val="0048382F"/>
    <w:rsid w:val="00485366"/>
    <w:rsid w:val="00485707"/>
    <w:rsid w:val="00485830"/>
    <w:rsid w:val="0048589A"/>
    <w:rsid w:val="00487F80"/>
    <w:rsid w:val="00491DB8"/>
    <w:rsid w:val="00492848"/>
    <w:rsid w:val="004936B5"/>
    <w:rsid w:val="0049553F"/>
    <w:rsid w:val="004965F6"/>
    <w:rsid w:val="004A062D"/>
    <w:rsid w:val="004A0CF7"/>
    <w:rsid w:val="004A235F"/>
    <w:rsid w:val="004A40C4"/>
    <w:rsid w:val="004A7EC4"/>
    <w:rsid w:val="004B00A4"/>
    <w:rsid w:val="004B03FB"/>
    <w:rsid w:val="004B056D"/>
    <w:rsid w:val="004B2B2D"/>
    <w:rsid w:val="004C1191"/>
    <w:rsid w:val="004C12FE"/>
    <w:rsid w:val="004C2ED8"/>
    <w:rsid w:val="004C3637"/>
    <w:rsid w:val="004C4277"/>
    <w:rsid w:val="004C4D0A"/>
    <w:rsid w:val="004D0B30"/>
    <w:rsid w:val="004D2382"/>
    <w:rsid w:val="004D2E94"/>
    <w:rsid w:val="004D3F15"/>
    <w:rsid w:val="004D4B46"/>
    <w:rsid w:val="004D5B42"/>
    <w:rsid w:val="004D7A6C"/>
    <w:rsid w:val="004E3437"/>
    <w:rsid w:val="004E41C7"/>
    <w:rsid w:val="004E5059"/>
    <w:rsid w:val="004E5CD5"/>
    <w:rsid w:val="004E5EA3"/>
    <w:rsid w:val="004E5F4C"/>
    <w:rsid w:val="004E6193"/>
    <w:rsid w:val="004F0409"/>
    <w:rsid w:val="004F0A14"/>
    <w:rsid w:val="004F1CDE"/>
    <w:rsid w:val="004F2021"/>
    <w:rsid w:val="004F35C3"/>
    <w:rsid w:val="004F3CAA"/>
    <w:rsid w:val="004F425B"/>
    <w:rsid w:val="004F6050"/>
    <w:rsid w:val="004F668B"/>
    <w:rsid w:val="004F7BEA"/>
    <w:rsid w:val="004F7E6B"/>
    <w:rsid w:val="005013F0"/>
    <w:rsid w:val="00501C6A"/>
    <w:rsid w:val="00501EB7"/>
    <w:rsid w:val="00501ECA"/>
    <w:rsid w:val="00502A3E"/>
    <w:rsid w:val="00502E44"/>
    <w:rsid w:val="0050307A"/>
    <w:rsid w:val="00503A7F"/>
    <w:rsid w:val="00504DC6"/>
    <w:rsid w:val="00506C43"/>
    <w:rsid w:val="00511EA2"/>
    <w:rsid w:val="00513837"/>
    <w:rsid w:val="005138F5"/>
    <w:rsid w:val="00515616"/>
    <w:rsid w:val="00520084"/>
    <w:rsid w:val="0052024E"/>
    <w:rsid w:val="00520363"/>
    <w:rsid w:val="005243CF"/>
    <w:rsid w:val="005245B4"/>
    <w:rsid w:val="00525708"/>
    <w:rsid w:val="0052577D"/>
    <w:rsid w:val="00527AB9"/>
    <w:rsid w:val="005304D4"/>
    <w:rsid w:val="005322E2"/>
    <w:rsid w:val="005342C2"/>
    <w:rsid w:val="00534795"/>
    <w:rsid w:val="00534DC1"/>
    <w:rsid w:val="005354A0"/>
    <w:rsid w:val="0054113A"/>
    <w:rsid w:val="00541B24"/>
    <w:rsid w:val="005442E3"/>
    <w:rsid w:val="00545689"/>
    <w:rsid w:val="00545807"/>
    <w:rsid w:val="00545BEC"/>
    <w:rsid w:val="00545E66"/>
    <w:rsid w:val="00546ADA"/>
    <w:rsid w:val="0054791E"/>
    <w:rsid w:val="00547C35"/>
    <w:rsid w:val="00547C3B"/>
    <w:rsid w:val="00547D90"/>
    <w:rsid w:val="00547E9B"/>
    <w:rsid w:val="00550251"/>
    <w:rsid w:val="005506FE"/>
    <w:rsid w:val="005507B9"/>
    <w:rsid w:val="00551FED"/>
    <w:rsid w:val="0055370E"/>
    <w:rsid w:val="00553E00"/>
    <w:rsid w:val="00560B2B"/>
    <w:rsid w:val="00561142"/>
    <w:rsid w:val="0056259C"/>
    <w:rsid w:val="00562679"/>
    <w:rsid w:val="005629A5"/>
    <w:rsid w:val="00563684"/>
    <w:rsid w:val="005637E4"/>
    <w:rsid w:val="00563B35"/>
    <w:rsid w:val="005640EC"/>
    <w:rsid w:val="00564223"/>
    <w:rsid w:val="00565970"/>
    <w:rsid w:val="00565B9F"/>
    <w:rsid w:val="00565D6D"/>
    <w:rsid w:val="0056650F"/>
    <w:rsid w:val="005678C3"/>
    <w:rsid w:val="00571342"/>
    <w:rsid w:val="00571AC8"/>
    <w:rsid w:val="00573035"/>
    <w:rsid w:val="00575575"/>
    <w:rsid w:val="00576AD8"/>
    <w:rsid w:val="005801FF"/>
    <w:rsid w:val="0058083F"/>
    <w:rsid w:val="005816F3"/>
    <w:rsid w:val="0058277A"/>
    <w:rsid w:val="005827F9"/>
    <w:rsid w:val="0058289A"/>
    <w:rsid w:val="00582F03"/>
    <w:rsid w:val="00583A3F"/>
    <w:rsid w:val="0058495C"/>
    <w:rsid w:val="00584A9B"/>
    <w:rsid w:val="00584E89"/>
    <w:rsid w:val="0058524D"/>
    <w:rsid w:val="0058553D"/>
    <w:rsid w:val="00586EB9"/>
    <w:rsid w:val="00590EE1"/>
    <w:rsid w:val="00590F4C"/>
    <w:rsid w:val="0059153D"/>
    <w:rsid w:val="00591F4A"/>
    <w:rsid w:val="00592D3F"/>
    <w:rsid w:val="0059475F"/>
    <w:rsid w:val="00594E0F"/>
    <w:rsid w:val="0059532C"/>
    <w:rsid w:val="00595FAE"/>
    <w:rsid w:val="005963C2"/>
    <w:rsid w:val="00596EA3"/>
    <w:rsid w:val="005A09D6"/>
    <w:rsid w:val="005A0D82"/>
    <w:rsid w:val="005A2D95"/>
    <w:rsid w:val="005A4CE6"/>
    <w:rsid w:val="005A6536"/>
    <w:rsid w:val="005A7203"/>
    <w:rsid w:val="005B197A"/>
    <w:rsid w:val="005B19E9"/>
    <w:rsid w:val="005B2258"/>
    <w:rsid w:val="005B2698"/>
    <w:rsid w:val="005B28B3"/>
    <w:rsid w:val="005B3B6A"/>
    <w:rsid w:val="005B40E3"/>
    <w:rsid w:val="005B6067"/>
    <w:rsid w:val="005B63FA"/>
    <w:rsid w:val="005B75DB"/>
    <w:rsid w:val="005C05FE"/>
    <w:rsid w:val="005C0DA8"/>
    <w:rsid w:val="005C20AE"/>
    <w:rsid w:val="005C2737"/>
    <w:rsid w:val="005C37F8"/>
    <w:rsid w:val="005C3AC2"/>
    <w:rsid w:val="005C44E4"/>
    <w:rsid w:val="005C5911"/>
    <w:rsid w:val="005C6151"/>
    <w:rsid w:val="005D053D"/>
    <w:rsid w:val="005D0678"/>
    <w:rsid w:val="005D1EFF"/>
    <w:rsid w:val="005D5269"/>
    <w:rsid w:val="005D5FBA"/>
    <w:rsid w:val="005D667F"/>
    <w:rsid w:val="005D770F"/>
    <w:rsid w:val="005E1246"/>
    <w:rsid w:val="005E1538"/>
    <w:rsid w:val="005E17A6"/>
    <w:rsid w:val="005E17CA"/>
    <w:rsid w:val="005E2CC2"/>
    <w:rsid w:val="005E3027"/>
    <w:rsid w:val="005E4EBA"/>
    <w:rsid w:val="005E607D"/>
    <w:rsid w:val="005E67A0"/>
    <w:rsid w:val="005E689C"/>
    <w:rsid w:val="005E6D24"/>
    <w:rsid w:val="005E79BC"/>
    <w:rsid w:val="005F3557"/>
    <w:rsid w:val="005F3CD5"/>
    <w:rsid w:val="005F4235"/>
    <w:rsid w:val="005F548D"/>
    <w:rsid w:val="005F6F5B"/>
    <w:rsid w:val="006003DA"/>
    <w:rsid w:val="00600B89"/>
    <w:rsid w:val="006034A7"/>
    <w:rsid w:val="006037FA"/>
    <w:rsid w:val="00605B81"/>
    <w:rsid w:val="00610062"/>
    <w:rsid w:val="006103D1"/>
    <w:rsid w:val="00611794"/>
    <w:rsid w:val="00611CAA"/>
    <w:rsid w:val="00611D5F"/>
    <w:rsid w:val="00612736"/>
    <w:rsid w:val="00613814"/>
    <w:rsid w:val="006139D6"/>
    <w:rsid w:val="00613E5D"/>
    <w:rsid w:val="00615C08"/>
    <w:rsid w:val="0061787F"/>
    <w:rsid w:val="00620D37"/>
    <w:rsid w:val="0062458E"/>
    <w:rsid w:val="006307BA"/>
    <w:rsid w:val="00630D79"/>
    <w:rsid w:val="00631941"/>
    <w:rsid w:val="00632085"/>
    <w:rsid w:val="00632120"/>
    <w:rsid w:val="00633DAD"/>
    <w:rsid w:val="006348A6"/>
    <w:rsid w:val="00635149"/>
    <w:rsid w:val="00635544"/>
    <w:rsid w:val="0063564D"/>
    <w:rsid w:val="006408BF"/>
    <w:rsid w:val="00642EAE"/>
    <w:rsid w:val="00645B43"/>
    <w:rsid w:val="00646420"/>
    <w:rsid w:val="0064654A"/>
    <w:rsid w:val="006475C2"/>
    <w:rsid w:val="0065179B"/>
    <w:rsid w:val="00652499"/>
    <w:rsid w:val="006532FD"/>
    <w:rsid w:val="0065411A"/>
    <w:rsid w:val="00656218"/>
    <w:rsid w:val="00657D32"/>
    <w:rsid w:val="006606A6"/>
    <w:rsid w:val="00660A17"/>
    <w:rsid w:val="00660BE6"/>
    <w:rsid w:val="006610DC"/>
    <w:rsid w:val="0066123C"/>
    <w:rsid w:val="006612BC"/>
    <w:rsid w:val="006614E6"/>
    <w:rsid w:val="00661B99"/>
    <w:rsid w:val="006624C4"/>
    <w:rsid w:val="00664147"/>
    <w:rsid w:val="00664939"/>
    <w:rsid w:val="00665E59"/>
    <w:rsid w:val="00666049"/>
    <w:rsid w:val="0067149A"/>
    <w:rsid w:val="00673B52"/>
    <w:rsid w:val="006742A3"/>
    <w:rsid w:val="00676458"/>
    <w:rsid w:val="00676F59"/>
    <w:rsid w:val="00677D6E"/>
    <w:rsid w:val="00681BFF"/>
    <w:rsid w:val="00683420"/>
    <w:rsid w:val="00683C06"/>
    <w:rsid w:val="00685CD8"/>
    <w:rsid w:val="006862AD"/>
    <w:rsid w:val="00686618"/>
    <w:rsid w:val="00686ED6"/>
    <w:rsid w:val="006A1124"/>
    <w:rsid w:val="006A2B78"/>
    <w:rsid w:val="006A41EB"/>
    <w:rsid w:val="006A4A41"/>
    <w:rsid w:val="006A4D51"/>
    <w:rsid w:val="006A5F68"/>
    <w:rsid w:val="006A5FFB"/>
    <w:rsid w:val="006A642A"/>
    <w:rsid w:val="006A6681"/>
    <w:rsid w:val="006B0054"/>
    <w:rsid w:val="006B28BD"/>
    <w:rsid w:val="006B37BC"/>
    <w:rsid w:val="006B37F8"/>
    <w:rsid w:val="006B4329"/>
    <w:rsid w:val="006B4765"/>
    <w:rsid w:val="006B5133"/>
    <w:rsid w:val="006B55A0"/>
    <w:rsid w:val="006B65FA"/>
    <w:rsid w:val="006B6DFD"/>
    <w:rsid w:val="006B7379"/>
    <w:rsid w:val="006B7C97"/>
    <w:rsid w:val="006C0655"/>
    <w:rsid w:val="006C1CBF"/>
    <w:rsid w:val="006C2C91"/>
    <w:rsid w:val="006C402A"/>
    <w:rsid w:val="006C4FF7"/>
    <w:rsid w:val="006C667C"/>
    <w:rsid w:val="006C6971"/>
    <w:rsid w:val="006C766E"/>
    <w:rsid w:val="006C7EAA"/>
    <w:rsid w:val="006D27C3"/>
    <w:rsid w:val="006D3566"/>
    <w:rsid w:val="006D39AA"/>
    <w:rsid w:val="006D4BD4"/>
    <w:rsid w:val="006E0E42"/>
    <w:rsid w:val="006E0EAA"/>
    <w:rsid w:val="006E1DFF"/>
    <w:rsid w:val="006E23F3"/>
    <w:rsid w:val="006E39FC"/>
    <w:rsid w:val="006E3C97"/>
    <w:rsid w:val="006E64E6"/>
    <w:rsid w:val="006F015B"/>
    <w:rsid w:val="006F09CF"/>
    <w:rsid w:val="006F1198"/>
    <w:rsid w:val="006F173D"/>
    <w:rsid w:val="006F1C7B"/>
    <w:rsid w:val="006F2895"/>
    <w:rsid w:val="006F3242"/>
    <w:rsid w:val="006F429C"/>
    <w:rsid w:val="006F4955"/>
    <w:rsid w:val="006F4D2C"/>
    <w:rsid w:val="006F5041"/>
    <w:rsid w:val="006F56BA"/>
    <w:rsid w:val="006F6D8D"/>
    <w:rsid w:val="006F7976"/>
    <w:rsid w:val="00700417"/>
    <w:rsid w:val="00702494"/>
    <w:rsid w:val="00704889"/>
    <w:rsid w:val="00706044"/>
    <w:rsid w:val="007065BC"/>
    <w:rsid w:val="00706C87"/>
    <w:rsid w:val="00707163"/>
    <w:rsid w:val="007076DA"/>
    <w:rsid w:val="00710E70"/>
    <w:rsid w:val="00711E98"/>
    <w:rsid w:val="00713333"/>
    <w:rsid w:val="00717055"/>
    <w:rsid w:val="00724780"/>
    <w:rsid w:val="00724A99"/>
    <w:rsid w:val="00724C0D"/>
    <w:rsid w:val="007251D7"/>
    <w:rsid w:val="00726653"/>
    <w:rsid w:val="00727306"/>
    <w:rsid w:val="00727C10"/>
    <w:rsid w:val="00730673"/>
    <w:rsid w:val="00733328"/>
    <w:rsid w:val="007345A7"/>
    <w:rsid w:val="00734FE5"/>
    <w:rsid w:val="00736070"/>
    <w:rsid w:val="00737148"/>
    <w:rsid w:val="00740CDC"/>
    <w:rsid w:val="0074124A"/>
    <w:rsid w:val="007417CC"/>
    <w:rsid w:val="00743F57"/>
    <w:rsid w:val="00744B30"/>
    <w:rsid w:val="00744B3F"/>
    <w:rsid w:val="00744C1E"/>
    <w:rsid w:val="00745458"/>
    <w:rsid w:val="0074565B"/>
    <w:rsid w:val="00747204"/>
    <w:rsid w:val="00751901"/>
    <w:rsid w:val="007519EC"/>
    <w:rsid w:val="007520B6"/>
    <w:rsid w:val="00755CAC"/>
    <w:rsid w:val="007565C8"/>
    <w:rsid w:val="00756E22"/>
    <w:rsid w:val="00757DE1"/>
    <w:rsid w:val="007609CA"/>
    <w:rsid w:val="007619BC"/>
    <w:rsid w:val="00761CCD"/>
    <w:rsid w:val="00764A76"/>
    <w:rsid w:val="00765605"/>
    <w:rsid w:val="00765A42"/>
    <w:rsid w:val="00770AEA"/>
    <w:rsid w:val="00770E89"/>
    <w:rsid w:val="00771176"/>
    <w:rsid w:val="00772256"/>
    <w:rsid w:val="00772863"/>
    <w:rsid w:val="00772FD1"/>
    <w:rsid w:val="00773C2F"/>
    <w:rsid w:val="00773EAA"/>
    <w:rsid w:val="00774749"/>
    <w:rsid w:val="00774DA6"/>
    <w:rsid w:val="00777978"/>
    <w:rsid w:val="00781563"/>
    <w:rsid w:val="007832FB"/>
    <w:rsid w:val="0078426F"/>
    <w:rsid w:val="00784816"/>
    <w:rsid w:val="00784F79"/>
    <w:rsid w:val="00785662"/>
    <w:rsid w:val="0078704A"/>
    <w:rsid w:val="0078772D"/>
    <w:rsid w:val="00787A2C"/>
    <w:rsid w:val="00790DF6"/>
    <w:rsid w:val="007926C2"/>
    <w:rsid w:val="00792FDF"/>
    <w:rsid w:val="00794FB0"/>
    <w:rsid w:val="007950AF"/>
    <w:rsid w:val="00795B61"/>
    <w:rsid w:val="00797523"/>
    <w:rsid w:val="00797C87"/>
    <w:rsid w:val="00797F73"/>
    <w:rsid w:val="007A2242"/>
    <w:rsid w:val="007A4F58"/>
    <w:rsid w:val="007B0BD1"/>
    <w:rsid w:val="007B24DE"/>
    <w:rsid w:val="007B27F8"/>
    <w:rsid w:val="007B3FBE"/>
    <w:rsid w:val="007B4E39"/>
    <w:rsid w:val="007B562A"/>
    <w:rsid w:val="007B616B"/>
    <w:rsid w:val="007B705C"/>
    <w:rsid w:val="007B70B7"/>
    <w:rsid w:val="007B7A49"/>
    <w:rsid w:val="007B7BD9"/>
    <w:rsid w:val="007C04C2"/>
    <w:rsid w:val="007C08A5"/>
    <w:rsid w:val="007C11C6"/>
    <w:rsid w:val="007C13EB"/>
    <w:rsid w:val="007C2E9B"/>
    <w:rsid w:val="007C423E"/>
    <w:rsid w:val="007C4352"/>
    <w:rsid w:val="007C43C9"/>
    <w:rsid w:val="007C4598"/>
    <w:rsid w:val="007C5790"/>
    <w:rsid w:val="007C6DCE"/>
    <w:rsid w:val="007C7545"/>
    <w:rsid w:val="007D0436"/>
    <w:rsid w:val="007D2977"/>
    <w:rsid w:val="007D2DF4"/>
    <w:rsid w:val="007D334C"/>
    <w:rsid w:val="007D34D1"/>
    <w:rsid w:val="007D3A79"/>
    <w:rsid w:val="007D422A"/>
    <w:rsid w:val="007D55CF"/>
    <w:rsid w:val="007D5E56"/>
    <w:rsid w:val="007D6B1F"/>
    <w:rsid w:val="007D73FB"/>
    <w:rsid w:val="007E0823"/>
    <w:rsid w:val="007E120D"/>
    <w:rsid w:val="007E1F9A"/>
    <w:rsid w:val="007E4797"/>
    <w:rsid w:val="007E5C48"/>
    <w:rsid w:val="007E66E1"/>
    <w:rsid w:val="007F0EC1"/>
    <w:rsid w:val="007F185F"/>
    <w:rsid w:val="007F1AA3"/>
    <w:rsid w:val="007F223B"/>
    <w:rsid w:val="007F24BD"/>
    <w:rsid w:val="007F2C5A"/>
    <w:rsid w:val="007F2FC6"/>
    <w:rsid w:val="007F4BDF"/>
    <w:rsid w:val="007F5E0C"/>
    <w:rsid w:val="007F5F2A"/>
    <w:rsid w:val="007F729F"/>
    <w:rsid w:val="007F7F3A"/>
    <w:rsid w:val="00801BE1"/>
    <w:rsid w:val="0080234C"/>
    <w:rsid w:val="0080360E"/>
    <w:rsid w:val="00803815"/>
    <w:rsid w:val="00803DED"/>
    <w:rsid w:val="00804B55"/>
    <w:rsid w:val="00804C63"/>
    <w:rsid w:val="00804FD5"/>
    <w:rsid w:val="00804FED"/>
    <w:rsid w:val="00806E73"/>
    <w:rsid w:val="0081094C"/>
    <w:rsid w:val="00811228"/>
    <w:rsid w:val="00811660"/>
    <w:rsid w:val="00813698"/>
    <w:rsid w:val="00813BB9"/>
    <w:rsid w:val="00815B3D"/>
    <w:rsid w:val="00816497"/>
    <w:rsid w:val="00817362"/>
    <w:rsid w:val="00820160"/>
    <w:rsid w:val="00820AF4"/>
    <w:rsid w:val="00821073"/>
    <w:rsid w:val="00823414"/>
    <w:rsid w:val="00824790"/>
    <w:rsid w:val="00824CE4"/>
    <w:rsid w:val="008253C2"/>
    <w:rsid w:val="00825726"/>
    <w:rsid w:val="00830AAD"/>
    <w:rsid w:val="00830C65"/>
    <w:rsid w:val="00831B71"/>
    <w:rsid w:val="00834993"/>
    <w:rsid w:val="00836A70"/>
    <w:rsid w:val="00837D33"/>
    <w:rsid w:val="00842AD7"/>
    <w:rsid w:val="00843DC9"/>
    <w:rsid w:val="00846817"/>
    <w:rsid w:val="00846D85"/>
    <w:rsid w:val="00846D92"/>
    <w:rsid w:val="00851B97"/>
    <w:rsid w:val="0085239D"/>
    <w:rsid w:val="008528BB"/>
    <w:rsid w:val="00853A4D"/>
    <w:rsid w:val="008567BF"/>
    <w:rsid w:val="00856859"/>
    <w:rsid w:val="00856B00"/>
    <w:rsid w:val="00856B84"/>
    <w:rsid w:val="0086063C"/>
    <w:rsid w:val="008612BA"/>
    <w:rsid w:val="00861CD4"/>
    <w:rsid w:val="00862EC2"/>
    <w:rsid w:val="0086404E"/>
    <w:rsid w:val="008643C5"/>
    <w:rsid w:val="008648EB"/>
    <w:rsid w:val="00865B0C"/>
    <w:rsid w:val="00867405"/>
    <w:rsid w:val="00867A2C"/>
    <w:rsid w:val="00867B07"/>
    <w:rsid w:val="00870CA4"/>
    <w:rsid w:val="00871AB0"/>
    <w:rsid w:val="00872307"/>
    <w:rsid w:val="00873277"/>
    <w:rsid w:val="008737E0"/>
    <w:rsid w:val="00873CE8"/>
    <w:rsid w:val="00874D4C"/>
    <w:rsid w:val="0087503C"/>
    <w:rsid w:val="0087534A"/>
    <w:rsid w:val="0087600F"/>
    <w:rsid w:val="00876F4C"/>
    <w:rsid w:val="008805B1"/>
    <w:rsid w:val="00880E15"/>
    <w:rsid w:val="008824CC"/>
    <w:rsid w:val="00882C41"/>
    <w:rsid w:val="008830DE"/>
    <w:rsid w:val="0088535C"/>
    <w:rsid w:val="008857B8"/>
    <w:rsid w:val="0088585E"/>
    <w:rsid w:val="00887136"/>
    <w:rsid w:val="00890B35"/>
    <w:rsid w:val="00891A0B"/>
    <w:rsid w:val="00891D1E"/>
    <w:rsid w:val="00892F9D"/>
    <w:rsid w:val="0089601D"/>
    <w:rsid w:val="0089625C"/>
    <w:rsid w:val="008A0288"/>
    <w:rsid w:val="008A034B"/>
    <w:rsid w:val="008A12F8"/>
    <w:rsid w:val="008A1E6E"/>
    <w:rsid w:val="008A4D1E"/>
    <w:rsid w:val="008A540F"/>
    <w:rsid w:val="008A5C1A"/>
    <w:rsid w:val="008B0AF0"/>
    <w:rsid w:val="008B23D9"/>
    <w:rsid w:val="008B2895"/>
    <w:rsid w:val="008B3543"/>
    <w:rsid w:val="008B3638"/>
    <w:rsid w:val="008B3AD6"/>
    <w:rsid w:val="008B3FCF"/>
    <w:rsid w:val="008B488C"/>
    <w:rsid w:val="008B51EE"/>
    <w:rsid w:val="008B61FD"/>
    <w:rsid w:val="008B7537"/>
    <w:rsid w:val="008B78DD"/>
    <w:rsid w:val="008B7E78"/>
    <w:rsid w:val="008C02FC"/>
    <w:rsid w:val="008C2314"/>
    <w:rsid w:val="008C3B5B"/>
    <w:rsid w:val="008C46BB"/>
    <w:rsid w:val="008D0ABB"/>
    <w:rsid w:val="008D0FD2"/>
    <w:rsid w:val="008D1808"/>
    <w:rsid w:val="008D1CCF"/>
    <w:rsid w:val="008D2D1D"/>
    <w:rsid w:val="008D3444"/>
    <w:rsid w:val="008D374A"/>
    <w:rsid w:val="008D3EF6"/>
    <w:rsid w:val="008D4DF5"/>
    <w:rsid w:val="008D545C"/>
    <w:rsid w:val="008D6E2F"/>
    <w:rsid w:val="008D736B"/>
    <w:rsid w:val="008E0235"/>
    <w:rsid w:val="008E1034"/>
    <w:rsid w:val="008E1468"/>
    <w:rsid w:val="008E4218"/>
    <w:rsid w:val="008F043A"/>
    <w:rsid w:val="008F1353"/>
    <w:rsid w:val="008F1D97"/>
    <w:rsid w:val="008F2817"/>
    <w:rsid w:val="008F6129"/>
    <w:rsid w:val="008F6443"/>
    <w:rsid w:val="008F6A91"/>
    <w:rsid w:val="008F7794"/>
    <w:rsid w:val="00902F61"/>
    <w:rsid w:val="00903982"/>
    <w:rsid w:val="00903C27"/>
    <w:rsid w:val="00904389"/>
    <w:rsid w:val="00904C66"/>
    <w:rsid w:val="00905A8C"/>
    <w:rsid w:val="009067FF"/>
    <w:rsid w:val="00907510"/>
    <w:rsid w:val="00911BF6"/>
    <w:rsid w:val="00911C0A"/>
    <w:rsid w:val="00912EE8"/>
    <w:rsid w:val="00912F3F"/>
    <w:rsid w:val="00913394"/>
    <w:rsid w:val="00915237"/>
    <w:rsid w:val="00915A76"/>
    <w:rsid w:val="00915DD7"/>
    <w:rsid w:val="00920105"/>
    <w:rsid w:val="009201DB"/>
    <w:rsid w:val="009212E6"/>
    <w:rsid w:val="0092174D"/>
    <w:rsid w:val="00921C79"/>
    <w:rsid w:val="00922B32"/>
    <w:rsid w:val="0092373F"/>
    <w:rsid w:val="00924594"/>
    <w:rsid w:val="009254C0"/>
    <w:rsid w:val="00925A7E"/>
    <w:rsid w:val="00926D4D"/>
    <w:rsid w:val="00931058"/>
    <w:rsid w:val="00932A69"/>
    <w:rsid w:val="009332AF"/>
    <w:rsid w:val="009334BE"/>
    <w:rsid w:val="00933901"/>
    <w:rsid w:val="009343C9"/>
    <w:rsid w:val="00935307"/>
    <w:rsid w:val="0093755F"/>
    <w:rsid w:val="00937EDA"/>
    <w:rsid w:val="0094066E"/>
    <w:rsid w:val="009410E9"/>
    <w:rsid w:val="009422D1"/>
    <w:rsid w:val="0094336C"/>
    <w:rsid w:val="00943ED8"/>
    <w:rsid w:val="00943F48"/>
    <w:rsid w:val="0094414C"/>
    <w:rsid w:val="00944763"/>
    <w:rsid w:val="00947687"/>
    <w:rsid w:val="00950FF9"/>
    <w:rsid w:val="00952F8D"/>
    <w:rsid w:val="00954125"/>
    <w:rsid w:val="00954413"/>
    <w:rsid w:val="009565BC"/>
    <w:rsid w:val="0095759D"/>
    <w:rsid w:val="00960D81"/>
    <w:rsid w:val="00961CA9"/>
    <w:rsid w:val="00962AFB"/>
    <w:rsid w:val="00963191"/>
    <w:rsid w:val="009633FD"/>
    <w:rsid w:val="00963E14"/>
    <w:rsid w:val="0096562A"/>
    <w:rsid w:val="00966519"/>
    <w:rsid w:val="00966D05"/>
    <w:rsid w:val="009735C4"/>
    <w:rsid w:val="00974668"/>
    <w:rsid w:val="00975044"/>
    <w:rsid w:val="00976B79"/>
    <w:rsid w:val="0098188A"/>
    <w:rsid w:val="00984779"/>
    <w:rsid w:val="009847EF"/>
    <w:rsid w:val="00985942"/>
    <w:rsid w:val="00985F0E"/>
    <w:rsid w:val="00987A9B"/>
    <w:rsid w:val="00987CA5"/>
    <w:rsid w:val="0099148A"/>
    <w:rsid w:val="00993259"/>
    <w:rsid w:val="00993848"/>
    <w:rsid w:val="00993E30"/>
    <w:rsid w:val="0099492C"/>
    <w:rsid w:val="009953C3"/>
    <w:rsid w:val="00995D19"/>
    <w:rsid w:val="00995D94"/>
    <w:rsid w:val="00997718"/>
    <w:rsid w:val="009A1A72"/>
    <w:rsid w:val="009A20AA"/>
    <w:rsid w:val="009A302E"/>
    <w:rsid w:val="009A49E5"/>
    <w:rsid w:val="009A5B39"/>
    <w:rsid w:val="009A7D0E"/>
    <w:rsid w:val="009A7F8F"/>
    <w:rsid w:val="009B0BF7"/>
    <w:rsid w:val="009B2E2C"/>
    <w:rsid w:val="009B35C0"/>
    <w:rsid w:val="009B3DE9"/>
    <w:rsid w:val="009B4635"/>
    <w:rsid w:val="009B50EE"/>
    <w:rsid w:val="009B55C2"/>
    <w:rsid w:val="009B60D0"/>
    <w:rsid w:val="009B7266"/>
    <w:rsid w:val="009C015E"/>
    <w:rsid w:val="009C02B2"/>
    <w:rsid w:val="009C054B"/>
    <w:rsid w:val="009C0C64"/>
    <w:rsid w:val="009C1BDD"/>
    <w:rsid w:val="009C29AF"/>
    <w:rsid w:val="009C2B8E"/>
    <w:rsid w:val="009C3173"/>
    <w:rsid w:val="009C427A"/>
    <w:rsid w:val="009C48B1"/>
    <w:rsid w:val="009C5BEC"/>
    <w:rsid w:val="009C6F4D"/>
    <w:rsid w:val="009C7004"/>
    <w:rsid w:val="009D0B4B"/>
    <w:rsid w:val="009D1B63"/>
    <w:rsid w:val="009D216A"/>
    <w:rsid w:val="009D2A89"/>
    <w:rsid w:val="009D3597"/>
    <w:rsid w:val="009D56FE"/>
    <w:rsid w:val="009D6A08"/>
    <w:rsid w:val="009D7330"/>
    <w:rsid w:val="009E1952"/>
    <w:rsid w:val="009E20FB"/>
    <w:rsid w:val="009E3474"/>
    <w:rsid w:val="009E38AA"/>
    <w:rsid w:val="009E5207"/>
    <w:rsid w:val="009E5902"/>
    <w:rsid w:val="009E6A7F"/>
    <w:rsid w:val="009E77AF"/>
    <w:rsid w:val="009E7B08"/>
    <w:rsid w:val="009F00DC"/>
    <w:rsid w:val="009F0817"/>
    <w:rsid w:val="009F0A1C"/>
    <w:rsid w:val="009F13C7"/>
    <w:rsid w:val="009F1F11"/>
    <w:rsid w:val="009F27C8"/>
    <w:rsid w:val="009F2C52"/>
    <w:rsid w:val="009F39C0"/>
    <w:rsid w:val="009F3C8E"/>
    <w:rsid w:val="009F5BD5"/>
    <w:rsid w:val="009F663C"/>
    <w:rsid w:val="009F7379"/>
    <w:rsid w:val="009F7444"/>
    <w:rsid w:val="009F76F1"/>
    <w:rsid w:val="00A00082"/>
    <w:rsid w:val="00A0028E"/>
    <w:rsid w:val="00A00A27"/>
    <w:rsid w:val="00A00C87"/>
    <w:rsid w:val="00A01E60"/>
    <w:rsid w:val="00A04D0F"/>
    <w:rsid w:val="00A05A9A"/>
    <w:rsid w:val="00A05BFA"/>
    <w:rsid w:val="00A05D16"/>
    <w:rsid w:val="00A07CA0"/>
    <w:rsid w:val="00A1010D"/>
    <w:rsid w:val="00A111A2"/>
    <w:rsid w:val="00A11324"/>
    <w:rsid w:val="00A12480"/>
    <w:rsid w:val="00A13E3A"/>
    <w:rsid w:val="00A152D9"/>
    <w:rsid w:val="00A15AB0"/>
    <w:rsid w:val="00A15CDC"/>
    <w:rsid w:val="00A16CD4"/>
    <w:rsid w:val="00A204D1"/>
    <w:rsid w:val="00A231E5"/>
    <w:rsid w:val="00A24176"/>
    <w:rsid w:val="00A25231"/>
    <w:rsid w:val="00A25858"/>
    <w:rsid w:val="00A25F12"/>
    <w:rsid w:val="00A2642E"/>
    <w:rsid w:val="00A26466"/>
    <w:rsid w:val="00A3461C"/>
    <w:rsid w:val="00A3774F"/>
    <w:rsid w:val="00A41B19"/>
    <w:rsid w:val="00A41DF9"/>
    <w:rsid w:val="00A434E1"/>
    <w:rsid w:val="00A43BA6"/>
    <w:rsid w:val="00A46AEE"/>
    <w:rsid w:val="00A47A77"/>
    <w:rsid w:val="00A515E0"/>
    <w:rsid w:val="00A5190E"/>
    <w:rsid w:val="00A53A83"/>
    <w:rsid w:val="00A53B79"/>
    <w:rsid w:val="00A5565D"/>
    <w:rsid w:val="00A57787"/>
    <w:rsid w:val="00A57A90"/>
    <w:rsid w:val="00A61735"/>
    <w:rsid w:val="00A63B8F"/>
    <w:rsid w:val="00A6524B"/>
    <w:rsid w:val="00A66135"/>
    <w:rsid w:val="00A664D1"/>
    <w:rsid w:val="00A6698C"/>
    <w:rsid w:val="00A7096F"/>
    <w:rsid w:val="00A7102E"/>
    <w:rsid w:val="00A719A1"/>
    <w:rsid w:val="00A72843"/>
    <w:rsid w:val="00A742CE"/>
    <w:rsid w:val="00A809E8"/>
    <w:rsid w:val="00A811AC"/>
    <w:rsid w:val="00A81F31"/>
    <w:rsid w:val="00A81FD3"/>
    <w:rsid w:val="00A825F6"/>
    <w:rsid w:val="00A82A9F"/>
    <w:rsid w:val="00A8531C"/>
    <w:rsid w:val="00A869C6"/>
    <w:rsid w:val="00A870FD"/>
    <w:rsid w:val="00A875DA"/>
    <w:rsid w:val="00A91C9B"/>
    <w:rsid w:val="00A92085"/>
    <w:rsid w:val="00A95438"/>
    <w:rsid w:val="00A966F4"/>
    <w:rsid w:val="00AA0B22"/>
    <w:rsid w:val="00AA144C"/>
    <w:rsid w:val="00AA1A18"/>
    <w:rsid w:val="00AA1AA5"/>
    <w:rsid w:val="00AA24FD"/>
    <w:rsid w:val="00AA36E6"/>
    <w:rsid w:val="00AA4A61"/>
    <w:rsid w:val="00AA6376"/>
    <w:rsid w:val="00AA6996"/>
    <w:rsid w:val="00AA779C"/>
    <w:rsid w:val="00AB00CF"/>
    <w:rsid w:val="00AB141F"/>
    <w:rsid w:val="00AB207F"/>
    <w:rsid w:val="00AB2ABA"/>
    <w:rsid w:val="00AB2BDB"/>
    <w:rsid w:val="00AB39EC"/>
    <w:rsid w:val="00AB446D"/>
    <w:rsid w:val="00AB4AA3"/>
    <w:rsid w:val="00AB57C6"/>
    <w:rsid w:val="00AB65D8"/>
    <w:rsid w:val="00AB7379"/>
    <w:rsid w:val="00AC17CF"/>
    <w:rsid w:val="00AC1CB6"/>
    <w:rsid w:val="00AC1FDA"/>
    <w:rsid w:val="00AC2991"/>
    <w:rsid w:val="00AC4247"/>
    <w:rsid w:val="00AC5407"/>
    <w:rsid w:val="00AC7247"/>
    <w:rsid w:val="00AC7C02"/>
    <w:rsid w:val="00AD1D75"/>
    <w:rsid w:val="00AD42AC"/>
    <w:rsid w:val="00AD4D89"/>
    <w:rsid w:val="00AD529F"/>
    <w:rsid w:val="00AD561A"/>
    <w:rsid w:val="00AD59F9"/>
    <w:rsid w:val="00AD5B19"/>
    <w:rsid w:val="00AD5D8E"/>
    <w:rsid w:val="00AD685D"/>
    <w:rsid w:val="00AE0850"/>
    <w:rsid w:val="00AE21BE"/>
    <w:rsid w:val="00AE221C"/>
    <w:rsid w:val="00AE3FEA"/>
    <w:rsid w:val="00AE44A4"/>
    <w:rsid w:val="00AE5018"/>
    <w:rsid w:val="00AE69C2"/>
    <w:rsid w:val="00AE6AC0"/>
    <w:rsid w:val="00AE6B58"/>
    <w:rsid w:val="00AE712E"/>
    <w:rsid w:val="00AE762C"/>
    <w:rsid w:val="00AF21CE"/>
    <w:rsid w:val="00AF24FF"/>
    <w:rsid w:val="00AF28BB"/>
    <w:rsid w:val="00AF2D22"/>
    <w:rsid w:val="00AF3ADF"/>
    <w:rsid w:val="00AF4A39"/>
    <w:rsid w:val="00AF4E48"/>
    <w:rsid w:val="00AF544C"/>
    <w:rsid w:val="00AF56AB"/>
    <w:rsid w:val="00AF6098"/>
    <w:rsid w:val="00AF7B4D"/>
    <w:rsid w:val="00B006C0"/>
    <w:rsid w:val="00B00A3A"/>
    <w:rsid w:val="00B00E5C"/>
    <w:rsid w:val="00B016FD"/>
    <w:rsid w:val="00B01913"/>
    <w:rsid w:val="00B03A5B"/>
    <w:rsid w:val="00B052A5"/>
    <w:rsid w:val="00B0531B"/>
    <w:rsid w:val="00B057D2"/>
    <w:rsid w:val="00B05CF9"/>
    <w:rsid w:val="00B0691F"/>
    <w:rsid w:val="00B07D02"/>
    <w:rsid w:val="00B1013D"/>
    <w:rsid w:val="00B1020A"/>
    <w:rsid w:val="00B111B9"/>
    <w:rsid w:val="00B11AEF"/>
    <w:rsid w:val="00B11BBF"/>
    <w:rsid w:val="00B12886"/>
    <w:rsid w:val="00B12B02"/>
    <w:rsid w:val="00B12D06"/>
    <w:rsid w:val="00B12F8F"/>
    <w:rsid w:val="00B14052"/>
    <w:rsid w:val="00B15318"/>
    <w:rsid w:val="00B16B53"/>
    <w:rsid w:val="00B16C01"/>
    <w:rsid w:val="00B16CAF"/>
    <w:rsid w:val="00B17565"/>
    <w:rsid w:val="00B20002"/>
    <w:rsid w:val="00B22580"/>
    <w:rsid w:val="00B234BA"/>
    <w:rsid w:val="00B25126"/>
    <w:rsid w:val="00B256EC"/>
    <w:rsid w:val="00B25AF6"/>
    <w:rsid w:val="00B260B7"/>
    <w:rsid w:val="00B26409"/>
    <w:rsid w:val="00B26639"/>
    <w:rsid w:val="00B307B9"/>
    <w:rsid w:val="00B30B72"/>
    <w:rsid w:val="00B31830"/>
    <w:rsid w:val="00B31E6B"/>
    <w:rsid w:val="00B323A5"/>
    <w:rsid w:val="00B334F6"/>
    <w:rsid w:val="00B3497F"/>
    <w:rsid w:val="00B34BF3"/>
    <w:rsid w:val="00B373ED"/>
    <w:rsid w:val="00B37462"/>
    <w:rsid w:val="00B37F2F"/>
    <w:rsid w:val="00B405C1"/>
    <w:rsid w:val="00B4088C"/>
    <w:rsid w:val="00B41E5E"/>
    <w:rsid w:val="00B420F1"/>
    <w:rsid w:val="00B42B1C"/>
    <w:rsid w:val="00B46902"/>
    <w:rsid w:val="00B51453"/>
    <w:rsid w:val="00B525E6"/>
    <w:rsid w:val="00B52FB3"/>
    <w:rsid w:val="00B53310"/>
    <w:rsid w:val="00B5341C"/>
    <w:rsid w:val="00B53EEB"/>
    <w:rsid w:val="00B53F42"/>
    <w:rsid w:val="00B553CF"/>
    <w:rsid w:val="00B55C9C"/>
    <w:rsid w:val="00B568EF"/>
    <w:rsid w:val="00B56B62"/>
    <w:rsid w:val="00B60325"/>
    <w:rsid w:val="00B61A7C"/>
    <w:rsid w:val="00B622DD"/>
    <w:rsid w:val="00B62D6F"/>
    <w:rsid w:val="00B6402A"/>
    <w:rsid w:val="00B650FA"/>
    <w:rsid w:val="00B65C18"/>
    <w:rsid w:val="00B670A8"/>
    <w:rsid w:val="00B674A0"/>
    <w:rsid w:val="00B6752B"/>
    <w:rsid w:val="00B7131A"/>
    <w:rsid w:val="00B72B93"/>
    <w:rsid w:val="00B72D81"/>
    <w:rsid w:val="00B73931"/>
    <w:rsid w:val="00B74575"/>
    <w:rsid w:val="00B764CF"/>
    <w:rsid w:val="00B77044"/>
    <w:rsid w:val="00B77490"/>
    <w:rsid w:val="00B77BEA"/>
    <w:rsid w:val="00B80521"/>
    <w:rsid w:val="00B8093E"/>
    <w:rsid w:val="00B8247E"/>
    <w:rsid w:val="00B82B12"/>
    <w:rsid w:val="00B84C5E"/>
    <w:rsid w:val="00B85B52"/>
    <w:rsid w:val="00B86453"/>
    <w:rsid w:val="00B86DBF"/>
    <w:rsid w:val="00B87BC9"/>
    <w:rsid w:val="00B87CBC"/>
    <w:rsid w:val="00B87DF0"/>
    <w:rsid w:val="00B9037D"/>
    <w:rsid w:val="00B90D01"/>
    <w:rsid w:val="00B93346"/>
    <w:rsid w:val="00B95EDE"/>
    <w:rsid w:val="00B964A7"/>
    <w:rsid w:val="00B970CE"/>
    <w:rsid w:val="00BA0153"/>
    <w:rsid w:val="00BA04D1"/>
    <w:rsid w:val="00BA053F"/>
    <w:rsid w:val="00BA07BE"/>
    <w:rsid w:val="00BA09D4"/>
    <w:rsid w:val="00BA0ECB"/>
    <w:rsid w:val="00BA11EB"/>
    <w:rsid w:val="00BA13A2"/>
    <w:rsid w:val="00BA1F14"/>
    <w:rsid w:val="00BA2D75"/>
    <w:rsid w:val="00BA2F4C"/>
    <w:rsid w:val="00BA4103"/>
    <w:rsid w:val="00BA5182"/>
    <w:rsid w:val="00BA5A5E"/>
    <w:rsid w:val="00BA65A0"/>
    <w:rsid w:val="00BB0369"/>
    <w:rsid w:val="00BB0386"/>
    <w:rsid w:val="00BB1861"/>
    <w:rsid w:val="00BB1F23"/>
    <w:rsid w:val="00BB21B5"/>
    <w:rsid w:val="00BB5A55"/>
    <w:rsid w:val="00BB7207"/>
    <w:rsid w:val="00BC1F69"/>
    <w:rsid w:val="00BC4906"/>
    <w:rsid w:val="00BC77CF"/>
    <w:rsid w:val="00BD0052"/>
    <w:rsid w:val="00BD1CC6"/>
    <w:rsid w:val="00BD3DB5"/>
    <w:rsid w:val="00BD4149"/>
    <w:rsid w:val="00BD44B6"/>
    <w:rsid w:val="00BD52E7"/>
    <w:rsid w:val="00BD6780"/>
    <w:rsid w:val="00BE1074"/>
    <w:rsid w:val="00BE37BA"/>
    <w:rsid w:val="00BE3D61"/>
    <w:rsid w:val="00BE3F26"/>
    <w:rsid w:val="00BE4A05"/>
    <w:rsid w:val="00BE616C"/>
    <w:rsid w:val="00BE6316"/>
    <w:rsid w:val="00BE651D"/>
    <w:rsid w:val="00BF00ED"/>
    <w:rsid w:val="00BF0100"/>
    <w:rsid w:val="00BF389E"/>
    <w:rsid w:val="00BF4B10"/>
    <w:rsid w:val="00BF5D32"/>
    <w:rsid w:val="00BF79F3"/>
    <w:rsid w:val="00C00692"/>
    <w:rsid w:val="00C0094E"/>
    <w:rsid w:val="00C044D2"/>
    <w:rsid w:val="00C056CE"/>
    <w:rsid w:val="00C06DC9"/>
    <w:rsid w:val="00C10706"/>
    <w:rsid w:val="00C1204F"/>
    <w:rsid w:val="00C12D55"/>
    <w:rsid w:val="00C140F0"/>
    <w:rsid w:val="00C146B3"/>
    <w:rsid w:val="00C14937"/>
    <w:rsid w:val="00C149B6"/>
    <w:rsid w:val="00C171B9"/>
    <w:rsid w:val="00C172A7"/>
    <w:rsid w:val="00C17EE9"/>
    <w:rsid w:val="00C211D7"/>
    <w:rsid w:val="00C23910"/>
    <w:rsid w:val="00C23F55"/>
    <w:rsid w:val="00C24B55"/>
    <w:rsid w:val="00C25B06"/>
    <w:rsid w:val="00C27015"/>
    <w:rsid w:val="00C27031"/>
    <w:rsid w:val="00C27396"/>
    <w:rsid w:val="00C30631"/>
    <w:rsid w:val="00C308BA"/>
    <w:rsid w:val="00C33E47"/>
    <w:rsid w:val="00C34822"/>
    <w:rsid w:val="00C366F3"/>
    <w:rsid w:val="00C37A53"/>
    <w:rsid w:val="00C37CF8"/>
    <w:rsid w:val="00C40939"/>
    <w:rsid w:val="00C42660"/>
    <w:rsid w:val="00C42D62"/>
    <w:rsid w:val="00C43CD5"/>
    <w:rsid w:val="00C43D5B"/>
    <w:rsid w:val="00C44C99"/>
    <w:rsid w:val="00C44F49"/>
    <w:rsid w:val="00C45C18"/>
    <w:rsid w:val="00C47690"/>
    <w:rsid w:val="00C479B7"/>
    <w:rsid w:val="00C5103D"/>
    <w:rsid w:val="00C536ED"/>
    <w:rsid w:val="00C53BFC"/>
    <w:rsid w:val="00C55085"/>
    <w:rsid w:val="00C562C3"/>
    <w:rsid w:val="00C60301"/>
    <w:rsid w:val="00C60F57"/>
    <w:rsid w:val="00C63013"/>
    <w:rsid w:val="00C6570E"/>
    <w:rsid w:val="00C65881"/>
    <w:rsid w:val="00C667CE"/>
    <w:rsid w:val="00C705B9"/>
    <w:rsid w:val="00C711F4"/>
    <w:rsid w:val="00C71DEE"/>
    <w:rsid w:val="00C73EF8"/>
    <w:rsid w:val="00C74445"/>
    <w:rsid w:val="00C76426"/>
    <w:rsid w:val="00C76F65"/>
    <w:rsid w:val="00C77230"/>
    <w:rsid w:val="00C81E83"/>
    <w:rsid w:val="00C84063"/>
    <w:rsid w:val="00C843C5"/>
    <w:rsid w:val="00C84588"/>
    <w:rsid w:val="00C84796"/>
    <w:rsid w:val="00C850C2"/>
    <w:rsid w:val="00C85689"/>
    <w:rsid w:val="00C86201"/>
    <w:rsid w:val="00C86D87"/>
    <w:rsid w:val="00C91532"/>
    <w:rsid w:val="00C93209"/>
    <w:rsid w:val="00C932FE"/>
    <w:rsid w:val="00C93A41"/>
    <w:rsid w:val="00C94C31"/>
    <w:rsid w:val="00C95D89"/>
    <w:rsid w:val="00C96090"/>
    <w:rsid w:val="00CA1C04"/>
    <w:rsid w:val="00CA2DE2"/>
    <w:rsid w:val="00CA5206"/>
    <w:rsid w:val="00CA64F8"/>
    <w:rsid w:val="00CA6998"/>
    <w:rsid w:val="00CA727A"/>
    <w:rsid w:val="00CB008D"/>
    <w:rsid w:val="00CB0519"/>
    <w:rsid w:val="00CB0941"/>
    <w:rsid w:val="00CB1757"/>
    <w:rsid w:val="00CB376C"/>
    <w:rsid w:val="00CB3E08"/>
    <w:rsid w:val="00CB48B3"/>
    <w:rsid w:val="00CB48DC"/>
    <w:rsid w:val="00CB49ED"/>
    <w:rsid w:val="00CB5350"/>
    <w:rsid w:val="00CB6000"/>
    <w:rsid w:val="00CB7813"/>
    <w:rsid w:val="00CC00BA"/>
    <w:rsid w:val="00CC2F37"/>
    <w:rsid w:val="00CC33FB"/>
    <w:rsid w:val="00CC3ED2"/>
    <w:rsid w:val="00CC4031"/>
    <w:rsid w:val="00CC43E0"/>
    <w:rsid w:val="00CC5362"/>
    <w:rsid w:val="00CC5758"/>
    <w:rsid w:val="00CC579C"/>
    <w:rsid w:val="00CC7A38"/>
    <w:rsid w:val="00CD00AC"/>
    <w:rsid w:val="00CD0C31"/>
    <w:rsid w:val="00CD0CC8"/>
    <w:rsid w:val="00CD1FF3"/>
    <w:rsid w:val="00CD3CE8"/>
    <w:rsid w:val="00CD523F"/>
    <w:rsid w:val="00CD5B15"/>
    <w:rsid w:val="00CD61FD"/>
    <w:rsid w:val="00CD6DF6"/>
    <w:rsid w:val="00CD799E"/>
    <w:rsid w:val="00CD7C7C"/>
    <w:rsid w:val="00CE1047"/>
    <w:rsid w:val="00CE135F"/>
    <w:rsid w:val="00CE41F1"/>
    <w:rsid w:val="00CE48A9"/>
    <w:rsid w:val="00CE5059"/>
    <w:rsid w:val="00CE52A6"/>
    <w:rsid w:val="00CE6C3D"/>
    <w:rsid w:val="00CE7796"/>
    <w:rsid w:val="00CF14D1"/>
    <w:rsid w:val="00CF1E45"/>
    <w:rsid w:val="00CF1FCF"/>
    <w:rsid w:val="00CF312D"/>
    <w:rsid w:val="00CF539E"/>
    <w:rsid w:val="00CF56BC"/>
    <w:rsid w:val="00CF599C"/>
    <w:rsid w:val="00CF77C3"/>
    <w:rsid w:val="00D00135"/>
    <w:rsid w:val="00D0090C"/>
    <w:rsid w:val="00D0270C"/>
    <w:rsid w:val="00D03B74"/>
    <w:rsid w:val="00D03C4A"/>
    <w:rsid w:val="00D04150"/>
    <w:rsid w:val="00D04B1D"/>
    <w:rsid w:val="00D04C62"/>
    <w:rsid w:val="00D05FCC"/>
    <w:rsid w:val="00D0611A"/>
    <w:rsid w:val="00D06416"/>
    <w:rsid w:val="00D067C4"/>
    <w:rsid w:val="00D078E6"/>
    <w:rsid w:val="00D10D6D"/>
    <w:rsid w:val="00D1201E"/>
    <w:rsid w:val="00D12AA0"/>
    <w:rsid w:val="00D13AB9"/>
    <w:rsid w:val="00D164F8"/>
    <w:rsid w:val="00D179D6"/>
    <w:rsid w:val="00D2066B"/>
    <w:rsid w:val="00D23FDE"/>
    <w:rsid w:val="00D24186"/>
    <w:rsid w:val="00D276EC"/>
    <w:rsid w:val="00D308AC"/>
    <w:rsid w:val="00D30F7B"/>
    <w:rsid w:val="00D316FD"/>
    <w:rsid w:val="00D31E2D"/>
    <w:rsid w:val="00D34632"/>
    <w:rsid w:val="00D355A7"/>
    <w:rsid w:val="00D35F14"/>
    <w:rsid w:val="00D376D7"/>
    <w:rsid w:val="00D37813"/>
    <w:rsid w:val="00D37B66"/>
    <w:rsid w:val="00D37C91"/>
    <w:rsid w:val="00D407B3"/>
    <w:rsid w:val="00D42038"/>
    <w:rsid w:val="00D44357"/>
    <w:rsid w:val="00D444CD"/>
    <w:rsid w:val="00D46001"/>
    <w:rsid w:val="00D4649D"/>
    <w:rsid w:val="00D47753"/>
    <w:rsid w:val="00D50673"/>
    <w:rsid w:val="00D61518"/>
    <w:rsid w:val="00D621B4"/>
    <w:rsid w:val="00D633FE"/>
    <w:rsid w:val="00D63EE4"/>
    <w:rsid w:val="00D67555"/>
    <w:rsid w:val="00D7128B"/>
    <w:rsid w:val="00D742DF"/>
    <w:rsid w:val="00D74D9F"/>
    <w:rsid w:val="00D757DF"/>
    <w:rsid w:val="00D75C78"/>
    <w:rsid w:val="00D76184"/>
    <w:rsid w:val="00D767D6"/>
    <w:rsid w:val="00D76C1B"/>
    <w:rsid w:val="00D77997"/>
    <w:rsid w:val="00D812A5"/>
    <w:rsid w:val="00D8130B"/>
    <w:rsid w:val="00D81874"/>
    <w:rsid w:val="00D81E1F"/>
    <w:rsid w:val="00D82D6A"/>
    <w:rsid w:val="00D836EB"/>
    <w:rsid w:val="00D84521"/>
    <w:rsid w:val="00D84A05"/>
    <w:rsid w:val="00D84BC0"/>
    <w:rsid w:val="00D856F6"/>
    <w:rsid w:val="00D864F2"/>
    <w:rsid w:val="00D86C54"/>
    <w:rsid w:val="00D90581"/>
    <w:rsid w:val="00D923DA"/>
    <w:rsid w:val="00D93B54"/>
    <w:rsid w:val="00D945EB"/>
    <w:rsid w:val="00D946DD"/>
    <w:rsid w:val="00D95BDD"/>
    <w:rsid w:val="00D96194"/>
    <w:rsid w:val="00DA0E7A"/>
    <w:rsid w:val="00DA18C8"/>
    <w:rsid w:val="00DA1918"/>
    <w:rsid w:val="00DA2E18"/>
    <w:rsid w:val="00DA2F20"/>
    <w:rsid w:val="00DA34AE"/>
    <w:rsid w:val="00DA43F9"/>
    <w:rsid w:val="00DA4426"/>
    <w:rsid w:val="00DA5DEA"/>
    <w:rsid w:val="00DA5E92"/>
    <w:rsid w:val="00DA71A4"/>
    <w:rsid w:val="00DB0A6F"/>
    <w:rsid w:val="00DB1101"/>
    <w:rsid w:val="00DB11C1"/>
    <w:rsid w:val="00DB160C"/>
    <w:rsid w:val="00DB16FE"/>
    <w:rsid w:val="00DB1941"/>
    <w:rsid w:val="00DB38B0"/>
    <w:rsid w:val="00DB3B5F"/>
    <w:rsid w:val="00DB429C"/>
    <w:rsid w:val="00DB4471"/>
    <w:rsid w:val="00DB4AD2"/>
    <w:rsid w:val="00DB5ABC"/>
    <w:rsid w:val="00DB6244"/>
    <w:rsid w:val="00DB7CB2"/>
    <w:rsid w:val="00DB7E66"/>
    <w:rsid w:val="00DC0EFC"/>
    <w:rsid w:val="00DC1325"/>
    <w:rsid w:val="00DC1740"/>
    <w:rsid w:val="00DC2C4C"/>
    <w:rsid w:val="00DC32A3"/>
    <w:rsid w:val="00DC3FC3"/>
    <w:rsid w:val="00DC4801"/>
    <w:rsid w:val="00DC548A"/>
    <w:rsid w:val="00DC6BB9"/>
    <w:rsid w:val="00DC7068"/>
    <w:rsid w:val="00DD0A69"/>
    <w:rsid w:val="00DD0CA7"/>
    <w:rsid w:val="00DD29FF"/>
    <w:rsid w:val="00DD2E67"/>
    <w:rsid w:val="00DD363F"/>
    <w:rsid w:val="00DD39D2"/>
    <w:rsid w:val="00DD3AA5"/>
    <w:rsid w:val="00DD3D84"/>
    <w:rsid w:val="00DD55C2"/>
    <w:rsid w:val="00DD6A75"/>
    <w:rsid w:val="00DD7E9D"/>
    <w:rsid w:val="00DE174F"/>
    <w:rsid w:val="00DE1ECD"/>
    <w:rsid w:val="00DE2836"/>
    <w:rsid w:val="00DE299F"/>
    <w:rsid w:val="00DE3F5B"/>
    <w:rsid w:val="00DE4B0B"/>
    <w:rsid w:val="00DE58C3"/>
    <w:rsid w:val="00DE6486"/>
    <w:rsid w:val="00DF0179"/>
    <w:rsid w:val="00DF0193"/>
    <w:rsid w:val="00DF1251"/>
    <w:rsid w:val="00DF139E"/>
    <w:rsid w:val="00DF2BA5"/>
    <w:rsid w:val="00DF2D21"/>
    <w:rsid w:val="00DF35E4"/>
    <w:rsid w:val="00DF4830"/>
    <w:rsid w:val="00DF5794"/>
    <w:rsid w:val="00DF7257"/>
    <w:rsid w:val="00DF746B"/>
    <w:rsid w:val="00E00382"/>
    <w:rsid w:val="00E017F9"/>
    <w:rsid w:val="00E02241"/>
    <w:rsid w:val="00E03925"/>
    <w:rsid w:val="00E04CFF"/>
    <w:rsid w:val="00E04F8E"/>
    <w:rsid w:val="00E068DD"/>
    <w:rsid w:val="00E06CAD"/>
    <w:rsid w:val="00E06CAE"/>
    <w:rsid w:val="00E10CD4"/>
    <w:rsid w:val="00E110E3"/>
    <w:rsid w:val="00E1208F"/>
    <w:rsid w:val="00E13117"/>
    <w:rsid w:val="00E155A6"/>
    <w:rsid w:val="00E17226"/>
    <w:rsid w:val="00E200CA"/>
    <w:rsid w:val="00E20279"/>
    <w:rsid w:val="00E20A64"/>
    <w:rsid w:val="00E2144E"/>
    <w:rsid w:val="00E2373C"/>
    <w:rsid w:val="00E2406C"/>
    <w:rsid w:val="00E2420A"/>
    <w:rsid w:val="00E246A5"/>
    <w:rsid w:val="00E24D42"/>
    <w:rsid w:val="00E2503E"/>
    <w:rsid w:val="00E26684"/>
    <w:rsid w:val="00E2705A"/>
    <w:rsid w:val="00E30BC4"/>
    <w:rsid w:val="00E3168A"/>
    <w:rsid w:val="00E31DA4"/>
    <w:rsid w:val="00E32509"/>
    <w:rsid w:val="00E3422A"/>
    <w:rsid w:val="00E3487E"/>
    <w:rsid w:val="00E3629A"/>
    <w:rsid w:val="00E41DCC"/>
    <w:rsid w:val="00E42842"/>
    <w:rsid w:val="00E43E2F"/>
    <w:rsid w:val="00E4511A"/>
    <w:rsid w:val="00E454CE"/>
    <w:rsid w:val="00E4589B"/>
    <w:rsid w:val="00E500C8"/>
    <w:rsid w:val="00E52674"/>
    <w:rsid w:val="00E54505"/>
    <w:rsid w:val="00E55AC6"/>
    <w:rsid w:val="00E566EB"/>
    <w:rsid w:val="00E613BC"/>
    <w:rsid w:val="00E61529"/>
    <w:rsid w:val="00E61DA9"/>
    <w:rsid w:val="00E6464C"/>
    <w:rsid w:val="00E64911"/>
    <w:rsid w:val="00E64F7A"/>
    <w:rsid w:val="00E65BEE"/>
    <w:rsid w:val="00E65E42"/>
    <w:rsid w:val="00E663BE"/>
    <w:rsid w:val="00E66873"/>
    <w:rsid w:val="00E672F0"/>
    <w:rsid w:val="00E70474"/>
    <w:rsid w:val="00E70AF2"/>
    <w:rsid w:val="00E713D9"/>
    <w:rsid w:val="00E7389F"/>
    <w:rsid w:val="00E7587A"/>
    <w:rsid w:val="00E75A93"/>
    <w:rsid w:val="00E7602E"/>
    <w:rsid w:val="00E80208"/>
    <w:rsid w:val="00E8057D"/>
    <w:rsid w:val="00E806E9"/>
    <w:rsid w:val="00E8142A"/>
    <w:rsid w:val="00E81809"/>
    <w:rsid w:val="00E832C4"/>
    <w:rsid w:val="00E83334"/>
    <w:rsid w:val="00E8351E"/>
    <w:rsid w:val="00E83F19"/>
    <w:rsid w:val="00E85771"/>
    <w:rsid w:val="00E86A37"/>
    <w:rsid w:val="00E920B9"/>
    <w:rsid w:val="00E9247B"/>
    <w:rsid w:val="00E93164"/>
    <w:rsid w:val="00E95BDA"/>
    <w:rsid w:val="00EA00ED"/>
    <w:rsid w:val="00EA024C"/>
    <w:rsid w:val="00EA0E4D"/>
    <w:rsid w:val="00EA246F"/>
    <w:rsid w:val="00EA338D"/>
    <w:rsid w:val="00EA3536"/>
    <w:rsid w:val="00EA3942"/>
    <w:rsid w:val="00EA3B19"/>
    <w:rsid w:val="00EA5B24"/>
    <w:rsid w:val="00EA5EAB"/>
    <w:rsid w:val="00EB09C1"/>
    <w:rsid w:val="00EB0C1B"/>
    <w:rsid w:val="00EB0F3A"/>
    <w:rsid w:val="00EB3ACF"/>
    <w:rsid w:val="00EB3E20"/>
    <w:rsid w:val="00EB4FB2"/>
    <w:rsid w:val="00EB6334"/>
    <w:rsid w:val="00EB6558"/>
    <w:rsid w:val="00EB686E"/>
    <w:rsid w:val="00EB7989"/>
    <w:rsid w:val="00EB7D1B"/>
    <w:rsid w:val="00EC0D84"/>
    <w:rsid w:val="00EC1521"/>
    <w:rsid w:val="00EC17D9"/>
    <w:rsid w:val="00EC4F2B"/>
    <w:rsid w:val="00ED0216"/>
    <w:rsid w:val="00ED172C"/>
    <w:rsid w:val="00ED1F0C"/>
    <w:rsid w:val="00ED2E4B"/>
    <w:rsid w:val="00ED3946"/>
    <w:rsid w:val="00ED4336"/>
    <w:rsid w:val="00ED5568"/>
    <w:rsid w:val="00ED5E25"/>
    <w:rsid w:val="00ED6068"/>
    <w:rsid w:val="00ED708E"/>
    <w:rsid w:val="00ED7AEA"/>
    <w:rsid w:val="00EE0940"/>
    <w:rsid w:val="00EE4FAD"/>
    <w:rsid w:val="00EE5383"/>
    <w:rsid w:val="00EF05CA"/>
    <w:rsid w:val="00EF2009"/>
    <w:rsid w:val="00EF2F8A"/>
    <w:rsid w:val="00EF3272"/>
    <w:rsid w:val="00EF4756"/>
    <w:rsid w:val="00EF4F3C"/>
    <w:rsid w:val="00F00A2F"/>
    <w:rsid w:val="00F00FB8"/>
    <w:rsid w:val="00F0173C"/>
    <w:rsid w:val="00F03A19"/>
    <w:rsid w:val="00F04EE0"/>
    <w:rsid w:val="00F0647B"/>
    <w:rsid w:val="00F07BC3"/>
    <w:rsid w:val="00F10298"/>
    <w:rsid w:val="00F11AA3"/>
    <w:rsid w:val="00F12662"/>
    <w:rsid w:val="00F12C10"/>
    <w:rsid w:val="00F1514C"/>
    <w:rsid w:val="00F162FC"/>
    <w:rsid w:val="00F16663"/>
    <w:rsid w:val="00F16A0D"/>
    <w:rsid w:val="00F178EF"/>
    <w:rsid w:val="00F2060B"/>
    <w:rsid w:val="00F20ED0"/>
    <w:rsid w:val="00F20F63"/>
    <w:rsid w:val="00F21322"/>
    <w:rsid w:val="00F214A9"/>
    <w:rsid w:val="00F216C5"/>
    <w:rsid w:val="00F22052"/>
    <w:rsid w:val="00F2260B"/>
    <w:rsid w:val="00F2471D"/>
    <w:rsid w:val="00F24ABE"/>
    <w:rsid w:val="00F265D2"/>
    <w:rsid w:val="00F277C1"/>
    <w:rsid w:val="00F278A4"/>
    <w:rsid w:val="00F27AFB"/>
    <w:rsid w:val="00F304F1"/>
    <w:rsid w:val="00F3113C"/>
    <w:rsid w:val="00F32334"/>
    <w:rsid w:val="00F33661"/>
    <w:rsid w:val="00F33C2A"/>
    <w:rsid w:val="00F351E6"/>
    <w:rsid w:val="00F35D8D"/>
    <w:rsid w:val="00F36025"/>
    <w:rsid w:val="00F3620F"/>
    <w:rsid w:val="00F37325"/>
    <w:rsid w:val="00F3787D"/>
    <w:rsid w:val="00F403F6"/>
    <w:rsid w:val="00F4074A"/>
    <w:rsid w:val="00F419AB"/>
    <w:rsid w:val="00F4294C"/>
    <w:rsid w:val="00F44445"/>
    <w:rsid w:val="00F46201"/>
    <w:rsid w:val="00F47B34"/>
    <w:rsid w:val="00F50FB0"/>
    <w:rsid w:val="00F5471F"/>
    <w:rsid w:val="00F54D6F"/>
    <w:rsid w:val="00F54E39"/>
    <w:rsid w:val="00F55FF2"/>
    <w:rsid w:val="00F607B5"/>
    <w:rsid w:val="00F60E93"/>
    <w:rsid w:val="00F61ED2"/>
    <w:rsid w:val="00F62080"/>
    <w:rsid w:val="00F636BB"/>
    <w:rsid w:val="00F63D94"/>
    <w:rsid w:val="00F64F51"/>
    <w:rsid w:val="00F6585D"/>
    <w:rsid w:val="00F67008"/>
    <w:rsid w:val="00F71003"/>
    <w:rsid w:val="00F7107C"/>
    <w:rsid w:val="00F727BB"/>
    <w:rsid w:val="00F72F4E"/>
    <w:rsid w:val="00F731E6"/>
    <w:rsid w:val="00F74465"/>
    <w:rsid w:val="00F75C6E"/>
    <w:rsid w:val="00F7602C"/>
    <w:rsid w:val="00F76AC4"/>
    <w:rsid w:val="00F811BF"/>
    <w:rsid w:val="00F814FE"/>
    <w:rsid w:val="00F81F9D"/>
    <w:rsid w:val="00F8296A"/>
    <w:rsid w:val="00F831B9"/>
    <w:rsid w:val="00F832F9"/>
    <w:rsid w:val="00F8391A"/>
    <w:rsid w:val="00F84152"/>
    <w:rsid w:val="00F84395"/>
    <w:rsid w:val="00F87C95"/>
    <w:rsid w:val="00F90DAB"/>
    <w:rsid w:val="00F92DDA"/>
    <w:rsid w:val="00F94650"/>
    <w:rsid w:val="00F94EA1"/>
    <w:rsid w:val="00F95069"/>
    <w:rsid w:val="00F95108"/>
    <w:rsid w:val="00F95C06"/>
    <w:rsid w:val="00F95FF6"/>
    <w:rsid w:val="00F97434"/>
    <w:rsid w:val="00FA02AC"/>
    <w:rsid w:val="00FA13DF"/>
    <w:rsid w:val="00FA1CD4"/>
    <w:rsid w:val="00FA4CE2"/>
    <w:rsid w:val="00FA5DB6"/>
    <w:rsid w:val="00FA6B6B"/>
    <w:rsid w:val="00FA6D49"/>
    <w:rsid w:val="00FB167B"/>
    <w:rsid w:val="00FB1B14"/>
    <w:rsid w:val="00FB2D9E"/>
    <w:rsid w:val="00FB3AEC"/>
    <w:rsid w:val="00FB3F6F"/>
    <w:rsid w:val="00FB6722"/>
    <w:rsid w:val="00FB6D61"/>
    <w:rsid w:val="00FB76FA"/>
    <w:rsid w:val="00FB7DEE"/>
    <w:rsid w:val="00FC3527"/>
    <w:rsid w:val="00FC4498"/>
    <w:rsid w:val="00FC58EF"/>
    <w:rsid w:val="00FC62F8"/>
    <w:rsid w:val="00FD2753"/>
    <w:rsid w:val="00FD4CDA"/>
    <w:rsid w:val="00FD5417"/>
    <w:rsid w:val="00FD6793"/>
    <w:rsid w:val="00FE0158"/>
    <w:rsid w:val="00FE15A1"/>
    <w:rsid w:val="00FE192D"/>
    <w:rsid w:val="00FE1A32"/>
    <w:rsid w:val="00FE22B3"/>
    <w:rsid w:val="00FE3D2C"/>
    <w:rsid w:val="00FE4455"/>
    <w:rsid w:val="00FE44FD"/>
    <w:rsid w:val="00FE525B"/>
    <w:rsid w:val="00FE56B2"/>
    <w:rsid w:val="00FE77F0"/>
    <w:rsid w:val="00FF1211"/>
    <w:rsid w:val="00FF21C9"/>
    <w:rsid w:val="00FF30ED"/>
    <w:rsid w:val="00FF40C6"/>
    <w:rsid w:val="00FF4F2F"/>
    <w:rsid w:val="00FF5260"/>
    <w:rsid w:val="00FF59D4"/>
    <w:rsid w:val="00FF619A"/>
    <w:rsid w:val="00FF6EFB"/>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DBCDA"/>
  <w15:docId w15:val="{F25504F5-E8F9-0A43-9827-57440B3E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1"/>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unhideWhenUsed/>
    <w:rsid w:val="00FB167B"/>
    <w:pPr>
      <w:spacing w:after="120" w:line="480" w:lineRule="auto"/>
    </w:pPr>
  </w:style>
  <w:style w:type="character" w:customStyle="1" w:styleId="BodyText2Char">
    <w:name w:val="Body Text 2 Char"/>
    <w:basedOn w:val="DefaultParagraphFont"/>
    <w:link w:val="BodyText2"/>
    <w:uiPriority w:val="99"/>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20"/>
      </w:numPr>
      <w:contextualSpacing/>
    </w:pPr>
  </w:style>
  <w:style w:type="paragraph" w:styleId="ListBullet2">
    <w:name w:val="List Bullet 2"/>
    <w:basedOn w:val="Normal"/>
    <w:uiPriority w:val="99"/>
    <w:semiHidden/>
    <w:unhideWhenUsed/>
    <w:rsid w:val="00FB167B"/>
    <w:pPr>
      <w:numPr>
        <w:numId w:val="21"/>
      </w:numPr>
      <w:contextualSpacing/>
    </w:pPr>
  </w:style>
  <w:style w:type="paragraph" w:styleId="ListBullet3">
    <w:name w:val="List Bullet 3"/>
    <w:basedOn w:val="Normal"/>
    <w:uiPriority w:val="99"/>
    <w:semiHidden/>
    <w:unhideWhenUsed/>
    <w:rsid w:val="00FB167B"/>
    <w:pPr>
      <w:numPr>
        <w:numId w:val="22"/>
      </w:numPr>
      <w:contextualSpacing/>
    </w:pPr>
  </w:style>
  <w:style w:type="paragraph" w:styleId="ListBullet4">
    <w:name w:val="List Bullet 4"/>
    <w:basedOn w:val="Normal"/>
    <w:uiPriority w:val="99"/>
    <w:semiHidden/>
    <w:unhideWhenUsed/>
    <w:rsid w:val="00FB167B"/>
    <w:pPr>
      <w:numPr>
        <w:numId w:val="23"/>
      </w:numPr>
      <w:contextualSpacing/>
    </w:pPr>
  </w:style>
  <w:style w:type="paragraph" w:styleId="ListBullet5">
    <w:name w:val="List Bullet 5"/>
    <w:basedOn w:val="Normal"/>
    <w:uiPriority w:val="99"/>
    <w:semiHidden/>
    <w:unhideWhenUsed/>
    <w:rsid w:val="00FB167B"/>
    <w:pPr>
      <w:numPr>
        <w:numId w:val="24"/>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25"/>
      </w:numPr>
      <w:contextualSpacing/>
    </w:pPr>
  </w:style>
  <w:style w:type="paragraph" w:styleId="ListNumber2">
    <w:name w:val="List Number 2"/>
    <w:basedOn w:val="Normal"/>
    <w:uiPriority w:val="99"/>
    <w:semiHidden/>
    <w:unhideWhenUsed/>
    <w:rsid w:val="00FB167B"/>
    <w:pPr>
      <w:numPr>
        <w:numId w:val="26"/>
      </w:numPr>
      <w:contextualSpacing/>
    </w:pPr>
  </w:style>
  <w:style w:type="paragraph" w:styleId="ListNumber3">
    <w:name w:val="List Number 3"/>
    <w:basedOn w:val="Normal"/>
    <w:uiPriority w:val="99"/>
    <w:semiHidden/>
    <w:unhideWhenUsed/>
    <w:rsid w:val="00FB167B"/>
    <w:pPr>
      <w:numPr>
        <w:numId w:val="27"/>
      </w:numPr>
      <w:contextualSpacing/>
    </w:pPr>
  </w:style>
  <w:style w:type="paragraph" w:styleId="ListNumber4">
    <w:name w:val="List Number 4"/>
    <w:basedOn w:val="Normal"/>
    <w:uiPriority w:val="99"/>
    <w:semiHidden/>
    <w:unhideWhenUsed/>
    <w:rsid w:val="00FB167B"/>
    <w:pPr>
      <w:numPr>
        <w:numId w:val="28"/>
      </w:numPr>
      <w:contextualSpacing/>
    </w:pPr>
  </w:style>
  <w:style w:type="paragraph" w:styleId="ListNumber5">
    <w:name w:val="List Number 5"/>
    <w:basedOn w:val="Normal"/>
    <w:uiPriority w:val="99"/>
    <w:semiHidden/>
    <w:unhideWhenUsed/>
    <w:rsid w:val="00FB167B"/>
    <w:pPr>
      <w:numPr>
        <w:numId w:val="29"/>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semiHidden/>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f11">
    <w:name w:val="cf11"/>
    <w:basedOn w:val="DefaultParagraphFont"/>
    <w:rsid w:val="006C7EAA"/>
    <w:rPr>
      <w:rFonts w:ascii="Segoe UI" w:hAnsi="Segoe UI" w:cs="Segoe UI" w:hint="default"/>
      <w:sz w:val="18"/>
      <w:szCs w:val="18"/>
    </w:rPr>
  </w:style>
  <w:style w:type="character" w:customStyle="1" w:styleId="glossary-link">
    <w:name w:val="glossary-link"/>
    <w:basedOn w:val="DefaultParagraphFont"/>
    <w:rsid w:val="00867405"/>
  </w:style>
  <w:style w:type="character" w:customStyle="1" w:styleId="UnresolvedMention2">
    <w:name w:val="Unresolved Mention2"/>
    <w:basedOn w:val="DefaultParagraphFont"/>
    <w:uiPriority w:val="99"/>
    <w:semiHidden/>
    <w:unhideWhenUsed/>
    <w:rsid w:val="00867405"/>
    <w:rPr>
      <w:color w:val="605E5C"/>
      <w:shd w:val="clear" w:color="auto" w:fill="E1DFDD"/>
    </w:rPr>
  </w:style>
  <w:style w:type="character" w:styleId="Strong">
    <w:name w:val="Strong"/>
    <w:basedOn w:val="DefaultParagraphFont"/>
    <w:uiPriority w:val="22"/>
    <w:qFormat/>
    <w:rsid w:val="00724C0D"/>
    <w:rPr>
      <w:b/>
      <w:bCs/>
    </w:rPr>
  </w:style>
  <w:style w:type="character" w:customStyle="1" w:styleId="period">
    <w:name w:val="period"/>
    <w:basedOn w:val="DefaultParagraphFont"/>
    <w:rsid w:val="000469C4"/>
  </w:style>
  <w:style w:type="character" w:customStyle="1" w:styleId="cit">
    <w:name w:val="cit"/>
    <w:basedOn w:val="DefaultParagraphFont"/>
    <w:rsid w:val="000469C4"/>
  </w:style>
  <w:style w:type="character" w:customStyle="1" w:styleId="citation-doi">
    <w:name w:val="citation-doi"/>
    <w:basedOn w:val="DefaultParagraphFont"/>
    <w:rsid w:val="000469C4"/>
  </w:style>
  <w:style w:type="character" w:customStyle="1" w:styleId="secondary-date">
    <w:name w:val="secondary-date"/>
    <w:basedOn w:val="DefaultParagraphFont"/>
    <w:rsid w:val="000469C4"/>
  </w:style>
  <w:style w:type="paragraph" w:customStyle="1" w:styleId="dontsplit">
    <w:name w:val="dontsplit"/>
    <w:basedOn w:val="Normal"/>
    <w:rsid w:val="00DA34AE"/>
    <w:pPr>
      <w:spacing w:before="100" w:beforeAutospacing="1" w:after="100" w:afterAutospacing="1"/>
    </w:pPr>
  </w:style>
  <w:style w:type="character" w:styleId="UnresolvedMention">
    <w:name w:val="Unresolved Mention"/>
    <w:basedOn w:val="DefaultParagraphFont"/>
    <w:uiPriority w:val="99"/>
    <w:semiHidden/>
    <w:unhideWhenUsed/>
    <w:rsid w:val="00A825F6"/>
    <w:rPr>
      <w:color w:val="605E5C"/>
      <w:shd w:val="clear" w:color="auto" w:fill="E1DFDD"/>
    </w:rPr>
  </w:style>
  <w:style w:type="character" w:customStyle="1" w:styleId="bkciteavail">
    <w:name w:val="bk_cite_avail"/>
    <w:basedOn w:val="DefaultParagraphFont"/>
    <w:rsid w:val="00D4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101">
      <w:bodyDiv w:val="1"/>
      <w:marLeft w:val="0"/>
      <w:marRight w:val="0"/>
      <w:marTop w:val="0"/>
      <w:marBottom w:val="0"/>
      <w:divBdr>
        <w:top w:val="none" w:sz="0" w:space="0" w:color="auto"/>
        <w:left w:val="none" w:sz="0" w:space="0" w:color="auto"/>
        <w:bottom w:val="none" w:sz="0" w:space="0" w:color="auto"/>
        <w:right w:val="none" w:sz="0" w:space="0" w:color="auto"/>
      </w:divBdr>
      <w:divsChild>
        <w:div w:id="1732381280">
          <w:marLeft w:val="0"/>
          <w:marRight w:val="0"/>
          <w:marTop w:val="0"/>
          <w:marBottom w:val="0"/>
          <w:divBdr>
            <w:top w:val="none" w:sz="0" w:space="0" w:color="auto"/>
            <w:left w:val="none" w:sz="0" w:space="0" w:color="auto"/>
            <w:bottom w:val="none" w:sz="0" w:space="0" w:color="auto"/>
            <w:right w:val="none" w:sz="0" w:space="0" w:color="auto"/>
          </w:divBdr>
          <w:divsChild>
            <w:div w:id="469589738">
              <w:marLeft w:val="0"/>
              <w:marRight w:val="0"/>
              <w:marTop w:val="0"/>
              <w:marBottom w:val="0"/>
              <w:divBdr>
                <w:top w:val="none" w:sz="0" w:space="0" w:color="auto"/>
                <w:left w:val="none" w:sz="0" w:space="0" w:color="auto"/>
                <w:bottom w:val="none" w:sz="0" w:space="0" w:color="auto"/>
                <w:right w:val="none" w:sz="0" w:space="0" w:color="auto"/>
              </w:divBdr>
              <w:divsChild>
                <w:div w:id="1121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0447274">
      <w:bodyDiv w:val="1"/>
      <w:marLeft w:val="0"/>
      <w:marRight w:val="0"/>
      <w:marTop w:val="0"/>
      <w:marBottom w:val="0"/>
      <w:divBdr>
        <w:top w:val="none" w:sz="0" w:space="0" w:color="auto"/>
        <w:left w:val="none" w:sz="0" w:space="0" w:color="auto"/>
        <w:bottom w:val="none" w:sz="0" w:space="0" w:color="auto"/>
        <w:right w:val="none" w:sz="0" w:space="0" w:color="auto"/>
      </w:divBdr>
    </w:div>
    <w:div w:id="44456615">
      <w:bodyDiv w:val="1"/>
      <w:marLeft w:val="0"/>
      <w:marRight w:val="0"/>
      <w:marTop w:val="0"/>
      <w:marBottom w:val="0"/>
      <w:divBdr>
        <w:top w:val="none" w:sz="0" w:space="0" w:color="auto"/>
        <w:left w:val="none" w:sz="0" w:space="0" w:color="auto"/>
        <w:bottom w:val="none" w:sz="0" w:space="0" w:color="auto"/>
        <w:right w:val="none" w:sz="0" w:space="0" w:color="auto"/>
      </w:divBdr>
      <w:divsChild>
        <w:div w:id="1180899303">
          <w:marLeft w:val="0"/>
          <w:marRight w:val="0"/>
          <w:marTop w:val="0"/>
          <w:marBottom w:val="0"/>
          <w:divBdr>
            <w:top w:val="none" w:sz="0" w:space="0" w:color="auto"/>
            <w:left w:val="none" w:sz="0" w:space="0" w:color="auto"/>
            <w:bottom w:val="none" w:sz="0" w:space="0" w:color="auto"/>
            <w:right w:val="none" w:sz="0" w:space="0" w:color="auto"/>
          </w:divBdr>
          <w:divsChild>
            <w:div w:id="2096196320">
              <w:marLeft w:val="0"/>
              <w:marRight w:val="0"/>
              <w:marTop w:val="0"/>
              <w:marBottom w:val="0"/>
              <w:divBdr>
                <w:top w:val="none" w:sz="0" w:space="0" w:color="auto"/>
                <w:left w:val="none" w:sz="0" w:space="0" w:color="auto"/>
                <w:bottom w:val="none" w:sz="0" w:space="0" w:color="auto"/>
                <w:right w:val="none" w:sz="0" w:space="0" w:color="auto"/>
              </w:divBdr>
              <w:divsChild>
                <w:div w:id="14365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4862">
      <w:bodyDiv w:val="1"/>
      <w:marLeft w:val="0"/>
      <w:marRight w:val="0"/>
      <w:marTop w:val="0"/>
      <w:marBottom w:val="0"/>
      <w:divBdr>
        <w:top w:val="none" w:sz="0" w:space="0" w:color="auto"/>
        <w:left w:val="none" w:sz="0" w:space="0" w:color="auto"/>
        <w:bottom w:val="none" w:sz="0" w:space="0" w:color="auto"/>
        <w:right w:val="none" w:sz="0" w:space="0" w:color="auto"/>
      </w:divBdr>
      <w:divsChild>
        <w:div w:id="1585722955">
          <w:marLeft w:val="0"/>
          <w:marRight w:val="0"/>
          <w:marTop w:val="0"/>
          <w:marBottom w:val="0"/>
          <w:divBdr>
            <w:top w:val="none" w:sz="0" w:space="0" w:color="auto"/>
            <w:left w:val="none" w:sz="0" w:space="0" w:color="auto"/>
            <w:bottom w:val="none" w:sz="0" w:space="0" w:color="auto"/>
            <w:right w:val="none" w:sz="0" w:space="0" w:color="auto"/>
          </w:divBdr>
          <w:divsChild>
            <w:div w:id="262491434">
              <w:marLeft w:val="0"/>
              <w:marRight w:val="0"/>
              <w:marTop w:val="0"/>
              <w:marBottom w:val="0"/>
              <w:divBdr>
                <w:top w:val="none" w:sz="0" w:space="0" w:color="auto"/>
                <w:left w:val="none" w:sz="0" w:space="0" w:color="auto"/>
                <w:bottom w:val="none" w:sz="0" w:space="0" w:color="auto"/>
                <w:right w:val="none" w:sz="0" w:space="0" w:color="auto"/>
              </w:divBdr>
              <w:divsChild>
                <w:div w:id="581135598">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6324">
      <w:bodyDiv w:val="1"/>
      <w:marLeft w:val="0"/>
      <w:marRight w:val="0"/>
      <w:marTop w:val="0"/>
      <w:marBottom w:val="0"/>
      <w:divBdr>
        <w:top w:val="none" w:sz="0" w:space="0" w:color="auto"/>
        <w:left w:val="none" w:sz="0" w:space="0" w:color="auto"/>
        <w:bottom w:val="none" w:sz="0" w:space="0" w:color="auto"/>
        <w:right w:val="none" w:sz="0" w:space="0" w:color="auto"/>
      </w:divBdr>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97143344">
      <w:bodyDiv w:val="1"/>
      <w:marLeft w:val="0"/>
      <w:marRight w:val="0"/>
      <w:marTop w:val="0"/>
      <w:marBottom w:val="0"/>
      <w:divBdr>
        <w:top w:val="none" w:sz="0" w:space="0" w:color="auto"/>
        <w:left w:val="none" w:sz="0" w:space="0" w:color="auto"/>
        <w:bottom w:val="none" w:sz="0" w:space="0" w:color="auto"/>
        <w:right w:val="none" w:sz="0" w:space="0" w:color="auto"/>
      </w:divBdr>
      <w:divsChild>
        <w:div w:id="1782071587">
          <w:marLeft w:val="0"/>
          <w:marRight w:val="0"/>
          <w:marTop w:val="0"/>
          <w:marBottom w:val="0"/>
          <w:divBdr>
            <w:top w:val="none" w:sz="0" w:space="0" w:color="auto"/>
            <w:left w:val="none" w:sz="0" w:space="0" w:color="auto"/>
            <w:bottom w:val="none" w:sz="0" w:space="0" w:color="auto"/>
            <w:right w:val="none" w:sz="0" w:space="0" w:color="auto"/>
          </w:divBdr>
          <w:divsChild>
            <w:div w:id="1685396985">
              <w:marLeft w:val="0"/>
              <w:marRight w:val="0"/>
              <w:marTop w:val="0"/>
              <w:marBottom w:val="0"/>
              <w:divBdr>
                <w:top w:val="none" w:sz="0" w:space="0" w:color="auto"/>
                <w:left w:val="none" w:sz="0" w:space="0" w:color="auto"/>
                <w:bottom w:val="none" w:sz="0" w:space="0" w:color="auto"/>
                <w:right w:val="none" w:sz="0" w:space="0" w:color="auto"/>
              </w:divBdr>
              <w:divsChild>
                <w:div w:id="13565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5684049">
      <w:bodyDiv w:val="1"/>
      <w:marLeft w:val="0"/>
      <w:marRight w:val="0"/>
      <w:marTop w:val="0"/>
      <w:marBottom w:val="0"/>
      <w:divBdr>
        <w:top w:val="none" w:sz="0" w:space="0" w:color="auto"/>
        <w:left w:val="none" w:sz="0" w:space="0" w:color="auto"/>
        <w:bottom w:val="none" w:sz="0" w:space="0" w:color="auto"/>
        <w:right w:val="none" w:sz="0" w:space="0" w:color="auto"/>
      </w:divBdr>
      <w:divsChild>
        <w:div w:id="103117395">
          <w:marLeft w:val="0"/>
          <w:marRight w:val="0"/>
          <w:marTop w:val="0"/>
          <w:marBottom w:val="0"/>
          <w:divBdr>
            <w:top w:val="none" w:sz="0" w:space="0" w:color="auto"/>
            <w:left w:val="none" w:sz="0" w:space="0" w:color="auto"/>
            <w:bottom w:val="none" w:sz="0" w:space="0" w:color="auto"/>
            <w:right w:val="none" w:sz="0" w:space="0" w:color="auto"/>
          </w:divBdr>
          <w:divsChild>
            <w:div w:id="185142109">
              <w:marLeft w:val="0"/>
              <w:marRight w:val="0"/>
              <w:marTop w:val="0"/>
              <w:marBottom w:val="0"/>
              <w:divBdr>
                <w:top w:val="none" w:sz="0" w:space="0" w:color="auto"/>
                <w:left w:val="none" w:sz="0" w:space="0" w:color="auto"/>
                <w:bottom w:val="none" w:sz="0" w:space="0" w:color="auto"/>
                <w:right w:val="none" w:sz="0" w:space="0" w:color="auto"/>
              </w:divBdr>
              <w:divsChild>
                <w:div w:id="6098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39809602">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168376538">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3509">
      <w:bodyDiv w:val="1"/>
      <w:marLeft w:val="0"/>
      <w:marRight w:val="0"/>
      <w:marTop w:val="0"/>
      <w:marBottom w:val="0"/>
      <w:divBdr>
        <w:top w:val="none" w:sz="0" w:space="0" w:color="auto"/>
        <w:left w:val="none" w:sz="0" w:space="0" w:color="auto"/>
        <w:bottom w:val="none" w:sz="0" w:space="0" w:color="auto"/>
        <w:right w:val="none" w:sz="0" w:space="0" w:color="auto"/>
      </w:divBdr>
      <w:divsChild>
        <w:div w:id="2056852505">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sChild>
                <w:div w:id="527333814">
                  <w:marLeft w:val="0"/>
                  <w:marRight w:val="0"/>
                  <w:marTop w:val="0"/>
                  <w:marBottom w:val="0"/>
                  <w:divBdr>
                    <w:top w:val="none" w:sz="0" w:space="0" w:color="auto"/>
                    <w:left w:val="none" w:sz="0" w:space="0" w:color="auto"/>
                    <w:bottom w:val="none" w:sz="0" w:space="0" w:color="auto"/>
                    <w:right w:val="none" w:sz="0" w:space="0" w:color="auto"/>
                  </w:divBdr>
                  <w:divsChild>
                    <w:div w:id="2319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0452">
      <w:bodyDiv w:val="1"/>
      <w:marLeft w:val="0"/>
      <w:marRight w:val="0"/>
      <w:marTop w:val="0"/>
      <w:marBottom w:val="0"/>
      <w:divBdr>
        <w:top w:val="none" w:sz="0" w:space="0" w:color="auto"/>
        <w:left w:val="none" w:sz="0" w:space="0" w:color="auto"/>
        <w:bottom w:val="none" w:sz="0" w:space="0" w:color="auto"/>
        <w:right w:val="none" w:sz="0" w:space="0" w:color="auto"/>
      </w:divBdr>
      <w:divsChild>
        <w:div w:id="162816096">
          <w:marLeft w:val="1166"/>
          <w:marRight w:val="0"/>
          <w:marTop w:val="0"/>
          <w:marBottom w:val="0"/>
          <w:divBdr>
            <w:top w:val="none" w:sz="0" w:space="0" w:color="auto"/>
            <w:left w:val="none" w:sz="0" w:space="0" w:color="auto"/>
            <w:bottom w:val="none" w:sz="0" w:space="0" w:color="auto"/>
            <w:right w:val="none" w:sz="0" w:space="0" w:color="auto"/>
          </w:divBdr>
        </w:div>
        <w:div w:id="1138570049">
          <w:marLeft w:val="1166"/>
          <w:marRight w:val="0"/>
          <w:marTop w:val="0"/>
          <w:marBottom w:val="0"/>
          <w:divBdr>
            <w:top w:val="none" w:sz="0" w:space="0" w:color="auto"/>
            <w:left w:val="none" w:sz="0" w:space="0" w:color="auto"/>
            <w:bottom w:val="none" w:sz="0" w:space="0" w:color="auto"/>
            <w:right w:val="none" w:sz="0" w:space="0" w:color="auto"/>
          </w:divBdr>
        </w:div>
        <w:div w:id="1190607383">
          <w:marLeft w:val="446"/>
          <w:marRight w:val="0"/>
          <w:marTop w:val="0"/>
          <w:marBottom w:val="0"/>
          <w:divBdr>
            <w:top w:val="none" w:sz="0" w:space="0" w:color="auto"/>
            <w:left w:val="none" w:sz="0" w:space="0" w:color="auto"/>
            <w:bottom w:val="none" w:sz="0" w:space="0" w:color="auto"/>
            <w:right w:val="none" w:sz="0" w:space="0" w:color="auto"/>
          </w:divBdr>
        </w:div>
        <w:div w:id="1710227529">
          <w:marLeft w:val="446"/>
          <w:marRight w:val="0"/>
          <w:marTop w:val="0"/>
          <w:marBottom w:val="0"/>
          <w:divBdr>
            <w:top w:val="none" w:sz="0" w:space="0" w:color="auto"/>
            <w:left w:val="none" w:sz="0" w:space="0" w:color="auto"/>
            <w:bottom w:val="none" w:sz="0" w:space="0" w:color="auto"/>
            <w:right w:val="none" w:sz="0" w:space="0" w:color="auto"/>
          </w:divBdr>
        </w:div>
      </w:divsChild>
    </w:div>
    <w:div w:id="370495833">
      <w:bodyDiv w:val="1"/>
      <w:marLeft w:val="0"/>
      <w:marRight w:val="0"/>
      <w:marTop w:val="0"/>
      <w:marBottom w:val="0"/>
      <w:divBdr>
        <w:top w:val="none" w:sz="0" w:space="0" w:color="auto"/>
        <w:left w:val="none" w:sz="0" w:space="0" w:color="auto"/>
        <w:bottom w:val="none" w:sz="0" w:space="0" w:color="auto"/>
        <w:right w:val="none" w:sz="0" w:space="0" w:color="auto"/>
      </w:divBdr>
      <w:divsChild>
        <w:div w:id="299455825">
          <w:marLeft w:val="0"/>
          <w:marRight w:val="0"/>
          <w:marTop w:val="0"/>
          <w:marBottom w:val="0"/>
          <w:divBdr>
            <w:top w:val="none" w:sz="0" w:space="0" w:color="auto"/>
            <w:left w:val="none" w:sz="0" w:space="0" w:color="auto"/>
            <w:bottom w:val="none" w:sz="0" w:space="0" w:color="auto"/>
            <w:right w:val="none" w:sz="0" w:space="0" w:color="auto"/>
          </w:divBdr>
          <w:divsChild>
            <w:div w:id="1969696515">
              <w:marLeft w:val="0"/>
              <w:marRight w:val="0"/>
              <w:marTop w:val="0"/>
              <w:marBottom w:val="0"/>
              <w:divBdr>
                <w:top w:val="none" w:sz="0" w:space="0" w:color="auto"/>
                <w:left w:val="none" w:sz="0" w:space="0" w:color="auto"/>
                <w:bottom w:val="none" w:sz="0" w:space="0" w:color="auto"/>
                <w:right w:val="none" w:sz="0" w:space="0" w:color="auto"/>
              </w:divBdr>
              <w:divsChild>
                <w:div w:id="670719362">
                  <w:marLeft w:val="0"/>
                  <w:marRight w:val="0"/>
                  <w:marTop w:val="0"/>
                  <w:marBottom w:val="0"/>
                  <w:divBdr>
                    <w:top w:val="none" w:sz="0" w:space="0" w:color="auto"/>
                    <w:left w:val="none" w:sz="0" w:space="0" w:color="auto"/>
                    <w:bottom w:val="none" w:sz="0" w:space="0" w:color="auto"/>
                    <w:right w:val="none" w:sz="0" w:space="0" w:color="auto"/>
                  </w:divBdr>
                  <w:divsChild>
                    <w:div w:id="14860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5561">
      <w:bodyDiv w:val="1"/>
      <w:marLeft w:val="0"/>
      <w:marRight w:val="0"/>
      <w:marTop w:val="0"/>
      <w:marBottom w:val="0"/>
      <w:divBdr>
        <w:top w:val="none" w:sz="0" w:space="0" w:color="auto"/>
        <w:left w:val="none" w:sz="0" w:space="0" w:color="auto"/>
        <w:bottom w:val="none" w:sz="0" w:space="0" w:color="auto"/>
        <w:right w:val="none" w:sz="0" w:space="0" w:color="auto"/>
      </w:divBdr>
      <w:divsChild>
        <w:div w:id="116030887">
          <w:marLeft w:val="360"/>
          <w:marRight w:val="0"/>
          <w:marTop w:val="120"/>
          <w:marBottom w:val="0"/>
          <w:divBdr>
            <w:top w:val="none" w:sz="0" w:space="0" w:color="auto"/>
            <w:left w:val="none" w:sz="0" w:space="0" w:color="auto"/>
            <w:bottom w:val="none" w:sz="0" w:space="0" w:color="auto"/>
            <w:right w:val="none" w:sz="0" w:space="0" w:color="auto"/>
          </w:divBdr>
        </w:div>
      </w:divsChild>
    </w:div>
    <w:div w:id="439838177">
      <w:bodyDiv w:val="1"/>
      <w:marLeft w:val="0"/>
      <w:marRight w:val="0"/>
      <w:marTop w:val="0"/>
      <w:marBottom w:val="0"/>
      <w:divBdr>
        <w:top w:val="none" w:sz="0" w:space="0" w:color="auto"/>
        <w:left w:val="none" w:sz="0" w:space="0" w:color="auto"/>
        <w:bottom w:val="none" w:sz="0" w:space="0" w:color="auto"/>
        <w:right w:val="none" w:sz="0" w:space="0" w:color="auto"/>
      </w:divBdr>
      <w:divsChild>
        <w:div w:id="1905291566">
          <w:marLeft w:val="0"/>
          <w:marRight w:val="0"/>
          <w:marTop w:val="0"/>
          <w:marBottom w:val="0"/>
          <w:divBdr>
            <w:top w:val="none" w:sz="0" w:space="0" w:color="auto"/>
            <w:left w:val="none" w:sz="0" w:space="0" w:color="auto"/>
            <w:bottom w:val="none" w:sz="0" w:space="0" w:color="auto"/>
            <w:right w:val="none" w:sz="0" w:space="0" w:color="auto"/>
          </w:divBdr>
          <w:divsChild>
            <w:div w:id="1917007628">
              <w:marLeft w:val="0"/>
              <w:marRight w:val="0"/>
              <w:marTop w:val="0"/>
              <w:marBottom w:val="0"/>
              <w:divBdr>
                <w:top w:val="none" w:sz="0" w:space="0" w:color="auto"/>
                <w:left w:val="none" w:sz="0" w:space="0" w:color="auto"/>
                <w:bottom w:val="none" w:sz="0" w:space="0" w:color="auto"/>
                <w:right w:val="none" w:sz="0" w:space="0" w:color="auto"/>
              </w:divBdr>
              <w:divsChild>
                <w:div w:id="1789003175">
                  <w:marLeft w:val="0"/>
                  <w:marRight w:val="0"/>
                  <w:marTop w:val="0"/>
                  <w:marBottom w:val="0"/>
                  <w:divBdr>
                    <w:top w:val="none" w:sz="0" w:space="0" w:color="auto"/>
                    <w:left w:val="none" w:sz="0" w:space="0" w:color="auto"/>
                    <w:bottom w:val="none" w:sz="0" w:space="0" w:color="auto"/>
                    <w:right w:val="none" w:sz="0" w:space="0" w:color="auto"/>
                  </w:divBdr>
                  <w:divsChild>
                    <w:div w:id="2990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47335">
      <w:bodyDiv w:val="1"/>
      <w:marLeft w:val="0"/>
      <w:marRight w:val="0"/>
      <w:marTop w:val="0"/>
      <w:marBottom w:val="0"/>
      <w:divBdr>
        <w:top w:val="none" w:sz="0" w:space="0" w:color="auto"/>
        <w:left w:val="none" w:sz="0" w:space="0" w:color="auto"/>
        <w:bottom w:val="none" w:sz="0" w:space="0" w:color="auto"/>
        <w:right w:val="none" w:sz="0" w:space="0" w:color="auto"/>
      </w:divBdr>
      <w:divsChild>
        <w:div w:id="1156191237">
          <w:marLeft w:val="1080"/>
          <w:marRight w:val="0"/>
          <w:marTop w:val="0"/>
          <w:marBottom w:val="0"/>
          <w:divBdr>
            <w:top w:val="none" w:sz="0" w:space="0" w:color="auto"/>
            <w:left w:val="none" w:sz="0" w:space="0" w:color="auto"/>
            <w:bottom w:val="none" w:sz="0" w:space="0" w:color="auto"/>
            <w:right w:val="none" w:sz="0" w:space="0" w:color="auto"/>
          </w:divBdr>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5155">
      <w:bodyDiv w:val="1"/>
      <w:marLeft w:val="0"/>
      <w:marRight w:val="0"/>
      <w:marTop w:val="0"/>
      <w:marBottom w:val="0"/>
      <w:divBdr>
        <w:top w:val="none" w:sz="0" w:space="0" w:color="auto"/>
        <w:left w:val="none" w:sz="0" w:space="0" w:color="auto"/>
        <w:bottom w:val="none" w:sz="0" w:space="0" w:color="auto"/>
        <w:right w:val="none" w:sz="0" w:space="0" w:color="auto"/>
      </w:divBdr>
      <w:divsChild>
        <w:div w:id="1575159062">
          <w:marLeft w:val="0"/>
          <w:marRight w:val="0"/>
          <w:marTop w:val="0"/>
          <w:marBottom w:val="0"/>
          <w:divBdr>
            <w:top w:val="none" w:sz="0" w:space="0" w:color="auto"/>
            <w:left w:val="none" w:sz="0" w:space="0" w:color="auto"/>
            <w:bottom w:val="none" w:sz="0" w:space="0" w:color="auto"/>
            <w:right w:val="none" w:sz="0" w:space="0" w:color="auto"/>
          </w:divBdr>
          <w:divsChild>
            <w:div w:id="1875730955">
              <w:marLeft w:val="0"/>
              <w:marRight w:val="0"/>
              <w:marTop w:val="0"/>
              <w:marBottom w:val="0"/>
              <w:divBdr>
                <w:top w:val="none" w:sz="0" w:space="0" w:color="auto"/>
                <w:left w:val="none" w:sz="0" w:space="0" w:color="auto"/>
                <w:bottom w:val="none" w:sz="0" w:space="0" w:color="auto"/>
                <w:right w:val="none" w:sz="0" w:space="0" w:color="auto"/>
              </w:divBdr>
              <w:divsChild>
                <w:div w:id="2008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0312711">
      <w:bodyDiv w:val="1"/>
      <w:marLeft w:val="0"/>
      <w:marRight w:val="0"/>
      <w:marTop w:val="0"/>
      <w:marBottom w:val="0"/>
      <w:divBdr>
        <w:top w:val="none" w:sz="0" w:space="0" w:color="auto"/>
        <w:left w:val="none" w:sz="0" w:space="0" w:color="auto"/>
        <w:bottom w:val="none" w:sz="0" w:space="0" w:color="auto"/>
        <w:right w:val="none" w:sz="0" w:space="0" w:color="auto"/>
      </w:divBdr>
      <w:divsChild>
        <w:div w:id="804666823">
          <w:marLeft w:val="0"/>
          <w:marRight w:val="0"/>
          <w:marTop w:val="0"/>
          <w:marBottom w:val="0"/>
          <w:divBdr>
            <w:top w:val="none" w:sz="0" w:space="0" w:color="auto"/>
            <w:left w:val="none" w:sz="0" w:space="0" w:color="auto"/>
            <w:bottom w:val="none" w:sz="0" w:space="0" w:color="auto"/>
            <w:right w:val="none" w:sz="0" w:space="0" w:color="auto"/>
          </w:divBdr>
          <w:divsChild>
            <w:div w:id="992100444">
              <w:marLeft w:val="0"/>
              <w:marRight w:val="0"/>
              <w:marTop w:val="0"/>
              <w:marBottom w:val="0"/>
              <w:divBdr>
                <w:top w:val="none" w:sz="0" w:space="0" w:color="auto"/>
                <w:left w:val="none" w:sz="0" w:space="0" w:color="auto"/>
                <w:bottom w:val="none" w:sz="0" w:space="0" w:color="auto"/>
                <w:right w:val="none" w:sz="0" w:space="0" w:color="auto"/>
              </w:divBdr>
              <w:divsChild>
                <w:div w:id="1965189386">
                  <w:marLeft w:val="0"/>
                  <w:marRight w:val="0"/>
                  <w:marTop w:val="0"/>
                  <w:marBottom w:val="0"/>
                  <w:divBdr>
                    <w:top w:val="none" w:sz="0" w:space="0" w:color="auto"/>
                    <w:left w:val="none" w:sz="0" w:space="0" w:color="auto"/>
                    <w:bottom w:val="none" w:sz="0" w:space="0" w:color="auto"/>
                    <w:right w:val="none" w:sz="0" w:space="0" w:color="auto"/>
                  </w:divBdr>
                  <w:divsChild>
                    <w:div w:id="12172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08373275">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8115">
      <w:bodyDiv w:val="1"/>
      <w:marLeft w:val="0"/>
      <w:marRight w:val="0"/>
      <w:marTop w:val="0"/>
      <w:marBottom w:val="0"/>
      <w:divBdr>
        <w:top w:val="none" w:sz="0" w:space="0" w:color="auto"/>
        <w:left w:val="none" w:sz="0" w:space="0" w:color="auto"/>
        <w:bottom w:val="none" w:sz="0" w:space="0" w:color="auto"/>
        <w:right w:val="none" w:sz="0" w:space="0" w:color="auto"/>
      </w:divBdr>
      <w:divsChild>
        <w:div w:id="1475559105">
          <w:marLeft w:val="0"/>
          <w:marRight w:val="0"/>
          <w:marTop w:val="0"/>
          <w:marBottom w:val="0"/>
          <w:divBdr>
            <w:top w:val="none" w:sz="0" w:space="0" w:color="auto"/>
            <w:left w:val="none" w:sz="0" w:space="0" w:color="auto"/>
            <w:bottom w:val="none" w:sz="0" w:space="0" w:color="auto"/>
            <w:right w:val="none" w:sz="0" w:space="0" w:color="auto"/>
          </w:divBdr>
          <w:divsChild>
            <w:div w:id="410855192">
              <w:marLeft w:val="0"/>
              <w:marRight w:val="0"/>
              <w:marTop w:val="0"/>
              <w:marBottom w:val="0"/>
              <w:divBdr>
                <w:top w:val="none" w:sz="0" w:space="0" w:color="auto"/>
                <w:left w:val="none" w:sz="0" w:space="0" w:color="auto"/>
                <w:bottom w:val="none" w:sz="0" w:space="0" w:color="auto"/>
                <w:right w:val="none" w:sz="0" w:space="0" w:color="auto"/>
              </w:divBdr>
              <w:divsChild>
                <w:div w:id="19708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00092">
      <w:bodyDiv w:val="1"/>
      <w:marLeft w:val="0"/>
      <w:marRight w:val="0"/>
      <w:marTop w:val="0"/>
      <w:marBottom w:val="0"/>
      <w:divBdr>
        <w:top w:val="none" w:sz="0" w:space="0" w:color="auto"/>
        <w:left w:val="none" w:sz="0" w:space="0" w:color="auto"/>
        <w:bottom w:val="none" w:sz="0" w:space="0" w:color="auto"/>
        <w:right w:val="none" w:sz="0" w:space="0" w:color="auto"/>
      </w:divBdr>
      <w:divsChild>
        <w:div w:id="1167789711">
          <w:marLeft w:val="0"/>
          <w:marRight w:val="0"/>
          <w:marTop w:val="0"/>
          <w:marBottom w:val="0"/>
          <w:divBdr>
            <w:top w:val="none" w:sz="0" w:space="0" w:color="auto"/>
            <w:left w:val="none" w:sz="0" w:space="0" w:color="auto"/>
            <w:bottom w:val="none" w:sz="0" w:space="0" w:color="auto"/>
            <w:right w:val="none" w:sz="0" w:space="0" w:color="auto"/>
          </w:divBdr>
          <w:divsChild>
            <w:div w:id="2062895611">
              <w:marLeft w:val="0"/>
              <w:marRight w:val="0"/>
              <w:marTop w:val="0"/>
              <w:marBottom w:val="0"/>
              <w:divBdr>
                <w:top w:val="none" w:sz="0" w:space="0" w:color="auto"/>
                <w:left w:val="none" w:sz="0" w:space="0" w:color="auto"/>
                <w:bottom w:val="none" w:sz="0" w:space="0" w:color="auto"/>
                <w:right w:val="none" w:sz="0" w:space="0" w:color="auto"/>
              </w:divBdr>
              <w:divsChild>
                <w:div w:id="1398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7305">
      <w:bodyDiv w:val="1"/>
      <w:marLeft w:val="0"/>
      <w:marRight w:val="0"/>
      <w:marTop w:val="0"/>
      <w:marBottom w:val="0"/>
      <w:divBdr>
        <w:top w:val="none" w:sz="0" w:space="0" w:color="auto"/>
        <w:left w:val="none" w:sz="0" w:space="0" w:color="auto"/>
        <w:bottom w:val="none" w:sz="0" w:space="0" w:color="auto"/>
        <w:right w:val="none" w:sz="0" w:space="0" w:color="auto"/>
      </w:divBdr>
      <w:divsChild>
        <w:div w:id="1402368406">
          <w:marLeft w:val="0"/>
          <w:marRight w:val="0"/>
          <w:marTop w:val="0"/>
          <w:marBottom w:val="0"/>
          <w:divBdr>
            <w:top w:val="none" w:sz="0" w:space="0" w:color="auto"/>
            <w:left w:val="none" w:sz="0" w:space="0" w:color="auto"/>
            <w:bottom w:val="none" w:sz="0" w:space="0" w:color="auto"/>
            <w:right w:val="none" w:sz="0" w:space="0" w:color="auto"/>
          </w:divBdr>
          <w:divsChild>
            <w:div w:id="974604692">
              <w:marLeft w:val="0"/>
              <w:marRight w:val="0"/>
              <w:marTop w:val="0"/>
              <w:marBottom w:val="0"/>
              <w:divBdr>
                <w:top w:val="none" w:sz="0" w:space="0" w:color="auto"/>
                <w:left w:val="none" w:sz="0" w:space="0" w:color="auto"/>
                <w:bottom w:val="none" w:sz="0" w:space="0" w:color="auto"/>
                <w:right w:val="none" w:sz="0" w:space="0" w:color="auto"/>
              </w:divBdr>
              <w:divsChild>
                <w:div w:id="12738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1442">
      <w:bodyDiv w:val="1"/>
      <w:marLeft w:val="0"/>
      <w:marRight w:val="0"/>
      <w:marTop w:val="0"/>
      <w:marBottom w:val="0"/>
      <w:divBdr>
        <w:top w:val="none" w:sz="0" w:space="0" w:color="auto"/>
        <w:left w:val="none" w:sz="0" w:space="0" w:color="auto"/>
        <w:bottom w:val="none" w:sz="0" w:space="0" w:color="auto"/>
        <w:right w:val="none" w:sz="0" w:space="0" w:color="auto"/>
      </w:divBdr>
      <w:divsChild>
        <w:div w:id="253787449">
          <w:marLeft w:val="0"/>
          <w:marRight w:val="0"/>
          <w:marTop w:val="0"/>
          <w:marBottom w:val="0"/>
          <w:divBdr>
            <w:top w:val="none" w:sz="0" w:space="0" w:color="auto"/>
            <w:left w:val="none" w:sz="0" w:space="0" w:color="auto"/>
            <w:bottom w:val="none" w:sz="0" w:space="0" w:color="auto"/>
            <w:right w:val="none" w:sz="0" w:space="0" w:color="auto"/>
          </w:divBdr>
          <w:divsChild>
            <w:div w:id="247814714">
              <w:marLeft w:val="0"/>
              <w:marRight w:val="0"/>
              <w:marTop w:val="0"/>
              <w:marBottom w:val="0"/>
              <w:divBdr>
                <w:top w:val="none" w:sz="0" w:space="0" w:color="auto"/>
                <w:left w:val="none" w:sz="0" w:space="0" w:color="auto"/>
                <w:bottom w:val="none" w:sz="0" w:space="0" w:color="auto"/>
                <w:right w:val="none" w:sz="0" w:space="0" w:color="auto"/>
              </w:divBdr>
              <w:divsChild>
                <w:div w:id="2118257385">
                  <w:marLeft w:val="0"/>
                  <w:marRight w:val="0"/>
                  <w:marTop w:val="0"/>
                  <w:marBottom w:val="0"/>
                  <w:divBdr>
                    <w:top w:val="none" w:sz="0" w:space="0" w:color="auto"/>
                    <w:left w:val="none" w:sz="0" w:space="0" w:color="auto"/>
                    <w:bottom w:val="none" w:sz="0" w:space="0" w:color="auto"/>
                    <w:right w:val="none" w:sz="0" w:space="0" w:color="auto"/>
                  </w:divBdr>
                </w:div>
              </w:divsChild>
            </w:div>
            <w:div w:id="1473788692">
              <w:marLeft w:val="0"/>
              <w:marRight w:val="0"/>
              <w:marTop w:val="0"/>
              <w:marBottom w:val="0"/>
              <w:divBdr>
                <w:top w:val="none" w:sz="0" w:space="0" w:color="auto"/>
                <w:left w:val="none" w:sz="0" w:space="0" w:color="auto"/>
                <w:bottom w:val="none" w:sz="0" w:space="0" w:color="auto"/>
                <w:right w:val="none" w:sz="0" w:space="0" w:color="auto"/>
              </w:divBdr>
              <w:divsChild>
                <w:div w:id="1852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49925009">
      <w:bodyDiv w:val="1"/>
      <w:marLeft w:val="0"/>
      <w:marRight w:val="0"/>
      <w:marTop w:val="0"/>
      <w:marBottom w:val="0"/>
      <w:divBdr>
        <w:top w:val="none" w:sz="0" w:space="0" w:color="auto"/>
        <w:left w:val="none" w:sz="0" w:space="0" w:color="auto"/>
        <w:bottom w:val="none" w:sz="0" w:space="0" w:color="auto"/>
        <w:right w:val="none" w:sz="0" w:space="0" w:color="auto"/>
      </w:divBdr>
      <w:divsChild>
        <w:div w:id="1034964658">
          <w:marLeft w:val="0"/>
          <w:marRight w:val="0"/>
          <w:marTop w:val="0"/>
          <w:marBottom w:val="0"/>
          <w:divBdr>
            <w:top w:val="none" w:sz="0" w:space="0" w:color="auto"/>
            <w:left w:val="none" w:sz="0" w:space="0" w:color="auto"/>
            <w:bottom w:val="none" w:sz="0" w:space="0" w:color="auto"/>
            <w:right w:val="none" w:sz="0" w:space="0" w:color="auto"/>
          </w:divBdr>
          <w:divsChild>
            <w:div w:id="216011445">
              <w:marLeft w:val="0"/>
              <w:marRight w:val="0"/>
              <w:marTop w:val="0"/>
              <w:marBottom w:val="0"/>
              <w:divBdr>
                <w:top w:val="none" w:sz="0" w:space="0" w:color="auto"/>
                <w:left w:val="none" w:sz="0" w:space="0" w:color="auto"/>
                <w:bottom w:val="none" w:sz="0" w:space="0" w:color="auto"/>
                <w:right w:val="none" w:sz="0" w:space="0" w:color="auto"/>
              </w:divBdr>
              <w:divsChild>
                <w:div w:id="12035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0569">
      <w:bodyDiv w:val="1"/>
      <w:marLeft w:val="0"/>
      <w:marRight w:val="0"/>
      <w:marTop w:val="0"/>
      <w:marBottom w:val="0"/>
      <w:divBdr>
        <w:top w:val="none" w:sz="0" w:space="0" w:color="auto"/>
        <w:left w:val="none" w:sz="0" w:space="0" w:color="auto"/>
        <w:bottom w:val="none" w:sz="0" w:space="0" w:color="auto"/>
        <w:right w:val="none" w:sz="0" w:space="0" w:color="auto"/>
      </w:divBdr>
      <w:divsChild>
        <w:div w:id="52124599">
          <w:marLeft w:val="0"/>
          <w:marRight w:val="0"/>
          <w:marTop w:val="0"/>
          <w:marBottom w:val="0"/>
          <w:divBdr>
            <w:top w:val="none" w:sz="0" w:space="0" w:color="auto"/>
            <w:left w:val="none" w:sz="0" w:space="0" w:color="auto"/>
            <w:bottom w:val="none" w:sz="0" w:space="0" w:color="auto"/>
            <w:right w:val="none" w:sz="0" w:space="0" w:color="auto"/>
          </w:divBdr>
          <w:divsChild>
            <w:div w:id="155998791">
              <w:marLeft w:val="0"/>
              <w:marRight w:val="0"/>
              <w:marTop w:val="0"/>
              <w:marBottom w:val="0"/>
              <w:divBdr>
                <w:top w:val="none" w:sz="0" w:space="0" w:color="auto"/>
                <w:left w:val="none" w:sz="0" w:space="0" w:color="auto"/>
                <w:bottom w:val="none" w:sz="0" w:space="0" w:color="auto"/>
                <w:right w:val="none" w:sz="0" w:space="0" w:color="auto"/>
              </w:divBdr>
              <w:divsChild>
                <w:div w:id="8950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0208">
      <w:bodyDiv w:val="1"/>
      <w:marLeft w:val="0"/>
      <w:marRight w:val="0"/>
      <w:marTop w:val="0"/>
      <w:marBottom w:val="0"/>
      <w:divBdr>
        <w:top w:val="none" w:sz="0" w:space="0" w:color="auto"/>
        <w:left w:val="none" w:sz="0" w:space="0" w:color="auto"/>
        <w:bottom w:val="none" w:sz="0" w:space="0" w:color="auto"/>
        <w:right w:val="none" w:sz="0" w:space="0" w:color="auto"/>
      </w:divBdr>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25622868">
      <w:bodyDiv w:val="1"/>
      <w:marLeft w:val="0"/>
      <w:marRight w:val="0"/>
      <w:marTop w:val="0"/>
      <w:marBottom w:val="0"/>
      <w:divBdr>
        <w:top w:val="none" w:sz="0" w:space="0" w:color="auto"/>
        <w:left w:val="none" w:sz="0" w:space="0" w:color="auto"/>
        <w:bottom w:val="none" w:sz="0" w:space="0" w:color="auto"/>
        <w:right w:val="none" w:sz="0" w:space="0" w:color="auto"/>
      </w:divBdr>
      <w:divsChild>
        <w:div w:id="1102801261">
          <w:marLeft w:val="0"/>
          <w:marRight w:val="0"/>
          <w:marTop w:val="0"/>
          <w:marBottom w:val="0"/>
          <w:divBdr>
            <w:top w:val="none" w:sz="0" w:space="0" w:color="auto"/>
            <w:left w:val="none" w:sz="0" w:space="0" w:color="auto"/>
            <w:bottom w:val="none" w:sz="0" w:space="0" w:color="auto"/>
            <w:right w:val="none" w:sz="0" w:space="0" w:color="auto"/>
          </w:divBdr>
          <w:divsChild>
            <w:div w:id="2055154649">
              <w:marLeft w:val="0"/>
              <w:marRight w:val="0"/>
              <w:marTop w:val="0"/>
              <w:marBottom w:val="0"/>
              <w:divBdr>
                <w:top w:val="none" w:sz="0" w:space="0" w:color="auto"/>
                <w:left w:val="none" w:sz="0" w:space="0" w:color="auto"/>
                <w:bottom w:val="none" w:sz="0" w:space="0" w:color="auto"/>
                <w:right w:val="none" w:sz="0" w:space="0" w:color="auto"/>
              </w:divBdr>
              <w:divsChild>
                <w:div w:id="17518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681934725">
      <w:bodyDiv w:val="1"/>
      <w:marLeft w:val="0"/>
      <w:marRight w:val="0"/>
      <w:marTop w:val="0"/>
      <w:marBottom w:val="0"/>
      <w:divBdr>
        <w:top w:val="none" w:sz="0" w:space="0" w:color="auto"/>
        <w:left w:val="none" w:sz="0" w:space="0" w:color="auto"/>
        <w:bottom w:val="none" w:sz="0" w:space="0" w:color="auto"/>
        <w:right w:val="none" w:sz="0" w:space="0" w:color="auto"/>
      </w:divBdr>
      <w:divsChild>
        <w:div w:id="2069067562">
          <w:marLeft w:val="0"/>
          <w:marRight w:val="0"/>
          <w:marTop w:val="0"/>
          <w:marBottom w:val="0"/>
          <w:divBdr>
            <w:top w:val="none" w:sz="0" w:space="0" w:color="auto"/>
            <w:left w:val="none" w:sz="0" w:space="0" w:color="auto"/>
            <w:bottom w:val="none" w:sz="0" w:space="0" w:color="auto"/>
            <w:right w:val="none" w:sz="0" w:space="0" w:color="auto"/>
          </w:divBdr>
          <w:divsChild>
            <w:div w:id="482967284">
              <w:marLeft w:val="0"/>
              <w:marRight w:val="0"/>
              <w:marTop w:val="0"/>
              <w:marBottom w:val="0"/>
              <w:divBdr>
                <w:top w:val="none" w:sz="0" w:space="0" w:color="auto"/>
                <w:left w:val="none" w:sz="0" w:space="0" w:color="auto"/>
                <w:bottom w:val="none" w:sz="0" w:space="0" w:color="auto"/>
                <w:right w:val="none" w:sz="0" w:space="0" w:color="auto"/>
              </w:divBdr>
              <w:divsChild>
                <w:div w:id="13235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3932">
      <w:bodyDiv w:val="1"/>
      <w:marLeft w:val="0"/>
      <w:marRight w:val="0"/>
      <w:marTop w:val="0"/>
      <w:marBottom w:val="0"/>
      <w:divBdr>
        <w:top w:val="none" w:sz="0" w:space="0" w:color="auto"/>
        <w:left w:val="none" w:sz="0" w:space="0" w:color="auto"/>
        <w:bottom w:val="none" w:sz="0" w:space="0" w:color="auto"/>
        <w:right w:val="none" w:sz="0" w:space="0" w:color="auto"/>
      </w:divBdr>
      <w:divsChild>
        <w:div w:id="393358136">
          <w:marLeft w:val="0"/>
          <w:marRight w:val="0"/>
          <w:marTop w:val="0"/>
          <w:marBottom w:val="0"/>
          <w:divBdr>
            <w:top w:val="none" w:sz="0" w:space="0" w:color="auto"/>
            <w:left w:val="none" w:sz="0" w:space="0" w:color="auto"/>
            <w:bottom w:val="none" w:sz="0" w:space="0" w:color="auto"/>
            <w:right w:val="none" w:sz="0" w:space="0" w:color="auto"/>
          </w:divBdr>
          <w:divsChild>
            <w:div w:id="1875146594">
              <w:marLeft w:val="0"/>
              <w:marRight w:val="0"/>
              <w:marTop w:val="0"/>
              <w:marBottom w:val="0"/>
              <w:divBdr>
                <w:top w:val="none" w:sz="0" w:space="0" w:color="auto"/>
                <w:left w:val="none" w:sz="0" w:space="0" w:color="auto"/>
                <w:bottom w:val="none" w:sz="0" w:space="0" w:color="auto"/>
                <w:right w:val="none" w:sz="0" w:space="0" w:color="auto"/>
              </w:divBdr>
              <w:divsChild>
                <w:div w:id="8055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1077">
      <w:bodyDiv w:val="1"/>
      <w:marLeft w:val="0"/>
      <w:marRight w:val="0"/>
      <w:marTop w:val="0"/>
      <w:marBottom w:val="0"/>
      <w:divBdr>
        <w:top w:val="none" w:sz="0" w:space="0" w:color="auto"/>
        <w:left w:val="none" w:sz="0" w:space="0" w:color="auto"/>
        <w:bottom w:val="none" w:sz="0" w:space="0" w:color="auto"/>
        <w:right w:val="none" w:sz="0" w:space="0" w:color="auto"/>
      </w:divBdr>
      <w:divsChild>
        <w:div w:id="1133673178">
          <w:marLeft w:val="0"/>
          <w:marRight w:val="0"/>
          <w:marTop w:val="0"/>
          <w:marBottom w:val="0"/>
          <w:divBdr>
            <w:top w:val="none" w:sz="0" w:space="0" w:color="auto"/>
            <w:left w:val="none" w:sz="0" w:space="0" w:color="auto"/>
            <w:bottom w:val="none" w:sz="0" w:space="0" w:color="auto"/>
            <w:right w:val="none" w:sz="0" w:space="0" w:color="auto"/>
          </w:divBdr>
          <w:divsChild>
            <w:div w:id="665743036">
              <w:marLeft w:val="0"/>
              <w:marRight w:val="0"/>
              <w:marTop w:val="0"/>
              <w:marBottom w:val="0"/>
              <w:divBdr>
                <w:top w:val="none" w:sz="0" w:space="0" w:color="auto"/>
                <w:left w:val="none" w:sz="0" w:space="0" w:color="auto"/>
                <w:bottom w:val="none" w:sz="0" w:space="0" w:color="auto"/>
                <w:right w:val="none" w:sz="0" w:space="0" w:color="auto"/>
              </w:divBdr>
              <w:divsChild>
                <w:div w:id="15726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17389353">
      <w:bodyDiv w:val="1"/>
      <w:marLeft w:val="0"/>
      <w:marRight w:val="0"/>
      <w:marTop w:val="0"/>
      <w:marBottom w:val="0"/>
      <w:divBdr>
        <w:top w:val="none" w:sz="0" w:space="0" w:color="auto"/>
        <w:left w:val="none" w:sz="0" w:space="0" w:color="auto"/>
        <w:bottom w:val="none" w:sz="0" w:space="0" w:color="auto"/>
        <w:right w:val="none" w:sz="0" w:space="0" w:color="auto"/>
      </w:divBdr>
      <w:divsChild>
        <w:div w:id="1345859225">
          <w:marLeft w:val="0"/>
          <w:marRight w:val="0"/>
          <w:marTop w:val="0"/>
          <w:marBottom w:val="0"/>
          <w:divBdr>
            <w:top w:val="none" w:sz="0" w:space="0" w:color="auto"/>
            <w:left w:val="none" w:sz="0" w:space="0" w:color="auto"/>
            <w:bottom w:val="none" w:sz="0" w:space="0" w:color="auto"/>
            <w:right w:val="none" w:sz="0" w:space="0" w:color="auto"/>
          </w:divBdr>
          <w:divsChild>
            <w:div w:id="83428825">
              <w:marLeft w:val="0"/>
              <w:marRight w:val="0"/>
              <w:marTop w:val="0"/>
              <w:marBottom w:val="0"/>
              <w:divBdr>
                <w:top w:val="none" w:sz="0" w:space="0" w:color="auto"/>
                <w:left w:val="none" w:sz="0" w:space="0" w:color="auto"/>
                <w:bottom w:val="none" w:sz="0" w:space="0" w:color="auto"/>
                <w:right w:val="none" w:sz="0" w:space="0" w:color="auto"/>
              </w:divBdr>
              <w:divsChild>
                <w:div w:id="326371122">
                  <w:marLeft w:val="0"/>
                  <w:marRight w:val="0"/>
                  <w:marTop w:val="0"/>
                  <w:marBottom w:val="0"/>
                  <w:divBdr>
                    <w:top w:val="none" w:sz="0" w:space="0" w:color="auto"/>
                    <w:left w:val="none" w:sz="0" w:space="0" w:color="auto"/>
                    <w:bottom w:val="none" w:sz="0" w:space="0" w:color="auto"/>
                    <w:right w:val="none" w:sz="0" w:space="0" w:color="auto"/>
                  </w:divBdr>
                  <w:divsChild>
                    <w:div w:id="18221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56676">
      <w:bodyDiv w:val="1"/>
      <w:marLeft w:val="0"/>
      <w:marRight w:val="0"/>
      <w:marTop w:val="0"/>
      <w:marBottom w:val="0"/>
      <w:divBdr>
        <w:top w:val="none" w:sz="0" w:space="0" w:color="auto"/>
        <w:left w:val="none" w:sz="0" w:space="0" w:color="auto"/>
        <w:bottom w:val="none" w:sz="0" w:space="0" w:color="auto"/>
        <w:right w:val="none" w:sz="0" w:space="0" w:color="auto"/>
      </w:divBdr>
      <w:divsChild>
        <w:div w:id="759446456">
          <w:marLeft w:val="0"/>
          <w:marRight w:val="0"/>
          <w:marTop w:val="0"/>
          <w:marBottom w:val="0"/>
          <w:divBdr>
            <w:top w:val="none" w:sz="0" w:space="0" w:color="auto"/>
            <w:left w:val="none" w:sz="0" w:space="0" w:color="auto"/>
            <w:bottom w:val="none" w:sz="0" w:space="0" w:color="auto"/>
            <w:right w:val="none" w:sz="0" w:space="0" w:color="auto"/>
          </w:divBdr>
          <w:divsChild>
            <w:div w:id="617762165">
              <w:marLeft w:val="0"/>
              <w:marRight w:val="0"/>
              <w:marTop w:val="0"/>
              <w:marBottom w:val="0"/>
              <w:divBdr>
                <w:top w:val="none" w:sz="0" w:space="0" w:color="auto"/>
                <w:left w:val="none" w:sz="0" w:space="0" w:color="auto"/>
                <w:bottom w:val="none" w:sz="0" w:space="0" w:color="auto"/>
                <w:right w:val="none" w:sz="0" w:space="0" w:color="auto"/>
              </w:divBdr>
              <w:divsChild>
                <w:div w:id="1318993535">
                  <w:marLeft w:val="0"/>
                  <w:marRight w:val="0"/>
                  <w:marTop w:val="0"/>
                  <w:marBottom w:val="0"/>
                  <w:divBdr>
                    <w:top w:val="none" w:sz="0" w:space="0" w:color="auto"/>
                    <w:left w:val="none" w:sz="0" w:space="0" w:color="auto"/>
                    <w:bottom w:val="none" w:sz="0" w:space="0" w:color="auto"/>
                    <w:right w:val="none" w:sz="0" w:space="0" w:color="auto"/>
                  </w:divBdr>
                  <w:divsChild>
                    <w:div w:id="3727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792821220">
      <w:bodyDiv w:val="1"/>
      <w:marLeft w:val="0"/>
      <w:marRight w:val="0"/>
      <w:marTop w:val="0"/>
      <w:marBottom w:val="0"/>
      <w:divBdr>
        <w:top w:val="none" w:sz="0" w:space="0" w:color="auto"/>
        <w:left w:val="none" w:sz="0" w:space="0" w:color="auto"/>
        <w:bottom w:val="none" w:sz="0" w:space="0" w:color="auto"/>
        <w:right w:val="none" w:sz="0" w:space="0" w:color="auto"/>
      </w:divBdr>
      <w:divsChild>
        <w:div w:id="850068485">
          <w:marLeft w:val="1166"/>
          <w:marRight w:val="0"/>
          <w:marTop w:val="0"/>
          <w:marBottom w:val="0"/>
          <w:divBdr>
            <w:top w:val="none" w:sz="0" w:space="0" w:color="auto"/>
            <w:left w:val="none" w:sz="0" w:space="0" w:color="auto"/>
            <w:bottom w:val="none" w:sz="0" w:space="0" w:color="auto"/>
            <w:right w:val="none" w:sz="0" w:space="0" w:color="auto"/>
          </w:divBdr>
        </w:div>
      </w:divsChild>
    </w:div>
    <w:div w:id="801072669">
      <w:bodyDiv w:val="1"/>
      <w:marLeft w:val="0"/>
      <w:marRight w:val="0"/>
      <w:marTop w:val="0"/>
      <w:marBottom w:val="0"/>
      <w:divBdr>
        <w:top w:val="none" w:sz="0" w:space="0" w:color="auto"/>
        <w:left w:val="none" w:sz="0" w:space="0" w:color="auto"/>
        <w:bottom w:val="none" w:sz="0" w:space="0" w:color="auto"/>
        <w:right w:val="none" w:sz="0" w:space="0" w:color="auto"/>
      </w:divBdr>
      <w:divsChild>
        <w:div w:id="1436368421">
          <w:marLeft w:val="0"/>
          <w:marRight w:val="0"/>
          <w:marTop w:val="0"/>
          <w:marBottom w:val="0"/>
          <w:divBdr>
            <w:top w:val="none" w:sz="0" w:space="0" w:color="auto"/>
            <w:left w:val="none" w:sz="0" w:space="0" w:color="auto"/>
            <w:bottom w:val="none" w:sz="0" w:space="0" w:color="auto"/>
            <w:right w:val="none" w:sz="0" w:space="0" w:color="auto"/>
          </w:divBdr>
          <w:divsChild>
            <w:div w:id="2140369627">
              <w:marLeft w:val="0"/>
              <w:marRight w:val="0"/>
              <w:marTop w:val="0"/>
              <w:marBottom w:val="0"/>
              <w:divBdr>
                <w:top w:val="none" w:sz="0" w:space="0" w:color="auto"/>
                <w:left w:val="none" w:sz="0" w:space="0" w:color="auto"/>
                <w:bottom w:val="none" w:sz="0" w:space="0" w:color="auto"/>
                <w:right w:val="none" w:sz="0" w:space="0" w:color="auto"/>
              </w:divBdr>
              <w:divsChild>
                <w:div w:id="2031640482">
                  <w:marLeft w:val="0"/>
                  <w:marRight w:val="0"/>
                  <w:marTop w:val="0"/>
                  <w:marBottom w:val="0"/>
                  <w:divBdr>
                    <w:top w:val="none" w:sz="0" w:space="0" w:color="auto"/>
                    <w:left w:val="none" w:sz="0" w:space="0" w:color="auto"/>
                    <w:bottom w:val="none" w:sz="0" w:space="0" w:color="auto"/>
                    <w:right w:val="none" w:sz="0" w:space="0" w:color="auto"/>
                  </w:divBdr>
                  <w:divsChild>
                    <w:div w:id="1023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28062035">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14359948">
      <w:bodyDiv w:val="1"/>
      <w:marLeft w:val="0"/>
      <w:marRight w:val="0"/>
      <w:marTop w:val="0"/>
      <w:marBottom w:val="0"/>
      <w:divBdr>
        <w:top w:val="none" w:sz="0" w:space="0" w:color="auto"/>
        <w:left w:val="none" w:sz="0" w:space="0" w:color="auto"/>
        <w:bottom w:val="none" w:sz="0" w:space="0" w:color="auto"/>
        <w:right w:val="none" w:sz="0" w:space="0" w:color="auto"/>
      </w:divBdr>
    </w:div>
    <w:div w:id="927080225">
      <w:bodyDiv w:val="1"/>
      <w:marLeft w:val="0"/>
      <w:marRight w:val="0"/>
      <w:marTop w:val="0"/>
      <w:marBottom w:val="0"/>
      <w:divBdr>
        <w:top w:val="none" w:sz="0" w:space="0" w:color="auto"/>
        <w:left w:val="none" w:sz="0" w:space="0" w:color="auto"/>
        <w:bottom w:val="none" w:sz="0" w:space="0" w:color="auto"/>
        <w:right w:val="none" w:sz="0" w:space="0" w:color="auto"/>
      </w:divBdr>
      <w:divsChild>
        <w:div w:id="1496189323">
          <w:marLeft w:val="0"/>
          <w:marRight w:val="0"/>
          <w:marTop w:val="0"/>
          <w:marBottom w:val="0"/>
          <w:divBdr>
            <w:top w:val="none" w:sz="0" w:space="0" w:color="auto"/>
            <w:left w:val="none" w:sz="0" w:space="0" w:color="auto"/>
            <w:bottom w:val="none" w:sz="0" w:space="0" w:color="auto"/>
            <w:right w:val="none" w:sz="0" w:space="0" w:color="auto"/>
          </w:divBdr>
          <w:divsChild>
            <w:div w:id="492646089">
              <w:marLeft w:val="0"/>
              <w:marRight w:val="0"/>
              <w:marTop w:val="0"/>
              <w:marBottom w:val="0"/>
              <w:divBdr>
                <w:top w:val="none" w:sz="0" w:space="0" w:color="auto"/>
                <w:left w:val="none" w:sz="0" w:space="0" w:color="auto"/>
                <w:bottom w:val="none" w:sz="0" w:space="0" w:color="auto"/>
                <w:right w:val="none" w:sz="0" w:space="0" w:color="auto"/>
              </w:divBdr>
              <w:divsChild>
                <w:div w:id="1961453819">
                  <w:marLeft w:val="0"/>
                  <w:marRight w:val="0"/>
                  <w:marTop w:val="0"/>
                  <w:marBottom w:val="0"/>
                  <w:divBdr>
                    <w:top w:val="none" w:sz="0" w:space="0" w:color="auto"/>
                    <w:left w:val="none" w:sz="0" w:space="0" w:color="auto"/>
                    <w:bottom w:val="none" w:sz="0" w:space="0" w:color="auto"/>
                    <w:right w:val="none" w:sz="0" w:space="0" w:color="auto"/>
                  </w:divBdr>
                  <w:divsChild>
                    <w:div w:id="10059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0722">
      <w:bodyDiv w:val="1"/>
      <w:marLeft w:val="0"/>
      <w:marRight w:val="0"/>
      <w:marTop w:val="0"/>
      <w:marBottom w:val="0"/>
      <w:divBdr>
        <w:top w:val="none" w:sz="0" w:space="0" w:color="auto"/>
        <w:left w:val="none" w:sz="0" w:space="0" w:color="auto"/>
        <w:bottom w:val="none" w:sz="0" w:space="0" w:color="auto"/>
        <w:right w:val="none" w:sz="0" w:space="0" w:color="auto"/>
      </w:divBdr>
    </w:div>
    <w:div w:id="944652665">
      <w:bodyDiv w:val="1"/>
      <w:marLeft w:val="0"/>
      <w:marRight w:val="0"/>
      <w:marTop w:val="0"/>
      <w:marBottom w:val="0"/>
      <w:divBdr>
        <w:top w:val="none" w:sz="0" w:space="0" w:color="auto"/>
        <w:left w:val="none" w:sz="0" w:space="0" w:color="auto"/>
        <w:bottom w:val="none" w:sz="0" w:space="0" w:color="auto"/>
        <w:right w:val="none" w:sz="0" w:space="0" w:color="auto"/>
      </w:divBdr>
    </w:div>
    <w:div w:id="964577078">
      <w:bodyDiv w:val="1"/>
      <w:marLeft w:val="0"/>
      <w:marRight w:val="0"/>
      <w:marTop w:val="0"/>
      <w:marBottom w:val="0"/>
      <w:divBdr>
        <w:top w:val="none" w:sz="0" w:space="0" w:color="auto"/>
        <w:left w:val="none" w:sz="0" w:space="0" w:color="auto"/>
        <w:bottom w:val="none" w:sz="0" w:space="0" w:color="auto"/>
        <w:right w:val="none" w:sz="0" w:space="0" w:color="auto"/>
      </w:divBdr>
      <w:divsChild>
        <w:div w:id="1165439284">
          <w:marLeft w:val="0"/>
          <w:marRight w:val="0"/>
          <w:marTop w:val="0"/>
          <w:marBottom w:val="0"/>
          <w:divBdr>
            <w:top w:val="none" w:sz="0" w:space="0" w:color="auto"/>
            <w:left w:val="none" w:sz="0" w:space="0" w:color="auto"/>
            <w:bottom w:val="none" w:sz="0" w:space="0" w:color="auto"/>
            <w:right w:val="none" w:sz="0" w:space="0" w:color="auto"/>
          </w:divBdr>
          <w:divsChild>
            <w:div w:id="2057608">
              <w:marLeft w:val="0"/>
              <w:marRight w:val="0"/>
              <w:marTop w:val="0"/>
              <w:marBottom w:val="0"/>
              <w:divBdr>
                <w:top w:val="none" w:sz="0" w:space="0" w:color="auto"/>
                <w:left w:val="none" w:sz="0" w:space="0" w:color="auto"/>
                <w:bottom w:val="none" w:sz="0" w:space="0" w:color="auto"/>
                <w:right w:val="none" w:sz="0" w:space="0" w:color="auto"/>
              </w:divBdr>
              <w:divsChild>
                <w:div w:id="1006791697">
                  <w:marLeft w:val="0"/>
                  <w:marRight w:val="0"/>
                  <w:marTop w:val="0"/>
                  <w:marBottom w:val="0"/>
                  <w:divBdr>
                    <w:top w:val="none" w:sz="0" w:space="0" w:color="auto"/>
                    <w:left w:val="none" w:sz="0" w:space="0" w:color="auto"/>
                    <w:bottom w:val="none" w:sz="0" w:space="0" w:color="auto"/>
                    <w:right w:val="none" w:sz="0" w:space="0" w:color="auto"/>
                  </w:divBdr>
                  <w:divsChild>
                    <w:div w:id="3280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1719239">
      <w:bodyDiv w:val="1"/>
      <w:marLeft w:val="0"/>
      <w:marRight w:val="0"/>
      <w:marTop w:val="0"/>
      <w:marBottom w:val="0"/>
      <w:divBdr>
        <w:top w:val="none" w:sz="0" w:space="0" w:color="auto"/>
        <w:left w:val="none" w:sz="0" w:space="0" w:color="auto"/>
        <w:bottom w:val="none" w:sz="0" w:space="0" w:color="auto"/>
        <w:right w:val="none" w:sz="0" w:space="0" w:color="auto"/>
      </w:divBdr>
      <w:divsChild>
        <w:div w:id="1445340494">
          <w:marLeft w:val="0"/>
          <w:marRight w:val="0"/>
          <w:marTop w:val="0"/>
          <w:marBottom w:val="0"/>
          <w:divBdr>
            <w:top w:val="none" w:sz="0" w:space="0" w:color="auto"/>
            <w:left w:val="none" w:sz="0" w:space="0" w:color="auto"/>
            <w:bottom w:val="none" w:sz="0" w:space="0" w:color="auto"/>
            <w:right w:val="none" w:sz="0" w:space="0" w:color="auto"/>
          </w:divBdr>
          <w:divsChild>
            <w:div w:id="367610273">
              <w:marLeft w:val="0"/>
              <w:marRight w:val="0"/>
              <w:marTop w:val="0"/>
              <w:marBottom w:val="0"/>
              <w:divBdr>
                <w:top w:val="none" w:sz="0" w:space="0" w:color="auto"/>
                <w:left w:val="none" w:sz="0" w:space="0" w:color="auto"/>
                <w:bottom w:val="none" w:sz="0" w:space="0" w:color="auto"/>
                <w:right w:val="none" w:sz="0" w:space="0" w:color="auto"/>
              </w:divBdr>
              <w:divsChild>
                <w:div w:id="267739213">
                  <w:marLeft w:val="0"/>
                  <w:marRight w:val="0"/>
                  <w:marTop w:val="0"/>
                  <w:marBottom w:val="0"/>
                  <w:divBdr>
                    <w:top w:val="none" w:sz="0" w:space="0" w:color="auto"/>
                    <w:left w:val="none" w:sz="0" w:space="0" w:color="auto"/>
                    <w:bottom w:val="none" w:sz="0" w:space="0" w:color="auto"/>
                    <w:right w:val="none" w:sz="0" w:space="0" w:color="auto"/>
                  </w:divBdr>
                  <w:divsChild>
                    <w:div w:id="3352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315">
      <w:bodyDiv w:val="1"/>
      <w:marLeft w:val="0"/>
      <w:marRight w:val="0"/>
      <w:marTop w:val="0"/>
      <w:marBottom w:val="0"/>
      <w:divBdr>
        <w:top w:val="none" w:sz="0" w:space="0" w:color="auto"/>
        <w:left w:val="none" w:sz="0" w:space="0" w:color="auto"/>
        <w:bottom w:val="none" w:sz="0" w:space="0" w:color="auto"/>
        <w:right w:val="none" w:sz="0" w:space="0" w:color="auto"/>
      </w:divBdr>
    </w:div>
    <w:div w:id="1028944769">
      <w:bodyDiv w:val="1"/>
      <w:marLeft w:val="0"/>
      <w:marRight w:val="0"/>
      <w:marTop w:val="0"/>
      <w:marBottom w:val="0"/>
      <w:divBdr>
        <w:top w:val="none" w:sz="0" w:space="0" w:color="auto"/>
        <w:left w:val="none" w:sz="0" w:space="0" w:color="auto"/>
        <w:bottom w:val="none" w:sz="0" w:space="0" w:color="auto"/>
        <w:right w:val="none" w:sz="0" w:space="0" w:color="auto"/>
      </w:divBdr>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2337">
      <w:bodyDiv w:val="1"/>
      <w:marLeft w:val="0"/>
      <w:marRight w:val="0"/>
      <w:marTop w:val="0"/>
      <w:marBottom w:val="0"/>
      <w:divBdr>
        <w:top w:val="none" w:sz="0" w:space="0" w:color="auto"/>
        <w:left w:val="none" w:sz="0" w:space="0" w:color="auto"/>
        <w:bottom w:val="none" w:sz="0" w:space="0" w:color="auto"/>
        <w:right w:val="none" w:sz="0" w:space="0" w:color="auto"/>
      </w:divBdr>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8239">
      <w:bodyDiv w:val="1"/>
      <w:marLeft w:val="0"/>
      <w:marRight w:val="0"/>
      <w:marTop w:val="0"/>
      <w:marBottom w:val="0"/>
      <w:divBdr>
        <w:top w:val="none" w:sz="0" w:space="0" w:color="auto"/>
        <w:left w:val="none" w:sz="0" w:space="0" w:color="auto"/>
        <w:bottom w:val="none" w:sz="0" w:space="0" w:color="auto"/>
        <w:right w:val="none" w:sz="0" w:space="0" w:color="auto"/>
      </w:divBdr>
      <w:divsChild>
        <w:div w:id="1489788829">
          <w:marLeft w:val="0"/>
          <w:marRight w:val="0"/>
          <w:marTop w:val="0"/>
          <w:marBottom w:val="0"/>
          <w:divBdr>
            <w:top w:val="none" w:sz="0" w:space="0" w:color="auto"/>
            <w:left w:val="none" w:sz="0" w:space="0" w:color="auto"/>
            <w:bottom w:val="none" w:sz="0" w:space="0" w:color="auto"/>
            <w:right w:val="none" w:sz="0" w:space="0" w:color="auto"/>
          </w:divBdr>
          <w:divsChild>
            <w:div w:id="461659605">
              <w:marLeft w:val="0"/>
              <w:marRight w:val="0"/>
              <w:marTop w:val="0"/>
              <w:marBottom w:val="0"/>
              <w:divBdr>
                <w:top w:val="none" w:sz="0" w:space="0" w:color="auto"/>
                <w:left w:val="none" w:sz="0" w:space="0" w:color="auto"/>
                <w:bottom w:val="none" w:sz="0" w:space="0" w:color="auto"/>
                <w:right w:val="none" w:sz="0" w:space="0" w:color="auto"/>
              </w:divBdr>
              <w:divsChild>
                <w:div w:id="1202788614">
                  <w:marLeft w:val="0"/>
                  <w:marRight w:val="0"/>
                  <w:marTop w:val="0"/>
                  <w:marBottom w:val="0"/>
                  <w:divBdr>
                    <w:top w:val="none" w:sz="0" w:space="0" w:color="auto"/>
                    <w:left w:val="none" w:sz="0" w:space="0" w:color="auto"/>
                    <w:bottom w:val="none" w:sz="0" w:space="0" w:color="auto"/>
                    <w:right w:val="none" w:sz="0" w:space="0" w:color="auto"/>
                  </w:divBdr>
                  <w:divsChild>
                    <w:div w:id="8288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095630901">
      <w:bodyDiv w:val="1"/>
      <w:marLeft w:val="0"/>
      <w:marRight w:val="0"/>
      <w:marTop w:val="0"/>
      <w:marBottom w:val="0"/>
      <w:divBdr>
        <w:top w:val="none" w:sz="0" w:space="0" w:color="auto"/>
        <w:left w:val="none" w:sz="0" w:space="0" w:color="auto"/>
        <w:bottom w:val="none" w:sz="0" w:space="0" w:color="auto"/>
        <w:right w:val="none" w:sz="0" w:space="0" w:color="auto"/>
      </w:divBdr>
    </w:div>
    <w:div w:id="1101029149">
      <w:bodyDiv w:val="1"/>
      <w:marLeft w:val="0"/>
      <w:marRight w:val="0"/>
      <w:marTop w:val="0"/>
      <w:marBottom w:val="0"/>
      <w:divBdr>
        <w:top w:val="none" w:sz="0" w:space="0" w:color="auto"/>
        <w:left w:val="none" w:sz="0" w:space="0" w:color="auto"/>
        <w:bottom w:val="none" w:sz="0" w:space="0" w:color="auto"/>
        <w:right w:val="none" w:sz="0" w:space="0" w:color="auto"/>
      </w:divBdr>
      <w:divsChild>
        <w:div w:id="1632244989">
          <w:marLeft w:val="0"/>
          <w:marRight w:val="0"/>
          <w:marTop w:val="0"/>
          <w:marBottom w:val="0"/>
          <w:divBdr>
            <w:top w:val="none" w:sz="0" w:space="0" w:color="auto"/>
            <w:left w:val="none" w:sz="0" w:space="0" w:color="auto"/>
            <w:bottom w:val="none" w:sz="0" w:space="0" w:color="auto"/>
            <w:right w:val="none" w:sz="0" w:space="0" w:color="auto"/>
          </w:divBdr>
          <w:divsChild>
            <w:div w:id="1832404352">
              <w:marLeft w:val="0"/>
              <w:marRight w:val="0"/>
              <w:marTop w:val="0"/>
              <w:marBottom w:val="0"/>
              <w:divBdr>
                <w:top w:val="none" w:sz="0" w:space="0" w:color="auto"/>
                <w:left w:val="none" w:sz="0" w:space="0" w:color="auto"/>
                <w:bottom w:val="none" w:sz="0" w:space="0" w:color="auto"/>
                <w:right w:val="none" w:sz="0" w:space="0" w:color="auto"/>
              </w:divBdr>
              <w:divsChild>
                <w:div w:id="12644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0553">
      <w:bodyDiv w:val="1"/>
      <w:marLeft w:val="0"/>
      <w:marRight w:val="0"/>
      <w:marTop w:val="0"/>
      <w:marBottom w:val="0"/>
      <w:divBdr>
        <w:top w:val="none" w:sz="0" w:space="0" w:color="auto"/>
        <w:left w:val="none" w:sz="0" w:space="0" w:color="auto"/>
        <w:bottom w:val="none" w:sz="0" w:space="0" w:color="auto"/>
        <w:right w:val="none" w:sz="0" w:space="0" w:color="auto"/>
      </w:divBdr>
      <w:divsChild>
        <w:div w:id="157380220">
          <w:marLeft w:val="0"/>
          <w:marRight w:val="0"/>
          <w:marTop w:val="0"/>
          <w:marBottom w:val="0"/>
          <w:divBdr>
            <w:top w:val="none" w:sz="0" w:space="0" w:color="auto"/>
            <w:left w:val="none" w:sz="0" w:space="0" w:color="auto"/>
            <w:bottom w:val="none" w:sz="0" w:space="0" w:color="auto"/>
            <w:right w:val="none" w:sz="0" w:space="0" w:color="auto"/>
          </w:divBdr>
          <w:divsChild>
            <w:div w:id="1073814433">
              <w:marLeft w:val="0"/>
              <w:marRight w:val="0"/>
              <w:marTop w:val="0"/>
              <w:marBottom w:val="0"/>
              <w:divBdr>
                <w:top w:val="none" w:sz="0" w:space="0" w:color="auto"/>
                <w:left w:val="none" w:sz="0" w:space="0" w:color="auto"/>
                <w:bottom w:val="none" w:sz="0" w:space="0" w:color="auto"/>
                <w:right w:val="none" w:sz="0" w:space="0" w:color="auto"/>
              </w:divBdr>
              <w:divsChild>
                <w:div w:id="8057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526">
      <w:bodyDiv w:val="1"/>
      <w:marLeft w:val="0"/>
      <w:marRight w:val="0"/>
      <w:marTop w:val="0"/>
      <w:marBottom w:val="0"/>
      <w:divBdr>
        <w:top w:val="none" w:sz="0" w:space="0" w:color="auto"/>
        <w:left w:val="none" w:sz="0" w:space="0" w:color="auto"/>
        <w:bottom w:val="none" w:sz="0" w:space="0" w:color="auto"/>
        <w:right w:val="none" w:sz="0" w:space="0" w:color="auto"/>
      </w:divBdr>
    </w:div>
    <w:div w:id="1143503021">
      <w:bodyDiv w:val="1"/>
      <w:marLeft w:val="0"/>
      <w:marRight w:val="0"/>
      <w:marTop w:val="0"/>
      <w:marBottom w:val="0"/>
      <w:divBdr>
        <w:top w:val="none" w:sz="0" w:space="0" w:color="auto"/>
        <w:left w:val="none" w:sz="0" w:space="0" w:color="auto"/>
        <w:bottom w:val="none" w:sz="0" w:space="0" w:color="auto"/>
        <w:right w:val="none" w:sz="0" w:space="0" w:color="auto"/>
      </w:divBdr>
      <w:divsChild>
        <w:div w:id="1972175110">
          <w:marLeft w:val="0"/>
          <w:marRight w:val="0"/>
          <w:marTop w:val="0"/>
          <w:marBottom w:val="0"/>
          <w:divBdr>
            <w:top w:val="none" w:sz="0" w:space="0" w:color="auto"/>
            <w:left w:val="none" w:sz="0" w:space="0" w:color="auto"/>
            <w:bottom w:val="none" w:sz="0" w:space="0" w:color="auto"/>
            <w:right w:val="none" w:sz="0" w:space="0" w:color="auto"/>
          </w:divBdr>
          <w:divsChild>
            <w:div w:id="456803262">
              <w:marLeft w:val="0"/>
              <w:marRight w:val="0"/>
              <w:marTop w:val="0"/>
              <w:marBottom w:val="0"/>
              <w:divBdr>
                <w:top w:val="none" w:sz="0" w:space="0" w:color="auto"/>
                <w:left w:val="none" w:sz="0" w:space="0" w:color="auto"/>
                <w:bottom w:val="none" w:sz="0" w:space="0" w:color="auto"/>
                <w:right w:val="none" w:sz="0" w:space="0" w:color="auto"/>
              </w:divBdr>
              <w:divsChild>
                <w:div w:id="1730565944">
                  <w:marLeft w:val="0"/>
                  <w:marRight w:val="0"/>
                  <w:marTop w:val="0"/>
                  <w:marBottom w:val="0"/>
                  <w:divBdr>
                    <w:top w:val="none" w:sz="0" w:space="0" w:color="auto"/>
                    <w:left w:val="none" w:sz="0" w:space="0" w:color="auto"/>
                    <w:bottom w:val="none" w:sz="0" w:space="0" w:color="auto"/>
                    <w:right w:val="none" w:sz="0" w:space="0" w:color="auto"/>
                  </w:divBdr>
                  <w:divsChild>
                    <w:div w:id="13904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7158378">
      <w:bodyDiv w:val="1"/>
      <w:marLeft w:val="0"/>
      <w:marRight w:val="0"/>
      <w:marTop w:val="0"/>
      <w:marBottom w:val="0"/>
      <w:divBdr>
        <w:top w:val="none" w:sz="0" w:space="0" w:color="auto"/>
        <w:left w:val="none" w:sz="0" w:space="0" w:color="auto"/>
        <w:bottom w:val="none" w:sz="0" w:space="0" w:color="auto"/>
        <w:right w:val="none" w:sz="0" w:space="0" w:color="auto"/>
      </w:divBdr>
      <w:divsChild>
        <w:div w:id="1538085849">
          <w:marLeft w:val="360"/>
          <w:marRight w:val="0"/>
          <w:marTop w:val="120"/>
          <w:marBottom w:val="0"/>
          <w:divBdr>
            <w:top w:val="none" w:sz="0" w:space="0" w:color="auto"/>
            <w:left w:val="none" w:sz="0" w:space="0" w:color="auto"/>
            <w:bottom w:val="none" w:sz="0" w:space="0" w:color="auto"/>
            <w:right w:val="none" w:sz="0" w:space="0" w:color="auto"/>
          </w:divBdr>
        </w:div>
      </w:divsChild>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8262">
      <w:bodyDiv w:val="1"/>
      <w:marLeft w:val="0"/>
      <w:marRight w:val="0"/>
      <w:marTop w:val="0"/>
      <w:marBottom w:val="0"/>
      <w:divBdr>
        <w:top w:val="none" w:sz="0" w:space="0" w:color="auto"/>
        <w:left w:val="none" w:sz="0" w:space="0" w:color="auto"/>
        <w:bottom w:val="none" w:sz="0" w:space="0" w:color="auto"/>
        <w:right w:val="none" w:sz="0" w:space="0" w:color="auto"/>
      </w:divBdr>
      <w:divsChild>
        <w:div w:id="1725257456">
          <w:marLeft w:val="0"/>
          <w:marRight w:val="0"/>
          <w:marTop w:val="0"/>
          <w:marBottom w:val="0"/>
          <w:divBdr>
            <w:top w:val="none" w:sz="0" w:space="0" w:color="auto"/>
            <w:left w:val="none" w:sz="0" w:space="0" w:color="auto"/>
            <w:bottom w:val="none" w:sz="0" w:space="0" w:color="auto"/>
            <w:right w:val="none" w:sz="0" w:space="0" w:color="auto"/>
          </w:divBdr>
          <w:divsChild>
            <w:div w:id="970481987">
              <w:marLeft w:val="0"/>
              <w:marRight w:val="0"/>
              <w:marTop w:val="0"/>
              <w:marBottom w:val="0"/>
              <w:divBdr>
                <w:top w:val="none" w:sz="0" w:space="0" w:color="auto"/>
                <w:left w:val="none" w:sz="0" w:space="0" w:color="auto"/>
                <w:bottom w:val="none" w:sz="0" w:space="0" w:color="auto"/>
                <w:right w:val="none" w:sz="0" w:space="0" w:color="auto"/>
              </w:divBdr>
              <w:divsChild>
                <w:div w:id="18961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50501045">
      <w:bodyDiv w:val="1"/>
      <w:marLeft w:val="0"/>
      <w:marRight w:val="0"/>
      <w:marTop w:val="0"/>
      <w:marBottom w:val="0"/>
      <w:divBdr>
        <w:top w:val="none" w:sz="0" w:space="0" w:color="auto"/>
        <w:left w:val="none" w:sz="0" w:space="0" w:color="auto"/>
        <w:bottom w:val="none" w:sz="0" w:space="0" w:color="auto"/>
        <w:right w:val="none" w:sz="0" w:space="0" w:color="auto"/>
      </w:divBdr>
    </w:div>
    <w:div w:id="1264873534">
      <w:bodyDiv w:val="1"/>
      <w:marLeft w:val="0"/>
      <w:marRight w:val="0"/>
      <w:marTop w:val="0"/>
      <w:marBottom w:val="0"/>
      <w:divBdr>
        <w:top w:val="none" w:sz="0" w:space="0" w:color="auto"/>
        <w:left w:val="none" w:sz="0" w:space="0" w:color="auto"/>
        <w:bottom w:val="none" w:sz="0" w:space="0" w:color="auto"/>
        <w:right w:val="none" w:sz="0" w:space="0" w:color="auto"/>
      </w:divBdr>
      <w:divsChild>
        <w:div w:id="366150328">
          <w:marLeft w:val="0"/>
          <w:marRight w:val="0"/>
          <w:marTop w:val="0"/>
          <w:marBottom w:val="0"/>
          <w:divBdr>
            <w:top w:val="none" w:sz="0" w:space="0" w:color="auto"/>
            <w:left w:val="none" w:sz="0" w:space="0" w:color="auto"/>
            <w:bottom w:val="none" w:sz="0" w:space="0" w:color="auto"/>
            <w:right w:val="none" w:sz="0" w:space="0" w:color="auto"/>
          </w:divBdr>
          <w:divsChild>
            <w:div w:id="878665598">
              <w:marLeft w:val="0"/>
              <w:marRight w:val="0"/>
              <w:marTop w:val="0"/>
              <w:marBottom w:val="0"/>
              <w:divBdr>
                <w:top w:val="none" w:sz="0" w:space="0" w:color="auto"/>
                <w:left w:val="none" w:sz="0" w:space="0" w:color="auto"/>
                <w:bottom w:val="none" w:sz="0" w:space="0" w:color="auto"/>
                <w:right w:val="none" w:sz="0" w:space="0" w:color="auto"/>
              </w:divBdr>
              <w:divsChild>
                <w:div w:id="2061903702">
                  <w:marLeft w:val="0"/>
                  <w:marRight w:val="0"/>
                  <w:marTop w:val="0"/>
                  <w:marBottom w:val="0"/>
                  <w:divBdr>
                    <w:top w:val="none" w:sz="0" w:space="0" w:color="auto"/>
                    <w:left w:val="none" w:sz="0" w:space="0" w:color="auto"/>
                    <w:bottom w:val="none" w:sz="0" w:space="0" w:color="auto"/>
                    <w:right w:val="none" w:sz="0" w:space="0" w:color="auto"/>
                  </w:divBdr>
                  <w:divsChild>
                    <w:div w:id="15834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76328869">
      <w:bodyDiv w:val="1"/>
      <w:marLeft w:val="0"/>
      <w:marRight w:val="0"/>
      <w:marTop w:val="0"/>
      <w:marBottom w:val="0"/>
      <w:divBdr>
        <w:top w:val="none" w:sz="0" w:space="0" w:color="auto"/>
        <w:left w:val="none" w:sz="0" w:space="0" w:color="auto"/>
        <w:bottom w:val="none" w:sz="0" w:space="0" w:color="auto"/>
        <w:right w:val="none" w:sz="0" w:space="0" w:color="auto"/>
      </w:divBdr>
      <w:divsChild>
        <w:div w:id="931595430">
          <w:marLeft w:val="0"/>
          <w:marRight w:val="0"/>
          <w:marTop w:val="0"/>
          <w:marBottom w:val="0"/>
          <w:divBdr>
            <w:top w:val="none" w:sz="0" w:space="0" w:color="auto"/>
            <w:left w:val="none" w:sz="0" w:space="0" w:color="auto"/>
            <w:bottom w:val="none" w:sz="0" w:space="0" w:color="auto"/>
            <w:right w:val="none" w:sz="0" w:space="0" w:color="auto"/>
          </w:divBdr>
          <w:divsChild>
            <w:div w:id="1914005239">
              <w:marLeft w:val="0"/>
              <w:marRight w:val="0"/>
              <w:marTop w:val="0"/>
              <w:marBottom w:val="0"/>
              <w:divBdr>
                <w:top w:val="none" w:sz="0" w:space="0" w:color="auto"/>
                <w:left w:val="none" w:sz="0" w:space="0" w:color="auto"/>
                <w:bottom w:val="none" w:sz="0" w:space="0" w:color="auto"/>
                <w:right w:val="none" w:sz="0" w:space="0" w:color="auto"/>
              </w:divBdr>
              <w:divsChild>
                <w:div w:id="7755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243">
      <w:bodyDiv w:val="1"/>
      <w:marLeft w:val="0"/>
      <w:marRight w:val="0"/>
      <w:marTop w:val="0"/>
      <w:marBottom w:val="0"/>
      <w:divBdr>
        <w:top w:val="none" w:sz="0" w:space="0" w:color="auto"/>
        <w:left w:val="none" w:sz="0" w:space="0" w:color="auto"/>
        <w:bottom w:val="none" w:sz="0" w:space="0" w:color="auto"/>
        <w:right w:val="none" w:sz="0" w:space="0" w:color="auto"/>
      </w:divBdr>
      <w:divsChild>
        <w:div w:id="1958219412">
          <w:marLeft w:val="0"/>
          <w:marRight w:val="0"/>
          <w:marTop w:val="0"/>
          <w:marBottom w:val="0"/>
          <w:divBdr>
            <w:top w:val="none" w:sz="0" w:space="0" w:color="auto"/>
            <w:left w:val="none" w:sz="0" w:space="0" w:color="auto"/>
            <w:bottom w:val="none" w:sz="0" w:space="0" w:color="auto"/>
            <w:right w:val="none" w:sz="0" w:space="0" w:color="auto"/>
          </w:divBdr>
          <w:divsChild>
            <w:div w:id="394816252">
              <w:marLeft w:val="0"/>
              <w:marRight w:val="0"/>
              <w:marTop w:val="0"/>
              <w:marBottom w:val="0"/>
              <w:divBdr>
                <w:top w:val="none" w:sz="0" w:space="0" w:color="auto"/>
                <w:left w:val="none" w:sz="0" w:space="0" w:color="auto"/>
                <w:bottom w:val="none" w:sz="0" w:space="0" w:color="auto"/>
                <w:right w:val="none" w:sz="0" w:space="0" w:color="auto"/>
              </w:divBdr>
              <w:divsChild>
                <w:div w:id="2136368823">
                  <w:marLeft w:val="0"/>
                  <w:marRight w:val="0"/>
                  <w:marTop w:val="0"/>
                  <w:marBottom w:val="0"/>
                  <w:divBdr>
                    <w:top w:val="none" w:sz="0" w:space="0" w:color="auto"/>
                    <w:left w:val="none" w:sz="0" w:space="0" w:color="auto"/>
                    <w:bottom w:val="none" w:sz="0" w:space="0" w:color="auto"/>
                    <w:right w:val="none" w:sz="0" w:space="0" w:color="auto"/>
                  </w:divBdr>
                  <w:divsChild>
                    <w:div w:id="20378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64162879">
      <w:bodyDiv w:val="1"/>
      <w:marLeft w:val="0"/>
      <w:marRight w:val="0"/>
      <w:marTop w:val="0"/>
      <w:marBottom w:val="0"/>
      <w:divBdr>
        <w:top w:val="none" w:sz="0" w:space="0" w:color="auto"/>
        <w:left w:val="none" w:sz="0" w:space="0" w:color="auto"/>
        <w:bottom w:val="none" w:sz="0" w:space="0" w:color="auto"/>
        <w:right w:val="none" w:sz="0" w:space="0" w:color="auto"/>
      </w:divBdr>
      <w:divsChild>
        <w:div w:id="560360591">
          <w:marLeft w:val="0"/>
          <w:marRight w:val="0"/>
          <w:marTop w:val="0"/>
          <w:marBottom w:val="0"/>
          <w:divBdr>
            <w:top w:val="none" w:sz="0" w:space="0" w:color="auto"/>
            <w:left w:val="none" w:sz="0" w:space="0" w:color="auto"/>
            <w:bottom w:val="none" w:sz="0" w:space="0" w:color="auto"/>
            <w:right w:val="none" w:sz="0" w:space="0" w:color="auto"/>
          </w:divBdr>
          <w:divsChild>
            <w:div w:id="860165322">
              <w:marLeft w:val="0"/>
              <w:marRight w:val="0"/>
              <w:marTop w:val="0"/>
              <w:marBottom w:val="0"/>
              <w:divBdr>
                <w:top w:val="none" w:sz="0" w:space="0" w:color="auto"/>
                <w:left w:val="none" w:sz="0" w:space="0" w:color="auto"/>
                <w:bottom w:val="none" w:sz="0" w:space="0" w:color="auto"/>
                <w:right w:val="none" w:sz="0" w:space="0" w:color="auto"/>
              </w:divBdr>
              <w:divsChild>
                <w:div w:id="273905794">
                  <w:marLeft w:val="0"/>
                  <w:marRight w:val="0"/>
                  <w:marTop w:val="0"/>
                  <w:marBottom w:val="0"/>
                  <w:divBdr>
                    <w:top w:val="none" w:sz="0" w:space="0" w:color="auto"/>
                    <w:left w:val="none" w:sz="0" w:space="0" w:color="auto"/>
                    <w:bottom w:val="none" w:sz="0" w:space="0" w:color="auto"/>
                    <w:right w:val="none" w:sz="0" w:space="0" w:color="auto"/>
                  </w:divBdr>
                  <w:divsChild>
                    <w:div w:id="806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3906">
      <w:bodyDiv w:val="1"/>
      <w:marLeft w:val="0"/>
      <w:marRight w:val="0"/>
      <w:marTop w:val="0"/>
      <w:marBottom w:val="0"/>
      <w:divBdr>
        <w:top w:val="none" w:sz="0" w:space="0" w:color="auto"/>
        <w:left w:val="none" w:sz="0" w:space="0" w:color="auto"/>
        <w:bottom w:val="none" w:sz="0" w:space="0" w:color="auto"/>
        <w:right w:val="none" w:sz="0" w:space="0" w:color="auto"/>
      </w:divBdr>
      <w:divsChild>
        <w:div w:id="1879124009">
          <w:marLeft w:val="0"/>
          <w:marRight w:val="0"/>
          <w:marTop w:val="0"/>
          <w:marBottom w:val="0"/>
          <w:divBdr>
            <w:top w:val="none" w:sz="0" w:space="0" w:color="auto"/>
            <w:left w:val="none" w:sz="0" w:space="0" w:color="auto"/>
            <w:bottom w:val="none" w:sz="0" w:space="0" w:color="auto"/>
            <w:right w:val="none" w:sz="0" w:space="0" w:color="auto"/>
          </w:divBdr>
          <w:divsChild>
            <w:div w:id="1757358686">
              <w:marLeft w:val="0"/>
              <w:marRight w:val="0"/>
              <w:marTop w:val="0"/>
              <w:marBottom w:val="0"/>
              <w:divBdr>
                <w:top w:val="none" w:sz="0" w:space="0" w:color="auto"/>
                <w:left w:val="none" w:sz="0" w:space="0" w:color="auto"/>
                <w:bottom w:val="none" w:sz="0" w:space="0" w:color="auto"/>
                <w:right w:val="none" w:sz="0" w:space="0" w:color="auto"/>
              </w:divBdr>
              <w:divsChild>
                <w:div w:id="12831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9883">
      <w:bodyDiv w:val="1"/>
      <w:marLeft w:val="0"/>
      <w:marRight w:val="0"/>
      <w:marTop w:val="0"/>
      <w:marBottom w:val="0"/>
      <w:divBdr>
        <w:top w:val="none" w:sz="0" w:space="0" w:color="auto"/>
        <w:left w:val="none" w:sz="0" w:space="0" w:color="auto"/>
        <w:bottom w:val="none" w:sz="0" w:space="0" w:color="auto"/>
        <w:right w:val="none" w:sz="0" w:space="0" w:color="auto"/>
      </w:divBdr>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29009">
      <w:bodyDiv w:val="1"/>
      <w:marLeft w:val="0"/>
      <w:marRight w:val="0"/>
      <w:marTop w:val="0"/>
      <w:marBottom w:val="0"/>
      <w:divBdr>
        <w:top w:val="none" w:sz="0" w:space="0" w:color="auto"/>
        <w:left w:val="none" w:sz="0" w:space="0" w:color="auto"/>
        <w:bottom w:val="none" w:sz="0" w:space="0" w:color="auto"/>
        <w:right w:val="none" w:sz="0" w:space="0" w:color="auto"/>
      </w:divBdr>
    </w:div>
    <w:div w:id="1469083186">
      <w:bodyDiv w:val="1"/>
      <w:marLeft w:val="0"/>
      <w:marRight w:val="0"/>
      <w:marTop w:val="0"/>
      <w:marBottom w:val="0"/>
      <w:divBdr>
        <w:top w:val="none" w:sz="0" w:space="0" w:color="auto"/>
        <w:left w:val="none" w:sz="0" w:space="0" w:color="auto"/>
        <w:bottom w:val="none" w:sz="0" w:space="0" w:color="auto"/>
        <w:right w:val="none" w:sz="0" w:space="0" w:color="auto"/>
      </w:divBdr>
      <w:divsChild>
        <w:div w:id="1349482723">
          <w:marLeft w:val="0"/>
          <w:marRight w:val="0"/>
          <w:marTop w:val="0"/>
          <w:marBottom w:val="0"/>
          <w:divBdr>
            <w:top w:val="none" w:sz="0" w:space="0" w:color="auto"/>
            <w:left w:val="none" w:sz="0" w:space="0" w:color="auto"/>
            <w:bottom w:val="none" w:sz="0" w:space="0" w:color="auto"/>
            <w:right w:val="none" w:sz="0" w:space="0" w:color="auto"/>
          </w:divBdr>
          <w:divsChild>
            <w:div w:id="611597572">
              <w:marLeft w:val="0"/>
              <w:marRight w:val="0"/>
              <w:marTop w:val="0"/>
              <w:marBottom w:val="0"/>
              <w:divBdr>
                <w:top w:val="none" w:sz="0" w:space="0" w:color="auto"/>
                <w:left w:val="none" w:sz="0" w:space="0" w:color="auto"/>
                <w:bottom w:val="none" w:sz="0" w:space="0" w:color="auto"/>
                <w:right w:val="none" w:sz="0" w:space="0" w:color="auto"/>
              </w:divBdr>
              <w:divsChild>
                <w:div w:id="15998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840">
      <w:bodyDiv w:val="1"/>
      <w:marLeft w:val="0"/>
      <w:marRight w:val="0"/>
      <w:marTop w:val="0"/>
      <w:marBottom w:val="0"/>
      <w:divBdr>
        <w:top w:val="none" w:sz="0" w:space="0" w:color="auto"/>
        <w:left w:val="none" w:sz="0" w:space="0" w:color="auto"/>
        <w:bottom w:val="none" w:sz="0" w:space="0" w:color="auto"/>
        <w:right w:val="none" w:sz="0" w:space="0" w:color="auto"/>
      </w:divBdr>
      <w:divsChild>
        <w:div w:id="1164662976">
          <w:marLeft w:val="0"/>
          <w:marRight w:val="0"/>
          <w:marTop w:val="0"/>
          <w:marBottom w:val="0"/>
          <w:divBdr>
            <w:top w:val="none" w:sz="0" w:space="0" w:color="auto"/>
            <w:left w:val="none" w:sz="0" w:space="0" w:color="auto"/>
            <w:bottom w:val="none" w:sz="0" w:space="0" w:color="auto"/>
            <w:right w:val="none" w:sz="0" w:space="0" w:color="auto"/>
          </w:divBdr>
          <w:divsChild>
            <w:div w:id="1410494013">
              <w:marLeft w:val="0"/>
              <w:marRight w:val="0"/>
              <w:marTop w:val="0"/>
              <w:marBottom w:val="0"/>
              <w:divBdr>
                <w:top w:val="none" w:sz="0" w:space="0" w:color="auto"/>
                <w:left w:val="none" w:sz="0" w:space="0" w:color="auto"/>
                <w:bottom w:val="none" w:sz="0" w:space="0" w:color="auto"/>
                <w:right w:val="none" w:sz="0" w:space="0" w:color="auto"/>
              </w:divBdr>
              <w:divsChild>
                <w:div w:id="914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10025026">
      <w:bodyDiv w:val="1"/>
      <w:marLeft w:val="0"/>
      <w:marRight w:val="0"/>
      <w:marTop w:val="0"/>
      <w:marBottom w:val="0"/>
      <w:divBdr>
        <w:top w:val="none" w:sz="0" w:space="0" w:color="auto"/>
        <w:left w:val="none" w:sz="0" w:space="0" w:color="auto"/>
        <w:bottom w:val="none" w:sz="0" w:space="0" w:color="auto"/>
        <w:right w:val="none" w:sz="0" w:space="0" w:color="auto"/>
      </w:divBdr>
      <w:divsChild>
        <w:div w:id="1955555511">
          <w:marLeft w:val="0"/>
          <w:marRight w:val="0"/>
          <w:marTop w:val="0"/>
          <w:marBottom w:val="0"/>
          <w:divBdr>
            <w:top w:val="none" w:sz="0" w:space="0" w:color="auto"/>
            <w:left w:val="none" w:sz="0" w:space="0" w:color="auto"/>
            <w:bottom w:val="none" w:sz="0" w:space="0" w:color="auto"/>
            <w:right w:val="none" w:sz="0" w:space="0" w:color="auto"/>
          </w:divBdr>
          <w:divsChild>
            <w:div w:id="1006785812">
              <w:marLeft w:val="0"/>
              <w:marRight w:val="0"/>
              <w:marTop w:val="0"/>
              <w:marBottom w:val="0"/>
              <w:divBdr>
                <w:top w:val="none" w:sz="0" w:space="0" w:color="auto"/>
                <w:left w:val="none" w:sz="0" w:space="0" w:color="auto"/>
                <w:bottom w:val="none" w:sz="0" w:space="0" w:color="auto"/>
                <w:right w:val="none" w:sz="0" w:space="0" w:color="auto"/>
              </w:divBdr>
              <w:divsChild>
                <w:div w:id="780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973">
      <w:bodyDiv w:val="1"/>
      <w:marLeft w:val="0"/>
      <w:marRight w:val="0"/>
      <w:marTop w:val="0"/>
      <w:marBottom w:val="0"/>
      <w:divBdr>
        <w:top w:val="none" w:sz="0" w:space="0" w:color="auto"/>
        <w:left w:val="none" w:sz="0" w:space="0" w:color="auto"/>
        <w:bottom w:val="none" w:sz="0" w:space="0" w:color="auto"/>
        <w:right w:val="none" w:sz="0" w:space="0" w:color="auto"/>
      </w:divBdr>
      <w:divsChild>
        <w:div w:id="1769960408">
          <w:marLeft w:val="0"/>
          <w:marRight w:val="0"/>
          <w:marTop w:val="0"/>
          <w:marBottom w:val="0"/>
          <w:divBdr>
            <w:top w:val="none" w:sz="0" w:space="0" w:color="auto"/>
            <w:left w:val="none" w:sz="0" w:space="0" w:color="auto"/>
            <w:bottom w:val="none" w:sz="0" w:space="0" w:color="auto"/>
            <w:right w:val="none" w:sz="0" w:space="0" w:color="auto"/>
          </w:divBdr>
          <w:divsChild>
            <w:div w:id="1194922895">
              <w:marLeft w:val="0"/>
              <w:marRight w:val="0"/>
              <w:marTop w:val="0"/>
              <w:marBottom w:val="0"/>
              <w:divBdr>
                <w:top w:val="none" w:sz="0" w:space="0" w:color="auto"/>
                <w:left w:val="none" w:sz="0" w:space="0" w:color="auto"/>
                <w:bottom w:val="none" w:sz="0" w:space="0" w:color="auto"/>
                <w:right w:val="none" w:sz="0" w:space="0" w:color="auto"/>
              </w:divBdr>
              <w:divsChild>
                <w:div w:id="19654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2609">
      <w:bodyDiv w:val="1"/>
      <w:marLeft w:val="0"/>
      <w:marRight w:val="0"/>
      <w:marTop w:val="0"/>
      <w:marBottom w:val="0"/>
      <w:divBdr>
        <w:top w:val="none" w:sz="0" w:space="0" w:color="auto"/>
        <w:left w:val="none" w:sz="0" w:space="0" w:color="auto"/>
        <w:bottom w:val="none" w:sz="0" w:space="0" w:color="auto"/>
        <w:right w:val="none" w:sz="0" w:space="0" w:color="auto"/>
      </w:divBdr>
    </w:div>
    <w:div w:id="1556089517">
      <w:bodyDiv w:val="1"/>
      <w:marLeft w:val="0"/>
      <w:marRight w:val="0"/>
      <w:marTop w:val="0"/>
      <w:marBottom w:val="0"/>
      <w:divBdr>
        <w:top w:val="none" w:sz="0" w:space="0" w:color="auto"/>
        <w:left w:val="none" w:sz="0" w:space="0" w:color="auto"/>
        <w:bottom w:val="none" w:sz="0" w:space="0" w:color="auto"/>
        <w:right w:val="none" w:sz="0" w:space="0" w:color="auto"/>
      </w:divBdr>
      <w:divsChild>
        <w:div w:id="409275472">
          <w:marLeft w:val="0"/>
          <w:marRight w:val="0"/>
          <w:marTop w:val="0"/>
          <w:marBottom w:val="0"/>
          <w:divBdr>
            <w:top w:val="none" w:sz="0" w:space="0" w:color="auto"/>
            <w:left w:val="none" w:sz="0" w:space="0" w:color="auto"/>
            <w:bottom w:val="none" w:sz="0" w:space="0" w:color="auto"/>
            <w:right w:val="none" w:sz="0" w:space="0" w:color="auto"/>
          </w:divBdr>
          <w:divsChild>
            <w:div w:id="963585898">
              <w:marLeft w:val="0"/>
              <w:marRight w:val="0"/>
              <w:marTop w:val="0"/>
              <w:marBottom w:val="0"/>
              <w:divBdr>
                <w:top w:val="none" w:sz="0" w:space="0" w:color="auto"/>
                <w:left w:val="none" w:sz="0" w:space="0" w:color="auto"/>
                <w:bottom w:val="none" w:sz="0" w:space="0" w:color="auto"/>
                <w:right w:val="none" w:sz="0" w:space="0" w:color="auto"/>
              </w:divBdr>
              <w:divsChild>
                <w:div w:id="12923892">
                  <w:marLeft w:val="0"/>
                  <w:marRight w:val="0"/>
                  <w:marTop w:val="0"/>
                  <w:marBottom w:val="0"/>
                  <w:divBdr>
                    <w:top w:val="none" w:sz="0" w:space="0" w:color="auto"/>
                    <w:left w:val="none" w:sz="0" w:space="0" w:color="auto"/>
                    <w:bottom w:val="none" w:sz="0" w:space="0" w:color="auto"/>
                    <w:right w:val="none" w:sz="0" w:space="0" w:color="auto"/>
                  </w:divBdr>
                  <w:divsChild>
                    <w:div w:id="5791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1856">
      <w:bodyDiv w:val="1"/>
      <w:marLeft w:val="0"/>
      <w:marRight w:val="0"/>
      <w:marTop w:val="0"/>
      <w:marBottom w:val="0"/>
      <w:divBdr>
        <w:top w:val="none" w:sz="0" w:space="0" w:color="auto"/>
        <w:left w:val="none" w:sz="0" w:space="0" w:color="auto"/>
        <w:bottom w:val="none" w:sz="0" w:space="0" w:color="auto"/>
        <w:right w:val="none" w:sz="0" w:space="0" w:color="auto"/>
      </w:divBdr>
      <w:divsChild>
        <w:div w:id="967390841">
          <w:marLeft w:val="0"/>
          <w:marRight w:val="0"/>
          <w:marTop w:val="0"/>
          <w:marBottom w:val="0"/>
          <w:divBdr>
            <w:top w:val="none" w:sz="0" w:space="0" w:color="auto"/>
            <w:left w:val="none" w:sz="0" w:space="0" w:color="auto"/>
            <w:bottom w:val="none" w:sz="0" w:space="0" w:color="auto"/>
            <w:right w:val="none" w:sz="0" w:space="0" w:color="auto"/>
          </w:divBdr>
          <w:divsChild>
            <w:div w:id="2109808126">
              <w:marLeft w:val="0"/>
              <w:marRight w:val="0"/>
              <w:marTop w:val="0"/>
              <w:marBottom w:val="0"/>
              <w:divBdr>
                <w:top w:val="none" w:sz="0" w:space="0" w:color="auto"/>
                <w:left w:val="none" w:sz="0" w:space="0" w:color="auto"/>
                <w:bottom w:val="none" w:sz="0" w:space="0" w:color="auto"/>
                <w:right w:val="none" w:sz="0" w:space="0" w:color="auto"/>
              </w:divBdr>
              <w:divsChild>
                <w:div w:id="13013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05116616">
      <w:bodyDiv w:val="1"/>
      <w:marLeft w:val="0"/>
      <w:marRight w:val="0"/>
      <w:marTop w:val="0"/>
      <w:marBottom w:val="0"/>
      <w:divBdr>
        <w:top w:val="none" w:sz="0" w:space="0" w:color="auto"/>
        <w:left w:val="none" w:sz="0" w:space="0" w:color="auto"/>
        <w:bottom w:val="none" w:sz="0" w:space="0" w:color="auto"/>
        <w:right w:val="none" w:sz="0" w:space="0" w:color="auto"/>
      </w:divBdr>
      <w:divsChild>
        <w:div w:id="1282499370">
          <w:marLeft w:val="0"/>
          <w:marRight w:val="0"/>
          <w:marTop w:val="0"/>
          <w:marBottom w:val="0"/>
          <w:divBdr>
            <w:top w:val="none" w:sz="0" w:space="0" w:color="auto"/>
            <w:left w:val="none" w:sz="0" w:space="0" w:color="auto"/>
            <w:bottom w:val="none" w:sz="0" w:space="0" w:color="auto"/>
            <w:right w:val="none" w:sz="0" w:space="0" w:color="auto"/>
          </w:divBdr>
          <w:divsChild>
            <w:div w:id="154684670">
              <w:marLeft w:val="0"/>
              <w:marRight w:val="0"/>
              <w:marTop w:val="0"/>
              <w:marBottom w:val="0"/>
              <w:divBdr>
                <w:top w:val="none" w:sz="0" w:space="0" w:color="auto"/>
                <w:left w:val="none" w:sz="0" w:space="0" w:color="auto"/>
                <w:bottom w:val="none" w:sz="0" w:space="0" w:color="auto"/>
                <w:right w:val="none" w:sz="0" w:space="0" w:color="auto"/>
              </w:divBdr>
              <w:divsChild>
                <w:div w:id="4364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5039">
      <w:bodyDiv w:val="1"/>
      <w:marLeft w:val="0"/>
      <w:marRight w:val="0"/>
      <w:marTop w:val="0"/>
      <w:marBottom w:val="0"/>
      <w:divBdr>
        <w:top w:val="none" w:sz="0" w:space="0" w:color="auto"/>
        <w:left w:val="none" w:sz="0" w:space="0" w:color="auto"/>
        <w:bottom w:val="none" w:sz="0" w:space="0" w:color="auto"/>
        <w:right w:val="none" w:sz="0" w:space="0" w:color="auto"/>
      </w:divBdr>
    </w:div>
    <w:div w:id="1657765429">
      <w:bodyDiv w:val="1"/>
      <w:marLeft w:val="0"/>
      <w:marRight w:val="0"/>
      <w:marTop w:val="0"/>
      <w:marBottom w:val="0"/>
      <w:divBdr>
        <w:top w:val="none" w:sz="0" w:space="0" w:color="auto"/>
        <w:left w:val="none" w:sz="0" w:space="0" w:color="auto"/>
        <w:bottom w:val="none" w:sz="0" w:space="0" w:color="auto"/>
        <w:right w:val="none" w:sz="0" w:space="0" w:color="auto"/>
      </w:divBdr>
      <w:divsChild>
        <w:div w:id="1897743587">
          <w:marLeft w:val="0"/>
          <w:marRight w:val="0"/>
          <w:marTop w:val="0"/>
          <w:marBottom w:val="0"/>
          <w:divBdr>
            <w:top w:val="none" w:sz="0" w:space="0" w:color="auto"/>
            <w:left w:val="none" w:sz="0" w:space="0" w:color="auto"/>
            <w:bottom w:val="none" w:sz="0" w:space="0" w:color="auto"/>
            <w:right w:val="none" w:sz="0" w:space="0" w:color="auto"/>
          </w:divBdr>
          <w:divsChild>
            <w:div w:id="1024208895">
              <w:marLeft w:val="0"/>
              <w:marRight w:val="0"/>
              <w:marTop w:val="0"/>
              <w:marBottom w:val="0"/>
              <w:divBdr>
                <w:top w:val="none" w:sz="0" w:space="0" w:color="auto"/>
                <w:left w:val="none" w:sz="0" w:space="0" w:color="auto"/>
                <w:bottom w:val="none" w:sz="0" w:space="0" w:color="auto"/>
                <w:right w:val="none" w:sz="0" w:space="0" w:color="auto"/>
              </w:divBdr>
              <w:divsChild>
                <w:div w:id="2137868201">
                  <w:marLeft w:val="0"/>
                  <w:marRight w:val="0"/>
                  <w:marTop w:val="0"/>
                  <w:marBottom w:val="0"/>
                  <w:divBdr>
                    <w:top w:val="none" w:sz="0" w:space="0" w:color="auto"/>
                    <w:left w:val="none" w:sz="0" w:space="0" w:color="auto"/>
                    <w:bottom w:val="none" w:sz="0" w:space="0" w:color="auto"/>
                    <w:right w:val="none" w:sz="0" w:space="0" w:color="auto"/>
                  </w:divBdr>
                  <w:divsChild>
                    <w:div w:id="2387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5498893">
      <w:bodyDiv w:val="1"/>
      <w:marLeft w:val="0"/>
      <w:marRight w:val="0"/>
      <w:marTop w:val="0"/>
      <w:marBottom w:val="0"/>
      <w:divBdr>
        <w:top w:val="none" w:sz="0" w:space="0" w:color="auto"/>
        <w:left w:val="none" w:sz="0" w:space="0" w:color="auto"/>
        <w:bottom w:val="none" w:sz="0" w:space="0" w:color="auto"/>
        <w:right w:val="none" w:sz="0" w:space="0" w:color="auto"/>
      </w:divBdr>
      <w:divsChild>
        <w:div w:id="1871260821">
          <w:marLeft w:val="0"/>
          <w:marRight w:val="0"/>
          <w:marTop w:val="0"/>
          <w:marBottom w:val="0"/>
          <w:divBdr>
            <w:top w:val="none" w:sz="0" w:space="0" w:color="auto"/>
            <w:left w:val="none" w:sz="0" w:space="0" w:color="auto"/>
            <w:bottom w:val="none" w:sz="0" w:space="0" w:color="auto"/>
            <w:right w:val="none" w:sz="0" w:space="0" w:color="auto"/>
          </w:divBdr>
          <w:divsChild>
            <w:div w:id="1566913773">
              <w:marLeft w:val="0"/>
              <w:marRight w:val="0"/>
              <w:marTop w:val="0"/>
              <w:marBottom w:val="0"/>
              <w:divBdr>
                <w:top w:val="none" w:sz="0" w:space="0" w:color="auto"/>
                <w:left w:val="none" w:sz="0" w:space="0" w:color="auto"/>
                <w:bottom w:val="none" w:sz="0" w:space="0" w:color="auto"/>
                <w:right w:val="none" w:sz="0" w:space="0" w:color="auto"/>
              </w:divBdr>
              <w:divsChild>
                <w:div w:id="8761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45321">
      <w:bodyDiv w:val="1"/>
      <w:marLeft w:val="0"/>
      <w:marRight w:val="0"/>
      <w:marTop w:val="0"/>
      <w:marBottom w:val="0"/>
      <w:divBdr>
        <w:top w:val="none" w:sz="0" w:space="0" w:color="auto"/>
        <w:left w:val="none" w:sz="0" w:space="0" w:color="auto"/>
        <w:bottom w:val="none" w:sz="0" w:space="0" w:color="auto"/>
        <w:right w:val="none" w:sz="0" w:space="0" w:color="auto"/>
      </w:divBdr>
      <w:divsChild>
        <w:div w:id="736174979">
          <w:marLeft w:val="0"/>
          <w:marRight w:val="0"/>
          <w:marTop w:val="0"/>
          <w:marBottom w:val="0"/>
          <w:divBdr>
            <w:top w:val="none" w:sz="0" w:space="0" w:color="auto"/>
            <w:left w:val="none" w:sz="0" w:space="0" w:color="auto"/>
            <w:bottom w:val="none" w:sz="0" w:space="0" w:color="auto"/>
            <w:right w:val="none" w:sz="0" w:space="0" w:color="auto"/>
          </w:divBdr>
          <w:divsChild>
            <w:div w:id="1346251857">
              <w:marLeft w:val="0"/>
              <w:marRight w:val="0"/>
              <w:marTop w:val="0"/>
              <w:marBottom w:val="0"/>
              <w:divBdr>
                <w:top w:val="none" w:sz="0" w:space="0" w:color="auto"/>
                <w:left w:val="none" w:sz="0" w:space="0" w:color="auto"/>
                <w:bottom w:val="none" w:sz="0" w:space="0" w:color="auto"/>
                <w:right w:val="none" w:sz="0" w:space="0" w:color="auto"/>
              </w:divBdr>
              <w:divsChild>
                <w:div w:id="1827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37707668">
      <w:bodyDiv w:val="1"/>
      <w:marLeft w:val="0"/>
      <w:marRight w:val="0"/>
      <w:marTop w:val="0"/>
      <w:marBottom w:val="0"/>
      <w:divBdr>
        <w:top w:val="none" w:sz="0" w:space="0" w:color="auto"/>
        <w:left w:val="none" w:sz="0" w:space="0" w:color="auto"/>
        <w:bottom w:val="none" w:sz="0" w:space="0" w:color="auto"/>
        <w:right w:val="none" w:sz="0" w:space="0" w:color="auto"/>
      </w:divBdr>
      <w:divsChild>
        <w:div w:id="66995931">
          <w:marLeft w:val="0"/>
          <w:marRight w:val="0"/>
          <w:marTop w:val="150"/>
          <w:marBottom w:val="150"/>
          <w:divBdr>
            <w:top w:val="none" w:sz="0" w:space="0" w:color="auto"/>
            <w:left w:val="none" w:sz="0" w:space="0" w:color="auto"/>
            <w:bottom w:val="none" w:sz="0" w:space="0" w:color="auto"/>
            <w:right w:val="none" w:sz="0" w:space="0" w:color="auto"/>
          </w:divBdr>
        </w:div>
      </w:divsChild>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4340">
      <w:bodyDiv w:val="1"/>
      <w:marLeft w:val="0"/>
      <w:marRight w:val="0"/>
      <w:marTop w:val="0"/>
      <w:marBottom w:val="0"/>
      <w:divBdr>
        <w:top w:val="none" w:sz="0" w:space="0" w:color="auto"/>
        <w:left w:val="none" w:sz="0" w:space="0" w:color="auto"/>
        <w:bottom w:val="none" w:sz="0" w:space="0" w:color="auto"/>
        <w:right w:val="none" w:sz="0" w:space="0" w:color="auto"/>
      </w:divBdr>
      <w:divsChild>
        <w:div w:id="428234214">
          <w:marLeft w:val="0"/>
          <w:marRight w:val="0"/>
          <w:marTop w:val="0"/>
          <w:marBottom w:val="0"/>
          <w:divBdr>
            <w:top w:val="none" w:sz="0" w:space="0" w:color="auto"/>
            <w:left w:val="none" w:sz="0" w:space="0" w:color="auto"/>
            <w:bottom w:val="none" w:sz="0" w:space="0" w:color="auto"/>
            <w:right w:val="none" w:sz="0" w:space="0" w:color="auto"/>
          </w:divBdr>
          <w:divsChild>
            <w:div w:id="483359113">
              <w:marLeft w:val="0"/>
              <w:marRight w:val="0"/>
              <w:marTop w:val="0"/>
              <w:marBottom w:val="0"/>
              <w:divBdr>
                <w:top w:val="none" w:sz="0" w:space="0" w:color="auto"/>
                <w:left w:val="none" w:sz="0" w:space="0" w:color="auto"/>
                <w:bottom w:val="none" w:sz="0" w:space="0" w:color="auto"/>
                <w:right w:val="none" w:sz="0" w:space="0" w:color="auto"/>
              </w:divBdr>
              <w:divsChild>
                <w:div w:id="3463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2982">
      <w:bodyDiv w:val="1"/>
      <w:marLeft w:val="0"/>
      <w:marRight w:val="0"/>
      <w:marTop w:val="0"/>
      <w:marBottom w:val="0"/>
      <w:divBdr>
        <w:top w:val="none" w:sz="0" w:space="0" w:color="auto"/>
        <w:left w:val="none" w:sz="0" w:space="0" w:color="auto"/>
        <w:bottom w:val="none" w:sz="0" w:space="0" w:color="auto"/>
        <w:right w:val="none" w:sz="0" w:space="0" w:color="auto"/>
      </w:divBdr>
      <w:divsChild>
        <w:div w:id="926111486">
          <w:marLeft w:val="0"/>
          <w:marRight w:val="0"/>
          <w:marTop w:val="0"/>
          <w:marBottom w:val="0"/>
          <w:divBdr>
            <w:top w:val="none" w:sz="0" w:space="0" w:color="auto"/>
            <w:left w:val="none" w:sz="0" w:space="0" w:color="auto"/>
            <w:bottom w:val="none" w:sz="0" w:space="0" w:color="auto"/>
            <w:right w:val="none" w:sz="0" w:space="0" w:color="auto"/>
          </w:divBdr>
          <w:divsChild>
            <w:div w:id="1274166024">
              <w:marLeft w:val="0"/>
              <w:marRight w:val="0"/>
              <w:marTop w:val="0"/>
              <w:marBottom w:val="0"/>
              <w:divBdr>
                <w:top w:val="none" w:sz="0" w:space="0" w:color="auto"/>
                <w:left w:val="none" w:sz="0" w:space="0" w:color="auto"/>
                <w:bottom w:val="none" w:sz="0" w:space="0" w:color="auto"/>
                <w:right w:val="none" w:sz="0" w:space="0" w:color="auto"/>
              </w:divBdr>
              <w:divsChild>
                <w:div w:id="452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sChild>
        <w:div w:id="1007169879">
          <w:marLeft w:val="0"/>
          <w:marRight w:val="0"/>
          <w:marTop w:val="0"/>
          <w:marBottom w:val="0"/>
          <w:divBdr>
            <w:top w:val="none" w:sz="0" w:space="0" w:color="auto"/>
            <w:left w:val="none" w:sz="0" w:space="0" w:color="auto"/>
            <w:bottom w:val="none" w:sz="0" w:space="0" w:color="auto"/>
            <w:right w:val="none" w:sz="0" w:space="0" w:color="auto"/>
          </w:divBdr>
          <w:divsChild>
            <w:div w:id="1905412536">
              <w:marLeft w:val="0"/>
              <w:marRight w:val="0"/>
              <w:marTop w:val="0"/>
              <w:marBottom w:val="0"/>
              <w:divBdr>
                <w:top w:val="none" w:sz="0" w:space="0" w:color="auto"/>
                <w:left w:val="none" w:sz="0" w:space="0" w:color="auto"/>
                <w:bottom w:val="none" w:sz="0" w:space="0" w:color="auto"/>
                <w:right w:val="none" w:sz="0" w:space="0" w:color="auto"/>
              </w:divBdr>
              <w:divsChild>
                <w:div w:id="1846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658">
      <w:bodyDiv w:val="1"/>
      <w:marLeft w:val="0"/>
      <w:marRight w:val="0"/>
      <w:marTop w:val="0"/>
      <w:marBottom w:val="0"/>
      <w:divBdr>
        <w:top w:val="none" w:sz="0" w:space="0" w:color="auto"/>
        <w:left w:val="none" w:sz="0" w:space="0" w:color="auto"/>
        <w:bottom w:val="none" w:sz="0" w:space="0" w:color="auto"/>
        <w:right w:val="none" w:sz="0" w:space="0" w:color="auto"/>
      </w:divBdr>
      <w:divsChild>
        <w:div w:id="758674349">
          <w:marLeft w:val="446"/>
          <w:marRight w:val="0"/>
          <w:marTop w:val="0"/>
          <w:marBottom w:val="0"/>
          <w:divBdr>
            <w:top w:val="none" w:sz="0" w:space="0" w:color="auto"/>
            <w:left w:val="none" w:sz="0" w:space="0" w:color="auto"/>
            <w:bottom w:val="none" w:sz="0" w:space="0" w:color="auto"/>
            <w:right w:val="none" w:sz="0" w:space="0" w:color="auto"/>
          </w:divBdr>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3155469">
      <w:bodyDiv w:val="1"/>
      <w:marLeft w:val="0"/>
      <w:marRight w:val="0"/>
      <w:marTop w:val="0"/>
      <w:marBottom w:val="0"/>
      <w:divBdr>
        <w:top w:val="none" w:sz="0" w:space="0" w:color="auto"/>
        <w:left w:val="none" w:sz="0" w:space="0" w:color="auto"/>
        <w:bottom w:val="none" w:sz="0" w:space="0" w:color="auto"/>
        <w:right w:val="none" w:sz="0" w:space="0" w:color="auto"/>
      </w:divBdr>
      <w:divsChild>
        <w:div w:id="1573925738">
          <w:marLeft w:val="0"/>
          <w:marRight w:val="0"/>
          <w:marTop w:val="0"/>
          <w:marBottom w:val="0"/>
          <w:divBdr>
            <w:top w:val="none" w:sz="0" w:space="0" w:color="auto"/>
            <w:left w:val="none" w:sz="0" w:space="0" w:color="auto"/>
            <w:bottom w:val="none" w:sz="0" w:space="0" w:color="auto"/>
            <w:right w:val="none" w:sz="0" w:space="0" w:color="auto"/>
          </w:divBdr>
          <w:divsChild>
            <w:div w:id="669136745">
              <w:marLeft w:val="0"/>
              <w:marRight w:val="0"/>
              <w:marTop w:val="0"/>
              <w:marBottom w:val="0"/>
              <w:divBdr>
                <w:top w:val="none" w:sz="0" w:space="0" w:color="auto"/>
                <w:left w:val="none" w:sz="0" w:space="0" w:color="auto"/>
                <w:bottom w:val="none" w:sz="0" w:space="0" w:color="auto"/>
                <w:right w:val="none" w:sz="0" w:space="0" w:color="auto"/>
              </w:divBdr>
              <w:divsChild>
                <w:div w:id="11951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1845">
      <w:bodyDiv w:val="1"/>
      <w:marLeft w:val="0"/>
      <w:marRight w:val="0"/>
      <w:marTop w:val="0"/>
      <w:marBottom w:val="0"/>
      <w:divBdr>
        <w:top w:val="none" w:sz="0" w:space="0" w:color="auto"/>
        <w:left w:val="none" w:sz="0" w:space="0" w:color="auto"/>
        <w:bottom w:val="none" w:sz="0" w:space="0" w:color="auto"/>
        <w:right w:val="none" w:sz="0" w:space="0" w:color="auto"/>
      </w:divBdr>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59531790">
      <w:bodyDiv w:val="1"/>
      <w:marLeft w:val="0"/>
      <w:marRight w:val="0"/>
      <w:marTop w:val="0"/>
      <w:marBottom w:val="0"/>
      <w:divBdr>
        <w:top w:val="none" w:sz="0" w:space="0" w:color="auto"/>
        <w:left w:val="none" w:sz="0" w:space="0" w:color="auto"/>
        <w:bottom w:val="none" w:sz="0" w:space="0" w:color="auto"/>
        <w:right w:val="none" w:sz="0" w:space="0" w:color="auto"/>
      </w:divBdr>
    </w:div>
    <w:div w:id="1971399825">
      <w:bodyDiv w:val="1"/>
      <w:marLeft w:val="0"/>
      <w:marRight w:val="0"/>
      <w:marTop w:val="0"/>
      <w:marBottom w:val="0"/>
      <w:divBdr>
        <w:top w:val="none" w:sz="0" w:space="0" w:color="auto"/>
        <w:left w:val="none" w:sz="0" w:space="0" w:color="auto"/>
        <w:bottom w:val="none" w:sz="0" w:space="0" w:color="auto"/>
        <w:right w:val="none" w:sz="0" w:space="0" w:color="auto"/>
      </w:divBdr>
    </w:div>
    <w:div w:id="1976331666">
      <w:bodyDiv w:val="1"/>
      <w:marLeft w:val="0"/>
      <w:marRight w:val="0"/>
      <w:marTop w:val="0"/>
      <w:marBottom w:val="0"/>
      <w:divBdr>
        <w:top w:val="none" w:sz="0" w:space="0" w:color="auto"/>
        <w:left w:val="none" w:sz="0" w:space="0" w:color="auto"/>
        <w:bottom w:val="none" w:sz="0" w:space="0" w:color="auto"/>
        <w:right w:val="none" w:sz="0" w:space="0" w:color="auto"/>
      </w:divBdr>
      <w:divsChild>
        <w:div w:id="2136288162">
          <w:marLeft w:val="0"/>
          <w:marRight w:val="0"/>
          <w:marTop w:val="0"/>
          <w:marBottom w:val="0"/>
          <w:divBdr>
            <w:top w:val="none" w:sz="0" w:space="0" w:color="auto"/>
            <w:left w:val="none" w:sz="0" w:space="0" w:color="auto"/>
            <w:bottom w:val="none" w:sz="0" w:space="0" w:color="auto"/>
            <w:right w:val="none" w:sz="0" w:space="0" w:color="auto"/>
          </w:divBdr>
          <w:divsChild>
            <w:div w:id="1225217280">
              <w:marLeft w:val="0"/>
              <w:marRight w:val="0"/>
              <w:marTop w:val="0"/>
              <w:marBottom w:val="0"/>
              <w:divBdr>
                <w:top w:val="none" w:sz="0" w:space="0" w:color="auto"/>
                <w:left w:val="none" w:sz="0" w:space="0" w:color="auto"/>
                <w:bottom w:val="none" w:sz="0" w:space="0" w:color="auto"/>
                <w:right w:val="none" w:sz="0" w:space="0" w:color="auto"/>
              </w:divBdr>
              <w:divsChild>
                <w:div w:id="340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79761">
      <w:bodyDiv w:val="1"/>
      <w:marLeft w:val="0"/>
      <w:marRight w:val="0"/>
      <w:marTop w:val="0"/>
      <w:marBottom w:val="0"/>
      <w:divBdr>
        <w:top w:val="none" w:sz="0" w:space="0" w:color="auto"/>
        <w:left w:val="none" w:sz="0" w:space="0" w:color="auto"/>
        <w:bottom w:val="none" w:sz="0" w:space="0" w:color="auto"/>
        <w:right w:val="none" w:sz="0" w:space="0" w:color="auto"/>
      </w:divBdr>
      <w:divsChild>
        <w:div w:id="1248464853">
          <w:marLeft w:val="0"/>
          <w:marRight w:val="0"/>
          <w:marTop w:val="0"/>
          <w:marBottom w:val="0"/>
          <w:divBdr>
            <w:top w:val="none" w:sz="0" w:space="0" w:color="auto"/>
            <w:left w:val="none" w:sz="0" w:space="0" w:color="auto"/>
            <w:bottom w:val="none" w:sz="0" w:space="0" w:color="auto"/>
            <w:right w:val="none" w:sz="0" w:space="0" w:color="auto"/>
          </w:divBdr>
          <w:divsChild>
            <w:div w:id="495389155">
              <w:marLeft w:val="0"/>
              <w:marRight w:val="0"/>
              <w:marTop w:val="0"/>
              <w:marBottom w:val="0"/>
              <w:divBdr>
                <w:top w:val="none" w:sz="0" w:space="0" w:color="auto"/>
                <w:left w:val="none" w:sz="0" w:space="0" w:color="auto"/>
                <w:bottom w:val="none" w:sz="0" w:space="0" w:color="auto"/>
                <w:right w:val="none" w:sz="0" w:space="0" w:color="auto"/>
              </w:divBdr>
              <w:divsChild>
                <w:div w:id="1601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272">
      <w:bodyDiv w:val="1"/>
      <w:marLeft w:val="0"/>
      <w:marRight w:val="0"/>
      <w:marTop w:val="0"/>
      <w:marBottom w:val="0"/>
      <w:divBdr>
        <w:top w:val="none" w:sz="0" w:space="0" w:color="auto"/>
        <w:left w:val="none" w:sz="0" w:space="0" w:color="auto"/>
        <w:bottom w:val="none" w:sz="0" w:space="0" w:color="auto"/>
        <w:right w:val="none" w:sz="0" w:space="0" w:color="auto"/>
      </w:divBdr>
      <w:divsChild>
        <w:div w:id="2104642281">
          <w:marLeft w:val="0"/>
          <w:marRight w:val="0"/>
          <w:marTop w:val="0"/>
          <w:marBottom w:val="0"/>
          <w:divBdr>
            <w:top w:val="none" w:sz="0" w:space="0" w:color="auto"/>
            <w:left w:val="none" w:sz="0" w:space="0" w:color="auto"/>
            <w:bottom w:val="none" w:sz="0" w:space="0" w:color="auto"/>
            <w:right w:val="none" w:sz="0" w:space="0" w:color="auto"/>
          </w:divBdr>
          <w:divsChild>
            <w:div w:id="344134534">
              <w:marLeft w:val="0"/>
              <w:marRight w:val="0"/>
              <w:marTop w:val="0"/>
              <w:marBottom w:val="0"/>
              <w:divBdr>
                <w:top w:val="none" w:sz="0" w:space="0" w:color="auto"/>
                <w:left w:val="none" w:sz="0" w:space="0" w:color="auto"/>
                <w:bottom w:val="none" w:sz="0" w:space="0" w:color="auto"/>
                <w:right w:val="none" w:sz="0" w:space="0" w:color="auto"/>
              </w:divBdr>
              <w:divsChild>
                <w:div w:id="524908860">
                  <w:marLeft w:val="0"/>
                  <w:marRight w:val="0"/>
                  <w:marTop w:val="0"/>
                  <w:marBottom w:val="0"/>
                  <w:divBdr>
                    <w:top w:val="none" w:sz="0" w:space="0" w:color="auto"/>
                    <w:left w:val="none" w:sz="0" w:space="0" w:color="auto"/>
                    <w:bottom w:val="none" w:sz="0" w:space="0" w:color="auto"/>
                    <w:right w:val="none" w:sz="0" w:space="0" w:color="auto"/>
                  </w:divBdr>
                  <w:divsChild>
                    <w:div w:id="13395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7399">
      <w:bodyDiv w:val="1"/>
      <w:marLeft w:val="0"/>
      <w:marRight w:val="0"/>
      <w:marTop w:val="0"/>
      <w:marBottom w:val="0"/>
      <w:divBdr>
        <w:top w:val="none" w:sz="0" w:space="0" w:color="auto"/>
        <w:left w:val="none" w:sz="0" w:space="0" w:color="auto"/>
        <w:bottom w:val="none" w:sz="0" w:space="0" w:color="auto"/>
        <w:right w:val="none" w:sz="0" w:space="0" w:color="auto"/>
      </w:divBdr>
      <w:divsChild>
        <w:div w:id="1473869979">
          <w:marLeft w:val="0"/>
          <w:marRight w:val="0"/>
          <w:marTop w:val="0"/>
          <w:marBottom w:val="0"/>
          <w:divBdr>
            <w:top w:val="none" w:sz="0" w:space="0" w:color="auto"/>
            <w:left w:val="none" w:sz="0" w:space="0" w:color="auto"/>
            <w:bottom w:val="none" w:sz="0" w:space="0" w:color="auto"/>
            <w:right w:val="none" w:sz="0" w:space="0" w:color="auto"/>
          </w:divBdr>
          <w:divsChild>
            <w:div w:id="1455556941">
              <w:marLeft w:val="0"/>
              <w:marRight w:val="0"/>
              <w:marTop w:val="0"/>
              <w:marBottom w:val="0"/>
              <w:divBdr>
                <w:top w:val="none" w:sz="0" w:space="0" w:color="auto"/>
                <w:left w:val="none" w:sz="0" w:space="0" w:color="auto"/>
                <w:bottom w:val="none" w:sz="0" w:space="0" w:color="auto"/>
                <w:right w:val="none" w:sz="0" w:space="0" w:color="auto"/>
              </w:divBdr>
              <w:divsChild>
                <w:div w:id="6307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9217">
      <w:bodyDiv w:val="1"/>
      <w:marLeft w:val="0"/>
      <w:marRight w:val="0"/>
      <w:marTop w:val="0"/>
      <w:marBottom w:val="0"/>
      <w:divBdr>
        <w:top w:val="none" w:sz="0" w:space="0" w:color="auto"/>
        <w:left w:val="none" w:sz="0" w:space="0" w:color="auto"/>
        <w:bottom w:val="none" w:sz="0" w:space="0" w:color="auto"/>
        <w:right w:val="none" w:sz="0" w:space="0" w:color="auto"/>
      </w:divBdr>
      <w:divsChild>
        <w:div w:id="1506356047">
          <w:marLeft w:val="0"/>
          <w:marRight w:val="0"/>
          <w:marTop w:val="0"/>
          <w:marBottom w:val="0"/>
          <w:divBdr>
            <w:top w:val="none" w:sz="0" w:space="0" w:color="auto"/>
            <w:left w:val="none" w:sz="0" w:space="0" w:color="auto"/>
            <w:bottom w:val="none" w:sz="0" w:space="0" w:color="auto"/>
            <w:right w:val="none" w:sz="0" w:space="0" w:color="auto"/>
          </w:divBdr>
          <w:divsChild>
            <w:div w:id="1957172855">
              <w:marLeft w:val="0"/>
              <w:marRight w:val="0"/>
              <w:marTop w:val="0"/>
              <w:marBottom w:val="0"/>
              <w:divBdr>
                <w:top w:val="none" w:sz="0" w:space="0" w:color="auto"/>
                <w:left w:val="none" w:sz="0" w:space="0" w:color="auto"/>
                <w:bottom w:val="none" w:sz="0" w:space="0" w:color="auto"/>
                <w:right w:val="none" w:sz="0" w:space="0" w:color="auto"/>
              </w:divBdr>
              <w:divsChild>
                <w:div w:id="321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091730034">
      <w:bodyDiv w:val="1"/>
      <w:marLeft w:val="0"/>
      <w:marRight w:val="0"/>
      <w:marTop w:val="0"/>
      <w:marBottom w:val="0"/>
      <w:divBdr>
        <w:top w:val="none" w:sz="0" w:space="0" w:color="auto"/>
        <w:left w:val="none" w:sz="0" w:space="0" w:color="auto"/>
        <w:bottom w:val="none" w:sz="0" w:space="0" w:color="auto"/>
        <w:right w:val="none" w:sz="0" w:space="0" w:color="auto"/>
      </w:divBdr>
      <w:divsChild>
        <w:div w:id="1254364004">
          <w:marLeft w:val="0"/>
          <w:marRight w:val="0"/>
          <w:marTop w:val="0"/>
          <w:marBottom w:val="0"/>
          <w:divBdr>
            <w:top w:val="none" w:sz="0" w:space="0" w:color="auto"/>
            <w:left w:val="none" w:sz="0" w:space="0" w:color="auto"/>
            <w:bottom w:val="none" w:sz="0" w:space="0" w:color="auto"/>
            <w:right w:val="none" w:sz="0" w:space="0" w:color="auto"/>
          </w:divBdr>
          <w:divsChild>
            <w:div w:id="881291057">
              <w:marLeft w:val="0"/>
              <w:marRight w:val="0"/>
              <w:marTop w:val="0"/>
              <w:marBottom w:val="0"/>
              <w:divBdr>
                <w:top w:val="none" w:sz="0" w:space="0" w:color="auto"/>
                <w:left w:val="none" w:sz="0" w:space="0" w:color="auto"/>
                <w:bottom w:val="none" w:sz="0" w:space="0" w:color="auto"/>
                <w:right w:val="none" w:sz="0" w:space="0" w:color="auto"/>
              </w:divBdr>
              <w:divsChild>
                <w:div w:id="10484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3942">
      <w:bodyDiv w:val="1"/>
      <w:marLeft w:val="0"/>
      <w:marRight w:val="0"/>
      <w:marTop w:val="0"/>
      <w:marBottom w:val="0"/>
      <w:divBdr>
        <w:top w:val="none" w:sz="0" w:space="0" w:color="auto"/>
        <w:left w:val="none" w:sz="0" w:space="0" w:color="auto"/>
        <w:bottom w:val="none" w:sz="0" w:space="0" w:color="auto"/>
        <w:right w:val="none" w:sz="0" w:space="0" w:color="auto"/>
      </w:divBdr>
      <w:divsChild>
        <w:div w:id="1394232258">
          <w:marLeft w:val="0"/>
          <w:marRight w:val="0"/>
          <w:marTop w:val="0"/>
          <w:marBottom w:val="0"/>
          <w:divBdr>
            <w:top w:val="none" w:sz="0" w:space="0" w:color="auto"/>
            <w:left w:val="none" w:sz="0" w:space="0" w:color="auto"/>
            <w:bottom w:val="none" w:sz="0" w:space="0" w:color="auto"/>
            <w:right w:val="none" w:sz="0" w:space="0" w:color="auto"/>
          </w:divBdr>
          <w:divsChild>
            <w:div w:id="136654033">
              <w:marLeft w:val="0"/>
              <w:marRight w:val="0"/>
              <w:marTop w:val="0"/>
              <w:marBottom w:val="0"/>
              <w:divBdr>
                <w:top w:val="none" w:sz="0" w:space="0" w:color="auto"/>
                <w:left w:val="none" w:sz="0" w:space="0" w:color="auto"/>
                <w:bottom w:val="none" w:sz="0" w:space="0" w:color="auto"/>
                <w:right w:val="none" w:sz="0" w:space="0" w:color="auto"/>
              </w:divBdr>
              <w:divsChild>
                <w:div w:id="13957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4786261">
      <w:bodyDiv w:val="1"/>
      <w:marLeft w:val="0"/>
      <w:marRight w:val="0"/>
      <w:marTop w:val="0"/>
      <w:marBottom w:val="0"/>
      <w:divBdr>
        <w:top w:val="none" w:sz="0" w:space="0" w:color="auto"/>
        <w:left w:val="none" w:sz="0" w:space="0" w:color="auto"/>
        <w:bottom w:val="none" w:sz="0" w:space="0" w:color="auto"/>
        <w:right w:val="none" w:sz="0" w:space="0" w:color="auto"/>
      </w:divBdr>
      <w:divsChild>
        <w:div w:id="1713773927">
          <w:marLeft w:val="0"/>
          <w:marRight w:val="0"/>
          <w:marTop w:val="0"/>
          <w:marBottom w:val="0"/>
          <w:divBdr>
            <w:top w:val="none" w:sz="0" w:space="0" w:color="auto"/>
            <w:left w:val="none" w:sz="0" w:space="0" w:color="auto"/>
            <w:bottom w:val="none" w:sz="0" w:space="0" w:color="auto"/>
            <w:right w:val="none" w:sz="0" w:space="0" w:color="auto"/>
          </w:divBdr>
          <w:divsChild>
            <w:div w:id="629558617">
              <w:marLeft w:val="0"/>
              <w:marRight w:val="0"/>
              <w:marTop w:val="0"/>
              <w:marBottom w:val="0"/>
              <w:divBdr>
                <w:top w:val="none" w:sz="0" w:space="0" w:color="auto"/>
                <w:left w:val="none" w:sz="0" w:space="0" w:color="auto"/>
                <w:bottom w:val="none" w:sz="0" w:space="0" w:color="auto"/>
                <w:right w:val="none" w:sz="0" w:space="0" w:color="auto"/>
              </w:divBdr>
              <w:divsChild>
                <w:div w:id="20297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pubmed.ncbi.nlm.nih.gov/23821908/" TargetMode="External"/><Relationship Id="rId18" Type="http://schemas.openxmlformats.org/officeDocument/2006/relationships/hyperlink" Target="https://www.nibib.nih.gov/science-education/science-topics/magnetic-resonance-imaging-mri" TargetMode="External"/><Relationship Id="rId26" Type="http://schemas.openxmlformats.org/officeDocument/2006/relationships/hyperlink" Target="https://www.ahajournals.org/doi/abs/10.1161/CIRCEP.113.000116" TargetMode="External"/><Relationship Id="rId39" Type="http://schemas.openxmlformats.org/officeDocument/2006/relationships/hyperlink" Target="https://www.ncbi.nlm.nih.gov/pmc/articles/PMC7571515" TargetMode="External"/><Relationship Id="rId21" Type="http://schemas.openxmlformats.org/officeDocument/2006/relationships/hyperlink" Target="https://www.radiologytoday.net/archive/rt0216p22.shtml" TargetMode="External"/><Relationship Id="rId34" Type="http://schemas.openxmlformats.org/officeDocument/2006/relationships/hyperlink" Target="https://www.gehealthcare.com/insights/article/what-does-tesla-mean-for-an-mri-and-its-magnet" TargetMode="External"/><Relationship Id="rId42" Type="http://schemas.openxmlformats.org/officeDocument/2006/relationships/hyperlink" Target="https://www.ncbi.nlm.nih.gov/pmc/articles/PMC3143009" TargetMode="External"/><Relationship Id="rId47" Type="http://schemas.openxmlformats.org/officeDocument/2006/relationships/hyperlink" Target="https://www.radiologyinfo.org/en/info/mri-abdomen-pelvis" TargetMode="External"/><Relationship Id="rId50" Type="http://schemas.openxmlformats.org/officeDocument/2006/relationships/hyperlink" Target="https://www.ncbi.nlm.nih.gov/pmc/articles/PMC7266076/" TargetMode="External"/><Relationship Id="rId55" Type="http://schemas.openxmlformats.org/officeDocument/2006/relationships/hyperlink" Target="https://hbr.org/2011/09/how-to-solve-the-cost-crisis-in-health-care" TargetMode="External"/><Relationship Id="rId7" Type="http://schemas.openxmlformats.org/officeDocument/2006/relationships/hyperlink" Target="https://revcycleintelligence.com/news/how-addressing-social-determinants-of-health-cuts-healthcare-costs" TargetMode="External"/><Relationship Id="rId2" Type="http://schemas.openxmlformats.org/officeDocument/2006/relationships/hyperlink" Target="http://pep.donahue-institute.org/publications/AgeSexDetails_UMDI-DOT_V2018.xlsx" TargetMode="External"/><Relationship Id="rId16"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29" Type="http://schemas.openxmlformats.org/officeDocument/2006/relationships/hyperlink" Target="https://www.radiologytoday.net/archive/rt0216p22.shtml" TargetMode="External"/><Relationship Id="rId11" Type="http://schemas.openxmlformats.org/officeDocument/2006/relationships/hyperlink" Target="https://jamanetwork.com/journals/jamainternalmedicine/fullarticle/1105879" TargetMode="External"/><Relationship Id="rId24" Type="http://schemas.openxmlformats.org/officeDocument/2006/relationships/hyperlink" Target="https://www.gehealthcare.com/insights/article/what-does-tesla-mean-for-an-mri-and-its-magnet" TargetMode="External"/><Relationship Id="rId32" Type="http://schemas.openxmlformats.org/officeDocument/2006/relationships/hyperlink" Target="https://www.gehealthcare.com/insights/article/what-does-tesla-mean-for-an-mri-and-its-magnet" TargetMode="External"/><Relationship Id="rId37" Type="http://schemas.openxmlformats.org/officeDocument/2006/relationships/hyperlink" Target="https://www.radiologyinfo.org/en/info/spinemr" TargetMode="External"/><Relationship Id="rId40" Type="http://schemas.openxmlformats.org/officeDocument/2006/relationships/hyperlink" Target="https://www.radiologyinfo.org/en/info/muscmr" TargetMode="External"/><Relationship Id="rId45" Type="http://schemas.openxmlformats.org/officeDocument/2006/relationships/hyperlink" Target="https://ojmpc.com/index.php/ojmpc/article/view/18/18" TargetMode="External"/><Relationship Id="rId53" Type="http://schemas.openxmlformats.org/officeDocument/2006/relationships/hyperlink" Target="https://www.ahrq.gov/research/findings/nhqrdr/chartbooks/access/elements3.html" TargetMode="External"/><Relationship Id="rId5" Type="http://schemas.openxmlformats.org/officeDocument/2006/relationships/hyperlink" Target="https://www.medicalimaging.org/medical-imaging/benefits-of-medical-imaging/health-care-costs-quality" TargetMode="External"/><Relationship Id="rId10" Type="http://schemas.openxmlformats.org/officeDocument/2006/relationships/hyperlink" Target="https://www.ncbi.nlm.nih.gov/pmc/articles/PMC4989238/" TargetMode="External"/><Relationship Id="rId19" Type="http://schemas.openxmlformats.org/officeDocument/2006/relationships/hyperlink" Target="https://link.springer.com/article/10.1007/s00259-008-0938-3" TargetMode="External"/><Relationship Id="rId31" Type="http://schemas.openxmlformats.org/officeDocument/2006/relationships/hyperlink" Target="https://www.gehealthcare.com/insights/article/what-does-tesla-mean-for-an-mri-and-its-magnet" TargetMode="External"/><Relationship Id="rId44" Type="http://schemas.openxmlformats.org/officeDocument/2006/relationships/hyperlink" Target="https://ojmpc.com/index.php/ojmpc/article/view/18/18" TargetMode="External"/><Relationship Id="rId52" Type="http://schemas.openxmlformats.org/officeDocument/2006/relationships/hyperlink" Target="https://catalyst.nejm.org/doi/full/10.1056/CAT.22.0115" TargetMode="External"/><Relationship Id="rId4" Type="http://schemas.openxmlformats.org/officeDocument/2006/relationships/hyperlink" Target="http://apps.who.inUiris/bitstream/10665/186463/1/9789240694811_eng.pdf" TargetMode="External"/><Relationship Id="rId9" Type="http://schemas.openxmlformats.org/officeDocument/2006/relationships/hyperlink" Target="https://www.ncbi.nlm.nih.gov/pmc/articles/PMC4989238/" TargetMode="External"/><Relationship Id="rId14" Type="http://schemas.openxmlformats.org/officeDocument/2006/relationships/hyperlink" Target="https://pubmed.ncbi.nlm.nih.gov/23821908/" TargetMode="External"/><Relationship Id="rId22" Type="http://schemas.openxmlformats.org/officeDocument/2006/relationships/hyperlink" Target="https://www.radiologytoday.net/archive/rt0216p22.shtml" TargetMode="External"/><Relationship Id="rId27" Type="http://schemas.openxmlformats.org/officeDocument/2006/relationships/hyperlink" Target="https://appliedradiology.com/articles/3t-mri-in-clinical-practice" TargetMode="External"/><Relationship Id="rId30" Type="http://schemas.openxmlformats.org/officeDocument/2006/relationships/hyperlink" Target="https://www.radiologytoday.net/archive/rt0216p22.shtml" TargetMode="External"/><Relationship Id="rId35" Type="http://schemas.openxmlformats.org/officeDocument/2006/relationships/hyperlink" Target="https://www.touchstoneimaging.com/mri-machines-101-understanding-the-differences/" TargetMode="External"/><Relationship Id="rId43" Type="http://schemas.openxmlformats.org/officeDocument/2006/relationships/hyperlink" Target="https://www.ncbi.nlm.nih.gov/pmc/articles/PMC3143009" TargetMode="External"/><Relationship Id="rId48" Type="http://schemas.openxmlformats.org/officeDocument/2006/relationships/hyperlink" Target="https://www.ncbi.nlm.nih.gov/pmc/articles/PMC7266076" TargetMode="External"/><Relationship Id="rId56" Type="http://schemas.openxmlformats.org/officeDocument/2006/relationships/hyperlink" Target="https://hbr.org/2011/09/how-to-solve-the-cost-crisis-in-health-care" TargetMode="External"/><Relationship Id="rId8" Type="http://schemas.openxmlformats.org/officeDocument/2006/relationships/hyperlink" Target="https://revcycleintelligence.com/news/how-addressing-social-determinants-of-health-cuts-healthcare-costs" TargetMode="External"/><Relationship Id="rId51" Type="http://schemas.openxmlformats.org/officeDocument/2006/relationships/hyperlink" Target="https://catalyst.nejm.org/doi/full/10.1056/CAT.22.0115" TargetMode="External"/><Relationship Id="rId3" Type="http://schemas.openxmlformats.org/officeDocument/2006/relationships/hyperlink" Target="http://apps.who.inUiris/bitstream/10665/186463/1/9789240694811_eng.pdf" TargetMode="External"/><Relationship Id="rId12" Type="http://schemas.openxmlformats.org/officeDocument/2006/relationships/hyperlink" Target="https://jamanetwork.com/journals/jamainternalmedicine/fullarticle/1105879" TargetMode="External"/><Relationship Id="rId17" Type="http://schemas.openxmlformats.org/officeDocument/2006/relationships/hyperlink" Target="https://www.nibib.nih.gov/science-education/science-topics/magnetic-resonance-imaging-mri" TargetMode="External"/><Relationship Id="rId25" Type="http://schemas.openxmlformats.org/officeDocument/2006/relationships/hyperlink" Target="https://www.ahajournals.org/doi/abs/10.1161/CIRCEP.113.000116" TargetMode="External"/><Relationship Id="rId33" Type="http://schemas.openxmlformats.org/officeDocument/2006/relationships/hyperlink" Target="https://www.gehealthcare.com/insights/article/what-does-tesla-mean-for-an-mri-and-its-magnet" TargetMode="External"/><Relationship Id="rId38" Type="http://schemas.openxmlformats.org/officeDocument/2006/relationships/hyperlink" Target="https://www.ncbi.nlm.nih.gov/pmc/articles/PMC7571515" TargetMode="External"/><Relationship Id="rId46" Type="http://schemas.openxmlformats.org/officeDocument/2006/relationships/hyperlink" Target="https://www.radiologyinfo.org/en/info/mri-abdomen-pelvis" TargetMode="External"/><Relationship Id="rId20" Type="http://schemas.openxmlformats.org/officeDocument/2006/relationships/hyperlink" Target="https://link.springer.com/article/10.1007/s00259-008-0938-3" TargetMode="External"/><Relationship Id="rId41" Type="http://schemas.openxmlformats.org/officeDocument/2006/relationships/hyperlink" Target="https://www.radiologyinfo.org/en/info/muscmr" TargetMode="External"/><Relationship Id="rId54" Type="http://schemas.openxmlformats.org/officeDocument/2006/relationships/hyperlink" Target="https://www.ahrq.gov/research/findings/nhqrdr/chartbooks/access/elements3.html" TargetMode="External"/><Relationship Id="rId1" Type="http://schemas.openxmlformats.org/officeDocument/2006/relationships/hyperlink" Target="http://pep.donahue-institute.org/publications/AgeSexDetails_UMDI-DOT_V2018.xlsx" TargetMode="External"/><Relationship Id="rId6" Type="http://schemas.openxmlformats.org/officeDocument/2006/relationships/hyperlink" Target="https://www.aha.org/social-determinants-health/populationcommunity-health/community-partnerships" TargetMode="External"/><Relationship Id="rId15"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23" Type="http://schemas.openxmlformats.org/officeDocument/2006/relationships/hyperlink" Target="https://www.gehealthcare.com/insights/article/what-does-tesla-mean-for-an-mri-and-its-magnet" TargetMode="External"/><Relationship Id="rId28" Type="http://schemas.openxmlformats.org/officeDocument/2006/relationships/hyperlink" Target="https://appliedradiology.com/articles/3t-mri-in-clinical-practice" TargetMode="External"/><Relationship Id="rId36" Type="http://schemas.openxmlformats.org/officeDocument/2006/relationships/hyperlink" Target="https://www.radiologyinfo.org/en/info/spinemr" TargetMode="External"/><Relationship Id="rId49" Type="http://schemas.openxmlformats.org/officeDocument/2006/relationships/hyperlink" Target="https://www.ncbi.nlm.nih.gov/pmc/articles/PMC726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E313-4977-442D-AB08-E1E55BFB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38</Pages>
  <Words>16640</Words>
  <Characters>94852</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65</cp:revision>
  <cp:lastPrinted>2022-08-09T18:55:00Z</cp:lastPrinted>
  <dcterms:created xsi:type="dcterms:W3CDTF">2023-07-14T20:32:00Z</dcterms:created>
  <dcterms:modified xsi:type="dcterms:W3CDTF">2023-07-28T12:11:00Z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1e1a77e3704da26a36b95b5c2afd9fe392821f22b8fad68430a934d58bad7bae</vt:lpwstr>
  </property>
</Properties>
</file>