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BB83A" w14:textId="77777777" w:rsidR="00E34423" w:rsidRDefault="00E34423" w:rsidP="00E34423">
      <w:pPr>
        <w:suppressAutoHyphens w:val="0"/>
        <w:autoSpaceDE w:val="0"/>
        <w:autoSpaceDN w:val="0"/>
        <w:adjustRightInd w:val="0"/>
        <w:jc w:val="center"/>
        <w:rPr>
          <w:rFonts w:ascii="TimesNewRomanPS-BoldMT" w:hAnsi="TimesNewRomanPS-BoldMT" w:cs="TimesNewRomanPS-BoldMT"/>
          <w:b/>
          <w:bCs/>
          <w:sz w:val="36"/>
          <w:szCs w:val="36"/>
        </w:rPr>
      </w:pPr>
      <w:r>
        <w:rPr>
          <w:rFonts w:ascii="TimesNewRomanPS-BoldMT" w:hAnsi="TimesNewRomanPS-BoldMT" w:cs="TimesNewRomanPS-BoldMT"/>
          <w:b/>
          <w:bCs/>
          <w:sz w:val="36"/>
          <w:szCs w:val="36"/>
        </w:rPr>
        <w:t>APPENDIX 2</w:t>
      </w:r>
    </w:p>
    <w:p w14:paraId="6E877E16" w14:textId="77777777" w:rsidR="00E34423" w:rsidRDefault="00E34423" w:rsidP="00E34423">
      <w:pPr>
        <w:suppressAutoHyphens w:val="0"/>
        <w:autoSpaceDE w:val="0"/>
        <w:autoSpaceDN w:val="0"/>
        <w:adjustRightInd w:val="0"/>
        <w:jc w:val="center"/>
        <w:rPr>
          <w:rFonts w:ascii="TimesNewRomanPS-BoldMT" w:hAnsi="TimesNewRomanPS-BoldMT" w:cs="TimesNewRomanPS-BoldMT"/>
          <w:b/>
          <w:bCs/>
          <w:sz w:val="36"/>
          <w:szCs w:val="36"/>
        </w:rPr>
      </w:pPr>
    </w:p>
    <w:p w14:paraId="47519384" w14:textId="52C75100" w:rsidR="00A80DA4" w:rsidRDefault="00E34423" w:rsidP="00E34423">
      <w:pPr>
        <w:pStyle w:val="Heading1"/>
        <w:jc w:val="center"/>
        <w:sectPr w:rsidR="00A80DA4">
          <w:footerReference w:type="even" r:id="rId8"/>
          <w:footerReference w:type="first" r:id="rId9"/>
          <w:pgSz w:w="12240" w:h="15840"/>
          <w:pgMar w:top="1440" w:right="1440" w:bottom="1440" w:left="1440" w:header="720" w:footer="720" w:gutter="0"/>
          <w:cols w:space="720"/>
          <w:docGrid w:linePitch="360"/>
        </w:sectPr>
      </w:pPr>
      <w:r>
        <w:rPr>
          <w:rFonts w:ascii="TimesNewRomanPS-BoldMT" w:hAnsi="TimesNewRomanPS-BoldMT" w:cs="TimesNewRomanPS-BoldMT"/>
          <w:b w:val="0"/>
          <w:bCs w:val="0"/>
          <w:sz w:val="36"/>
          <w:szCs w:val="36"/>
        </w:rPr>
        <w:t>NARRATIVE</w:t>
      </w:r>
    </w:p>
    <w:p w14:paraId="4E76C19D" w14:textId="77777777" w:rsidR="00A80DA4" w:rsidRDefault="00A80DA4" w:rsidP="00220549">
      <w:pPr>
        <w:pStyle w:val="Heading1"/>
      </w:pPr>
    </w:p>
    <w:p w14:paraId="6EF44A34" w14:textId="7E3EE8D2" w:rsidR="00277E2C" w:rsidRPr="00220549" w:rsidRDefault="00745AE9" w:rsidP="00220549">
      <w:pPr>
        <w:pStyle w:val="Heading1"/>
      </w:pPr>
      <w:r w:rsidRPr="00220549">
        <w:t>2. Project Description</w:t>
      </w:r>
    </w:p>
    <w:p w14:paraId="2CCF9F9B" w14:textId="77777777" w:rsidR="00277E2C" w:rsidRDefault="00745AE9">
      <w:pPr>
        <w:suppressAutoHyphens w:val="0"/>
        <w:autoSpaceDE w:val="0"/>
        <w:autoSpaceDN w:val="0"/>
        <w:adjustRightInd w:val="0"/>
        <w:spacing w:after="120"/>
        <w:jc w:val="both"/>
        <w:rPr>
          <w:sz w:val="22"/>
          <w:szCs w:val="22"/>
        </w:rPr>
      </w:pPr>
      <w:r>
        <w:t>Cape Cod Healthcare, Inc</w:t>
      </w:r>
      <w:r>
        <w:rPr>
          <w:sz w:val="22"/>
          <w:szCs w:val="22"/>
        </w:rPr>
        <w:t xml:space="preserve"> (“Holder”), on behalf of Cape Cod Hospital (“Hospital”), located at 27 Park Street, Hyannis, MA 02601, requests approval for a Significant Change to the previously issued Determination of Need (“DoN”) Application # CCHC-22021416-HE to build out approved shell space to accommodate 32 medical/surgical beds (“Proposed Change”). The capital expenditure associated with the Proposed Change is $14,666,613. </w:t>
      </w:r>
    </w:p>
    <w:p w14:paraId="342ADABF" w14:textId="77777777" w:rsidR="00277E2C" w:rsidRDefault="00745AE9">
      <w:pPr>
        <w:suppressAutoHyphens w:val="0"/>
        <w:autoSpaceDE w:val="0"/>
        <w:autoSpaceDN w:val="0"/>
        <w:adjustRightInd w:val="0"/>
        <w:spacing w:after="120"/>
        <w:jc w:val="both"/>
        <w:rPr>
          <w:b/>
          <w:bCs/>
          <w:sz w:val="22"/>
          <w:szCs w:val="22"/>
        </w:rPr>
      </w:pPr>
      <w:r>
        <w:rPr>
          <w:b/>
          <w:bCs/>
          <w:sz w:val="22"/>
          <w:szCs w:val="22"/>
        </w:rPr>
        <w:t>10. Amendment</w:t>
      </w:r>
    </w:p>
    <w:p w14:paraId="6B169844" w14:textId="77777777" w:rsidR="00277E2C" w:rsidRDefault="00745AE9">
      <w:pPr>
        <w:suppressAutoHyphens w:val="0"/>
        <w:autoSpaceDE w:val="0"/>
        <w:autoSpaceDN w:val="0"/>
        <w:adjustRightInd w:val="0"/>
        <w:spacing w:after="120"/>
        <w:jc w:val="both"/>
        <w:rPr>
          <w:b/>
          <w:bCs/>
          <w:sz w:val="22"/>
          <w:szCs w:val="22"/>
        </w:rPr>
      </w:pPr>
      <w:r>
        <w:rPr>
          <w:b/>
          <w:bCs/>
          <w:sz w:val="22"/>
          <w:szCs w:val="22"/>
        </w:rPr>
        <w:t>10.5.a Describe the proposed change.</w:t>
      </w:r>
    </w:p>
    <w:p w14:paraId="5CDC6276" w14:textId="77777777" w:rsidR="00277E2C" w:rsidRDefault="00745AE9">
      <w:pPr>
        <w:suppressAutoHyphens w:val="0"/>
        <w:autoSpaceDE w:val="0"/>
        <w:autoSpaceDN w:val="0"/>
        <w:adjustRightInd w:val="0"/>
        <w:spacing w:after="120"/>
        <w:jc w:val="both"/>
        <w:rPr>
          <w:sz w:val="22"/>
          <w:szCs w:val="22"/>
        </w:rPr>
      </w:pPr>
      <w:r>
        <w:rPr>
          <w:sz w:val="22"/>
          <w:szCs w:val="22"/>
        </w:rPr>
        <w:t xml:space="preserve">The previously issued DoN approved the construction of a new facility on the Hospital’s main campus to contain the following: (1) relocated and expanded medical oncology department; (2) a relocated radiation oncology department; (3) a relocated inpatient cardiac unit consisting of 32 beds; and (4) shell space for future projects (“Approved Project”). Based on current and projected demand for inpatient services, the Hospital has determined additional medical/surgical beds are needed to provide its Patient Panel with timely access to care in the community. The Hospital is currently using 28 inpatient beds pursuant to the Department of Public Health’s Alternate Inpatient Care Space memorandum </w:t>
      </w:r>
      <w:proofErr w:type="gramStart"/>
      <w:r>
        <w:rPr>
          <w:sz w:val="22"/>
          <w:szCs w:val="22"/>
        </w:rPr>
        <w:t>in order to</w:t>
      </w:r>
      <w:proofErr w:type="gramEnd"/>
      <w:r>
        <w:rPr>
          <w:sz w:val="22"/>
          <w:szCs w:val="22"/>
        </w:rPr>
        <w:t xml:space="preserve"> meet current demand. Building beds in existing shell space offers a permanent, cost-effective solution that will address patient demand and alleviate capacity constraints. To that end, the Hospital seeks to build out approximately 24,783 gross square feet of approved shell space to accommodate an adult medical/surgical inpatient unit consisting of 32 private rooms. </w:t>
      </w:r>
    </w:p>
    <w:p w14:paraId="0DBA2927" w14:textId="77777777" w:rsidR="00277E2C" w:rsidRDefault="00277E2C">
      <w:pPr>
        <w:suppressAutoHyphens w:val="0"/>
        <w:autoSpaceDE w:val="0"/>
        <w:autoSpaceDN w:val="0"/>
        <w:adjustRightInd w:val="0"/>
        <w:spacing w:after="120"/>
        <w:jc w:val="both"/>
        <w:rPr>
          <w:sz w:val="22"/>
          <w:szCs w:val="22"/>
        </w:rPr>
      </w:pPr>
    </w:p>
    <w:p w14:paraId="39C9804E" w14:textId="77777777" w:rsidR="00277E2C" w:rsidRDefault="00745AE9">
      <w:pPr>
        <w:suppressAutoHyphens w:val="0"/>
        <w:autoSpaceDE w:val="0"/>
        <w:autoSpaceDN w:val="0"/>
        <w:adjustRightInd w:val="0"/>
        <w:spacing w:after="120"/>
        <w:jc w:val="both"/>
        <w:rPr>
          <w:b/>
          <w:bCs/>
          <w:sz w:val="22"/>
          <w:szCs w:val="22"/>
        </w:rPr>
      </w:pPr>
      <w:r>
        <w:rPr>
          <w:b/>
          <w:bCs/>
          <w:sz w:val="22"/>
          <w:szCs w:val="22"/>
        </w:rPr>
        <w:t>10.5.b Describe the associated cost implications to the Holder.</w:t>
      </w:r>
    </w:p>
    <w:p w14:paraId="024C0097" w14:textId="77777777" w:rsidR="00277E2C" w:rsidRDefault="00745AE9">
      <w:pPr>
        <w:suppressAutoHyphens w:val="0"/>
        <w:autoSpaceDE w:val="0"/>
        <w:autoSpaceDN w:val="0"/>
        <w:adjustRightInd w:val="0"/>
        <w:spacing w:after="120"/>
        <w:jc w:val="both"/>
        <w:rPr>
          <w:sz w:val="22"/>
          <w:szCs w:val="22"/>
        </w:rPr>
      </w:pPr>
      <w:r>
        <w:rPr>
          <w:sz w:val="22"/>
          <w:szCs w:val="22"/>
        </w:rPr>
        <w:t xml:space="preserve">The Holder projects that the Proposed Change will increase the Hospital’s annual operating expense by approximately $8,900,000. </w:t>
      </w:r>
    </w:p>
    <w:p w14:paraId="38BF4293" w14:textId="77777777" w:rsidR="00277E2C" w:rsidRDefault="00745AE9">
      <w:pPr>
        <w:suppressAutoHyphens w:val="0"/>
        <w:autoSpaceDE w:val="0"/>
        <w:autoSpaceDN w:val="0"/>
        <w:adjustRightInd w:val="0"/>
        <w:spacing w:after="120"/>
        <w:jc w:val="both"/>
        <w:rPr>
          <w:sz w:val="22"/>
          <w:szCs w:val="22"/>
        </w:rPr>
      </w:pPr>
      <w:r>
        <w:rPr>
          <w:sz w:val="22"/>
          <w:szCs w:val="22"/>
        </w:rPr>
        <w:t xml:space="preserve">The Proposed Change will increase the Approved Project’s Maximum Capital Expenditure by $14,666,613 for a total MCE of $151,715,245. </w:t>
      </w:r>
      <w:r>
        <w:t xml:space="preserve"> </w:t>
      </w:r>
    </w:p>
    <w:p w14:paraId="1C69D135" w14:textId="77777777" w:rsidR="00277E2C" w:rsidRDefault="00277E2C">
      <w:pPr>
        <w:suppressAutoHyphens w:val="0"/>
        <w:autoSpaceDE w:val="0"/>
        <w:autoSpaceDN w:val="0"/>
        <w:adjustRightInd w:val="0"/>
        <w:spacing w:after="120"/>
        <w:jc w:val="both"/>
        <w:rPr>
          <w:b/>
          <w:bCs/>
          <w:sz w:val="22"/>
          <w:szCs w:val="22"/>
        </w:rPr>
      </w:pPr>
    </w:p>
    <w:p w14:paraId="228B9388" w14:textId="77777777" w:rsidR="00277E2C" w:rsidRDefault="00745AE9">
      <w:pPr>
        <w:suppressAutoHyphens w:val="0"/>
        <w:autoSpaceDE w:val="0"/>
        <w:autoSpaceDN w:val="0"/>
        <w:adjustRightInd w:val="0"/>
        <w:spacing w:after="120"/>
        <w:jc w:val="both"/>
        <w:rPr>
          <w:b/>
          <w:bCs/>
          <w:sz w:val="22"/>
          <w:szCs w:val="22"/>
        </w:rPr>
      </w:pPr>
      <w:r>
        <w:rPr>
          <w:b/>
          <w:bCs/>
          <w:sz w:val="22"/>
          <w:szCs w:val="22"/>
        </w:rPr>
        <w:t>10.5.c Describe the associated cost implications to the Holder’s existing Patient Panel</w:t>
      </w:r>
    </w:p>
    <w:p w14:paraId="5FA78180" w14:textId="77777777" w:rsidR="00277E2C" w:rsidRDefault="00745AE9">
      <w:pPr>
        <w:suppressAutoHyphens w:val="0"/>
        <w:autoSpaceDE w:val="0"/>
        <w:autoSpaceDN w:val="0"/>
        <w:adjustRightInd w:val="0"/>
        <w:spacing w:after="120"/>
        <w:jc w:val="both"/>
        <w:rPr>
          <w:sz w:val="22"/>
          <w:szCs w:val="22"/>
        </w:rPr>
      </w:pPr>
      <w:r>
        <w:rPr>
          <w:sz w:val="22"/>
          <w:szCs w:val="22"/>
        </w:rPr>
        <w:t xml:space="preserve">The Holder does not anticipate any cost implications to its Patient Panel </w:t>
      </w:r>
      <w:proofErr w:type="gramStart"/>
      <w:r>
        <w:rPr>
          <w:sz w:val="22"/>
          <w:szCs w:val="22"/>
        </w:rPr>
        <w:t>as a result of</w:t>
      </w:r>
      <w:proofErr w:type="gramEnd"/>
      <w:r>
        <w:rPr>
          <w:sz w:val="22"/>
          <w:szCs w:val="22"/>
        </w:rPr>
        <w:t xml:space="preserve"> the Proposed Change. The Hospital currently provides inpatient medical/surgical services, and the additional beds will not result in any change to price for the Holder’s existing patient panel.</w:t>
      </w:r>
    </w:p>
    <w:p w14:paraId="381FF513" w14:textId="77777777" w:rsidR="00277E2C" w:rsidRDefault="00277E2C">
      <w:pPr>
        <w:suppressAutoHyphens w:val="0"/>
        <w:autoSpaceDE w:val="0"/>
        <w:autoSpaceDN w:val="0"/>
        <w:adjustRightInd w:val="0"/>
        <w:spacing w:after="120"/>
        <w:rPr>
          <w:b/>
          <w:bCs/>
          <w:sz w:val="22"/>
          <w:szCs w:val="22"/>
        </w:rPr>
      </w:pPr>
    </w:p>
    <w:p w14:paraId="3D09B11F" w14:textId="77777777" w:rsidR="00277E2C" w:rsidRDefault="00745AE9">
      <w:pPr>
        <w:suppressAutoHyphens w:val="0"/>
        <w:autoSpaceDE w:val="0"/>
        <w:autoSpaceDN w:val="0"/>
        <w:adjustRightInd w:val="0"/>
        <w:spacing w:after="120"/>
        <w:rPr>
          <w:b/>
          <w:bCs/>
          <w:sz w:val="22"/>
          <w:szCs w:val="22"/>
        </w:rPr>
      </w:pPr>
      <w:r>
        <w:rPr>
          <w:b/>
          <w:bCs/>
          <w:sz w:val="22"/>
          <w:szCs w:val="22"/>
        </w:rPr>
        <w:t>10.5.d Provide a detailed narrative, comparing the approved project to the proposed Significant Change, and the rationale for such change.</w:t>
      </w:r>
    </w:p>
    <w:p w14:paraId="37DCB639" w14:textId="77777777" w:rsidR="00277E2C" w:rsidRDefault="00745AE9">
      <w:pPr>
        <w:suppressAutoHyphens w:val="0"/>
        <w:autoSpaceDE w:val="0"/>
        <w:autoSpaceDN w:val="0"/>
        <w:adjustRightInd w:val="0"/>
        <w:jc w:val="both"/>
        <w:rPr>
          <w:sz w:val="22"/>
          <w:szCs w:val="22"/>
        </w:rPr>
      </w:pPr>
      <w:r>
        <w:rPr>
          <w:sz w:val="22"/>
          <w:szCs w:val="22"/>
        </w:rPr>
        <w:t>Cape Cod Healthcare is the largest provider of healthcare services for residents and visitors of Cape Cod.</w:t>
      </w:r>
    </w:p>
    <w:p w14:paraId="294778E2" w14:textId="044B053F" w:rsidR="00277E2C" w:rsidRDefault="00745AE9">
      <w:pPr>
        <w:suppressAutoHyphens w:val="0"/>
        <w:autoSpaceDE w:val="0"/>
        <w:autoSpaceDN w:val="0"/>
        <w:adjustRightInd w:val="0"/>
        <w:jc w:val="both"/>
        <w:rPr>
          <w:sz w:val="22"/>
          <w:szCs w:val="22"/>
        </w:rPr>
      </w:pPr>
      <w:r>
        <w:rPr>
          <w:sz w:val="22"/>
          <w:szCs w:val="22"/>
        </w:rPr>
        <w:t xml:space="preserve">With nearly 600 physicians and 5,000 employees, Cape Cod Healthcare includes the physician practice, Medical Affiliates of Cape Cod, </w:t>
      </w:r>
      <w:proofErr w:type="gramStart"/>
      <w:r>
        <w:rPr>
          <w:sz w:val="22"/>
          <w:szCs w:val="22"/>
        </w:rPr>
        <w:t>homecare</w:t>
      </w:r>
      <w:proofErr w:type="gramEnd"/>
      <w:r>
        <w:rPr>
          <w:sz w:val="22"/>
          <w:szCs w:val="22"/>
        </w:rPr>
        <w:t xml:space="preserve"> and hospice services (VNA), a skilled nursing and rehabilitation facility, an assisted living facility, six urgent care centers and two acute hospitals – Cape Cod Hospital and Falmouth Hospital. Cape Cod Hospital is the largest provider of inpatient services on Cape Cod and provides a complement of specialized care including interventional cardiology. The nearest hospitals to Cape Cod Hospital are Falmouth Hospital (22 miles; 45-minute drive) and Beth Israel Deaconess Plymouth Hospital (35 miles; 40-minute drive).  Accordingly, additional beds at the Hospital will alleviate ED boarding, improving access and patient experience for geographically isolated patients who rely on the Hospital for emergent and inpatient care.  </w:t>
      </w:r>
    </w:p>
    <w:p w14:paraId="35F53737" w14:textId="77777777" w:rsidR="00277E2C" w:rsidRDefault="00745AE9">
      <w:pPr>
        <w:suppressAutoHyphens w:val="0"/>
        <w:autoSpaceDE w:val="0"/>
        <w:autoSpaceDN w:val="0"/>
        <w:adjustRightInd w:val="0"/>
        <w:spacing w:before="120" w:after="120"/>
        <w:jc w:val="both"/>
        <w:rPr>
          <w:sz w:val="22"/>
          <w:szCs w:val="22"/>
        </w:rPr>
      </w:pPr>
      <w:r>
        <w:rPr>
          <w:sz w:val="22"/>
          <w:szCs w:val="22"/>
        </w:rPr>
        <w:lastRenderedPageBreak/>
        <w:t xml:space="preserve">In 2022, the Hospital received DoN approval to construct a four-story building on its main campus for a relocated and expanded cardiac department, a relocated and expanded outpatient oncology service, a relocated medical/surgical unit, and shell space to accommodate future projects as dictated by demand. Based on historical utilization, the Hospital has determined additional inpatient medical/surgical bed capacity is needed to address existing capacity challenges and meet future demand for inpatient care. Building out approved shell space to add 32 private medical/surgical beds at the Hospital offers a high-quality, cost-efficient option that will meet the current and future needs of the Hospital’s patient panel. </w:t>
      </w:r>
    </w:p>
    <w:p w14:paraId="1B540CE7" w14:textId="77777777" w:rsidR="00277E2C" w:rsidRDefault="00745AE9">
      <w:pPr>
        <w:suppressAutoHyphens w:val="0"/>
        <w:autoSpaceDE w:val="0"/>
        <w:autoSpaceDN w:val="0"/>
        <w:adjustRightInd w:val="0"/>
        <w:spacing w:before="120" w:after="120"/>
        <w:rPr>
          <w:i/>
          <w:iCs/>
          <w:sz w:val="22"/>
          <w:szCs w:val="22"/>
        </w:rPr>
      </w:pPr>
      <w:r>
        <w:rPr>
          <w:i/>
          <w:iCs/>
          <w:sz w:val="22"/>
          <w:szCs w:val="22"/>
        </w:rPr>
        <w:t xml:space="preserve">Historical and Projected Utilization </w:t>
      </w:r>
    </w:p>
    <w:p w14:paraId="027FBE2F" w14:textId="206399C8" w:rsidR="00277E2C" w:rsidRDefault="00745AE9">
      <w:pPr>
        <w:suppressAutoHyphens w:val="0"/>
        <w:autoSpaceDE w:val="0"/>
        <w:autoSpaceDN w:val="0"/>
        <w:adjustRightInd w:val="0"/>
        <w:spacing w:before="120" w:after="120"/>
        <w:jc w:val="both"/>
        <w:rPr>
          <w:sz w:val="22"/>
          <w:szCs w:val="22"/>
        </w:rPr>
      </w:pPr>
      <w:r>
        <w:rPr>
          <w:sz w:val="22"/>
          <w:szCs w:val="22"/>
        </w:rPr>
        <w:t xml:space="preserve">In FY2023, the Hospital’s medical/surgical occupancy rate was 97%, with an average of 188 of the Hospital’s 197 medical/surgical beds occupied. Moreover, the Hospital had more admitted patients than licensed beds for almost one-third of the year (31%).  During the summer when the population of Cape Cod doubles in size, the Hospital’s occupancy rate was 101%. While sufficient capacity is needed to meet summer demand, winter spikes present similar demands for patient care. The industry standard for inpatient utilization is widely accepted to be 85% occupancy. At this level, hospitals have enough unoccupied beds to admit patients to a bed in a timely manner and maintain operational efficiencies across the hospital. Once occupancy exceeds 90%, </w:t>
      </w:r>
      <w:proofErr w:type="gramStart"/>
      <w:r>
        <w:rPr>
          <w:sz w:val="22"/>
          <w:szCs w:val="22"/>
        </w:rPr>
        <w:t>its</w:t>
      </w:r>
      <w:proofErr w:type="gramEnd"/>
      <w:r>
        <w:rPr>
          <w:sz w:val="22"/>
          <w:szCs w:val="22"/>
        </w:rPr>
        <w:t xml:space="preserve"> much more likely the hospital will not have enough beds or staff to place new patients. Therefore, the Hospital needs additional inpatient capacity to provide </w:t>
      </w:r>
      <w:bookmarkStart w:id="0" w:name="_Hlk155183799"/>
      <w:r>
        <w:rPr>
          <w:sz w:val="22"/>
          <w:szCs w:val="22"/>
        </w:rPr>
        <w:t xml:space="preserve">timely access to inpatient care for year-round residents and summer visitors alike. </w:t>
      </w:r>
    </w:p>
    <w:p w14:paraId="79AFB064" w14:textId="77777777" w:rsidR="00277E2C" w:rsidRDefault="00745AE9">
      <w:pPr>
        <w:spacing w:before="120" w:after="120"/>
        <w:jc w:val="both"/>
        <w:rPr>
          <w:rFonts w:ascii="CIDFont+F4" w:hAnsi="CIDFont+F4" w:cs="CIDFont+F4"/>
          <w:color w:val="000000"/>
          <w:sz w:val="20"/>
          <w:szCs w:val="20"/>
        </w:rPr>
      </w:pPr>
      <w:r>
        <w:rPr>
          <w:sz w:val="22"/>
          <w:szCs w:val="22"/>
        </w:rPr>
        <w:t xml:space="preserve">As noted above, the Hospital’s high occupancy rate creates operational challenges that impact care delivery. In FY2023, the Hospital’s medical/surgical patients spent a total of 46,336 hours in the ED waiting for an inpatient bed after the decision to admit had been made. 1,818 medical/surgical patients boarded in the ED for more than 12 hours waiting for an inpatient bed to become available. It is well-documented that ED boarding negatively impacts health outcomes. Emergency care departments are staffed and designed to provide episodic care, as opposed to the type of </w:t>
      </w:r>
      <w:proofErr w:type="gramStart"/>
      <w:r>
        <w:rPr>
          <w:sz w:val="22"/>
          <w:szCs w:val="22"/>
        </w:rPr>
        <w:t>care</w:t>
      </w:r>
      <w:proofErr w:type="gramEnd"/>
      <w:r>
        <w:rPr>
          <w:sz w:val="22"/>
          <w:szCs w:val="22"/>
        </w:rPr>
        <w:t xml:space="preserve"> and setting necessary for inpatients.</w:t>
      </w:r>
      <w:r>
        <w:rPr>
          <w:sz w:val="22"/>
          <w:szCs w:val="22"/>
          <w:vertAlign w:val="superscript"/>
        </w:rPr>
        <w:footnoteReference w:id="1"/>
      </w:r>
      <w:r>
        <w:rPr>
          <w:sz w:val="22"/>
          <w:szCs w:val="22"/>
        </w:rPr>
        <w:t xml:space="preserve"> </w:t>
      </w:r>
      <w:bookmarkStart w:id="1" w:name="_Hlk156496405"/>
      <w:r>
        <w:rPr>
          <w:sz w:val="22"/>
          <w:szCs w:val="22"/>
        </w:rPr>
        <w:t xml:space="preserve">This results in poor patient experiences and added stress for staff who must care for a mix of patients. At the Hospital, ED boarding increases wait times for new ED patients because patients boarding must wait in an ED room until an inpatient bed </w:t>
      </w:r>
      <w:proofErr w:type="gramStart"/>
      <w:r>
        <w:rPr>
          <w:sz w:val="22"/>
          <w:szCs w:val="22"/>
        </w:rPr>
        <w:t>become</w:t>
      </w:r>
      <w:proofErr w:type="gramEnd"/>
      <w:r>
        <w:rPr>
          <w:sz w:val="22"/>
          <w:szCs w:val="22"/>
        </w:rPr>
        <w:t xml:space="preserve"> available, preventing patients from being moved from the waiting room to a treatment room. </w:t>
      </w:r>
      <w:bookmarkEnd w:id="1"/>
      <w:r>
        <w:rPr>
          <w:sz w:val="22"/>
          <w:szCs w:val="22"/>
        </w:rPr>
        <w:t xml:space="preserve">As a result, the presence of ED boarders negatively impacts all ED patients </w:t>
      </w:r>
      <w:proofErr w:type="gramStart"/>
      <w:r>
        <w:rPr>
          <w:sz w:val="22"/>
          <w:szCs w:val="22"/>
        </w:rPr>
        <w:t>as a result of</w:t>
      </w:r>
      <w:proofErr w:type="gramEnd"/>
      <w:r>
        <w:rPr>
          <w:sz w:val="22"/>
          <w:szCs w:val="22"/>
        </w:rPr>
        <w:t xml:space="preserve"> increased ED lengths of stays for all patients</w:t>
      </w:r>
      <w:r>
        <w:rPr>
          <w:rFonts w:ascii="CIDFont+F4" w:hAnsi="CIDFont+F4" w:cs="CIDFont+F4"/>
          <w:color w:val="000000"/>
          <w:sz w:val="20"/>
          <w:szCs w:val="20"/>
        </w:rPr>
        <w:t>.</w:t>
      </w:r>
      <w:r>
        <w:rPr>
          <w:rStyle w:val="FootnoteReference"/>
          <w:rFonts w:ascii="CIDFont+F4" w:hAnsi="CIDFont+F4" w:cs="CIDFont+F4"/>
          <w:color w:val="000000"/>
          <w:sz w:val="20"/>
          <w:szCs w:val="20"/>
        </w:rPr>
        <w:footnoteReference w:id="2"/>
      </w:r>
      <w:r>
        <w:rPr>
          <w:rFonts w:ascii="CIDFont+F4" w:hAnsi="CIDFont+F4" w:cs="CIDFont+F4"/>
          <w:color w:val="000000"/>
          <w:sz w:val="20"/>
          <w:szCs w:val="20"/>
        </w:rPr>
        <w:t xml:space="preserve"> </w:t>
      </w:r>
    </w:p>
    <w:p w14:paraId="640EE9AF" w14:textId="77777777" w:rsidR="00277E2C" w:rsidRDefault="00745AE9">
      <w:pPr>
        <w:spacing w:before="120" w:after="120"/>
        <w:jc w:val="both"/>
        <w:rPr>
          <w:sz w:val="22"/>
          <w:szCs w:val="22"/>
        </w:rPr>
      </w:pPr>
      <w:proofErr w:type="gramStart"/>
      <w:r>
        <w:rPr>
          <w:sz w:val="22"/>
          <w:szCs w:val="22"/>
        </w:rPr>
        <w:t>In order to</w:t>
      </w:r>
      <w:proofErr w:type="gramEnd"/>
      <w:r>
        <w:rPr>
          <w:sz w:val="22"/>
          <w:szCs w:val="22"/>
        </w:rPr>
        <w:t xml:space="preserve"> be able to move patients out of the ED, the Hospital requires additional inpatient beds. The table below illustrates how the Proposed Change would reduce the Hospital’s occupancy rate to manageable levels while also allowing for minimal organic volume growth. </w:t>
      </w:r>
    </w:p>
    <w:p w14:paraId="2B27CAFF" w14:textId="77777777" w:rsidR="00277E2C" w:rsidRDefault="00277E2C">
      <w:pPr>
        <w:spacing w:before="120" w:after="120"/>
        <w:jc w:val="both"/>
        <w:rPr>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0"/>
        <w:gridCol w:w="1095"/>
        <w:gridCol w:w="1096"/>
        <w:gridCol w:w="1096"/>
        <w:gridCol w:w="1096"/>
        <w:gridCol w:w="1096"/>
        <w:gridCol w:w="1096"/>
      </w:tblGrid>
      <w:tr w:rsidR="00277E2C" w14:paraId="7F04A0BA" w14:textId="77777777" w:rsidTr="00103AFE">
        <w:trPr>
          <w:cantSplit/>
          <w:trHeight w:val="368"/>
          <w:tblHeader/>
        </w:trPr>
        <w:tc>
          <w:tcPr>
            <w:tcW w:w="2780" w:type="dxa"/>
            <w:shd w:val="clear" w:color="000000" w:fill="D9E2F3"/>
            <w:vAlign w:val="center"/>
            <w:hideMark/>
          </w:tcPr>
          <w:p w14:paraId="30A36C1C" w14:textId="77777777" w:rsidR="00277E2C" w:rsidRDefault="00745AE9">
            <w:pPr>
              <w:suppressAutoHyphens w:val="0"/>
              <w:jc w:val="center"/>
              <w:rPr>
                <w:b/>
                <w:bCs/>
                <w:color w:val="000000"/>
                <w:sz w:val="20"/>
                <w:szCs w:val="20"/>
              </w:rPr>
            </w:pPr>
            <w:r>
              <w:rPr>
                <w:b/>
                <w:bCs/>
                <w:color w:val="000000"/>
                <w:sz w:val="20"/>
                <w:szCs w:val="20"/>
              </w:rPr>
              <w:t>Table 1: Projected Utilization</w:t>
            </w:r>
          </w:p>
        </w:tc>
        <w:tc>
          <w:tcPr>
            <w:tcW w:w="1095" w:type="dxa"/>
            <w:shd w:val="clear" w:color="000000" w:fill="D9E2F3"/>
            <w:vAlign w:val="center"/>
            <w:hideMark/>
          </w:tcPr>
          <w:p w14:paraId="08772EFD" w14:textId="77777777" w:rsidR="00277E2C" w:rsidRDefault="00745AE9">
            <w:pPr>
              <w:suppressAutoHyphens w:val="0"/>
              <w:jc w:val="center"/>
              <w:rPr>
                <w:b/>
                <w:bCs/>
                <w:color w:val="000000"/>
                <w:sz w:val="20"/>
                <w:szCs w:val="20"/>
              </w:rPr>
            </w:pPr>
            <w:r>
              <w:rPr>
                <w:b/>
                <w:bCs/>
                <w:color w:val="000000"/>
                <w:sz w:val="20"/>
                <w:szCs w:val="20"/>
              </w:rPr>
              <w:t>Current</w:t>
            </w:r>
          </w:p>
        </w:tc>
        <w:tc>
          <w:tcPr>
            <w:tcW w:w="1096" w:type="dxa"/>
            <w:shd w:val="clear" w:color="000000" w:fill="D9E2F3"/>
            <w:noWrap/>
            <w:vAlign w:val="center"/>
            <w:hideMark/>
          </w:tcPr>
          <w:p w14:paraId="5F5257F4" w14:textId="77777777" w:rsidR="00277E2C" w:rsidRDefault="00745AE9">
            <w:pPr>
              <w:suppressAutoHyphens w:val="0"/>
              <w:jc w:val="center"/>
              <w:rPr>
                <w:b/>
                <w:bCs/>
                <w:color w:val="000000"/>
                <w:sz w:val="20"/>
                <w:szCs w:val="20"/>
              </w:rPr>
            </w:pPr>
            <w:r>
              <w:rPr>
                <w:b/>
                <w:bCs/>
                <w:color w:val="000000"/>
                <w:sz w:val="20"/>
                <w:szCs w:val="20"/>
              </w:rPr>
              <w:t>Year 1</w:t>
            </w:r>
          </w:p>
        </w:tc>
        <w:tc>
          <w:tcPr>
            <w:tcW w:w="1096" w:type="dxa"/>
            <w:shd w:val="clear" w:color="000000" w:fill="D9E2F3"/>
            <w:noWrap/>
            <w:vAlign w:val="center"/>
            <w:hideMark/>
          </w:tcPr>
          <w:p w14:paraId="750526BF" w14:textId="77777777" w:rsidR="00277E2C" w:rsidRDefault="00745AE9">
            <w:pPr>
              <w:suppressAutoHyphens w:val="0"/>
              <w:jc w:val="center"/>
              <w:rPr>
                <w:b/>
                <w:bCs/>
                <w:color w:val="000000"/>
                <w:sz w:val="20"/>
                <w:szCs w:val="20"/>
              </w:rPr>
            </w:pPr>
            <w:r>
              <w:rPr>
                <w:b/>
                <w:bCs/>
                <w:color w:val="000000"/>
                <w:sz w:val="20"/>
                <w:szCs w:val="20"/>
              </w:rPr>
              <w:t>Year 2</w:t>
            </w:r>
          </w:p>
        </w:tc>
        <w:tc>
          <w:tcPr>
            <w:tcW w:w="1096" w:type="dxa"/>
            <w:shd w:val="clear" w:color="000000" w:fill="D9E2F3"/>
            <w:noWrap/>
            <w:vAlign w:val="center"/>
            <w:hideMark/>
          </w:tcPr>
          <w:p w14:paraId="61AC57EF" w14:textId="77777777" w:rsidR="00277E2C" w:rsidRDefault="00745AE9">
            <w:pPr>
              <w:suppressAutoHyphens w:val="0"/>
              <w:jc w:val="center"/>
              <w:rPr>
                <w:b/>
                <w:bCs/>
                <w:color w:val="000000"/>
                <w:sz w:val="20"/>
                <w:szCs w:val="20"/>
              </w:rPr>
            </w:pPr>
            <w:r>
              <w:rPr>
                <w:b/>
                <w:bCs/>
                <w:color w:val="000000"/>
                <w:sz w:val="20"/>
                <w:szCs w:val="20"/>
              </w:rPr>
              <w:t>Year 3</w:t>
            </w:r>
          </w:p>
        </w:tc>
        <w:tc>
          <w:tcPr>
            <w:tcW w:w="1096" w:type="dxa"/>
            <w:shd w:val="clear" w:color="000000" w:fill="D9E2F3"/>
            <w:noWrap/>
            <w:vAlign w:val="center"/>
            <w:hideMark/>
          </w:tcPr>
          <w:p w14:paraId="2BB6510E" w14:textId="77777777" w:rsidR="00277E2C" w:rsidRDefault="00745AE9">
            <w:pPr>
              <w:suppressAutoHyphens w:val="0"/>
              <w:jc w:val="center"/>
              <w:rPr>
                <w:b/>
                <w:bCs/>
                <w:color w:val="000000"/>
                <w:sz w:val="20"/>
                <w:szCs w:val="20"/>
              </w:rPr>
            </w:pPr>
            <w:r>
              <w:rPr>
                <w:b/>
                <w:bCs/>
                <w:color w:val="000000"/>
                <w:sz w:val="20"/>
                <w:szCs w:val="20"/>
              </w:rPr>
              <w:t>Year 4</w:t>
            </w:r>
          </w:p>
        </w:tc>
        <w:tc>
          <w:tcPr>
            <w:tcW w:w="1096" w:type="dxa"/>
            <w:shd w:val="clear" w:color="000000" w:fill="D9E2F3"/>
            <w:noWrap/>
            <w:vAlign w:val="center"/>
            <w:hideMark/>
          </w:tcPr>
          <w:p w14:paraId="0C5048C7" w14:textId="77777777" w:rsidR="00277E2C" w:rsidRDefault="00745AE9">
            <w:pPr>
              <w:suppressAutoHyphens w:val="0"/>
              <w:jc w:val="center"/>
              <w:rPr>
                <w:b/>
                <w:bCs/>
                <w:color w:val="000000"/>
                <w:sz w:val="20"/>
                <w:szCs w:val="20"/>
              </w:rPr>
            </w:pPr>
            <w:r>
              <w:rPr>
                <w:b/>
                <w:bCs/>
                <w:color w:val="000000"/>
                <w:sz w:val="20"/>
                <w:szCs w:val="20"/>
              </w:rPr>
              <w:t>Year 5</w:t>
            </w:r>
          </w:p>
        </w:tc>
      </w:tr>
      <w:tr w:rsidR="00277E2C" w14:paraId="4059577A" w14:textId="77777777" w:rsidTr="00103AFE">
        <w:trPr>
          <w:cantSplit/>
          <w:trHeight w:val="300"/>
        </w:trPr>
        <w:tc>
          <w:tcPr>
            <w:tcW w:w="2780" w:type="dxa"/>
            <w:shd w:val="clear" w:color="auto" w:fill="auto"/>
            <w:vAlign w:val="center"/>
            <w:hideMark/>
          </w:tcPr>
          <w:p w14:paraId="6F9706BD" w14:textId="77777777" w:rsidR="00277E2C" w:rsidRDefault="00745AE9">
            <w:pPr>
              <w:suppressAutoHyphens w:val="0"/>
              <w:rPr>
                <w:b/>
                <w:bCs/>
                <w:color w:val="000000"/>
                <w:sz w:val="20"/>
                <w:szCs w:val="20"/>
              </w:rPr>
            </w:pPr>
            <w:r>
              <w:rPr>
                <w:b/>
                <w:bCs/>
                <w:color w:val="000000"/>
                <w:sz w:val="20"/>
                <w:szCs w:val="20"/>
              </w:rPr>
              <w:t>Discharges</w:t>
            </w:r>
          </w:p>
        </w:tc>
        <w:tc>
          <w:tcPr>
            <w:tcW w:w="1095" w:type="dxa"/>
            <w:shd w:val="clear" w:color="auto" w:fill="auto"/>
            <w:vAlign w:val="center"/>
            <w:hideMark/>
          </w:tcPr>
          <w:p w14:paraId="0FEA7494" w14:textId="77777777" w:rsidR="00277E2C" w:rsidRDefault="00745AE9">
            <w:pPr>
              <w:suppressAutoHyphens w:val="0"/>
              <w:jc w:val="center"/>
              <w:rPr>
                <w:color w:val="000000"/>
                <w:sz w:val="20"/>
                <w:szCs w:val="20"/>
              </w:rPr>
            </w:pPr>
            <w:r>
              <w:rPr>
                <w:color w:val="000000"/>
                <w:sz w:val="20"/>
                <w:szCs w:val="20"/>
              </w:rPr>
              <w:t>16,960</w:t>
            </w:r>
          </w:p>
        </w:tc>
        <w:tc>
          <w:tcPr>
            <w:tcW w:w="1096" w:type="dxa"/>
            <w:shd w:val="clear" w:color="auto" w:fill="auto"/>
            <w:noWrap/>
            <w:vAlign w:val="center"/>
            <w:hideMark/>
          </w:tcPr>
          <w:p w14:paraId="3087053E" w14:textId="77777777" w:rsidR="00277E2C" w:rsidRDefault="00745AE9">
            <w:pPr>
              <w:suppressAutoHyphens w:val="0"/>
              <w:jc w:val="center"/>
              <w:rPr>
                <w:color w:val="000000"/>
                <w:sz w:val="20"/>
                <w:szCs w:val="20"/>
              </w:rPr>
            </w:pPr>
            <w:r>
              <w:rPr>
                <w:color w:val="000000"/>
                <w:sz w:val="20"/>
                <w:szCs w:val="20"/>
              </w:rPr>
              <w:t>16,960</w:t>
            </w:r>
          </w:p>
        </w:tc>
        <w:tc>
          <w:tcPr>
            <w:tcW w:w="1096" w:type="dxa"/>
            <w:shd w:val="clear" w:color="auto" w:fill="auto"/>
            <w:noWrap/>
            <w:vAlign w:val="center"/>
            <w:hideMark/>
          </w:tcPr>
          <w:p w14:paraId="46E0ED32" w14:textId="77777777" w:rsidR="00277E2C" w:rsidRDefault="00745AE9">
            <w:pPr>
              <w:suppressAutoHyphens w:val="0"/>
              <w:jc w:val="center"/>
              <w:rPr>
                <w:color w:val="000000"/>
                <w:sz w:val="20"/>
                <w:szCs w:val="20"/>
              </w:rPr>
            </w:pPr>
            <w:r>
              <w:rPr>
                <w:color w:val="000000"/>
                <w:sz w:val="20"/>
                <w:szCs w:val="20"/>
              </w:rPr>
              <w:t>17,033</w:t>
            </w:r>
          </w:p>
        </w:tc>
        <w:tc>
          <w:tcPr>
            <w:tcW w:w="1096" w:type="dxa"/>
            <w:shd w:val="clear" w:color="auto" w:fill="auto"/>
            <w:noWrap/>
            <w:vAlign w:val="center"/>
            <w:hideMark/>
          </w:tcPr>
          <w:p w14:paraId="3DF8708E" w14:textId="77777777" w:rsidR="00277E2C" w:rsidRDefault="00745AE9">
            <w:pPr>
              <w:suppressAutoHyphens w:val="0"/>
              <w:jc w:val="center"/>
              <w:rPr>
                <w:color w:val="000000"/>
                <w:sz w:val="20"/>
                <w:szCs w:val="20"/>
              </w:rPr>
            </w:pPr>
            <w:r>
              <w:rPr>
                <w:color w:val="000000"/>
                <w:sz w:val="20"/>
                <w:szCs w:val="20"/>
              </w:rPr>
              <w:t>17,107</w:t>
            </w:r>
          </w:p>
        </w:tc>
        <w:tc>
          <w:tcPr>
            <w:tcW w:w="1096" w:type="dxa"/>
            <w:shd w:val="clear" w:color="auto" w:fill="auto"/>
            <w:noWrap/>
            <w:vAlign w:val="center"/>
            <w:hideMark/>
          </w:tcPr>
          <w:p w14:paraId="7F02C5CF" w14:textId="77777777" w:rsidR="00277E2C" w:rsidRDefault="00745AE9">
            <w:pPr>
              <w:suppressAutoHyphens w:val="0"/>
              <w:jc w:val="center"/>
              <w:rPr>
                <w:color w:val="000000"/>
                <w:sz w:val="20"/>
                <w:szCs w:val="20"/>
              </w:rPr>
            </w:pPr>
            <w:r>
              <w:rPr>
                <w:color w:val="000000"/>
                <w:sz w:val="20"/>
                <w:szCs w:val="20"/>
              </w:rPr>
              <w:t>17,181</w:t>
            </w:r>
          </w:p>
        </w:tc>
        <w:tc>
          <w:tcPr>
            <w:tcW w:w="1096" w:type="dxa"/>
            <w:shd w:val="clear" w:color="auto" w:fill="auto"/>
            <w:noWrap/>
            <w:vAlign w:val="center"/>
            <w:hideMark/>
          </w:tcPr>
          <w:p w14:paraId="286B8851" w14:textId="77777777" w:rsidR="00277E2C" w:rsidRDefault="00745AE9">
            <w:pPr>
              <w:suppressAutoHyphens w:val="0"/>
              <w:jc w:val="center"/>
              <w:rPr>
                <w:color w:val="000000"/>
                <w:sz w:val="20"/>
                <w:szCs w:val="20"/>
              </w:rPr>
            </w:pPr>
            <w:r>
              <w:rPr>
                <w:color w:val="000000"/>
                <w:sz w:val="20"/>
                <w:szCs w:val="20"/>
              </w:rPr>
              <w:t>17,255</w:t>
            </w:r>
          </w:p>
        </w:tc>
      </w:tr>
      <w:tr w:rsidR="00277E2C" w14:paraId="4193A964" w14:textId="77777777" w:rsidTr="00103AFE">
        <w:trPr>
          <w:cantSplit/>
          <w:trHeight w:val="300"/>
        </w:trPr>
        <w:tc>
          <w:tcPr>
            <w:tcW w:w="2780" w:type="dxa"/>
            <w:shd w:val="clear" w:color="auto" w:fill="auto"/>
            <w:vAlign w:val="center"/>
            <w:hideMark/>
          </w:tcPr>
          <w:p w14:paraId="3E7DCB2C" w14:textId="77777777" w:rsidR="00277E2C" w:rsidRDefault="00745AE9">
            <w:pPr>
              <w:suppressAutoHyphens w:val="0"/>
              <w:rPr>
                <w:b/>
                <w:bCs/>
                <w:color w:val="000000"/>
                <w:sz w:val="20"/>
                <w:szCs w:val="20"/>
              </w:rPr>
            </w:pPr>
            <w:r>
              <w:rPr>
                <w:b/>
                <w:bCs/>
                <w:color w:val="000000"/>
                <w:sz w:val="20"/>
                <w:szCs w:val="20"/>
              </w:rPr>
              <w:t>Days</w:t>
            </w:r>
          </w:p>
        </w:tc>
        <w:tc>
          <w:tcPr>
            <w:tcW w:w="1095" w:type="dxa"/>
            <w:shd w:val="clear" w:color="auto" w:fill="auto"/>
            <w:vAlign w:val="center"/>
            <w:hideMark/>
          </w:tcPr>
          <w:p w14:paraId="7AE82761" w14:textId="77777777" w:rsidR="00277E2C" w:rsidRDefault="00745AE9">
            <w:pPr>
              <w:suppressAutoHyphens w:val="0"/>
              <w:jc w:val="center"/>
              <w:rPr>
                <w:color w:val="000000"/>
                <w:sz w:val="20"/>
                <w:szCs w:val="20"/>
              </w:rPr>
            </w:pPr>
            <w:r>
              <w:rPr>
                <w:color w:val="000000"/>
                <w:sz w:val="20"/>
                <w:szCs w:val="20"/>
              </w:rPr>
              <w:t>70,078</w:t>
            </w:r>
          </w:p>
        </w:tc>
        <w:tc>
          <w:tcPr>
            <w:tcW w:w="1096" w:type="dxa"/>
            <w:shd w:val="clear" w:color="auto" w:fill="auto"/>
            <w:noWrap/>
            <w:vAlign w:val="center"/>
            <w:hideMark/>
          </w:tcPr>
          <w:p w14:paraId="373BB09F" w14:textId="77777777" w:rsidR="00277E2C" w:rsidRDefault="00745AE9">
            <w:pPr>
              <w:suppressAutoHyphens w:val="0"/>
              <w:jc w:val="center"/>
              <w:rPr>
                <w:color w:val="000000"/>
                <w:sz w:val="20"/>
                <w:szCs w:val="20"/>
              </w:rPr>
            </w:pPr>
            <w:r>
              <w:rPr>
                <w:color w:val="000000"/>
                <w:sz w:val="20"/>
                <w:szCs w:val="20"/>
              </w:rPr>
              <w:t>70,778</w:t>
            </w:r>
          </w:p>
        </w:tc>
        <w:tc>
          <w:tcPr>
            <w:tcW w:w="1096" w:type="dxa"/>
            <w:shd w:val="clear" w:color="auto" w:fill="auto"/>
            <w:noWrap/>
            <w:vAlign w:val="center"/>
            <w:hideMark/>
          </w:tcPr>
          <w:p w14:paraId="07F38B52" w14:textId="77777777" w:rsidR="00277E2C" w:rsidRDefault="00745AE9">
            <w:pPr>
              <w:suppressAutoHyphens w:val="0"/>
              <w:jc w:val="center"/>
              <w:rPr>
                <w:color w:val="000000"/>
                <w:sz w:val="20"/>
                <w:szCs w:val="20"/>
              </w:rPr>
            </w:pPr>
            <w:r>
              <w:rPr>
                <w:color w:val="000000"/>
                <w:sz w:val="20"/>
                <w:szCs w:val="20"/>
              </w:rPr>
              <w:t>71,121</w:t>
            </w:r>
          </w:p>
        </w:tc>
        <w:tc>
          <w:tcPr>
            <w:tcW w:w="1096" w:type="dxa"/>
            <w:shd w:val="clear" w:color="auto" w:fill="auto"/>
            <w:noWrap/>
            <w:vAlign w:val="center"/>
            <w:hideMark/>
          </w:tcPr>
          <w:p w14:paraId="25348E2D" w14:textId="77777777" w:rsidR="00277E2C" w:rsidRDefault="00745AE9">
            <w:pPr>
              <w:suppressAutoHyphens w:val="0"/>
              <w:jc w:val="center"/>
              <w:rPr>
                <w:color w:val="000000"/>
                <w:sz w:val="20"/>
                <w:szCs w:val="20"/>
              </w:rPr>
            </w:pPr>
            <w:r>
              <w:rPr>
                <w:color w:val="000000"/>
                <w:sz w:val="20"/>
                <w:szCs w:val="20"/>
              </w:rPr>
              <w:t>71,467</w:t>
            </w:r>
          </w:p>
        </w:tc>
        <w:tc>
          <w:tcPr>
            <w:tcW w:w="1096" w:type="dxa"/>
            <w:shd w:val="clear" w:color="auto" w:fill="auto"/>
            <w:noWrap/>
            <w:vAlign w:val="center"/>
            <w:hideMark/>
          </w:tcPr>
          <w:p w14:paraId="6C3F0F77" w14:textId="77777777" w:rsidR="00277E2C" w:rsidRDefault="00745AE9">
            <w:pPr>
              <w:suppressAutoHyphens w:val="0"/>
              <w:jc w:val="center"/>
              <w:rPr>
                <w:color w:val="000000"/>
                <w:sz w:val="20"/>
                <w:szCs w:val="20"/>
              </w:rPr>
            </w:pPr>
            <w:r>
              <w:rPr>
                <w:color w:val="000000"/>
                <w:sz w:val="20"/>
                <w:szCs w:val="20"/>
              </w:rPr>
              <w:t>71,814</w:t>
            </w:r>
          </w:p>
        </w:tc>
        <w:tc>
          <w:tcPr>
            <w:tcW w:w="1096" w:type="dxa"/>
            <w:shd w:val="clear" w:color="auto" w:fill="auto"/>
            <w:noWrap/>
            <w:vAlign w:val="center"/>
            <w:hideMark/>
          </w:tcPr>
          <w:p w14:paraId="4A412E22" w14:textId="77777777" w:rsidR="00277E2C" w:rsidRDefault="00745AE9">
            <w:pPr>
              <w:suppressAutoHyphens w:val="0"/>
              <w:jc w:val="center"/>
              <w:rPr>
                <w:color w:val="000000"/>
                <w:sz w:val="20"/>
                <w:szCs w:val="20"/>
              </w:rPr>
            </w:pPr>
            <w:r>
              <w:rPr>
                <w:color w:val="000000"/>
                <w:sz w:val="20"/>
                <w:szCs w:val="20"/>
              </w:rPr>
              <w:t>72,163</w:t>
            </w:r>
          </w:p>
        </w:tc>
      </w:tr>
      <w:tr w:rsidR="00277E2C" w14:paraId="2FA84002" w14:textId="77777777" w:rsidTr="00103AFE">
        <w:trPr>
          <w:cantSplit/>
          <w:trHeight w:val="331"/>
        </w:trPr>
        <w:tc>
          <w:tcPr>
            <w:tcW w:w="2780" w:type="dxa"/>
            <w:shd w:val="clear" w:color="auto" w:fill="auto"/>
            <w:vAlign w:val="center"/>
            <w:hideMark/>
          </w:tcPr>
          <w:p w14:paraId="58D62F67" w14:textId="77777777" w:rsidR="00277E2C" w:rsidRDefault="00745AE9">
            <w:pPr>
              <w:suppressAutoHyphens w:val="0"/>
              <w:rPr>
                <w:b/>
                <w:bCs/>
                <w:color w:val="000000"/>
                <w:sz w:val="20"/>
                <w:szCs w:val="20"/>
              </w:rPr>
            </w:pPr>
            <w:r>
              <w:rPr>
                <w:b/>
                <w:bCs/>
                <w:color w:val="000000"/>
                <w:sz w:val="20"/>
                <w:szCs w:val="20"/>
              </w:rPr>
              <w:t>Average Length of Stay</w:t>
            </w:r>
          </w:p>
        </w:tc>
        <w:tc>
          <w:tcPr>
            <w:tcW w:w="1095" w:type="dxa"/>
            <w:shd w:val="clear" w:color="auto" w:fill="auto"/>
            <w:vAlign w:val="center"/>
            <w:hideMark/>
          </w:tcPr>
          <w:p w14:paraId="2BE56699" w14:textId="77777777" w:rsidR="00277E2C" w:rsidRDefault="00745AE9">
            <w:pPr>
              <w:suppressAutoHyphens w:val="0"/>
              <w:jc w:val="center"/>
              <w:rPr>
                <w:color w:val="000000"/>
                <w:sz w:val="20"/>
                <w:szCs w:val="20"/>
              </w:rPr>
            </w:pPr>
            <w:r>
              <w:rPr>
                <w:color w:val="000000"/>
                <w:sz w:val="20"/>
                <w:szCs w:val="20"/>
              </w:rPr>
              <w:t>4.1</w:t>
            </w:r>
          </w:p>
        </w:tc>
        <w:tc>
          <w:tcPr>
            <w:tcW w:w="1096" w:type="dxa"/>
            <w:shd w:val="clear" w:color="auto" w:fill="auto"/>
            <w:vAlign w:val="center"/>
            <w:hideMark/>
          </w:tcPr>
          <w:p w14:paraId="1A9DCFCE" w14:textId="77777777" w:rsidR="00277E2C" w:rsidRDefault="00745AE9">
            <w:pPr>
              <w:suppressAutoHyphens w:val="0"/>
              <w:jc w:val="center"/>
              <w:rPr>
                <w:color w:val="000000"/>
                <w:sz w:val="20"/>
                <w:szCs w:val="20"/>
              </w:rPr>
            </w:pPr>
            <w:r>
              <w:rPr>
                <w:color w:val="000000"/>
                <w:sz w:val="20"/>
                <w:szCs w:val="20"/>
              </w:rPr>
              <w:t>4.2</w:t>
            </w:r>
          </w:p>
        </w:tc>
        <w:tc>
          <w:tcPr>
            <w:tcW w:w="1096" w:type="dxa"/>
            <w:shd w:val="clear" w:color="auto" w:fill="auto"/>
            <w:vAlign w:val="center"/>
            <w:hideMark/>
          </w:tcPr>
          <w:p w14:paraId="3339CB9B" w14:textId="77777777" w:rsidR="00277E2C" w:rsidRDefault="00745AE9">
            <w:pPr>
              <w:suppressAutoHyphens w:val="0"/>
              <w:jc w:val="center"/>
              <w:rPr>
                <w:color w:val="000000"/>
                <w:sz w:val="20"/>
                <w:szCs w:val="20"/>
              </w:rPr>
            </w:pPr>
            <w:r>
              <w:rPr>
                <w:color w:val="000000"/>
                <w:sz w:val="20"/>
                <w:szCs w:val="20"/>
              </w:rPr>
              <w:t>4.2</w:t>
            </w:r>
          </w:p>
        </w:tc>
        <w:tc>
          <w:tcPr>
            <w:tcW w:w="1096" w:type="dxa"/>
            <w:shd w:val="clear" w:color="auto" w:fill="auto"/>
            <w:vAlign w:val="center"/>
            <w:hideMark/>
          </w:tcPr>
          <w:p w14:paraId="4B44D4DF" w14:textId="77777777" w:rsidR="00277E2C" w:rsidRDefault="00745AE9">
            <w:pPr>
              <w:suppressAutoHyphens w:val="0"/>
              <w:jc w:val="center"/>
              <w:rPr>
                <w:color w:val="000000"/>
                <w:sz w:val="20"/>
                <w:szCs w:val="20"/>
              </w:rPr>
            </w:pPr>
            <w:r>
              <w:rPr>
                <w:color w:val="000000"/>
                <w:sz w:val="20"/>
                <w:szCs w:val="20"/>
              </w:rPr>
              <w:t>4.2</w:t>
            </w:r>
          </w:p>
        </w:tc>
        <w:tc>
          <w:tcPr>
            <w:tcW w:w="1096" w:type="dxa"/>
            <w:shd w:val="clear" w:color="auto" w:fill="auto"/>
            <w:vAlign w:val="center"/>
            <w:hideMark/>
          </w:tcPr>
          <w:p w14:paraId="2AA74781" w14:textId="77777777" w:rsidR="00277E2C" w:rsidRDefault="00745AE9">
            <w:pPr>
              <w:suppressAutoHyphens w:val="0"/>
              <w:jc w:val="center"/>
              <w:rPr>
                <w:color w:val="000000"/>
                <w:sz w:val="20"/>
                <w:szCs w:val="20"/>
              </w:rPr>
            </w:pPr>
            <w:r>
              <w:rPr>
                <w:color w:val="000000"/>
                <w:sz w:val="20"/>
                <w:szCs w:val="20"/>
              </w:rPr>
              <w:t>4.2</w:t>
            </w:r>
          </w:p>
        </w:tc>
        <w:tc>
          <w:tcPr>
            <w:tcW w:w="1096" w:type="dxa"/>
            <w:shd w:val="clear" w:color="auto" w:fill="auto"/>
            <w:vAlign w:val="center"/>
            <w:hideMark/>
          </w:tcPr>
          <w:p w14:paraId="6E6EE731" w14:textId="77777777" w:rsidR="00277E2C" w:rsidRDefault="00745AE9">
            <w:pPr>
              <w:suppressAutoHyphens w:val="0"/>
              <w:jc w:val="center"/>
              <w:rPr>
                <w:color w:val="000000"/>
                <w:sz w:val="20"/>
                <w:szCs w:val="20"/>
              </w:rPr>
            </w:pPr>
            <w:r>
              <w:rPr>
                <w:color w:val="000000"/>
                <w:sz w:val="20"/>
                <w:szCs w:val="20"/>
              </w:rPr>
              <w:t>4.2</w:t>
            </w:r>
          </w:p>
        </w:tc>
      </w:tr>
      <w:tr w:rsidR="00277E2C" w14:paraId="464A8510" w14:textId="77777777" w:rsidTr="00103AFE">
        <w:trPr>
          <w:cantSplit/>
          <w:trHeight w:val="300"/>
        </w:trPr>
        <w:tc>
          <w:tcPr>
            <w:tcW w:w="2780" w:type="dxa"/>
            <w:shd w:val="clear" w:color="auto" w:fill="auto"/>
            <w:vAlign w:val="center"/>
            <w:hideMark/>
          </w:tcPr>
          <w:p w14:paraId="64AC5448" w14:textId="77777777" w:rsidR="00277E2C" w:rsidRDefault="00745AE9">
            <w:pPr>
              <w:suppressAutoHyphens w:val="0"/>
              <w:rPr>
                <w:b/>
                <w:bCs/>
                <w:color w:val="000000"/>
                <w:sz w:val="20"/>
                <w:szCs w:val="20"/>
              </w:rPr>
            </w:pPr>
            <w:r>
              <w:rPr>
                <w:b/>
                <w:bCs/>
                <w:color w:val="000000"/>
                <w:sz w:val="20"/>
                <w:szCs w:val="20"/>
              </w:rPr>
              <w:t>Average Daily Census</w:t>
            </w:r>
          </w:p>
        </w:tc>
        <w:tc>
          <w:tcPr>
            <w:tcW w:w="1095" w:type="dxa"/>
            <w:shd w:val="clear" w:color="auto" w:fill="auto"/>
            <w:vAlign w:val="center"/>
            <w:hideMark/>
          </w:tcPr>
          <w:p w14:paraId="422A39E7" w14:textId="77777777" w:rsidR="00277E2C" w:rsidRDefault="00745AE9">
            <w:pPr>
              <w:suppressAutoHyphens w:val="0"/>
              <w:jc w:val="center"/>
              <w:rPr>
                <w:sz w:val="20"/>
                <w:szCs w:val="20"/>
              </w:rPr>
            </w:pPr>
            <w:r>
              <w:rPr>
                <w:sz w:val="20"/>
                <w:szCs w:val="20"/>
              </w:rPr>
              <w:t>192.00</w:t>
            </w:r>
          </w:p>
        </w:tc>
        <w:tc>
          <w:tcPr>
            <w:tcW w:w="1096" w:type="dxa"/>
            <w:shd w:val="clear" w:color="auto" w:fill="auto"/>
            <w:noWrap/>
            <w:vAlign w:val="center"/>
            <w:hideMark/>
          </w:tcPr>
          <w:p w14:paraId="68FC3466" w14:textId="77777777" w:rsidR="00277E2C" w:rsidRDefault="00745AE9">
            <w:pPr>
              <w:suppressAutoHyphens w:val="0"/>
              <w:jc w:val="center"/>
              <w:rPr>
                <w:color w:val="000000"/>
                <w:sz w:val="20"/>
                <w:szCs w:val="20"/>
              </w:rPr>
            </w:pPr>
            <w:r>
              <w:rPr>
                <w:color w:val="000000"/>
                <w:sz w:val="20"/>
                <w:szCs w:val="20"/>
              </w:rPr>
              <w:t>193.9</w:t>
            </w:r>
          </w:p>
        </w:tc>
        <w:tc>
          <w:tcPr>
            <w:tcW w:w="1096" w:type="dxa"/>
            <w:shd w:val="clear" w:color="auto" w:fill="auto"/>
            <w:noWrap/>
            <w:vAlign w:val="center"/>
            <w:hideMark/>
          </w:tcPr>
          <w:p w14:paraId="2E7312F5" w14:textId="77777777" w:rsidR="00277E2C" w:rsidRDefault="00745AE9">
            <w:pPr>
              <w:suppressAutoHyphens w:val="0"/>
              <w:jc w:val="center"/>
              <w:rPr>
                <w:color w:val="000000"/>
                <w:sz w:val="20"/>
                <w:szCs w:val="20"/>
              </w:rPr>
            </w:pPr>
            <w:r>
              <w:rPr>
                <w:color w:val="000000"/>
                <w:sz w:val="20"/>
                <w:szCs w:val="20"/>
              </w:rPr>
              <w:t>194.9</w:t>
            </w:r>
          </w:p>
        </w:tc>
        <w:tc>
          <w:tcPr>
            <w:tcW w:w="1096" w:type="dxa"/>
            <w:shd w:val="clear" w:color="auto" w:fill="auto"/>
            <w:noWrap/>
            <w:vAlign w:val="center"/>
            <w:hideMark/>
          </w:tcPr>
          <w:p w14:paraId="0FAB1C0C" w14:textId="77777777" w:rsidR="00277E2C" w:rsidRDefault="00745AE9">
            <w:pPr>
              <w:suppressAutoHyphens w:val="0"/>
              <w:jc w:val="center"/>
              <w:rPr>
                <w:color w:val="000000"/>
                <w:sz w:val="20"/>
                <w:szCs w:val="20"/>
              </w:rPr>
            </w:pPr>
            <w:r>
              <w:rPr>
                <w:color w:val="000000"/>
                <w:sz w:val="20"/>
                <w:szCs w:val="20"/>
              </w:rPr>
              <w:t>195.8</w:t>
            </w:r>
          </w:p>
        </w:tc>
        <w:tc>
          <w:tcPr>
            <w:tcW w:w="1096" w:type="dxa"/>
            <w:shd w:val="clear" w:color="auto" w:fill="auto"/>
            <w:noWrap/>
            <w:vAlign w:val="center"/>
            <w:hideMark/>
          </w:tcPr>
          <w:p w14:paraId="325FA013" w14:textId="77777777" w:rsidR="00277E2C" w:rsidRDefault="00745AE9">
            <w:pPr>
              <w:suppressAutoHyphens w:val="0"/>
              <w:jc w:val="center"/>
              <w:rPr>
                <w:color w:val="000000"/>
                <w:sz w:val="20"/>
                <w:szCs w:val="20"/>
              </w:rPr>
            </w:pPr>
            <w:r>
              <w:rPr>
                <w:color w:val="000000"/>
                <w:sz w:val="20"/>
                <w:szCs w:val="20"/>
              </w:rPr>
              <w:t>196.8</w:t>
            </w:r>
          </w:p>
        </w:tc>
        <w:tc>
          <w:tcPr>
            <w:tcW w:w="1096" w:type="dxa"/>
            <w:shd w:val="clear" w:color="auto" w:fill="auto"/>
            <w:noWrap/>
            <w:vAlign w:val="center"/>
            <w:hideMark/>
          </w:tcPr>
          <w:p w14:paraId="198CB6B9" w14:textId="77777777" w:rsidR="00277E2C" w:rsidRDefault="00745AE9">
            <w:pPr>
              <w:suppressAutoHyphens w:val="0"/>
              <w:jc w:val="center"/>
              <w:rPr>
                <w:color w:val="000000"/>
                <w:sz w:val="20"/>
                <w:szCs w:val="20"/>
              </w:rPr>
            </w:pPr>
            <w:r>
              <w:rPr>
                <w:color w:val="000000"/>
                <w:sz w:val="20"/>
                <w:szCs w:val="20"/>
              </w:rPr>
              <w:t>197.7</w:t>
            </w:r>
          </w:p>
        </w:tc>
      </w:tr>
      <w:tr w:rsidR="00277E2C" w14:paraId="4C8F51A5" w14:textId="77777777" w:rsidTr="00103AFE">
        <w:trPr>
          <w:cantSplit/>
          <w:trHeight w:val="300"/>
        </w:trPr>
        <w:tc>
          <w:tcPr>
            <w:tcW w:w="2780" w:type="dxa"/>
            <w:shd w:val="clear" w:color="auto" w:fill="auto"/>
            <w:vAlign w:val="center"/>
            <w:hideMark/>
          </w:tcPr>
          <w:p w14:paraId="33DF96F2" w14:textId="77777777" w:rsidR="00277E2C" w:rsidRDefault="00745AE9">
            <w:pPr>
              <w:suppressAutoHyphens w:val="0"/>
              <w:rPr>
                <w:b/>
                <w:bCs/>
                <w:color w:val="000000"/>
                <w:sz w:val="20"/>
                <w:szCs w:val="20"/>
              </w:rPr>
            </w:pPr>
            <w:r>
              <w:rPr>
                <w:b/>
                <w:bCs/>
                <w:color w:val="000000"/>
                <w:sz w:val="20"/>
                <w:szCs w:val="20"/>
              </w:rPr>
              <w:t>Occupancy</w:t>
            </w:r>
          </w:p>
        </w:tc>
        <w:tc>
          <w:tcPr>
            <w:tcW w:w="1095" w:type="dxa"/>
            <w:shd w:val="clear" w:color="auto" w:fill="auto"/>
            <w:noWrap/>
            <w:vAlign w:val="center"/>
            <w:hideMark/>
          </w:tcPr>
          <w:p w14:paraId="23AE9D7A" w14:textId="77777777" w:rsidR="00277E2C" w:rsidRDefault="00745AE9">
            <w:pPr>
              <w:suppressAutoHyphens w:val="0"/>
              <w:jc w:val="center"/>
              <w:rPr>
                <w:color w:val="000000"/>
                <w:sz w:val="20"/>
                <w:szCs w:val="20"/>
              </w:rPr>
            </w:pPr>
            <w:r>
              <w:rPr>
                <w:color w:val="000000"/>
                <w:sz w:val="20"/>
                <w:szCs w:val="20"/>
              </w:rPr>
              <w:t>97.46%</w:t>
            </w:r>
          </w:p>
        </w:tc>
        <w:tc>
          <w:tcPr>
            <w:tcW w:w="1096" w:type="dxa"/>
            <w:shd w:val="clear" w:color="auto" w:fill="auto"/>
            <w:noWrap/>
            <w:vAlign w:val="center"/>
            <w:hideMark/>
          </w:tcPr>
          <w:p w14:paraId="7CDC29CF" w14:textId="77777777" w:rsidR="00277E2C" w:rsidRDefault="00745AE9">
            <w:pPr>
              <w:suppressAutoHyphens w:val="0"/>
              <w:jc w:val="center"/>
              <w:rPr>
                <w:color w:val="000000"/>
                <w:sz w:val="20"/>
                <w:szCs w:val="20"/>
              </w:rPr>
            </w:pPr>
            <w:r>
              <w:rPr>
                <w:color w:val="000000"/>
                <w:sz w:val="20"/>
                <w:szCs w:val="20"/>
              </w:rPr>
              <w:t>84.68%</w:t>
            </w:r>
          </w:p>
        </w:tc>
        <w:tc>
          <w:tcPr>
            <w:tcW w:w="1096" w:type="dxa"/>
            <w:shd w:val="clear" w:color="auto" w:fill="auto"/>
            <w:noWrap/>
            <w:vAlign w:val="center"/>
            <w:hideMark/>
          </w:tcPr>
          <w:p w14:paraId="253CD7E5" w14:textId="77777777" w:rsidR="00277E2C" w:rsidRDefault="00745AE9">
            <w:pPr>
              <w:suppressAutoHyphens w:val="0"/>
              <w:jc w:val="center"/>
              <w:rPr>
                <w:color w:val="000000"/>
                <w:sz w:val="20"/>
                <w:szCs w:val="20"/>
              </w:rPr>
            </w:pPr>
            <w:r>
              <w:rPr>
                <w:color w:val="000000"/>
                <w:sz w:val="20"/>
                <w:szCs w:val="20"/>
              </w:rPr>
              <w:t>85.09%</w:t>
            </w:r>
          </w:p>
        </w:tc>
        <w:tc>
          <w:tcPr>
            <w:tcW w:w="1096" w:type="dxa"/>
            <w:shd w:val="clear" w:color="auto" w:fill="auto"/>
            <w:noWrap/>
            <w:vAlign w:val="center"/>
            <w:hideMark/>
          </w:tcPr>
          <w:p w14:paraId="2A334309" w14:textId="77777777" w:rsidR="00277E2C" w:rsidRDefault="00745AE9">
            <w:pPr>
              <w:suppressAutoHyphens w:val="0"/>
              <w:jc w:val="center"/>
              <w:rPr>
                <w:color w:val="000000"/>
                <w:sz w:val="20"/>
                <w:szCs w:val="20"/>
              </w:rPr>
            </w:pPr>
            <w:r>
              <w:rPr>
                <w:color w:val="000000"/>
                <w:sz w:val="20"/>
                <w:szCs w:val="20"/>
              </w:rPr>
              <w:t>85.50%</w:t>
            </w:r>
          </w:p>
        </w:tc>
        <w:tc>
          <w:tcPr>
            <w:tcW w:w="1096" w:type="dxa"/>
            <w:shd w:val="clear" w:color="auto" w:fill="auto"/>
            <w:noWrap/>
            <w:vAlign w:val="center"/>
            <w:hideMark/>
          </w:tcPr>
          <w:p w14:paraId="0B9F77C1" w14:textId="77777777" w:rsidR="00277E2C" w:rsidRDefault="00745AE9">
            <w:pPr>
              <w:suppressAutoHyphens w:val="0"/>
              <w:jc w:val="center"/>
              <w:rPr>
                <w:color w:val="000000"/>
                <w:sz w:val="20"/>
                <w:szCs w:val="20"/>
              </w:rPr>
            </w:pPr>
            <w:r>
              <w:rPr>
                <w:color w:val="000000"/>
                <w:sz w:val="20"/>
                <w:szCs w:val="20"/>
              </w:rPr>
              <w:t>85.92%</w:t>
            </w:r>
          </w:p>
        </w:tc>
        <w:tc>
          <w:tcPr>
            <w:tcW w:w="1096" w:type="dxa"/>
            <w:shd w:val="clear" w:color="auto" w:fill="auto"/>
            <w:noWrap/>
            <w:vAlign w:val="center"/>
            <w:hideMark/>
          </w:tcPr>
          <w:p w14:paraId="7FC1E586" w14:textId="77777777" w:rsidR="00277E2C" w:rsidRDefault="00745AE9">
            <w:pPr>
              <w:suppressAutoHyphens w:val="0"/>
              <w:jc w:val="center"/>
              <w:rPr>
                <w:color w:val="000000"/>
                <w:sz w:val="20"/>
                <w:szCs w:val="20"/>
              </w:rPr>
            </w:pPr>
            <w:r>
              <w:rPr>
                <w:color w:val="000000"/>
                <w:sz w:val="20"/>
                <w:szCs w:val="20"/>
              </w:rPr>
              <w:t>86.33%</w:t>
            </w:r>
          </w:p>
        </w:tc>
      </w:tr>
    </w:tbl>
    <w:p w14:paraId="313C0C78" w14:textId="77777777" w:rsidR="00277E2C" w:rsidRDefault="00277E2C">
      <w:pPr>
        <w:spacing w:before="120" w:after="120"/>
        <w:rPr>
          <w:i/>
          <w:iCs/>
          <w:sz w:val="22"/>
          <w:szCs w:val="22"/>
        </w:rPr>
      </w:pPr>
    </w:p>
    <w:p w14:paraId="67B73627" w14:textId="77777777" w:rsidR="00277E2C" w:rsidRDefault="00745AE9">
      <w:pPr>
        <w:spacing w:before="120" w:after="120"/>
        <w:rPr>
          <w:i/>
          <w:iCs/>
          <w:sz w:val="22"/>
          <w:szCs w:val="22"/>
        </w:rPr>
      </w:pPr>
      <w:r>
        <w:rPr>
          <w:i/>
          <w:iCs/>
          <w:sz w:val="22"/>
          <w:szCs w:val="22"/>
        </w:rPr>
        <w:lastRenderedPageBreak/>
        <w:t xml:space="preserve">Expanded Access and Improved Health Outcomes </w:t>
      </w:r>
    </w:p>
    <w:p w14:paraId="7AA558D8" w14:textId="77777777" w:rsidR="00277E2C" w:rsidRDefault="00745AE9">
      <w:pPr>
        <w:spacing w:before="120" w:after="120"/>
        <w:jc w:val="both"/>
        <w:rPr>
          <w:sz w:val="22"/>
          <w:szCs w:val="22"/>
        </w:rPr>
      </w:pPr>
      <w:proofErr w:type="gramStart"/>
      <w:r>
        <w:rPr>
          <w:sz w:val="22"/>
          <w:szCs w:val="22"/>
        </w:rPr>
        <w:t>In order to</w:t>
      </w:r>
      <w:proofErr w:type="gramEnd"/>
      <w:r>
        <w:rPr>
          <w:sz w:val="22"/>
          <w:szCs w:val="22"/>
        </w:rPr>
        <w:t xml:space="preserve"> provide its Patient Panel with timely access to inpatient care, the Hospital is currently using an alternate care space to make 28 additional medical/surgical beds available when the Hospital exceeds its licensed bed capacity. With the waiver the Hospital has been able to avoid calling Code Help in FY2022 and FY2023. However, using beds under the waiver presents its own challenges that the Proposed Change seeks to address. First, the waiver will </w:t>
      </w:r>
      <w:proofErr w:type="gramStart"/>
      <w:r>
        <w:rPr>
          <w:sz w:val="22"/>
          <w:szCs w:val="22"/>
        </w:rPr>
        <w:t>end</w:t>
      </w:r>
      <w:proofErr w:type="gramEnd"/>
      <w:r>
        <w:rPr>
          <w:sz w:val="22"/>
          <w:szCs w:val="22"/>
        </w:rPr>
        <w:t xml:space="preserve"> and the Hospital needs a permanent solution. In addition, most of the alternative space beds are not in private rooms or are not walled off, and do not have access to a private bathroom. The use of these beds presents a greater risk for infection to patients because of the shared spaces during their inpatient stay. These beds are used only when the Hospital exceeds its licensed capacity and therefore are not permanently staffed. </w:t>
      </w:r>
      <w:proofErr w:type="gramStart"/>
      <w:r>
        <w:rPr>
          <w:sz w:val="22"/>
          <w:szCs w:val="22"/>
        </w:rPr>
        <w:t>In order to</w:t>
      </w:r>
      <w:proofErr w:type="gramEnd"/>
      <w:r>
        <w:rPr>
          <w:sz w:val="22"/>
          <w:szCs w:val="22"/>
        </w:rPr>
        <w:t xml:space="preserve"> staff the beds, the Hospital frequently must rely on </w:t>
      </w:r>
      <w:proofErr w:type="gramStart"/>
      <w:r>
        <w:rPr>
          <w:sz w:val="22"/>
          <w:szCs w:val="22"/>
        </w:rPr>
        <w:t>traveler</w:t>
      </w:r>
      <w:proofErr w:type="gramEnd"/>
      <w:r>
        <w:rPr>
          <w:sz w:val="22"/>
          <w:szCs w:val="22"/>
        </w:rPr>
        <w:t xml:space="preserve"> staff at a much higher cost than employed staff. The Proposed Change will add consistency and stability for bed availability, staffing, and patient care. </w:t>
      </w:r>
    </w:p>
    <w:p w14:paraId="344E5F24" w14:textId="280F5BF5" w:rsidR="00277E2C" w:rsidRDefault="00745AE9">
      <w:pPr>
        <w:suppressAutoHyphens w:val="0"/>
        <w:autoSpaceDE w:val="0"/>
        <w:autoSpaceDN w:val="0"/>
        <w:adjustRightInd w:val="0"/>
        <w:spacing w:before="120" w:after="120"/>
        <w:jc w:val="both"/>
        <w:rPr>
          <w:sz w:val="22"/>
          <w:szCs w:val="22"/>
        </w:rPr>
      </w:pPr>
      <w:r>
        <w:rPr>
          <w:sz w:val="22"/>
          <w:szCs w:val="22"/>
        </w:rPr>
        <w:t xml:space="preserve">As with the Approved Project, the Proposed Change will further address care delivery constraints resulting from the Hospital’s aged infrastructure and the aging population on the Cape. The Proposed Change will add inpatient capacity within a brand-new building designed to provide high-quality, patient-centered care. The proposed medical/surgical unit is designed to meet and exceed the current FGI standards for inpatient care including required bed clearance, non-slip flooring, space for family visitation, including sleeping accommodations, handwashing sinks in addition to the toilet area sink, and in-room showers. Additionally, each room will conform to acoustic requirements to mitigate exterior noise, isolate sound within each room, and use materials that will provide sound absorption. These features have been shown to improve sleep, and in turn promote recovery and emotional well-being. Furthermore, patients will be able control their lighting, entertainment, and nurse call system from an easy to-use, centralized panel. Lastly, the new unit will have dedicated clinical workstations built outside of adjoining rooms to limit cross-contamination. These design considerations will enable staff to provide more efficient, patient-centered care. </w:t>
      </w:r>
    </w:p>
    <w:p w14:paraId="3DA4A78B" w14:textId="77777777" w:rsidR="00277E2C" w:rsidRDefault="00745AE9">
      <w:pPr>
        <w:suppressAutoHyphens w:val="0"/>
        <w:autoSpaceDE w:val="0"/>
        <w:autoSpaceDN w:val="0"/>
        <w:adjustRightInd w:val="0"/>
        <w:spacing w:before="120" w:after="120"/>
        <w:jc w:val="both"/>
        <w:rPr>
          <w:sz w:val="22"/>
          <w:szCs w:val="22"/>
        </w:rPr>
      </w:pPr>
      <w:r>
        <w:rPr>
          <w:sz w:val="22"/>
          <w:szCs w:val="22"/>
        </w:rPr>
        <w:t xml:space="preserve">In addition to designing the unit to promote enhanced care delivery, the Proposed Change is needed to address future demand for inpatient care on Cape Cod. Given </w:t>
      </w:r>
      <w:proofErr w:type="gramStart"/>
      <w:r>
        <w:rPr>
          <w:sz w:val="22"/>
          <w:szCs w:val="22"/>
        </w:rPr>
        <w:t>a majority of</w:t>
      </w:r>
      <w:proofErr w:type="gramEnd"/>
      <w:r>
        <w:rPr>
          <w:sz w:val="22"/>
          <w:szCs w:val="22"/>
        </w:rPr>
        <w:t xml:space="preserve"> the Hospital’s patients were aged 65 and over (60%) in FY2023 and comprised nearly 75% of all inpatient discharges, age is closely tied to utilization and serves as a valuable indicator of future need.  As of 2010, the percentage of Cape Cod residents aged 45-69 years old was 39%, compared to 32% of Massachusetts residents, and 30% of U.S residents.</w:t>
      </w:r>
      <w:r>
        <w:rPr>
          <w:rStyle w:val="FootnoteReference"/>
          <w:sz w:val="22"/>
          <w:szCs w:val="22"/>
        </w:rPr>
        <w:footnoteReference w:id="3"/>
      </w:r>
      <w:r>
        <w:rPr>
          <w:sz w:val="22"/>
          <w:szCs w:val="22"/>
        </w:rPr>
        <w:t xml:space="preserve"> Furthermore, the percentage of Cape Cod residents aged 70 years and older was 17%, compared to 10% of Massachusetts residents and only 9% of U.S. residents.</w:t>
      </w:r>
      <w:r>
        <w:rPr>
          <w:rStyle w:val="FootnoteReference"/>
          <w:sz w:val="22"/>
          <w:szCs w:val="22"/>
        </w:rPr>
        <w:footnoteReference w:id="4"/>
      </w:r>
      <w:r>
        <w:rPr>
          <w:sz w:val="22"/>
          <w:szCs w:val="22"/>
        </w:rPr>
        <w:t xml:space="preserve"> This older age cohort is anticipated to increase in size by 2035, when 35% of the population is projected to be aged 65-years or older, compared to 24% in 2010.</w:t>
      </w:r>
      <w:r>
        <w:rPr>
          <w:rStyle w:val="FootnoteReference"/>
          <w:sz w:val="22"/>
          <w:szCs w:val="22"/>
        </w:rPr>
        <w:footnoteReference w:id="5"/>
      </w:r>
      <w:r>
        <w:rPr>
          <w:sz w:val="22"/>
          <w:szCs w:val="22"/>
        </w:rPr>
        <w:t xml:space="preserve"> Accordingly, the Hospital’s Patient Panel will require access to inpatient services in facilities that can meet demand and facilitate the provision of high-quality care within the community.</w:t>
      </w:r>
    </w:p>
    <w:p w14:paraId="70BC5390" w14:textId="77777777" w:rsidR="00277E2C" w:rsidRDefault="00745AE9">
      <w:pPr>
        <w:spacing w:before="120" w:after="120"/>
        <w:jc w:val="both"/>
        <w:rPr>
          <w:sz w:val="22"/>
          <w:szCs w:val="22"/>
        </w:rPr>
      </w:pPr>
      <w:r>
        <w:rPr>
          <w:sz w:val="22"/>
          <w:szCs w:val="22"/>
        </w:rPr>
        <w:t xml:space="preserve">For these reasons, the Proposed Change is necessary to ensure the Hospital’s existing and future patient population has access to high-quality inpatient care in the community. Given current utilization as well as the advanced age of the Applicant’s current Patient Panel coupled with population projections for Cape Cod, the Proposed Change will ensure continued access to inpatient care close to home for the Hospital’s Patient Panel. As a result of current demand for inpatient care, the Hospital is frequently over capacity and must rely on beds only available through an alternate care space waiver that will expire. The Proposed Change will provide much needed inpatient capacity to address current and future demand for inpatient care by the patient panel.  </w:t>
      </w:r>
    </w:p>
    <w:p w14:paraId="03DEB3E0" w14:textId="77777777" w:rsidR="00277E2C" w:rsidRDefault="00277E2C">
      <w:pPr>
        <w:rPr>
          <w:sz w:val="22"/>
          <w:szCs w:val="22"/>
        </w:rPr>
      </w:pPr>
    </w:p>
    <w:bookmarkEnd w:id="0"/>
    <w:p w14:paraId="03227562" w14:textId="77777777" w:rsidR="00745AE9" w:rsidRDefault="00745AE9" w:rsidP="00CC301C">
      <w:pPr>
        <w:spacing w:after="120"/>
        <w:rPr>
          <w:b/>
          <w:bCs/>
          <w:sz w:val="22"/>
          <w:szCs w:val="22"/>
        </w:rPr>
      </w:pPr>
    </w:p>
    <w:p w14:paraId="7B0836AC" w14:textId="65F856AF" w:rsidR="00CC301C" w:rsidRPr="00637887" w:rsidRDefault="00CC301C" w:rsidP="00CC301C">
      <w:pPr>
        <w:spacing w:after="120"/>
        <w:rPr>
          <w:b/>
          <w:bCs/>
          <w:sz w:val="22"/>
          <w:szCs w:val="22"/>
        </w:rPr>
      </w:pPr>
      <w:r w:rsidRPr="00637887">
        <w:rPr>
          <w:b/>
          <w:bCs/>
          <w:sz w:val="22"/>
          <w:szCs w:val="22"/>
        </w:rPr>
        <w:lastRenderedPageBreak/>
        <w:t xml:space="preserve">Factor 6. Community Health Initiative </w:t>
      </w:r>
    </w:p>
    <w:p w14:paraId="2F556123" w14:textId="3446E2D7" w:rsidR="008A532E" w:rsidRDefault="008A532E" w:rsidP="008A532E">
      <w:pPr>
        <w:autoSpaceDE w:val="0"/>
        <w:autoSpaceDN w:val="0"/>
        <w:spacing w:after="120"/>
        <w:jc w:val="both"/>
        <w:rPr>
          <w:rFonts w:eastAsiaTheme="minorHAnsi"/>
          <w:sz w:val="22"/>
          <w:szCs w:val="22"/>
        </w:rPr>
      </w:pPr>
      <w:r>
        <w:rPr>
          <w:rFonts w:eastAsiaTheme="minorHAnsi"/>
          <w:sz w:val="22"/>
          <w:szCs w:val="22"/>
        </w:rPr>
        <w:t xml:space="preserve">Following the approval of Cape Cod Hospital’s original DoN, the Cape Cod Healthcare Foundation began hosting a series of meetings for the community as well as convening its Community Health Committee to review requirements and next steps for a Community Health Initiative (“CHI”). Meetings were also held with members of the Department of Public Health’s CHI team to discuss options and ideas for the CHI given the significant size of funding being made available. Following those conversations, Cape Cod Healthcare hosted two Open Community Forums to discuss the process and solicit ideas for proposals from community organizations that would provide significant and lasting impact around housing security as well as other social issues. To date, several organizations have expressed interest and the Hospital, through its Community Health Committee, will continue reviewing proposals that meet criteria for CHI funding. </w:t>
      </w:r>
    </w:p>
    <w:p w14:paraId="797C570D" w14:textId="77777777" w:rsidR="008A532E" w:rsidRDefault="008A532E" w:rsidP="008A532E">
      <w:pPr>
        <w:autoSpaceDE w:val="0"/>
        <w:autoSpaceDN w:val="0"/>
        <w:spacing w:after="120"/>
        <w:jc w:val="both"/>
        <w:rPr>
          <w:rFonts w:eastAsiaTheme="minorHAnsi"/>
          <w:sz w:val="22"/>
          <w:szCs w:val="22"/>
        </w:rPr>
      </w:pPr>
      <w:r>
        <w:rPr>
          <w:rFonts w:eastAsiaTheme="minorHAnsi"/>
          <w:sz w:val="22"/>
          <w:szCs w:val="22"/>
        </w:rPr>
        <w:t xml:space="preserve">With respect to the additional funding created through this amendment, the Hospital is proposing to add the funds to the original CHI, resulting in a combined total CHI of $7,585,762.25. </w:t>
      </w:r>
    </w:p>
    <w:p w14:paraId="38409162" w14:textId="11CD44CC" w:rsidR="00CC301C" w:rsidRPr="006A7BFC" w:rsidRDefault="00CC301C" w:rsidP="00CC301C">
      <w:pPr>
        <w:suppressAutoHyphens w:val="0"/>
        <w:autoSpaceDE w:val="0"/>
        <w:autoSpaceDN w:val="0"/>
        <w:adjustRightInd w:val="0"/>
        <w:spacing w:after="120"/>
        <w:jc w:val="both"/>
        <w:rPr>
          <w:sz w:val="22"/>
          <w:szCs w:val="22"/>
        </w:rPr>
      </w:pPr>
      <w:r w:rsidRPr="006A7BFC">
        <w:rPr>
          <w:sz w:val="22"/>
          <w:szCs w:val="22"/>
        </w:rPr>
        <w:t xml:space="preserve">The breakdown of </w:t>
      </w:r>
      <w:r>
        <w:rPr>
          <w:sz w:val="22"/>
          <w:szCs w:val="22"/>
        </w:rPr>
        <w:t>the CHI</w:t>
      </w:r>
      <w:r w:rsidRPr="006A7BFC">
        <w:rPr>
          <w:sz w:val="22"/>
          <w:szCs w:val="22"/>
        </w:rPr>
        <w:t xml:space="preserve"> monies for the Proposed </w:t>
      </w:r>
      <w:r>
        <w:rPr>
          <w:sz w:val="22"/>
          <w:szCs w:val="22"/>
        </w:rPr>
        <w:t>Change</w:t>
      </w:r>
      <w:r w:rsidRPr="006A7BFC">
        <w:rPr>
          <w:sz w:val="22"/>
          <w:szCs w:val="22"/>
        </w:rPr>
        <w:t xml:space="preserve"> is </w:t>
      </w:r>
      <w:r>
        <w:rPr>
          <w:sz w:val="22"/>
          <w:szCs w:val="22"/>
        </w:rPr>
        <w:t xml:space="preserve">detailed in the table below. </w:t>
      </w:r>
    </w:p>
    <w:p w14:paraId="20162822" w14:textId="77777777" w:rsidR="00CC301C" w:rsidRDefault="00CC301C" w:rsidP="00CC301C">
      <w:pPr>
        <w:suppressAutoHyphens w:val="0"/>
        <w:autoSpaceDE w:val="0"/>
        <w:autoSpaceDN w:val="0"/>
        <w:adjustRightInd w:val="0"/>
        <w:spacing w:before="120" w:after="120"/>
        <w:jc w:val="both"/>
        <w:rPr>
          <w:sz w:val="22"/>
          <w:szCs w:val="22"/>
        </w:rPr>
      </w:pPr>
      <w:r w:rsidRPr="006111E9">
        <w:rPr>
          <w:b/>
          <w:bCs/>
          <w:sz w:val="22"/>
          <w:szCs w:val="22"/>
        </w:rPr>
        <w:t xml:space="preserve">Table </w:t>
      </w:r>
      <w:r>
        <w:rPr>
          <w:b/>
          <w:bCs/>
          <w:sz w:val="22"/>
          <w:szCs w:val="22"/>
        </w:rPr>
        <w:t>3</w:t>
      </w:r>
      <w:r w:rsidRPr="006111E9">
        <w:rPr>
          <w:b/>
          <w:bCs/>
          <w:sz w:val="22"/>
          <w:szCs w:val="22"/>
        </w:rPr>
        <w:t>. CHI Money Breakdown</w:t>
      </w:r>
    </w:p>
    <w:tbl>
      <w:tblPr>
        <w:tblStyle w:val="TableGrid"/>
        <w:tblW w:w="94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5"/>
        <w:gridCol w:w="1980"/>
        <w:gridCol w:w="5130"/>
      </w:tblGrid>
      <w:tr w:rsidR="00CC301C" w:rsidRPr="00211D73" w14:paraId="6EFD888C" w14:textId="77777777" w:rsidTr="002139B5">
        <w:trPr>
          <w:cantSplit/>
          <w:tblHeader/>
        </w:trPr>
        <w:tc>
          <w:tcPr>
            <w:tcW w:w="2345" w:type="dxa"/>
            <w:vAlign w:val="center"/>
          </w:tcPr>
          <w:p w14:paraId="0D0E576D" w14:textId="77777777" w:rsidR="00CC301C" w:rsidRPr="006111E9" w:rsidRDefault="00CC301C" w:rsidP="00184F75">
            <w:pPr>
              <w:spacing w:after="40"/>
              <w:rPr>
                <w:sz w:val="21"/>
                <w:szCs w:val="21"/>
              </w:rPr>
            </w:pPr>
          </w:p>
        </w:tc>
        <w:tc>
          <w:tcPr>
            <w:tcW w:w="1980" w:type="dxa"/>
            <w:vAlign w:val="center"/>
            <w:hideMark/>
          </w:tcPr>
          <w:p w14:paraId="7A3CB77A" w14:textId="77777777" w:rsidR="00CC301C" w:rsidRPr="006111E9" w:rsidRDefault="00CC301C" w:rsidP="00184F75">
            <w:pPr>
              <w:spacing w:after="40"/>
              <w:jc w:val="right"/>
              <w:rPr>
                <w:b/>
                <w:bCs/>
                <w:sz w:val="21"/>
                <w:szCs w:val="21"/>
              </w:rPr>
            </w:pPr>
            <w:r w:rsidRPr="006111E9">
              <w:rPr>
                <w:b/>
                <w:bCs/>
                <w:sz w:val="21"/>
                <w:szCs w:val="21"/>
              </w:rPr>
              <w:t>Total</w:t>
            </w:r>
          </w:p>
        </w:tc>
        <w:tc>
          <w:tcPr>
            <w:tcW w:w="5130" w:type="dxa"/>
            <w:vAlign w:val="center"/>
            <w:hideMark/>
          </w:tcPr>
          <w:p w14:paraId="0657BD15" w14:textId="77777777" w:rsidR="00CC301C" w:rsidRPr="006111E9" w:rsidRDefault="00CC301C" w:rsidP="00184F75">
            <w:pPr>
              <w:spacing w:after="40"/>
              <w:jc w:val="right"/>
              <w:rPr>
                <w:b/>
                <w:bCs/>
                <w:sz w:val="21"/>
                <w:szCs w:val="21"/>
              </w:rPr>
            </w:pPr>
            <w:r w:rsidRPr="006111E9">
              <w:rPr>
                <w:b/>
                <w:bCs/>
                <w:sz w:val="21"/>
                <w:szCs w:val="21"/>
              </w:rPr>
              <w:t>Description</w:t>
            </w:r>
          </w:p>
        </w:tc>
      </w:tr>
      <w:tr w:rsidR="00CC301C" w:rsidRPr="00211D73" w14:paraId="4F8CBD79" w14:textId="77777777" w:rsidTr="002139B5">
        <w:trPr>
          <w:cantSplit/>
        </w:trPr>
        <w:tc>
          <w:tcPr>
            <w:tcW w:w="2345" w:type="dxa"/>
            <w:tcBorders>
              <w:top w:val="nil"/>
              <w:left w:val="nil"/>
              <w:bottom w:val="single" w:sz="4" w:space="0" w:color="auto"/>
              <w:right w:val="nil"/>
            </w:tcBorders>
            <w:vAlign w:val="center"/>
            <w:hideMark/>
          </w:tcPr>
          <w:p w14:paraId="0F6C4C5D" w14:textId="77777777" w:rsidR="00CC301C" w:rsidRPr="006111E9" w:rsidRDefault="00CC301C" w:rsidP="00184F75">
            <w:pPr>
              <w:spacing w:after="40"/>
              <w:jc w:val="right"/>
              <w:rPr>
                <w:b/>
                <w:bCs/>
                <w:sz w:val="21"/>
                <w:szCs w:val="21"/>
              </w:rPr>
            </w:pPr>
            <w:r w:rsidRPr="006111E9">
              <w:rPr>
                <w:b/>
                <w:bCs/>
                <w:sz w:val="21"/>
                <w:szCs w:val="21"/>
              </w:rPr>
              <w:t>MCE</w:t>
            </w:r>
          </w:p>
        </w:tc>
        <w:tc>
          <w:tcPr>
            <w:tcW w:w="1980" w:type="dxa"/>
            <w:tcBorders>
              <w:top w:val="nil"/>
              <w:left w:val="nil"/>
              <w:bottom w:val="single" w:sz="4" w:space="0" w:color="auto"/>
              <w:right w:val="nil"/>
            </w:tcBorders>
            <w:vAlign w:val="center"/>
          </w:tcPr>
          <w:p w14:paraId="48BA35AB" w14:textId="6FC4C071" w:rsidR="00CC301C" w:rsidRPr="006111E9" w:rsidRDefault="00CC301C" w:rsidP="00184F75">
            <w:pPr>
              <w:spacing w:after="40"/>
              <w:jc w:val="right"/>
              <w:rPr>
                <w:sz w:val="21"/>
                <w:szCs w:val="21"/>
              </w:rPr>
            </w:pPr>
            <w:r>
              <w:rPr>
                <w:sz w:val="21"/>
                <w:szCs w:val="21"/>
              </w:rPr>
              <w:t>$14,666,613</w:t>
            </w:r>
          </w:p>
        </w:tc>
        <w:tc>
          <w:tcPr>
            <w:tcW w:w="5130" w:type="dxa"/>
            <w:tcBorders>
              <w:top w:val="nil"/>
              <w:left w:val="nil"/>
              <w:bottom w:val="single" w:sz="4" w:space="0" w:color="auto"/>
              <w:right w:val="nil"/>
            </w:tcBorders>
            <w:vAlign w:val="center"/>
          </w:tcPr>
          <w:p w14:paraId="2AA9CF91" w14:textId="77777777" w:rsidR="00CC301C" w:rsidRPr="006111E9" w:rsidRDefault="00CC301C" w:rsidP="00184F75">
            <w:pPr>
              <w:spacing w:after="40"/>
              <w:jc w:val="right"/>
              <w:rPr>
                <w:sz w:val="21"/>
                <w:szCs w:val="21"/>
              </w:rPr>
            </w:pPr>
          </w:p>
        </w:tc>
      </w:tr>
      <w:tr w:rsidR="00CC301C" w:rsidRPr="0010275D" w14:paraId="50D8922B" w14:textId="77777777" w:rsidTr="002139B5">
        <w:trPr>
          <w:cantSplit/>
        </w:trPr>
        <w:tc>
          <w:tcPr>
            <w:tcW w:w="2345" w:type="dxa"/>
            <w:tcBorders>
              <w:top w:val="single" w:sz="4" w:space="0" w:color="auto"/>
              <w:left w:val="nil"/>
              <w:bottom w:val="single" w:sz="4" w:space="0" w:color="auto"/>
              <w:right w:val="nil"/>
            </w:tcBorders>
            <w:vAlign w:val="center"/>
            <w:hideMark/>
          </w:tcPr>
          <w:p w14:paraId="654DB5F4" w14:textId="77777777" w:rsidR="00CC301C" w:rsidRPr="006111E9" w:rsidRDefault="00CC301C" w:rsidP="00184F75">
            <w:pPr>
              <w:spacing w:after="40"/>
              <w:jc w:val="right"/>
              <w:rPr>
                <w:b/>
                <w:bCs/>
                <w:sz w:val="21"/>
                <w:szCs w:val="21"/>
              </w:rPr>
            </w:pPr>
            <w:r w:rsidRPr="006111E9">
              <w:rPr>
                <w:b/>
                <w:bCs/>
                <w:sz w:val="21"/>
                <w:szCs w:val="21"/>
              </w:rPr>
              <w:t xml:space="preserve">CHI Monies </w:t>
            </w:r>
          </w:p>
        </w:tc>
        <w:tc>
          <w:tcPr>
            <w:tcW w:w="1980" w:type="dxa"/>
            <w:tcBorders>
              <w:top w:val="single" w:sz="4" w:space="0" w:color="auto"/>
              <w:left w:val="nil"/>
              <w:bottom w:val="single" w:sz="4" w:space="0" w:color="auto"/>
              <w:right w:val="nil"/>
            </w:tcBorders>
            <w:vAlign w:val="center"/>
          </w:tcPr>
          <w:p w14:paraId="714A3A2A" w14:textId="71D592A5" w:rsidR="00CC301C" w:rsidRPr="006111E9" w:rsidRDefault="00CC301C" w:rsidP="00184F75">
            <w:pPr>
              <w:tabs>
                <w:tab w:val="left" w:pos="1425"/>
              </w:tabs>
              <w:spacing w:after="40"/>
              <w:jc w:val="right"/>
              <w:rPr>
                <w:sz w:val="21"/>
                <w:szCs w:val="21"/>
              </w:rPr>
            </w:pPr>
            <w:r>
              <w:rPr>
                <w:sz w:val="21"/>
                <w:szCs w:val="21"/>
              </w:rPr>
              <w:t>$733,330.65</w:t>
            </w:r>
          </w:p>
        </w:tc>
        <w:tc>
          <w:tcPr>
            <w:tcW w:w="5130" w:type="dxa"/>
            <w:tcBorders>
              <w:top w:val="single" w:sz="4" w:space="0" w:color="auto"/>
              <w:left w:val="nil"/>
              <w:bottom w:val="single" w:sz="4" w:space="0" w:color="auto"/>
              <w:right w:val="nil"/>
            </w:tcBorders>
            <w:vAlign w:val="center"/>
            <w:hideMark/>
          </w:tcPr>
          <w:p w14:paraId="47A64602" w14:textId="77777777" w:rsidR="00CC301C" w:rsidRPr="006111E9" w:rsidRDefault="00CC301C" w:rsidP="00184F75">
            <w:pPr>
              <w:tabs>
                <w:tab w:val="left" w:pos="1425"/>
              </w:tabs>
              <w:spacing w:after="40"/>
              <w:jc w:val="right"/>
              <w:rPr>
                <w:sz w:val="20"/>
                <w:szCs w:val="20"/>
              </w:rPr>
            </w:pPr>
            <w:r w:rsidRPr="006111E9">
              <w:rPr>
                <w:sz w:val="20"/>
                <w:szCs w:val="20"/>
              </w:rPr>
              <w:t>(5% of Maximum Capital Expenditure)</w:t>
            </w:r>
          </w:p>
        </w:tc>
      </w:tr>
      <w:tr w:rsidR="00CC301C" w:rsidRPr="00211D73" w14:paraId="63710444" w14:textId="77777777" w:rsidTr="002139B5">
        <w:trPr>
          <w:cantSplit/>
        </w:trPr>
        <w:tc>
          <w:tcPr>
            <w:tcW w:w="2345" w:type="dxa"/>
            <w:tcBorders>
              <w:top w:val="single" w:sz="4" w:space="0" w:color="auto"/>
              <w:left w:val="nil"/>
              <w:bottom w:val="single" w:sz="4" w:space="0" w:color="auto"/>
              <w:right w:val="nil"/>
            </w:tcBorders>
            <w:vAlign w:val="center"/>
            <w:hideMark/>
          </w:tcPr>
          <w:p w14:paraId="1F6C547D" w14:textId="77777777" w:rsidR="00CC301C" w:rsidRPr="006111E9" w:rsidRDefault="00CC301C" w:rsidP="00184F75">
            <w:pPr>
              <w:spacing w:after="40"/>
              <w:jc w:val="right"/>
              <w:rPr>
                <w:b/>
                <w:bCs/>
                <w:sz w:val="21"/>
                <w:szCs w:val="21"/>
              </w:rPr>
            </w:pPr>
            <w:r w:rsidRPr="006111E9">
              <w:rPr>
                <w:b/>
                <w:bCs/>
                <w:sz w:val="21"/>
                <w:szCs w:val="21"/>
              </w:rPr>
              <w:t xml:space="preserve">Administrative Fee </w:t>
            </w:r>
          </w:p>
        </w:tc>
        <w:tc>
          <w:tcPr>
            <w:tcW w:w="1980" w:type="dxa"/>
            <w:tcBorders>
              <w:top w:val="single" w:sz="4" w:space="0" w:color="auto"/>
              <w:left w:val="nil"/>
              <w:bottom w:val="single" w:sz="4" w:space="0" w:color="auto"/>
              <w:right w:val="nil"/>
            </w:tcBorders>
            <w:vAlign w:val="center"/>
          </w:tcPr>
          <w:p w14:paraId="19F20339" w14:textId="4F88A908" w:rsidR="00CC301C" w:rsidRPr="006111E9" w:rsidRDefault="00CC301C" w:rsidP="00184F75">
            <w:pPr>
              <w:spacing w:after="40"/>
              <w:jc w:val="right"/>
              <w:rPr>
                <w:sz w:val="21"/>
                <w:szCs w:val="21"/>
              </w:rPr>
            </w:pPr>
            <w:r>
              <w:rPr>
                <w:sz w:val="21"/>
                <w:szCs w:val="21"/>
              </w:rPr>
              <w:t>$21,999.92</w:t>
            </w:r>
          </w:p>
        </w:tc>
        <w:tc>
          <w:tcPr>
            <w:tcW w:w="5130" w:type="dxa"/>
            <w:tcBorders>
              <w:top w:val="single" w:sz="4" w:space="0" w:color="auto"/>
              <w:left w:val="nil"/>
              <w:bottom w:val="single" w:sz="4" w:space="0" w:color="auto"/>
              <w:right w:val="nil"/>
            </w:tcBorders>
            <w:vAlign w:val="center"/>
            <w:hideMark/>
          </w:tcPr>
          <w:p w14:paraId="747263F1" w14:textId="77777777" w:rsidR="00CC301C" w:rsidRPr="006111E9" w:rsidRDefault="00CC301C" w:rsidP="00184F75">
            <w:pPr>
              <w:spacing w:after="40"/>
              <w:jc w:val="right"/>
              <w:rPr>
                <w:sz w:val="20"/>
                <w:szCs w:val="20"/>
              </w:rPr>
            </w:pPr>
            <w:r w:rsidRPr="006111E9">
              <w:rPr>
                <w:sz w:val="20"/>
                <w:szCs w:val="20"/>
              </w:rPr>
              <w:t>(3% of the CHI Monies, retained by Applicant)</w:t>
            </w:r>
          </w:p>
        </w:tc>
      </w:tr>
      <w:tr w:rsidR="00CC301C" w:rsidRPr="00211D73" w14:paraId="30B3394B" w14:textId="77777777" w:rsidTr="002139B5">
        <w:trPr>
          <w:cantSplit/>
        </w:trPr>
        <w:tc>
          <w:tcPr>
            <w:tcW w:w="2345" w:type="dxa"/>
            <w:tcBorders>
              <w:top w:val="single" w:sz="4" w:space="0" w:color="auto"/>
              <w:left w:val="nil"/>
              <w:bottom w:val="single" w:sz="4" w:space="0" w:color="auto"/>
              <w:right w:val="nil"/>
            </w:tcBorders>
            <w:vAlign w:val="center"/>
            <w:hideMark/>
          </w:tcPr>
          <w:p w14:paraId="01BD9E51" w14:textId="77777777" w:rsidR="00CC301C" w:rsidRPr="006111E9" w:rsidRDefault="00CC301C" w:rsidP="00184F75">
            <w:pPr>
              <w:spacing w:after="40"/>
              <w:jc w:val="right"/>
              <w:rPr>
                <w:b/>
                <w:bCs/>
                <w:sz w:val="21"/>
                <w:szCs w:val="21"/>
              </w:rPr>
            </w:pPr>
            <w:r w:rsidRPr="006111E9">
              <w:rPr>
                <w:b/>
                <w:bCs/>
                <w:sz w:val="21"/>
                <w:szCs w:val="21"/>
              </w:rPr>
              <w:t>Re</w:t>
            </w:r>
            <w:r>
              <w:rPr>
                <w:b/>
                <w:bCs/>
                <w:sz w:val="21"/>
                <w:szCs w:val="21"/>
              </w:rPr>
              <w:t>main</w:t>
            </w:r>
            <w:r w:rsidRPr="006111E9">
              <w:rPr>
                <w:b/>
                <w:bCs/>
                <w:sz w:val="21"/>
                <w:szCs w:val="21"/>
              </w:rPr>
              <w:t xml:space="preserve">ing Monies </w:t>
            </w:r>
          </w:p>
        </w:tc>
        <w:tc>
          <w:tcPr>
            <w:tcW w:w="1980" w:type="dxa"/>
            <w:tcBorders>
              <w:top w:val="single" w:sz="4" w:space="0" w:color="auto"/>
              <w:left w:val="nil"/>
              <w:bottom w:val="single" w:sz="4" w:space="0" w:color="auto"/>
              <w:right w:val="nil"/>
            </w:tcBorders>
            <w:vAlign w:val="center"/>
          </w:tcPr>
          <w:p w14:paraId="626F3555" w14:textId="0B95C41E" w:rsidR="00CC301C" w:rsidRPr="006111E9" w:rsidRDefault="00CC301C" w:rsidP="00184F75">
            <w:pPr>
              <w:spacing w:after="40"/>
              <w:jc w:val="right"/>
              <w:rPr>
                <w:sz w:val="21"/>
                <w:szCs w:val="21"/>
              </w:rPr>
            </w:pPr>
            <w:r>
              <w:rPr>
                <w:sz w:val="21"/>
                <w:szCs w:val="21"/>
              </w:rPr>
              <w:t>$711,330.73</w:t>
            </w:r>
          </w:p>
        </w:tc>
        <w:tc>
          <w:tcPr>
            <w:tcW w:w="5130" w:type="dxa"/>
            <w:tcBorders>
              <w:top w:val="single" w:sz="4" w:space="0" w:color="auto"/>
              <w:left w:val="nil"/>
              <w:bottom w:val="single" w:sz="4" w:space="0" w:color="auto"/>
              <w:right w:val="nil"/>
            </w:tcBorders>
            <w:vAlign w:val="center"/>
            <w:hideMark/>
          </w:tcPr>
          <w:p w14:paraId="5F5DE8A7" w14:textId="77777777" w:rsidR="00CC301C" w:rsidRPr="006111E9" w:rsidRDefault="00CC301C" w:rsidP="00184F75">
            <w:pPr>
              <w:spacing w:after="40"/>
              <w:jc w:val="right"/>
              <w:rPr>
                <w:sz w:val="20"/>
                <w:szCs w:val="20"/>
              </w:rPr>
            </w:pPr>
            <w:r w:rsidRPr="006111E9">
              <w:rPr>
                <w:sz w:val="20"/>
                <w:szCs w:val="20"/>
              </w:rPr>
              <w:t>(CHI Monies minus the Administrative fee)</w:t>
            </w:r>
          </w:p>
        </w:tc>
      </w:tr>
      <w:tr w:rsidR="00CC301C" w:rsidRPr="00211D73" w14:paraId="45E1217C" w14:textId="77777777" w:rsidTr="002139B5">
        <w:trPr>
          <w:cantSplit/>
        </w:trPr>
        <w:tc>
          <w:tcPr>
            <w:tcW w:w="2345" w:type="dxa"/>
            <w:tcBorders>
              <w:top w:val="single" w:sz="4" w:space="0" w:color="auto"/>
              <w:left w:val="nil"/>
              <w:bottom w:val="single" w:sz="4" w:space="0" w:color="auto"/>
              <w:right w:val="nil"/>
            </w:tcBorders>
            <w:vAlign w:val="center"/>
            <w:hideMark/>
          </w:tcPr>
          <w:p w14:paraId="66A9B7ED" w14:textId="77777777" w:rsidR="00CC301C" w:rsidRPr="006111E9" w:rsidRDefault="00CC301C" w:rsidP="00184F75">
            <w:pPr>
              <w:spacing w:after="40"/>
              <w:jc w:val="right"/>
              <w:rPr>
                <w:b/>
                <w:bCs/>
                <w:sz w:val="21"/>
                <w:szCs w:val="21"/>
              </w:rPr>
            </w:pPr>
            <w:r w:rsidRPr="006111E9">
              <w:rPr>
                <w:b/>
                <w:bCs/>
                <w:sz w:val="21"/>
                <w:szCs w:val="21"/>
              </w:rPr>
              <w:t xml:space="preserve">Statewide Initiative </w:t>
            </w:r>
          </w:p>
        </w:tc>
        <w:tc>
          <w:tcPr>
            <w:tcW w:w="1980" w:type="dxa"/>
            <w:tcBorders>
              <w:top w:val="single" w:sz="4" w:space="0" w:color="auto"/>
              <w:left w:val="nil"/>
              <w:bottom w:val="single" w:sz="4" w:space="0" w:color="auto"/>
              <w:right w:val="nil"/>
            </w:tcBorders>
            <w:vAlign w:val="center"/>
          </w:tcPr>
          <w:p w14:paraId="1801FC75" w14:textId="7057590B" w:rsidR="00CC301C" w:rsidRPr="006111E9" w:rsidRDefault="00CC301C" w:rsidP="00184F75">
            <w:pPr>
              <w:spacing w:after="40"/>
              <w:jc w:val="right"/>
              <w:rPr>
                <w:sz w:val="21"/>
                <w:szCs w:val="21"/>
              </w:rPr>
            </w:pPr>
            <w:r>
              <w:rPr>
                <w:sz w:val="21"/>
                <w:szCs w:val="21"/>
              </w:rPr>
              <w:t>$177,832.68</w:t>
            </w:r>
          </w:p>
        </w:tc>
        <w:tc>
          <w:tcPr>
            <w:tcW w:w="5130" w:type="dxa"/>
            <w:tcBorders>
              <w:top w:val="single" w:sz="4" w:space="0" w:color="auto"/>
              <w:left w:val="nil"/>
              <w:bottom w:val="single" w:sz="4" w:space="0" w:color="auto"/>
              <w:right w:val="nil"/>
            </w:tcBorders>
            <w:vAlign w:val="center"/>
            <w:hideMark/>
          </w:tcPr>
          <w:p w14:paraId="1F3EC390" w14:textId="77777777" w:rsidR="00CC301C" w:rsidRPr="006111E9" w:rsidRDefault="00CC301C" w:rsidP="00184F75">
            <w:pPr>
              <w:spacing w:after="40"/>
              <w:jc w:val="right"/>
              <w:rPr>
                <w:sz w:val="20"/>
                <w:szCs w:val="20"/>
              </w:rPr>
            </w:pPr>
            <w:r w:rsidRPr="006111E9">
              <w:rPr>
                <w:sz w:val="20"/>
                <w:szCs w:val="20"/>
              </w:rPr>
              <w:t>(25% of re</w:t>
            </w:r>
            <w:r>
              <w:rPr>
                <w:sz w:val="20"/>
                <w:szCs w:val="20"/>
              </w:rPr>
              <w:t>main</w:t>
            </w:r>
            <w:r w:rsidRPr="006111E9">
              <w:rPr>
                <w:sz w:val="20"/>
                <w:szCs w:val="20"/>
              </w:rPr>
              <w:t>ing monies, paid to State-wide fund)</w:t>
            </w:r>
          </w:p>
        </w:tc>
      </w:tr>
      <w:tr w:rsidR="00CC301C" w:rsidRPr="00211D73" w14:paraId="5D6000E5" w14:textId="77777777" w:rsidTr="002139B5">
        <w:trPr>
          <w:cantSplit/>
        </w:trPr>
        <w:tc>
          <w:tcPr>
            <w:tcW w:w="2345" w:type="dxa"/>
            <w:tcBorders>
              <w:top w:val="single" w:sz="4" w:space="0" w:color="auto"/>
              <w:left w:val="nil"/>
              <w:bottom w:val="single" w:sz="4" w:space="0" w:color="auto"/>
              <w:right w:val="nil"/>
            </w:tcBorders>
            <w:vAlign w:val="center"/>
            <w:hideMark/>
          </w:tcPr>
          <w:p w14:paraId="68CE7866" w14:textId="77777777" w:rsidR="00CC301C" w:rsidRPr="006111E9" w:rsidRDefault="00CC301C" w:rsidP="00184F75">
            <w:pPr>
              <w:spacing w:after="40"/>
              <w:jc w:val="right"/>
              <w:rPr>
                <w:b/>
                <w:bCs/>
                <w:sz w:val="21"/>
                <w:szCs w:val="21"/>
              </w:rPr>
            </w:pPr>
            <w:r w:rsidRPr="006111E9">
              <w:rPr>
                <w:b/>
                <w:bCs/>
                <w:sz w:val="21"/>
                <w:szCs w:val="21"/>
              </w:rPr>
              <w:t xml:space="preserve">Local Initiative </w:t>
            </w:r>
          </w:p>
        </w:tc>
        <w:tc>
          <w:tcPr>
            <w:tcW w:w="1980" w:type="dxa"/>
            <w:tcBorders>
              <w:top w:val="single" w:sz="4" w:space="0" w:color="auto"/>
              <w:left w:val="nil"/>
              <w:bottom w:val="single" w:sz="4" w:space="0" w:color="auto"/>
              <w:right w:val="nil"/>
            </w:tcBorders>
            <w:vAlign w:val="center"/>
          </w:tcPr>
          <w:p w14:paraId="53EDBF8A" w14:textId="728011E1" w:rsidR="00CC301C" w:rsidRPr="006111E9" w:rsidRDefault="00CC301C" w:rsidP="00184F75">
            <w:pPr>
              <w:spacing w:after="40"/>
              <w:jc w:val="right"/>
              <w:rPr>
                <w:sz w:val="21"/>
                <w:szCs w:val="21"/>
              </w:rPr>
            </w:pPr>
            <w:r>
              <w:rPr>
                <w:sz w:val="21"/>
                <w:szCs w:val="21"/>
              </w:rPr>
              <w:t>$533,498.05</w:t>
            </w:r>
          </w:p>
        </w:tc>
        <w:tc>
          <w:tcPr>
            <w:tcW w:w="5130" w:type="dxa"/>
            <w:tcBorders>
              <w:top w:val="single" w:sz="4" w:space="0" w:color="auto"/>
              <w:left w:val="nil"/>
              <w:bottom w:val="single" w:sz="4" w:space="0" w:color="auto"/>
              <w:right w:val="nil"/>
            </w:tcBorders>
            <w:vAlign w:val="center"/>
            <w:hideMark/>
          </w:tcPr>
          <w:p w14:paraId="62D9ECD8" w14:textId="77777777" w:rsidR="00CC301C" w:rsidRPr="006111E9" w:rsidRDefault="00CC301C" w:rsidP="00184F75">
            <w:pPr>
              <w:spacing w:after="40"/>
              <w:jc w:val="right"/>
              <w:rPr>
                <w:sz w:val="20"/>
                <w:szCs w:val="20"/>
              </w:rPr>
            </w:pPr>
            <w:r w:rsidRPr="006111E9">
              <w:rPr>
                <w:sz w:val="20"/>
                <w:szCs w:val="20"/>
              </w:rPr>
              <w:t>(75% of re</w:t>
            </w:r>
            <w:r>
              <w:rPr>
                <w:sz w:val="20"/>
                <w:szCs w:val="20"/>
              </w:rPr>
              <w:t>main</w:t>
            </w:r>
            <w:r w:rsidRPr="006111E9">
              <w:rPr>
                <w:sz w:val="20"/>
                <w:szCs w:val="20"/>
              </w:rPr>
              <w:t>ing monies)</w:t>
            </w:r>
          </w:p>
        </w:tc>
      </w:tr>
      <w:tr w:rsidR="00CC301C" w:rsidRPr="00211D73" w14:paraId="69E3E22F" w14:textId="77777777" w:rsidTr="002139B5">
        <w:trPr>
          <w:cantSplit/>
        </w:trPr>
        <w:tc>
          <w:tcPr>
            <w:tcW w:w="2345" w:type="dxa"/>
            <w:tcBorders>
              <w:top w:val="single" w:sz="4" w:space="0" w:color="auto"/>
              <w:left w:val="nil"/>
              <w:bottom w:val="single" w:sz="4" w:space="0" w:color="auto"/>
              <w:right w:val="nil"/>
            </w:tcBorders>
            <w:vAlign w:val="center"/>
            <w:hideMark/>
          </w:tcPr>
          <w:p w14:paraId="470F36A5" w14:textId="77777777" w:rsidR="00CC301C" w:rsidRPr="006111E9" w:rsidRDefault="00CC301C" w:rsidP="00184F75">
            <w:pPr>
              <w:spacing w:after="40"/>
              <w:jc w:val="right"/>
              <w:rPr>
                <w:b/>
                <w:bCs/>
                <w:sz w:val="21"/>
                <w:szCs w:val="21"/>
              </w:rPr>
            </w:pPr>
            <w:r w:rsidRPr="006111E9">
              <w:rPr>
                <w:b/>
                <w:bCs/>
                <w:sz w:val="21"/>
                <w:szCs w:val="21"/>
              </w:rPr>
              <w:t xml:space="preserve">Evaluation Monies </w:t>
            </w:r>
          </w:p>
        </w:tc>
        <w:tc>
          <w:tcPr>
            <w:tcW w:w="1980" w:type="dxa"/>
            <w:tcBorders>
              <w:top w:val="single" w:sz="4" w:space="0" w:color="auto"/>
              <w:left w:val="nil"/>
              <w:bottom w:val="single" w:sz="4" w:space="0" w:color="auto"/>
              <w:right w:val="nil"/>
            </w:tcBorders>
            <w:vAlign w:val="center"/>
          </w:tcPr>
          <w:p w14:paraId="2DB02F89" w14:textId="718D69BC" w:rsidR="00CC301C" w:rsidRPr="006111E9" w:rsidRDefault="00CC301C" w:rsidP="00184F75">
            <w:pPr>
              <w:spacing w:after="40"/>
              <w:jc w:val="right"/>
              <w:rPr>
                <w:sz w:val="21"/>
                <w:szCs w:val="21"/>
              </w:rPr>
            </w:pPr>
            <w:r>
              <w:rPr>
                <w:sz w:val="21"/>
                <w:szCs w:val="21"/>
              </w:rPr>
              <w:t>$53,349.80</w:t>
            </w:r>
          </w:p>
        </w:tc>
        <w:tc>
          <w:tcPr>
            <w:tcW w:w="5130" w:type="dxa"/>
            <w:tcBorders>
              <w:top w:val="single" w:sz="4" w:space="0" w:color="auto"/>
              <w:left w:val="nil"/>
              <w:bottom w:val="single" w:sz="4" w:space="0" w:color="auto"/>
              <w:right w:val="nil"/>
            </w:tcBorders>
            <w:vAlign w:val="center"/>
            <w:hideMark/>
          </w:tcPr>
          <w:p w14:paraId="5B1C5B35" w14:textId="77777777" w:rsidR="00CC301C" w:rsidRPr="006111E9" w:rsidRDefault="00CC301C" w:rsidP="00184F75">
            <w:pPr>
              <w:spacing w:after="40"/>
              <w:jc w:val="right"/>
              <w:rPr>
                <w:sz w:val="20"/>
                <w:szCs w:val="20"/>
              </w:rPr>
            </w:pPr>
            <w:r w:rsidRPr="006111E9">
              <w:rPr>
                <w:sz w:val="20"/>
                <w:szCs w:val="20"/>
              </w:rPr>
              <w:t>(10% of Local Initiative Monies, retained by Applicant)</w:t>
            </w:r>
          </w:p>
        </w:tc>
      </w:tr>
      <w:tr w:rsidR="00CC301C" w:rsidRPr="00211D73" w14:paraId="1AF3E025" w14:textId="77777777" w:rsidTr="002139B5">
        <w:trPr>
          <w:cantSplit/>
        </w:trPr>
        <w:tc>
          <w:tcPr>
            <w:tcW w:w="2345" w:type="dxa"/>
            <w:tcBorders>
              <w:top w:val="single" w:sz="4" w:space="0" w:color="auto"/>
              <w:left w:val="nil"/>
              <w:bottom w:val="nil"/>
              <w:right w:val="nil"/>
            </w:tcBorders>
            <w:shd w:val="clear" w:color="auto" w:fill="F2F2F2" w:themeFill="background1" w:themeFillShade="F2"/>
            <w:vAlign w:val="center"/>
            <w:hideMark/>
          </w:tcPr>
          <w:p w14:paraId="66690E6C" w14:textId="77777777" w:rsidR="00CC301C" w:rsidRPr="006111E9" w:rsidRDefault="00CC301C" w:rsidP="00184F75">
            <w:pPr>
              <w:spacing w:after="40"/>
              <w:jc w:val="right"/>
              <w:rPr>
                <w:b/>
                <w:bCs/>
                <w:sz w:val="21"/>
                <w:szCs w:val="21"/>
              </w:rPr>
            </w:pPr>
            <w:r w:rsidRPr="006111E9">
              <w:rPr>
                <w:b/>
                <w:bCs/>
                <w:sz w:val="21"/>
                <w:szCs w:val="21"/>
              </w:rPr>
              <w:t xml:space="preserve">CHI Monies for Local Disbursement </w:t>
            </w:r>
          </w:p>
        </w:tc>
        <w:tc>
          <w:tcPr>
            <w:tcW w:w="1980" w:type="dxa"/>
            <w:tcBorders>
              <w:top w:val="single" w:sz="4" w:space="0" w:color="auto"/>
              <w:left w:val="nil"/>
              <w:bottom w:val="nil"/>
              <w:right w:val="nil"/>
            </w:tcBorders>
            <w:shd w:val="clear" w:color="auto" w:fill="F2F2F2" w:themeFill="background1" w:themeFillShade="F2"/>
            <w:vAlign w:val="center"/>
          </w:tcPr>
          <w:p w14:paraId="675B2DE8" w14:textId="47469A97" w:rsidR="00CC301C" w:rsidRPr="006111E9" w:rsidRDefault="00CC301C" w:rsidP="00184F75">
            <w:pPr>
              <w:spacing w:after="40"/>
              <w:jc w:val="right"/>
              <w:rPr>
                <w:sz w:val="21"/>
                <w:szCs w:val="21"/>
              </w:rPr>
            </w:pPr>
            <w:r>
              <w:rPr>
                <w:sz w:val="21"/>
                <w:szCs w:val="21"/>
              </w:rPr>
              <w:t>$480,148.25</w:t>
            </w:r>
          </w:p>
        </w:tc>
        <w:tc>
          <w:tcPr>
            <w:tcW w:w="5130" w:type="dxa"/>
            <w:tcBorders>
              <w:top w:val="single" w:sz="4" w:space="0" w:color="auto"/>
              <w:left w:val="nil"/>
              <w:bottom w:val="nil"/>
              <w:right w:val="nil"/>
            </w:tcBorders>
            <w:shd w:val="clear" w:color="auto" w:fill="F2F2F2" w:themeFill="background1" w:themeFillShade="F2"/>
            <w:vAlign w:val="center"/>
          </w:tcPr>
          <w:p w14:paraId="2FFD13F8" w14:textId="77777777" w:rsidR="00CC301C" w:rsidRPr="006111E9" w:rsidRDefault="00CC301C" w:rsidP="00184F75">
            <w:pPr>
              <w:spacing w:after="40"/>
              <w:jc w:val="right"/>
              <w:rPr>
                <w:sz w:val="21"/>
                <w:szCs w:val="21"/>
              </w:rPr>
            </w:pPr>
          </w:p>
        </w:tc>
      </w:tr>
    </w:tbl>
    <w:p w14:paraId="18EAB71F" w14:textId="77777777" w:rsidR="00CC301C" w:rsidRPr="00CA34CD" w:rsidRDefault="00CC301C" w:rsidP="00CC301C">
      <w:pPr>
        <w:suppressAutoHyphens w:val="0"/>
        <w:autoSpaceDE w:val="0"/>
        <w:autoSpaceDN w:val="0"/>
        <w:adjustRightInd w:val="0"/>
        <w:jc w:val="both"/>
        <w:rPr>
          <w:sz w:val="22"/>
          <w:szCs w:val="22"/>
        </w:rPr>
      </w:pPr>
    </w:p>
    <w:p w14:paraId="3CB572FB" w14:textId="4A269AF8" w:rsidR="00CC301C" w:rsidRDefault="00745AE9" w:rsidP="00CC301C">
      <w:pPr>
        <w:suppressAutoHyphens w:val="0"/>
        <w:autoSpaceDE w:val="0"/>
        <w:autoSpaceDN w:val="0"/>
        <w:adjustRightInd w:val="0"/>
        <w:spacing w:after="120"/>
        <w:jc w:val="both"/>
        <w:rPr>
          <w:sz w:val="22"/>
          <w:szCs w:val="22"/>
        </w:rPr>
      </w:pPr>
      <w:r>
        <w:rPr>
          <w:sz w:val="22"/>
          <w:szCs w:val="22"/>
        </w:rPr>
        <w:t>Cape Cod Hospital</w:t>
      </w:r>
      <w:r w:rsidR="00CC301C" w:rsidRPr="00324C29">
        <w:rPr>
          <w:sz w:val="22"/>
          <w:szCs w:val="22"/>
        </w:rPr>
        <w:t xml:space="preserve"> is requesting </w:t>
      </w:r>
      <w:r w:rsidR="00CC301C">
        <w:rPr>
          <w:sz w:val="22"/>
          <w:szCs w:val="22"/>
        </w:rPr>
        <w:t>approval to use up to three percent (3%) of local CHI funding (</w:t>
      </w:r>
      <w:r w:rsidR="00CC301C" w:rsidRPr="006111E9">
        <w:rPr>
          <w:sz w:val="21"/>
          <w:szCs w:val="21"/>
        </w:rPr>
        <w:t>$</w:t>
      </w:r>
      <w:r>
        <w:rPr>
          <w:sz w:val="21"/>
          <w:szCs w:val="21"/>
        </w:rPr>
        <w:t>21,999.92</w:t>
      </w:r>
      <w:r w:rsidR="00CC301C">
        <w:rPr>
          <w:sz w:val="22"/>
          <w:szCs w:val="22"/>
        </w:rPr>
        <w:t xml:space="preserve">) </w:t>
      </w:r>
      <w:r w:rsidR="00CC301C" w:rsidRPr="00324C29">
        <w:rPr>
          <w:sz w:val="22"/>
          <w:szCs w:val="22"/>
        </w:rPr>
        <w:t>in administrative funding. These monies will support promotion of meetings,</w:t>
      </w:r>
      <w:r w:rsidR="00CC301C">
        <w:rPr>
          <w:sz w:val="22"/>
          <w:szCs w:val="22"/>
        </w:rPr>
        <w:t xml:space="preserve"> </w:t>
      </w:r>
      <w:r w:rsidR="00CC301C" w:rsidRPr="00324C29">
        <w:rPr>
          <w:sz w:val="22"/>
          <w:szCs w:val="22"/>
        </w:rPr>
        <w:t>interpretation/translation, community engagement, stipends for community</w:t>
      </w:r>
      <w:r w:rsidR="00CC301C">
        <w:rPr>
          <w:sz w:val="22"/>
          <w:szCs w:val="22"/>
        </w:rPr>
        <w:t xml:space="preserve"> </w:t>
      </w:r>
      <w:r w:rsidR="00CC301C" w:rsidRPr="00324C29">
        <w:rPr>
          <w:sz w:val="22"/>
          <w:szCs w:val="22"/>
        </w:rPr>
        <w:t>resident participation, additional</w:t>
      </w:r>
      <w:r w:rsidR="00CC301C">
        <w:rPr>
          <w:sz w:val="22"/>
          <w:szCs w:val="22"/>
        </w:rPr>
        <w:t xml:space="preserve"> </w:t>
      </w:r>
      <w:r w:rsidR="00CC301C" w:rsidRPr="00324C29">
        <w:rPr>
          <w:sz w:val="22"/>
          <w:szCs w:val="22"/>
        </w:rPr>
        <w:t>staff time for these efforts.</w:t>
      </w:r>
    </w:p>
    <w:p w14:paraId="1808D736" w14:textId="653A362F" w:rsidR="00CC301C" w:rsidRDefault="00CC301C" w:rsidP="00CC301C">
      <w:pPr>
        <w:spacing w:after="120"/>
        <w:jc w:val="both"/>
      </w:pPr>
      <w:r>
        <w:rPr>
          <w:sz w:val="22"/>
          <w:szCs w:val="22"/>
        </w:rPr>
        <w:t xml:space="preserve">Additionally, </w:t>
      </w:r>
      <w:r w:rsidR="00745AE9">
        <w:rPr>
          <w:sz w:val="22"/>
          <w:szCs w:val="22"/>
        </w:rPr>
        <w:t>the Hospital</w:t>
      </w:r>
      <w:r>
        <w:rPr>
          <w:sz w:val="22"/>
          <w:szCs w:val="22"/>
        </w:rPr>
        <w:t xml:space="preserve"> </w:t>
      </w:r>
      <w:r w:rsidRPr="00324C29">
        <w:rPr>
          <w:sz w:val="22"/>
          <w:szCs w:val="22"/>
        </w:rPr>
        <w:t xml:space="preserve">is seeking to use 10% of local CHI </w:t>
      </w:r>
      <w:r w:rsidRPr="00A45818">
        <w:rPr>
          <w:sz w:val="22"/>
          <w:szCs w:val="22"/>
        </w:rPr>
        <w:t>funding (</w:t>
      </w:r>
      <w:r w:rsidRPr="00A45818">
        <w:rPr>
          <w:sz w:val="21"/>
          <w:szCs w:val="21"/>
        </w:rPr>
        <w:t>$</w:t>
      </w:r>
      <w:r w:rsidR="00745AE9">
        <w:rPr>
          <w:sz w:val="21"/>
          <w:szCs w:val="21"/>
        </w:rPr>
        <w:t>53,349.80</w:t>
      </w:r>
      <w:r w:rsidRPr="00324C29">
        <w:rPr>
          <w:sz w:val="22"/>
          <w:szCs w:val="22"/>
        </w:rPr>
        <w:t>) for evaluation efforts. These monies will allow</w:t>
      </w:r>
      <w:r>
        <w:rPr>
          <w:sz w:val="22"/>
          <w:szCs w:val="22"/>
        </w:rPr>
        <w:t xml:space="preserve"> </w:t>
      </w:r>
      <w:r w:rsidR="00745AE9">
        <w:rPr>
          <w:sz w:val="22"/>
          <w:szCs w:val="22"/>
        </w:rPr>
        <w:t>Cape Cod Hospital</w:t>
      </w:r>
      <w:r w:rsidRPr="00324C29">
        <w:rPr>
          <w:sz w:val="22"/>
          <w:szCs w:val="22"/>
        </w:rPr>
        <w:t xml:space="preserve"> to </w:t>
      </w:r>
      <w:r w:rsidR="00745AE9">
        <w:rPr>
          <w:sz w:val="22"/>
          <w:szCs w:val="22"/>
        </w:rPr>
        <w:t>engage experienced</w:t>
      </w:r>
      <w:r w:rsidRPr="00324C29">
        <w:rPr>
          <w:sz w:val="22"/>
          <w:szCs w:val="22"/>
        </w:rPr>
        <w:t xml:space="preserve"> internal and/or external resources to </w:t>
      </w:r>
      <w:r w:rsidR="00745AE9">
        <w:rPr>
          <w:sz w:val="22"/>
          <w:szCs w:val="22"/>
        </w:rPr>
        <w:t>manage</w:t>
      </w:r>
      <w:r>
        <w:rPr>
          <w:sz w:val="22"/>
          <w:szCs w:val="22"/>
        </w:rPr>
        <w:t xml:space="preserve"> </w:t>
      </w:r>
      <w:r w:rsidRPr="00324C29">
        <w:rPr>
          <w:sz w:val="22"/>
          <w:szCs w:val="22"/>
        </w:rPr>
        <w:t xml:space="preserve">evaluation </w:t>
      </w:r>
      <w:r w:rsidR="00745AE9">
        <w:rPr>
          <w:sz w:val="22"/>
          <w:szCs w:val="22"/>
        </w:rPr>
        <w:t>activities</w:t>
      </w:r>
      <w:r w:rsidRPr="00324C29">
        <w:rPr>
          <w:sz w:val="22"/>
          <w:szCs w:val="22"/>
        </w:rPr>
        <w:t xml:space="preserve"> of the CHI-funded projects.</w:t>
      </w:r>
    </w:p>
    <w:p w14:paraId="11A755E5" w14:textId="52BA9970" w:rsidR="00277E2C" w:rsidRDefault="00277E2C"/>
    <w:sectPr w:rsidR="00277E2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A5342" w14:textId="77777777" w:rsidR="00277E2C" w:rsidRDefault="00745AE9">
      <w:r>
        <w:separator/>
      </w:r>
    </w:p>
  </w:endnote>
  <w:endnote w:type="continuationSeparator" w:id="0">
    <w:p w14:paraId="0F4E6044" w14:textId="77777777" w:rsidR="00277E2C" w:rsidRDefault="00745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42ED3" w14:textId="5D3A3A0C" w:rsidR="008F049F" w:rsidRDefault="008F049F">
    <w:pPr>
      <w:pStyle w:val="Footer"/>
    </w:pPr>
    <w:r>
      <w:fldChar w:fldCharType="begin"/>
    </w:r>
    <w:r w:rsidRPr="008F049F">
      <w:rPr>
        <w:rStyle w:val="DocID"/>
      </w:rPr>
      <w:instrText xml:space="preserve"> DOCPROPERTY DOCXDOCID DMS=NetDocuments Format=HB: &lt;&lt;ID&gt;&gt;.&lt;&lt;VER&gt;&gt; PRESERVELOCATION \* MERGEFORMAT </w:instrText>
    </w:r>
    <w:r>
      <w:fldChar w:fldCharType="separate"/>
    </w:r>
    <w:r w:rsidRPr="008F049F">
      <w:rPr>
        <w:rStyle w:val="DocID"/>
      </w:rPr>
      <w:t>HB: 4894-4269-5321.9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56D52" w14:textId="3CA3A13F" w:rsidR="008F049F" w:rsidRDefault="008F049F">
    <w:pPr>
      <w:pStyle w:val="Footer"/>
    </w:pPr>
    <w:r>
      <w:fldChar w:fldCharType="begin"/>
    </w:r>
    <w:r w:rsidRPr="008F049F">
      <w:rPr>
        <w:rStyle w:val="DocID"/>
      </w:rPr>
      <w:instrText xml:space="preserve"> DOCPROPERTY DOCXDOCID DMS=NetDocuments Format=HB: &lt;&lt;ID&gt;&gt;.&lt;&lt;VER&gt;&gt; PRESERVELOCATION \* MERGEFORMAT </w:instrText>
    </w:r>
    <w:r>
      <w:fldChar w:fldCharType="separate"/>
    </w:r>
    <w:r w:rsidRPr="008F049F">
      <w:rPr>
        <w:rStyle w:val="DocID"/>
      </w:rPr>
      <w:t>HB: 4894-4269-5321.9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D59D" w14:textId="77777777" w:rsidR="00A80DA4" w:rsidRDefault="00A80DA4">
    <w:pPr>
      <w:pStyle w:val="Footer"/>
    </w:pPr>
    <w:r>
      <w:fldChar w:fldCharType="begin"/>
    </w:r>
    <w:r w:rsidRPr="008F049F">
      <w:rPr>
        <w:rStyle w:val="DocID"/>
      </w:rPr>
      <w:instrText xml:space="preserve"> DOCPROPERTY DOCXDOCID DMS=NetDocuments Format=HB: &lt;&lt;ID&gt;&gt;.&lt;&lt;VER&gt;&gt; PRESERVELOCATION \* MERGEFORMAT </w:instrText>
    </w:r>
    <w:r>
      <w:fldChar w:fldCharType="separate"/>
    </w:r>
    <w:r w:rsidRPr="008F049F">
      <w:rPr>
        <w:rStyle w:val="DocID"/>
      </w:rPr>
      <w:t>HB: 4894-4269-5321.9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0E215" w14:textId="77777777" w:rsidR="00277E2C" w:rsidRDefault="00745AE9">
      <w:r>
        <w:separator/>
      </w:r>
    </w:p>
  </w:footnote>
  <w:footnote w:type="continuationSeparator" w:id="0">
    <w:p w14:paraId="4EA9BCF6" w14:textId="77777777" w:rsidR="00277E2C" w:rsidRDefault="00745AE9">
      <w:r>
        <w:continuationSeparator/>
      </w:r>
    </w:p>
  </w:footnote>
  <w:footnote w:id="1">
    <w:p w14:paraId="3CB14EE7" w14:textId="72A61CFE" w:rsidR="00277E2C" w:rsidRPr="00761A9E" w:rsidRDefault="00745AE9">
      <w:pPr>
        <w:suppressAutoHyphens w:val="0"/>
        <w:autoSpaceDE w:val="0"/>
        <w:autoSpaceDN w:val="0"/>
        <w:adjustRightInd w:val="0"/>
        <w:rPr>
          <w:rStyle w:val="Hyperlink"/>
          <w:color w:val="auto"/>
          <w:sz w:val="16"/>
          <w:szCs w:val="16"/>
          <w:u w:val="none"/>
        </w:rPr>
      </w:pPr>
      <w:r>
        <w:rPr>
          <w:rStyle w:val="FootnoteReference"/>
          <w:sz w:val="16"/>
          <w:szCs w:val="16"/>
        </w:rPr>
        <w:footnoteRef/>
      </w:r>
      <w:r>
        <w:rPr>
          <w:sz w:val="16"/>
          <w:szCs w:val="16"/>
        </w:rPr>
        <w:t xml:space="preserve"> </w:t>
      </w:r>
      <w:r>
        <w:rPr>
          <w:color w:val="1B1B1B"/>
          <w:sz w:val="16"/>
          <w:szCs w:val="16"/>
        </w:rPr>
        <w:t>Laam LA, Wary et al. “</w:t>
      </w:r>
      <w:r w:rsidR="002177C5" w:rsidRPr="00761A9E">
        <w:rPr>
          <w:sz w:val="16"/>
          <w:szCs w:val="16"/>
        </w:rPr>
        <w:fldChar w:fldCharType="begin"/>
      </w:r>
      <w:r w:rsidR="002177C5" w:rsidRPr="00761A9E">
        <w:rPr>
          <w:sz w:val="16"/>
          <w:szCs w:val="16"/>
        </w:rPr>
        <w:instrText>HYPERLINK "https://pubmed.ncbi.nlm.nih.gov/33718931/"</w:instrText>
      </w:r>
      <w:r w:rsidR="002177C5" w:rsidRPr="00761A9E">
        <w:rPr>
          <w:sz w:val="16"/>
          <w:szCs w:val="16"/>
        </w:rPr>
      </w:r>
      <w:r w:rsidR="002177C5" w:rsidRPr="00761A9E">
        <w:rPr>
          <w:sz w:val="16"/>
          <w:szCs w:val="16"/>
        </w:rPr>
        <w:fldChar w:fldCharType="separate"/>
      </w:r>
      <w:r w:rsidRPr="00761A9E">
        <w:rPr>
          <w:rStyle w:val="Hyperlink"/>
          <w:color w:val="auto"/>
          <w:sz w:val="16"/>
          <w:szCs w:val="16"/>
          <w:u w:val="none"/>
        </w:rPr>
        <w:t xml:space="preserve">Quantifying the impact of patient boarding on emergency department length of stay: All admitted </w:t>
      </w:r>
      <w:proofErr w:type="gramStart"/>
      <w:r w:rsidRPr="00761A9E">
        <w:rPr>
          <w:rStyle w:val="Hyperlink"/>
          <w:color w:val="auto"/>
          <w:sz w:val="16"/>
          <w:szCs w:val="16"/>
          <w:u w:val="none"/>
        </w:rPr>
        <w:t>patients</w:t>
      </w:r>
      <w:proofErr w:type="gramEnd"/>
    </w:p>
    <w:p w14:paraId="792CC031" w14:textId="1BB50F11" w:rsidR="00277E2C" w:rsidRDefault="00745AE9">
      <w:pPr>
        <w:suppressAutoHyphens w:val="0"/>
        <w:autoSpaceDE w:val="0"/>
        <w:autoSpaceDN w:val="0"/>
        <w:adjustRightInd w:val="0"/>
        <w:rPr>
          <w:color w:val="1B1B1B"/>
          <w:sz w:val="16"/>
          <w:szCs w:val="16"/>
        </w:rPr>
      </w:pPr>
      <w:r w:rsidRPr="00761A9E">
        <w:rPr>
          <w:rStyle w:val="Hyperlink"/>
          <w:color w:val="auto"/>
          <w:sz w:val="16"/>
          <w:szCs w:val="16"/>
          <w:u w:val="none"/>
        </w:rPr>
        <w:t>are negatively affected by boarding</w:t>
      </w:r>
      <w:r w:rsidR="002177C5" w:rsidRPr="00761A9E">
        <w:rPr>
          <w:sz w:val="16"/>
          <w:szCs w:val="16"/>
        </w:rPr>
        <w:fldChar w:fldCharType="end"/>
      </w:r>
      <w:r w:rsidRPr="00761A9E">
        <w:rPr>
          <w:sz w:val="16"/>
          <w:szCs w:val="16"/>
        </w:rPr>
        <w:t xml:space="preserve">.” Journal </w:t>
      </w:r>
      <w:r>
        <w:rPr>
          <w:color w:val="1B1B1B"/>
          <w:sz w:val="16"/>
          <w:szCs w:val="16"/>
        </w:rPr>
        <w:t>of the American College of Emergency Physicians (2021). Available at:</w:t>
      </w:r>
    </w:p>
    <w:p w14:paraId="44D6148E" w14:textId="77777777" w:rsidR="00277E2C" w:rsidRDefault="00745AE9">
      <w:pPr>
        <w:pStyle w:val="FootnoteText"/>
        <w:rPr>
          <w:sz w:val="16"/>
          <w:szCs w:val="16"/>
        </w:rPr>
      </w:pPr>
      <w:r>
        <w:rPr>
          <w:color w:val="0563C2"/>
          <w:sz w:val="16"/>
          <w:szCs w:val="16"/>
        </w:rPr>
        <w:t>https://pubmed.ncbi.nlm.nih.gov/33718931/</w:t>
      </w:r>
    </w:p>
  </w:footnote>
  <w:footnote w:id="2">
    <w:p w14:paraId="63DF760F" w14:textId="5B4A1E0C" w:rsidR="00277E2C" w:rsidRPr="00761A9E" w:rsidRDefault="00745AE9">
      <w:pPr>
        <w:suppressAutoHyphens w:val="0"/>
        <w:autoSpaceDE w:val="0"/>
        <w:autoSpaceDN w:val="0"/>
        <w:adjustRightInd w:val="0"/>
        <w:rPr>
          <w:rStyle w:val="Hyperlink"/>
          <w:color w:val="auto"/>
          <w:sz w:val="16"/>
          <w:szCs w:val="16"/>
          <w:u w:val="none"/>
        </w:rPr>
      </w:pPr>
      <w:r>
        <w:rPr>
          <w:rStyle w:val="FootnoteReference"/>
          <w:sz w:val="16"/>
          <w:szCs w:val="16"/>
        </w:rPr>
        <w:footnoteRef/>
      </w:r>
      <w:r>
        <w:rPr>
          <w:sz w:val="16"/>
          <w:szCs w:val="16"/>
        </w:rPr>
        <w:t xml:space="preserve"> </w:t>
      </w:r>
      <w:r>
        <w:rPr>
          <w:color w:val="1B1B1B"/>
          <w:sz w:val="16"/>
          <w:szCs w:val="16"/>
        </w:rPr>
        <w:t>Laam LA, Wary et al. “</w:t>
      </w:r>
      <w:r w:rsidR="00761A9E" w:rsidRPr="00761A9E">
        <w:rPr>
          <w:sz w:val="16"/>
          <w:szCs w:val="16"/>
        </w:rPr>
        <w:fldChar w:fldCharType="begin"/>
      </w:r>
      <w:r w:rsidR="00761A9E" w:rsidRPr="00761A9E">
        <w:rPr>
          <w:sz w:val="16"/>
          <w:szCs w:val="16"/>
        </w:rPr>
        <w:instrText>HYPERLINK "https://pubmed.ncbi.nlm.nih.gov/33718931/"</w:instrText>
      </w:r>
      <w:r w:rsidR="00761A9E" w:rsidRPr="00761A9E">
        <w:rPr>
          <w:sz w:val="16"/>
          <w:szCs w:val="16"/>
        </w:rPr>
      </w:r>
      <w:r w:rsidR="00761A9E" w:rsidRPr="00761A9E">
        <w:rPr>
          <w:sz w:val="16"/>
          <w:szCs w:val="16"/>
        </w:rPr>
        <w:fldChar w:fldCharType="separate"/>
      </w:r>
      <w:r w:rsidRPr="00761A9E">
        <w:rPr>
          <w:rStyle w:val="Hyperlink"/>
          <w:color w:val="auto"/>
          <w:sz w:val="16"/>
          <w:szCs w:val="16"/>
          <w:u w:val="none"/>
        </w:rPr>
        <w:t xml:space="preserve">Quantifying the impact of patient boarding on emergency department length of stay: All admitted </w:t>
      </w:r>
      <w:proofErr w:type="gramStart"/>
      <w:r w:rsidRPr="00761A9E">
        <w:rPr>
          <w:rStyle w:val="Hyperlink"/>
          <w:color w:val="auto"/>
          <w:sz w:val="16"/>
          <w:szCs w:val="16"/>
          <w:u w:val="none"/>
        </w:rPr>
        <w:t>patients</w:t>
      </w:r>
      <w:proofErr w:type="gramEnd"/>
    </w:p>
    <w:p w14:paraId="0EC0FB90" w14:textId="2498D21A" w:rsidR="00277E2C" w:rsidRDefault="00745AE9">
      <w:pPr>
        <w:suppressAutoHyphens w:val="0"/>
        <w:autoSpaceDE w:val="0"/>
        <w:autoSpaceDN w:val="0"/>
        <w:adjustRightInd w:val="0"/>
        <w:rPr>
          <w:color w:val="1B1B1B"/>
          <w:sz w:val="16"/>
          <w:szCs w:val="16"/>
        </w:rPr>
      </w:pPr>
      <w:r w:rsidRPr="00761A9E">
        <w:rPr>
          <w:rStyle w:val="Hyperlink"/>
          <w:color w:val="auto"/>
          <w:sz w:val="16"/>
          <w:szCs w:val="16"/>
          <w:u w:val="none"/>
        </w:rPr>
        <w:t>are negatively affected by boarding</w:t>
      </w:r>
      <w:r w:rsidR="00761A9E" w:rsidRPr="00761A9E">
        <w:rPr>
          <w:sz w:val="16"/>
          <w:szCs w:val="16"/>
        </w:rPr>
        <w:fldChar w:fldCharType="end"/>
      </w:r>
      <w:r w:rsidRPr="00761A9E">
        <w:rPr>
          <w:sz w:val="16"/>
          <w:szCs w:val="16"/>
        </w:rPr>
        <w:t xml:space="preserve">.” Journal of the </w:t>
      </w:r>
      <w:r>
        <w:rPr>
          <w:color w:val="1B1B1B"/>
          <w:sz w:val="16"/>
          <w:szCs w:val="16"/>
        </w:rPr>
        <w:t>American College of Emergency Physicians (2021). Available at:</w:t>
      </w:r>
    </w:p>
    <w:p w14:paraId="1C7F7C30" w14:textId="77777777" w:rsidR="00277E2C" w:rsidRDefault="00745AE9">
      <w:pPr>
        <w:pStyle w:val="FootnoteText"/>
      </w:pPr>
      <w:r>
        <w:rPr>
          <w:color w:val="0563C2"/>
          <w:sz w:val="16"/>
          <w:szCs w:val="16"/>
        </w:rPr>
        <w:t>https://pubmed.ncbi.nlm.nih.gov/33718931/</w:t>
      </w:r>
    </w:p>
  </w:footnote>
  <w:footnote w:id="3">
    <w:p w14:paraId="61CBEBBE" w14:textId="77777777" w:rsidR="00277E2C" w:rsidRDefault="00745AE9">
      <w:pPr>
        <w:pStyle w:val="FootnoteText"/>
      </w:pPr>
      <w:r>
        <w:rPr>
          <w:rStyle w:val="FootnoteReference"/>
        </w:rPr>
        <w:footnoteRef/>
      </w:r>
      <w:r>
        <w:t xml:space="preserve"> </w:t>
      </w:r>
      <w:r>
        <w:rPr>
          <w:rFonts w:ascii="ArialMT" w:hAnsi="ArialMT" w:cs="ArialMT"/>
          <w:sz w:val="16"/>
          <w:szCs w:val="16"/>
        </w:rPr>
        <w:t>UM</w:t>
      </w:r>
      <w:r>
        <w:rPr>
          <w:rFonts w:ascii="ArialMT" w:hAnsi="ArialMT" w:cs="ArialMT"/>
          <w:sz w:val="13"/>
          <w:szCs w:val="13"/>
        </w:rPr>
        <w:t xml:space="preserve">ASS </w:t>
      </w:r>
      <w:r>
        <w:rPr>
          <w:rFonts w:ascii="ArialMT" w:hAnsi="ArialMT" w:cs="ArialMT"/>
          <w:sz w:val="16"/>
          <w:szCs w:val="16"/>
        </w:rPr>
        <w:t>D</w:t>
      </w:r>
      <w:r>
        <w:rPr>
          <w:rFonts w:ascii="ArialMT" w:hAnsi="ArialMT" w:cs="ArialMT"/>
          <w:sz w:val="13"/>
          <w:szCs w:val="13"/>
        </w:rPr>
        <w:t xml:space="preserve">ONAHUE </w:t>
      </w:r>
      <w:r>
        <w:rPr>
          <w:rFonts w:ascii="ArialMT" w:hAnsi="ArialMT" w:cs="ArialMT"/>
          <w:sz w:val="16"/>
          <w:szCs w:val="16"/>
        </w:rPr>
        <w:t>I</w:t>
      </w:r>
      <w:r>
        <w:rPr>
          <w:rFonts w:ascii="ArialMT" w:hAnsi="ArialMT" w:cs="ArialMT"/>
          <w:sz w:val="13"/>
          <w:szCs w:val="13"/>
        </w:rPr>
        <w:t>NSTITUTE</w:t>
      </w:r>
      <w:r>
        <w:rPr>
          <w:rFonts w:ascii="ArialMT" w:hAnsi="ArialMT" w:cs="ArialMT"/>
          <w:sz w:val="16"/>
          <w:szCs w:val="16"/>
        </w:rPr>
        <w:t>. Long-term Population Projections for Massachusetts Regions and Municipalities. March 2015.</w:t>
      </w:r>
    </w:p>
  </w:footnote>
  <w:footnote w:id="4">
    <w:p w14:paraId="671FBB9A" w14:textId="77777777" w:rsidR="00277E2C" w:rsidRDefault="00745AE9">
      <w:pPr>
        <w:pStyle w:val="FootnoteText"/>
        <w:rPr>
          <w:i/>
          <w:iCs/>
        </w:rPr>
      </w:pPr>
      <w:r>
        <w:rPr>
          <w:rStyle w:val="FootnoteReference"/>
        </w:rPr>
        <w:footnoteRef/>
      </w:r>
      <w:r>
        <w:t xml:space="preserve"> </w:t>
      </w:r>
      <w:r>
        <w:rPr>
          <w:i/>
          <w:iCs/>
        </w:rPr>
        <w:t xml:space="preserve">Id. </w:t>
      </w:r>
    </w:p>
  </w:footnote>
  <w:footnote w:id="5">
    <w:p w14:paraId="476CEC25" w14:textId="77777777" w:rsidR="00277E2C" w:rsidRDefault="00745AE9">
      <w:pPr>
        <w:pStyle w:val="FootnoteText"/>
        <w:rPr>
          <w:i/>
          <w:iCs/>
        </w:rPr>
      </w:pPr>
      <w:r>
        <w:rPr>
          <w:rStyle w:val="FootnoteReference"/>
        </w:rPr>
        <w:footnoteRef/>
      </w:r>
      <w:r>
        <w:t xml:space="preserve"> </w:t>
      </w:r>
      <w:r>
        <w:rPr>
          <w:i/>
          <w:iCs/>
        </w:rPr>
        <w:t xml:space="preserve">Supra note 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5F5086"/>
    <w:multiLevelType w:val="hybridMultilevel"/>
    <w:tmpl w:val="C4F45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9028FE"/>
    <w:multiLevelType w:val="hybridMultilevel"/>
    <w:tmpl w:val="84AAE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4180449">
    <w:abstractNumId w:val="1"/>
  </w:num>
  <w:num w:numId="2" w16cid:durableId="745149112">
    <w:abstractNumId w:val="0"/>
  </w:num>
  <w:num w:numId="3" w16cid:durableId="1014571824">
    <w:abstractNumId w:val="2"/>
  </w:num>
  <w:num w:numId="4" w16cid:durableId="1980304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2C"/>
    <w:rsid w:val="000D7837"/>
    <w:rsid w:val="00103AFE"/>
    <w:rsid w:val="001A7057"/>
    <w:rsid w:val="001C0472"/>
    <w:rsid w:val="002139B5"/>
    <w:rsid w:val="002177C5"/>
    <w:rsid w:val="00220549"/>
    <w:rsid w:val="00277E2C"/>
    <w:rsid w:val="006D0DDF"/>
    <w:rsid w:val="00745AE9"/>
    <w:rsid w:val="00761A9E"/>
    <w:rsid w:val="008A532E"/>
    <w:rsid w:val="008F049F"/>
    <w:rsid w:val="00991BAC"/>
    <w:rsid w:val="00A433D8"/>
    <w:rsid w:val="00A80DA4"/>
    <w:rsid w:val="00C82E9E"/>
    <w:rsid w:val="00CC301C"/>
    <w:rsid w:val="00E34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1CD18"/>
  <w15:chartTrackingRefBased/>
  <w15:docId w15:val="{19F1E375-78A3-4AB9-9C16-27926198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220549"/>
    <w:pPr>
      <w:suppressAutoHyphens w:val="0"/>
      <w:autoSpaceDE w:val="0"/>
      <w:autoSpaceDN w:val="0"/>
      <w:adjustRightInd w:val="0"/>
      <w:spacing w:after="120"/>
      <w:jc w:val="both"/>
      <w:outlineLvl w:val="0"/>
    </w:pPr>
    <w:rPr>
      <w:b/>
      <w:bCs/>
      <w:sz w:val="22"/>
      <w:szCs w:val="22"/>
    </w:rPr>
  </w:style>
  <w:style w:type="paragraph" w:styleId="Heading2">
    <w:name w:val="heading 2"/>
    <w:basedOn w:val="Normal"/>
    <w:next w:val="Normal"/>
    <w:link w:val="Heading2Char"/>
    <w:uiPriority w:val="1"/>
    <w:qFormat/>
    <w:pPr>
      <w:suppressAutoHyphens w:val="0"/>
      <w:spacing w:after="240"/>
      <w:outlineLvl w:val="1"/>
    </w:pPr>
    <w:rPr>
      <w:snapToGrid w:val="0"/>
    </w:rPr>
  </w:style>
  <w:style w:type="paragraph" w:styleId="Heading3">
    <w:name w:val="heading 3"/>
    <w:basedOn w:val="Normal"/>
    <w:next w:val="Normal"/>
    <w:link w:val="Heading3Char"/>
    <w:uiPriority w:val="1"/>
    <w:qFormat/>
    <w:pPr>
      <w:suppressAutoHyphens w:val="0"/>
      <w:spacing w:after="240"/>
      <w:outlineLvl w:val="2"/>
    </w:pPr>
    <w:rPr>
      <w:snapToGrid w:val="0"/>
    </w:rPr>
  </w:style>
  <w:style w:type="paragraph" w:styleId="Heading4">
    <w:name w:val="heading 4"/>
    <w:basedOn w:val="Normal"/>
    <w:next w:val="Normal"/>
    <w:link w:val="Heading4Char"/>
    <w:uiPriority w:val="1"/>
    <w:qFormat/>
    <w:pPr>
      <w:suppressAutoHyphens w:val="0"/>
      <w:spacing w:after="240"/>
      <w:outlineLvl w:val="3"/>
    </w:pPr>
    <w:rPr>
      <w:snapToGrid w:val="0"/>
    </w:rPr>
  </w:style>
  <w:style w:type="paragraph" w:styleId="Heading5">
    <w:name w:val="heading 5"/>
    <w:basedOn w:val="Normal"/>
    <w:next w:val="Normal"/>
    <w:link w:val="Heading5Char"/>
    <w:uiPriority w:val="1"/>
    <w:qFormat/>
    <w:pPr>
      <w:suppressAutoHyphens w:val="0"/>
      <w:spacing w:after="240"/>
      <w:outlineLvl w:val="4"/>
    </w:pPr>
    <w:rPr>
      <w:snapToGrid w:val="0"/>
    </w:rPr>
  </w:style>
  <w:style w:type="paragraph" w:styleId="Heading6">
    <w:name w:val="heading 6"/>
    <w:basedOn w:val="Normal"/>
    <w:next w:val="Normal"/>
    <w:link w:val="Heading6Char"/>
    <w:uiPriority w:val="1"/>
    <w:qFormat/>
    <w:pPr>
      <w:tabs>
        <w:tab w:val="num" w:pos="2160"/>
      </w:tabs>
      <w:suppressAutoHyphens w:val="0"/>
      <w:spacing w:after="240"/>
      <w:outlineLvl w:val="5"/>
    </w:pPr>
  </w:style>
  <w:style w:type="paragraph" w:styleId="Heading7">
    <w:name w:val="heading 7"/>
    <w:basedOn w:val="Normal"/>
    <w:next w:val="Normal"/>
    <w:link w:val="Heading7Char"/>
    <w:uiPriority w:val="1"/>
    <w:qFormat/>
    <w:pPr>
      <w:tabs>
        <w:tab w:val="num" w:pos="2520"/>
      </w:tabs>
      <w:suppressAutoHyphens w:val="0"/>
      <w:spacing w:after="240"/>
      <w:outlineLvl w:val="6"/>
    </w:pPr>
  </w:style>
  <w:style w:type="paragraph" w:styleId="Heading8">
    <w:name w:val="heading 8"/>
    <w:basedOn w:val="Normal"/>
    <w:next w:val="Normal"/>
    <w:link w:val="Heading8Char"/>
    <w:uiPriority w:val="1"/>
    <w:qFormat/>
    <w:pPr>
      <w:tabs>
        <w:tab w:val="num" w:pos="2880"/>
      </w:tabs>
      <w:suppressAutoHyphens w:val="0"/>
      <w:spacing w:after="240"/>
      <w:outlineLvl w:val="7"/>
    </w:pPr>
  </w:style>
  <w:style w:type="paragraph" w:styleId="Heading9">
    <w:name w:val="heading 9"/>
    <w:basedOn w:val="Normal"/>
    <w:next w:val="Normal"/>
    <w:link w:val="Heading9Char"/>
    <w:uiPriority w:val="1"/>
    <w:qFormat/>
    <w:pPr>
      <w:tabs>
        <w:tab w:val="num" w:pos="3240"/>
      </w:tabs>
      <w:suppressAutoHyphens w:val="0"/>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pPr>
      <w:spacing w:after="240"/>
      <w:ind w:firstLine="720"/>
    </w:pPr>
  </w:style>
  <w:style w:type="paragraph" w:customStyle="1" w:styleId="HBbd">
    <w:name w:val="HBbd"/>
    <w:basedOn w:val="Normal"/>
    <w:uiPriority w:val="1"/>
    <w:qFormat/>
    <w:pPr>
      <w:spacing w:line="480" w:lineRule="auto"/>
      <w:ind w:firstLine="720"/>
    </w:pPr>
  </w:style>
  <w:style w:type="paragraph" w:customStyle="1" w:styleId="HBbj">
    <w:name w:val="HBbj"/>
    <w:basedOn w:val="Normal"/>
    <w:uiPriority w:val="1"/>
    <w:qFormat/>
    <w:pPr>
      <w:spacing w:after="240"/>
      <w:ind w:firstLine="720"/>
      <w:jc w:val="both"/>
    </w:pPr>
  </w:style>
  <w:style w:type="paragraph" w:customStyle="1" w:styleId="HBbjd">
    <w:name w:val="HBbjd"/>
    <w:basedOn w:val="Normal"/>
    <w:uiPriority w:val="1"/>
    <w:qFormat/>
    <w:pPr>
      <w:spacing w:line="480" w:lineRule="auto"/>
      <w:ind w:firstLine="720"/>
      <w:jc w:val="both"/>
    </w:pPr>
  </w:style>
  <w:style w:type="paragraph" w:customStyle="1" w:styleId="HBbl">
    <w:name w:val="HBbl"/>
    <w:basedOn w:val="Normal"/>
    <w:uiPriority w:val="1"/>
    <w:qFormat/>
    <w:pPr>
      <w:spacing w:after="240"/>
    </w:pPr>
  </w:style>
  <w:style w:type="paragraph" w:customStyle="1" w:styleId="HBbl1">
    <w:name w:val="HBbl1"/>
    <w:basedOn w:val="Normal"/>
    <w:uiPriority w:val="1"/>
    <w:qFormat/>
    <w:pPr>
      <w:spacing w:after="240"/>
      <w:ind w:left="720"/>
    </w:pPr>
  </w:style>
  <w:style w:type="paragraph" w:customStyle="1" w:styleId="HBbl1d">
    <w:name w:val="HBbl1d"/>
    <w:basedOn w:val="Normal"/>
    <w:uiPriority w:val="1"/>
    <w:qFormat/>
    <w:pPr>
      <w:spacing w:line="480" w:lineRule="auto"/>
      <w:ind w:left="720"/>
    </w:pPr>
  </w:style>
  <w:style w:type="paragraph" w:customStyle="1" w:styleId="HBbl1j">
    <w:name w:val="HBbl1j"/>
    <w:basedOn w:val="Normal"/>
    <w:uiPriority w:val="1"/>
    <w:qFormat/>
    <w:pPr>
      <w:spacing w:after="240"/>
      <w:ind w:left="720"/>
      <w:jc w:val="both"/>
    </w:pPr>
  </w:style>
  <w:style w:type="paragraph" w:customStyle="1" w:styleId="HBbl1jD">
    <w:name w:val="HBbl1jD"/>
    <w:basedOn w:val="Normal"/>
    <w:uiPriority w:val="1"/>
    <w:qFormat/>
    <w:pPr>
      <w:spacing w:line="480" w:lineRule="auto"/>
      <w:ind w:left="720"/>
      <w:jc w:val="both"/>
    </w:pPr>
  </w:style>
  <w:style w:type="paragraph" w:customStyle="1" w:styleId="HBbld">
    <w:name w:val="HBbld"/>
    <w:basedOn w:val="Normal"/>
    <w:uiPriority w:val="1"/>
    <w:qFormat/>
    <w:pPr>
      <w:spacing w:line="480" w:lineRule="auto"/>
    </w:pPr>
  </w:style>
  <w:style w:type="paragraph" w:customStyle="1" w:styleId="HBblj">
    <w:name w:val="HBblj"/>
    <w:basedOn w:val="Normal"/>
    <w:uiPriority w:val="1"/>
    <w:qFormat/>
    <w:pPr>
      <w:spacing w:after="240"/>
      <w:jc w:val="both"/>
    </w:pPr>
  </w:style>
  <w:style w:type="paragraph" w:customStyle="1" w:styleId="HBbljd">
    <w:name w:val="HBbljd"/>
    <w:basedOn w:val="Normal"/>
    <w:uiPriority w:val="1"/>
    <w:qFormat/>
    <w:pPr>
      <w:spacing w:line="480" w:lineRule="auto"/>
      <w:jc w:val="both"/>
    </w:pPr>
  </w:style>
  <w:style w:type="paragraph" w:customStyle="1" w:styleId="HBbul">
    <w:name w:val="HBbul"/>
    <w:basedOn w:val="Normal"/>
    <w:uiPriority w:val="1"/>
    <w:qFormat/>
    <w:pPr>
      <w:keepLines/>
      <w:numPr>
        <w:numId w:val="1"/>
      </w:numPr>
      <w:spacing w:before="120" w:after="120"/>
    </w:pPr>
    <w:rPr>
      <w:sz w:val="18"/>
    </w:rPr>
  </w:style>
  <w:style w:type="paragraph" w:customStyle="1" w:styleId="HBh">
    <w:name w:val="HBh"/>
    <w:basedOn w:val="Normal"/>
    <w:uiPriority w:val="1"/>
    <w:qFormat/>
    <w:pPr>
      <w:spacing w:after="240"/>
      <w:ind w:left="720" w:hanging="720"/>
    </w:pPr>
  </w:style>
  <w:style w:type="paragraph" w:customStyle="1" w:styleId="HBhd">
    <w:name w:val="HBhd"/>
    <w:basedOn w:val="Normal"/>
    <w:uiPriority w:val="1"/>
    <w:qFormat/>
    <w:pPr>
      <w:spacing w:line="480" w:lineRule="auto"/>
      <w:ind w:left="720" w:hanging="720"/>
    </w:pPr>
  </w:style>
  <w:style w:type="paragraph" w:customStyle="1" w:styleId="HBq">
    <w:name w:val="HBq"/>
    <w:basedOn w:val="Normal"/>
    <w:uiPriority w:val="1"/>
    <w:qFormat/>
    <w:pPr>
      <w:spacing w:after="240"/>
      <w:ind w:left="720" w:right="720"/>
    </w:pPr>
  </w:style>
  <w:style w:type="paragraph" w:customStyle="1" w:styleId="HBqj">
    <w:name w:val="HBqj"/>
    <w:basedOn w:val="Normal"/>
    <w:uiPriority w:val="1"/>
    <w:qFormat/>
    <w:pPr>
      <w:spacing w:after="240"/>
      <w:ind w:left="720" w:right="720"/>
      <w:jc w:val="both"/>
    </w:pPr>
  </w:style>
  <w:style w:type="paragraph" w:customStyle="1" w:styleId="HBsbul">
    <w:name w:val="HBsbul"/>
    <w:basedOn w:val="Normal"/>
    <w:uiPriority w:val="1"/>
    <w:qFormat/>
    <w:pPr>
      <w:numPr>
        <w:numId w:val="2"/>
      </w:numPr>
      <w:spacing w:after="120"/>
    </w:pPr>
    <w:rPr>
      <w:sz w:val="18"/>
    </w:rPr>
  </w:style>
  <w:style w:type="paragraph" w:customStyle="1" w:styleId="HBsig">
    <w:name w:val="HBsig"/>
    <w:basedOn w:val="Normal"/>
    <w:uiPriority w:val="1"/>
    <w:qFormat/>
    <w:pPr>
      <w:keepNext/>
      <w:tabs>
        <w:tab w:val="right" w:pos="9216"/>
      </w:tabs>
      <w:ind w:left="4320"/>
    </w:pPr>
  </w:style>
  <w:style w:type="paragraph" w:customStyle="1" w:styleId="HBsl">
    <w:name w:val="HBsl"/>
    <w:basedOn w:val="Normal"/>
    <w:next w:val="HBb"/>
    <w:uiPriority w:val="1"/>
    <w:qFormat/>
    <w:pPr>
      <w:keepNext/>
      <w:spacing w:after="240"/>
    </w:pPr>
    <w:rPr>
      <w:u w:val="single"/>
    </w:rPr>
  </w:style>
  <w:style w:type="paragraph" w:customStyle="1" w:styleId="HBslb">
    <w:name w:val="HBslb"/>
    <w:basedOn w:val="Normal"/>
    <w:next w:val="Normal"/>
    <w:uiPriority w:val="1"/>
    <w:qFormat/>
    <w:pPr>
      <w:keepNext/>
      <w:suppressAutoHyphens w:val="0"/>
      <w:spacing w:after="240"/>
      <w:outlineLvl w:val="1"/>
    </w:pPr>
    <w:rPr>
      <w:b/>
      <w:u w:val="single"/>
    </w:rPr>
  </w:style>
  <w:style w:type="paragraph" w:customStyle="1" w:styleId="HBsn">
    <w:name w:val="HBsn"/>
    <w:basedOn w:val="Normal"/>
    <w:uiPriority w:val="1"/>
    <w:qFormat/>
    <w:pPr>
      <w:keepNext/>
      <w:spacing w:before="960" w:after="240"/>
      <w:ind w:left="4320"/>
      <w:contextualSpacing/>
    </w:pPr>
  </w:style>
  <w:style w:type="paragraph" w:customStyle="1" w:styleId="HBtb2">
    <w:name w:val="HBtb2"/>
    <w:basedOn w:val="Normal"/>
    <w:uiPriority w:val="1"/>
    <w:qFormat/>
    <w:pPr>
      <w:keepNext/>
      <w:spacing w:after="240"/>
      <w:jc w:val="center"/>
      <w:outlineLvl w:val="0"/>
    </w:pPr>
    <w:rPr>
      <w:b/>
    </w:rPr>
  </w:style>
  <w:style w:type="paragraph" w:customStyle="1" w:styleId="HBtbu">
    <w:name w:val="HBtbu"/>
    <w:basedOn w:val="Normal"/>
    <w:uiPriority w:val="1"/>
    <w:qFormat/>
    <w:pPr>
      <w:keepNext/>
      <w:spacing w:after="240"/>
      <w:jc w:val="center"/>
      <w:outlineLvl w:val="0"/>
    </w:pPr>
    <w:rPr>
      <w:b/>
      <w:u w:val="single"/>
    </w:rPr>
  </w:style>
  <w:style w:type="paragraph" w:customStyle="1" w:styleId="HBtbu3">
    <w:name w:val="HBtbu3"/>
    <w:basedOn w:val="Normal"/>
    <w:uiPriority w:val="1"/>
    <w:qFormat/>
    <w:pPr>
      <w:keepNext/>
      <w:suppressAutoHyphens w:val="0"/>
      <w:spacing w:after="480"/>
      <w:jc w:val="center"/>
      <w:outlineLvl w:val="0"/>
    </w:pPr>
    <w:rPr>
      <w:b/>
      <w:u w:val="single"/>
    </w:rPr>
  </w:style>
  <w:style w:type="paragraph" w:customStyle="1" w:styleId="HBtu2">
    <w:name w:val="HBtu2"/>
    <w:basedOn w:val="Normal"/>
    <w:uiPriority w:val="1"/>
    <w:qFormat/>
    <w:pPr>
      <w:keepNext/>
      <w:spacing w:after="240"/>
      <w:jc w:val="center"/>
      <w:outlineLvl w:val="0"/>
    </w:pPr>
    <w:rPr>
      <w:u w:val="single"/>
    </w:rPr>
  </w:style>
  <w:style w:type="character" w:customStyle="1" w:styleId="Heading1Char">
    <w:name w:val="Heading 1 Char"/>
    <w:link w:val="Heading1"/>
    <w:uiPriority w:val="1"/>
    <w:rsid w:val="00220549"/>
    <w:rPr>
      <w:rFonts w:ascii="Times New Roman" w:hAnsi="Times New Roman" w:cs="Times New Roman"/>
      <w:b/>
      <w:bCs/>
    </w:rPr>
  </w:style>
  <w:style w:type="character" w:customStyle="1" w:styleId="Heading2Char">
    <w:name w:val="Heading 2 Char"/>
    <w:link w:val="Heading2"/>
    <w:uiPriority w:val="1"/>
    <w:rPr>
      <w:rFonts w:ascii="Times New Roman" w:eastAsia="Times New Roman" w:hAnsi="Times New Roman" w:cs="Times New Roman"/>
      <w:snapToGrid w:val="0"/>
      <w:sz w:val="24"/>
      <w:szCs w:val="24"/>
    </w:rPr>
  </w:style>
  <w:style w:type="character" w:customStyle="1" w:styleId="Heading3Char">
    <w:name w:val="Heading 3 Char"/>
    <w:link w:val="Heading3"/>
    <w:uiPriority w:val="1"/>
    <w:rPr>
      <w:rFonts w:ascii="Times New Roman" w:eastAsia="Times New Roman" w:hAnsi="Times New Roman" w:cs="Times New Roman"/>
      <w:snapToGrid w:val="0"/>
      <w:sz w:val="24"/>
      <w:szCs w:val="24"/>
    </w:rPr>
  </w:style>
  <w:style w:type="character" w:customStyle="1" w:styleId="Heading4Char">
    <w:name w:val="Heading 4 Char"/>
    <w:link w:val="Heading4"/>
    <w:uiPriority w:val="1"/>
    <w:rPr>
      <w:rFonts w:ascii="Times New Roman" w:eastAsia="Times New Roman" w:hAnsi="Times New Roman" w:cs="Times New Roman"/>
      <w:snapToGrid w:val="0"/>
      <w:sz w:val="24"/>
      <w:szCs w:val="24"/>
    </w:rPr>
  </w:style>
  <w:style w:type="character" w:customStyle="1" w:styleId="Heading5Char">
    <w:name w:val="Heading 5 Char"/>
    <w:link w:val="Heading5"/>
    <w:uiPriority w:val="1"/>
    <w:rPr>
      <w:rFonts w:ascii="Times New Roman" w:eastAsia="Times New Roman" w:hAnsi="Times New Roman" w:cs="Times New Roman"/>
      <w:snapToGrid w:val="0"/>
      <w:sz w:val="24"/>
      <w:szCs w:val="24"/>
    </w:rPr>
  </w:style>
  <w:style w:type="character" w:customStyle="1" w:styleId="Heading6Char">
    <w:name w:val="Heading 6 Char"/>
    <w:link w:val="Heading6"/>
    <w:uiPriority w:val="1"/>
    <w:rPr>
      <w:rFonts w:ascii="Times New Roman" w:eastAsia="Times New Roman" w:hAnsi="Times New Roman" w:cs="Times New Roman"/>
      <w:sz w:val="24"/>
      <w:szCs w:val="24"/>
    </w:rPr>
  </w:style>
  <w:style w:type="character" w:customStyle="1" w:styleId="Heading7Char">
    <w:name w:val="Heading 7 Char"/>
    <w:link w:val="Heading7"/>
    <w:uiPriority w:val="1"/>
    <w:rPr>
      <w:rFonts w:ascii="Times New Roman" w:eastAsia="Times New Roman" w:hAnsi="Times New Roman" w:cs="Times New Roman"/>
      <w:sz w:val="24"/>
      <w:szCs w:val="24"/>
    </w:rPr>
  </w:style>
  <w:style w:type="character" w:customStyle="1" w:styleId="Heading8Char">
    <w:name w:val="Heading 8 Char"/>
    <w:link w:val="Heading8"/>
    <w:uiPriority w:val="1"/>
    <w:rPr>
      <w:rFonts w:ascii="Times New Roman" w:eastAsia="Times New Roman" w:hAnsi="Times New Roman" w:cs="Times New Roman"/>
      <w:sz w:val="24"/>
      <w:szCs w:val="24"/>
    </w:rPr>
  </w:style>
  <w:style w:type="character" w:customStyle="1" w:styleId="Heading9Char">
    <w:name w:val="Heading 9 Char"/>
    <w:link w:val="Heading9"/>
    <w:uiPriority w:val="1"/>
    <w:rPr>
      <w:rFonts w:ascii="Times New Roman" w:eastAsia="Times New Roman" w:hAnsi="Times New Roman" w:cs="Times New Roman"/>
      <w:sz w:val="24"/>
      <w:szCs w:val="24"/>
    </w:rPr>
  </w:style>
  <w:style w:type="paragraph" w:customStyle="1" w:styleId="MarysStyle">
    <w:name w:val="Mary's Style"/>
    <w:basedOn w:val="Normal"/>
    <w:uiPriority w:val="19"/>
    <w:semiHidden/>
    <w:rPr>
      <w:rFonts w:ascii="Chiller" w:hAnsi="Chiller"/>
      <w:color w:val="5F497A"/>
      <w:sz w:val="32"/>
    </w:rPr>
  </w:style>
  <w:style w:type="paragraph" w:styleId="Title">
    <w:name w:val="Title"/>
    <w:basedOn w:val="Normal"/>
    <w:link w:val="TitleChar"/>
    <w:uiPriority w:val="1"/>
    <w:qFormat/>
    <w:pPr>
      <w:spacing w:before="240" w:after="60"/>
      <w:jc w:val="center"/>
      <w:outlineLvl w:val="0"/>
    </w:pPr>
    <w:rPr>
      <w:rFonts w:cs="Arial"/>
      <w:b/>
      <w:bCs/>
      <w:kern w:val="28"/>
      <w:sz w:val="36"/>
      <w:szCs w:val="32"/>
    </w:rPr>
  </w:style>
  <w:style w:type="character" w:customStyle="1" w:styleId="TitleChar">
    <w:name w:val="Title Char"/>
    <w:link w:val="Title"/>
    <w:uiPriority w:val="1"/>
    <w:rPr>
      <w:rFonts w:ascii="Times New Roman" w:eastAsia="Times New Roman" w:hAnsi="Times New Roman" w:cs="Arial"/>
      <w:b/>
      <w:bCs/>
      <w:kern w:val="28"/>
      <w:sz w:val="36"/>
      <w:szCs w:val="32"/>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59"/>
    <w:rsid w:val="00CC3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049F"/>
    <w:pPr>
      <w:tabs>
        <w:tab w:val="center" w:pos="4680"/>
        <w:tab w:val="right" w:pos="9360"/>
      </w:tabs>
    </w:pPr>
  </w:style>
  <w:style w:type="character" w:customStyle="1" w:styleId="HeaderChar">
    <w:name w:val="Header Char"/>
    <w:basedOn w:val="DefaultParagraphFont"/>
    <w:link w:val="Header"/>
    <w:uiPriority w:val="99"/>
    <w:rsid w:val="008F049F"/>
    <w:rPr>
      <w:rFonts w:ascii="Times New Roman" w:hAnsi="Times New Roman" w:cs="Times New Roman"/>
      <w:sz w:val="24"/>
      <w:szCs w:val="24"/>
    </w:rPr>
  </w:style>
  <w:style w:type="paragraph" w:styleId="Footer">
    <w:name w:val="footer"/>
    <w:basedOn w:val="Normal"/>
    <w:link w:val="FooterChar"/>
    <w:uiPriority w:val="99"/>
    <w:unhideWhenUsed/>
    <w:rsid w:val="008F049F"/>
    <w:pPr>
      <w:tabs>
        <w:tab w:val="center" w:pos="4680"/>
        <w:tab w:val="right" w:pos="9360"/>
      </w:tabs>
    </w:pPr>
  </w:style>
  <w:style w:type="character" w:customStyle="1" w:styleId="FooterChar">
    <w:name w:val="Footer Char"/>
    <w:basedOn w:val="DefaultParagraphFont"/>
    <w:link w:val="Footer"/>
    <w:uiPriority w:val="99"/>
    <w:rsid w:val="008F049F"/>
    <w:rPr>
      <w:rFonts w:ascii="Times New Roman" w:hAnsi="Times New Roman" w:cs="Times New Roman"/>
      <w:sz w:val="24"/>
      <w:szCs w:val="24"/>
    </w:rPr>
  </w:style>
  <w:style w:type="character" w:customStyle="1" w:styleId="DocID">
    <w:name w:val="DocID"/>
    <w:basedOn w:val="DefaultParagraphFont"/>
    <w:uiPriority w:val="1"/>
    <w:rsid w:val="008F049F"/>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18679">
      <w:bodyDiv w:val="1"/>
      <w:marLeft w:val="0"/>
      <w:marRight w:val="0"/>
      <w:marTop w:val="0"/>
      <w:marBottom w:val="0"/>
      <w:divBdr>
        <w:top w:val="none" w:sz="0" w:space="0" w:color="auto"/>
        <w:left w:val="none" w:sz="0" w:space="0" w:color="auto"/>
        <w:bottom w:val="none" w:sz="0" w:space="0" w:color="auto"/>
        <w:right w:val="none" w:sz="0" w:space="0" w:color="auto"/>
      </w:divBdr>
    </w:div>
    <w:div w:id="230771575">
      <w:bodyDiv w:val="1"/>
      <w:marLeft w:val="0"/>
      <w:marRight w:val="0"/>
      <w:marTop w:val="0"/>
      <w:marBottom w:val="0"/>
      <w:divBdr>
        <w:top w:val="none" w:sz="0" w:space="0" w:color="auto"/>
        <w:left w:val="none" w:sz="0" w:space="0" w:color="auto"/>
        <w:bottom w:val="none" w:sz="0" w:space="0" w:color="auto"/>
        <w:right w:val="none" w:sz="0" w:space="0" w:color="auto"/>
      </w:divBdr>
    </w:div>
    <w:div w:id="811824093">
      <w:bodyDiv w:val="1"/>
      <w:marLeft w:val="0"/>
      <w:marRight w:val="0"/>
      <w:marTop w:val="0"/>
      <w:marBottom w:val="0"/>
      <w:divBdr>
        <w:top w:val="none" w:sz="0" w:space="0" w:color="auto"/>
        <w:left w:val="none" w:sz="0" w:space="0" w:color="auto"/>
        <w:bottom w:val="none" w:sz="0" w:space="0" w:color="auto"/>
        <w:right w:val="none" w:sz="0" w:space="0" w:color="auto"/>
      </w:divBdr>
    </w:div>
    <w:div w:id="975988610">
      <w:bodyDiv w:val="1"/>
      <w:marLeft w:val="0"/>
      <w:marRight w:val="0"/>
      <w:marTop w:val="0"/>
      <w:marBottom w:val="0"/>
      <w:divBdr>
        <w:top w:val="none" w:sz="0" w:space="0" w:color="auto"/>
        <w:left w:val="none" w:sz="0" w:space="0" w:color="auto"/>
        <w:bottom w:val="none" w:sz="0" w:space="0" w:color="auto"/>
        <w:right w:val="none" w:sz="0" w:space="0" w:color="auto"/>
      </w:divBdr>
    </w:div>
    <w:div w:id="1069961800">
      <w:bodyDiv w:val="1"/>
      <w:marLeft w:val="0"/>
      <w:marRight w:val="0"/>
      <w:marTop w:val="0"/>
      <w:marBottom w:val="0"/>
      <w:divBdr>
        <w:top w:val="none" w:sz="0" w:space="0" w:color="auto"/>
        <w:left w:val="none" w:sz="0" w:space="0" w:color="auto"/>
        <w:bottom w:val="none" w:sz="0" w:space="0" w:color="auto"/>
        <w:right w:val="none" w:sz="0" w:space="0" w:color="auto"/>
      </w:divBdr>
    </w:div>
    <w:div w:id="1463571094">
      <w:bodyDiv w:val="1"/>
      <w:marLeft w:val="0"/>
      <w:marRight w:val="0"/>
      <w:marTop w:val="0"/>
      <w:marBottom w:val="0"/>
      <w:divBdr>
        <w:top w:val="none" w:sz="0" w:space="0" w:color="auto"/>
        <w:left w:val="none" w:sz="0" w:space="0" w:color="auto"/>
        <w:bottom w:val="none" w:sz="0" w:space="0" w:color="auto"/>
        <w:right w:val="none" w:sz="0" w:space="0" w:color="auto"/>
      </w:divBdr>
    </w:div>
    <w:div w:id="1970935888">
      <w:bodyDiv w:val="1"/>
      <w:marLeft w:val="0"/>
      <w:marRight w:val="0"/>
      <w:marTop w:val="0"/>
      <w:marBottom w:val="0"/>
      <w:divBdr>
        <w:top w:val="none" w:sz="0" w:space="0" w:color="auto"/>
        <w:left w:val="none" w:sz="0" w:space="0" w:color="auto"/>
        <w:bottom w:val="none" w:sz="0" w:space="0" w:color="auto"/>
        <w:right w:val="none" w:sz="0" w:space="0" w:color="auto"/>
      </w:divBdr>
    </w:div>
    <w:div w:id="212469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E46D5-D0F8-44FC-9A39-4ED267D3B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2019</Words>
  <Characters>11514</Characters>
  <Application>Microsoft Office Word</Application>
  <DocSecurity>0</DocSecurity>
  <Lines>95</Lines>
  <Paragraphs>27</Paragraphs>
  <ScaleCrop>false</ScaleCrop>
  <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Marks, Brett (DPH)</cp:lastModifiedBy>
  <cp:revision>7</cp:revision>
  <dcterms:created xsi:type="dcterms:W3CDTF">2024-02-09T18:37:00Z</dcterms:created>
  <dcterms:modified xsi:type="dcterms:W3CDTF">2024-02-14T13:52:00Z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4894-4269-5321.9</vt:lpwstr>
  </property>
</Properties>
</file>