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9736" w14:textId="74B6E6DD" w:rsidR="00066735" w:rsidRPr="00991B64" w:rsidRDefault="0075245E" w:rsidP="00991B64">
      <w:pPr>
        <w:pStyle w:val="Heading1"/>
        <w:rPr>
          <w:b/>
          <w:bCs/>
        </w:rPr>
      </w:pPr>
      <w:r w:rsidRPr="00991B64">
        <w:rPr>
          <w:b/>
          <w:bCs/>
        </w:rPr>
        <w:t xml:space="preserve">2. </w:t>
      </w:r>
      <w:r w:rsidR="00066735" w:rsidRPr="00991B64">
        <w:rPr>
          <w:b/>
          <w:bCs/>
        </w:rPr>
        <w:t>Project Description</w:t>
      </w:r>
    </w:p>
    <w:p w14:paraId="40ACC3FF" w14:textId="7883B025" w:rsidR="00066735" w:rsidRPr="009F7193" w:rsidRDefault="00745C9E" w:rsidP="0075245E">
      <w:pPr>
        <w:spacing w:after="120"/>
        <w:jc w:val="both"/>
        <w:rPr>
          <w:rFonts w:ascii="Aptos" w:hAnsi="Aptos"/>
          <w:sz w:val="22"/>
          <w:szCs w:val="22"/>
        </w:rPr>
      </w:pPr>
      <w:r w:rsidRPr="009F7193">
        <w:rPr>
          <w:rFonts w:ascii="Aptos" w:hAnsi="Aptos"/>
          <w:sz w:val="22"/>
          <w:szCs w:val="22"/>
        </w:rPr>
        <w:t>Cape Cod Healthcare, Inc (the “Applicant”</w:t>
      </w:r>
      <w:r w:rsidR="00F12784">
        <w:rPr>
          <w:rFonts w:ascii="Aptos" w:hAnsi="Aptos"/>
          <w:sz w:val="22"/>
          <w:szCs w:val="22"/>
        </w:rPr>
        <w:t xml:space="preserve">) </w:t>
      </w:r>
      <w:r w:rsidRPr="009F7193">
        <w:rPr>
          <w:rFonts w:ascii="Aptos" w:hAnsi="Aptos"/>
          <w:sz w:val="22"/>
          <w:szCs w:val="22"/>
        </w:rPr>
        <w:t>with a principal place of business at 27 Park Street, Hyannis, MA 02601, seeks a Determination of Need (</w:t>
      </w:r>
      <w:r w:rsidR="0034616D" w:rsidRPr="009F7193">
        <w:rPr>
          <w:rFonts w:ascii="Aptos" w:hAnsi="Aptos"/>
          <w:sz w:val="22"/>
          <w:szCs w:val="22"/>
        </w:rPr>
        <w:t>DoN</w:t>
      </w:r>
      <w:r w:rsidRPr="009F7193">
        <w:rPr>
          <w:rFonts w:ascii="Aptos" w:hAnsi="Aptos"/>
          <w:sz w:val="22"/>
          <w:szCs w:val="22"/>
        </w:rPr>
        <w:t xml:space="preserve">) from the Massachusetts Department of Public Health for </w:t>
      </w:r>
      <w:r w:rsidR="00687012" w:rsidRPr="009F7193">
        <w:rPr>
          <w:rFonts w:ascii="Aptos" w:hAnsi="Aptos"/>
          <w:sz w:val="22"/>
          <w:szCs w:val="22"/>
        </w:rPr>
        <w:t xml:space="preserve">the </w:t>
      </w:r>
      <w:r w:rsidR="00401E39" w:rsidRPr="009F7193">
        <w:rPr>
          <w:rFonts w:ascii="Aptos" w:hAnsi="Aptos"/>
          <w:sz w:val="22"/>
          <w:szCs w:val="22"/>
        </w:rPr>
        <w:t>reactivat</w:t>
      </w:r>
      <w:r w:rsidR="0075245E" w:rsidRPr="009F7193">
        <w:rPr>
          <w:rFonts w:ascii="Aptos" w:hAnsi="Aptos"/>
          <w:sz w:val="22"/>
          <w:szCs w:val="22"/>
        </w:rPr>
        <w:t>ion of</w:t>
      </w:r>
      <w:r w:rsidR="00401E39" w:rsidRPr="009F7193">
        <w:rPr>
          <w:rFonts w:ascii="Aptos" w:hAnsi="Aptos"/>
          <w:sz w:val="22"/>
          <w:szCs w:val="22"/>
        </w:rPr>
        <w:t xml:space="preserve"> one (1) </w:t>
      </w:r>
      <w:r w:rsidR="0075245E" w:rsidRPr="009F7193">
        <w:rPr>
          <w:rFonts w:ascii="Aptos" w:hAnsi="Aptos"/>
          <w:sz w:val="22"/>
          <w:szCs w:val="22"/>
        </w:rPr>
        <w:t xml:space="preserve">existing, dormant </w:t>
      </w:r>
      <w:r w:rsidR="00401E39" w:rsidRPr="009F7193">
        <w:rPr>
          <w:rFonts w:ascii="Aptos" w:hAnsi="Aptos"/>
          <w:sz w:val="22"/>
          <w:szCs w:val="22"/>
        </w:rPr>
        <w:t>magnetic resonance imaging (MRI) machine</w:t>
      </w:r>
      <w:r w:rsidRPr="009F7193">
        <w:rPr>
          <w:rFonts w:ascii="Aptos" w:hAnsi="Aptos"/>
          <w:sz w:val="22"/>
          <w:szCs w:val="22"/>
        </w:rPr>
        <w:t xml:space="preserve"> </w:t>
      </w:r>
      <w:r w:rsidR="0075245E" w:rsidRPr="009F7193">
        <w:rPr>
          <w:rFonts w:ascii="Aptos" w:hAnsi="Aptos"/>
          <w:sz w:val="22"/>
          <w:szCs w:val="22"/>
        </w:rPr>
        <w:t>at</w:t>
      </w:r>
      <w:r w:rsidR="00687012" w:rsidRPr="009F7193">
        <w:rPr>
          <w:rFonts w:ascii="Aptos" w:hAnsi="Aptos"/>
          <w:sz w:val="22"/>
          <w:szCs w:val="22"/>
        </w:rPr>
        <w:t xml:space="preserve"> Cape Cod Hospital (the “Hospital”) located at the same address</w:t>
      </w:r>
      <w:r w:rsidR="00EC0790" w:rsidRPr="009F7193">
        <w:rPr>
          <w:rFonts w:ascii="Aptos" w:hAnsi="Aptos"/>
          <w:sz w:val="22"/>
          <w:szCs w:val="22"/>
        </w:rPr>
        <w:t xml:space="preserve"> (the “Proposed Project”)</w:t>
      </w:r>
      <w:r w:rsidR="00C00170">
        <w:rPr>
          <w:rFonts w:ascii="Aptos" w:hAnsi="Aptos"/>
          <w:sz w:val="22"/>
          <w:szCs w:val="22"/>
        </w:rPr>
        <w:t>.</w:t>
      </w:r>
    </w:p>
    <w:p w14:paraId="6D2A0978" w14:textId="009A9723" w:rsidR="0075245E" w:rsidRPr="009F7193" w:rsidRDefault="0034616D" w:rsidP="0075245E">
      <w:pPr>
        <w:suppressAutoHyphens w:val="0"/>
        <w:autoSpaceDE w:val="0"/>
        <w:autoSpaceDN w:val="0"/>
        <w:adjustRightInd w:val="0"/>
        <w:spacing w:after="120"/>
        <w:jc w:val="both"/>
        <w:rPr>
          <w:rFonts w:ascii="Aptos" w:hAnsi="Aptos"/>
          <w:sz w:val="22"/>
          <w:szCs w:val="22"/>
        </w:rPr>
      </w:pPr>
      <w:r w:rsidRPr="009F7193">
        <w:rPr>
          <w:rFonts w:ascii="Aptos" w:hAnsi="Aptos"/>
          <w:sz w:val="22"/>
          <w:szCs w:val="22"/>
        </w:rPr>
        <w:t>The Applicant</w:t>
      </w:r>
      <w:r w:rsidR="005A2141" w:rsidRPr="009F7193">
        <w:rPr>
          <w:rFonts w:ascii="Aptos" w:hAnsi="Aptos"/>
          <w:sz w:val="22"/>
          <w:szCs w:val="22"/>
        </w:rPr>
        <w:t xml:space="preserve"> is the largest provider of healthcare services for residents and visitors of Cape Cod.</w:t>
      </w:r>
      <w:r w:rsidR="00AF0338" w:rsidRPr="009F7193">
        <w:rPr>
          <w:rFonts w:ascii="Aptos" w:hAnsi="Aptos"/>
          <w:sz w:val="22"/>
          <w:szCs w:val="22"/>
        </w:rPr>
        <w:t xml:space="preserve"> </w:t>
      </w:r>
      <w:r w:rsidR="005A2141" w:rsidRPr="009F7193">
        <w:rPr>
          <w:rFonts w:ascii="Aptos" w:hAnsi="Aptos"/>
          <w:sz w:val="22"/>
          <w:szCs w:val="22"/>
        </w:rPr>
        <w:t xml:space="preserve">With nearly 600 physicians and 5,000 employees, Cape Cod Healthcare includes the physician </w:t>
      </w:r>
      <w:r w:rsidRPr="009F7193">
        <w:rPr>
          <w:rFonts w:ascii="Aptos" w:hAnsi="Aptos"/>
          <w:sz w:val="22"/>
          <w:szCs w:val="22"/>
        </w:rPr>
        <w:t>organization</w:t>
      </w:r>
      <w:r w:rsidR="005A2141" w:rsidRPr="009F7193">
        <w:rPr>
          <w:rFonts w:ascii="Aptos" w:hAnsi="Aptos"/>
          <w:sz w:val="22"/>
          <w:szCs w:val="22"/>
        </w:rPr>
        <w:t xml:space="preserve">, Medical Affiliates of Cape Cod, homecare and hospice services, a skilled nursing and </w:t>
      </w:r>
      <w:r w:rsidR="003D5B51">
        <w:rPr>
          <w:rFonts w:ascii="Aptos" w:hAnsi="Aptos"/>
          <w:sz w:val="22"/>
          <w:szCs w:val="22"/>
        </w:rPr>
        <w:t xml:space="preserve">a </w:t>
      </w:r>
      <w:r w:rsidR="005A2141" w:rsidRPr="009F7193">
        <w:rPr>
          <w:rFonts w:ascii="Aptos" w:hAnsi="Aptos"/>
          <w:sz w:val="22"/>
          <w:szCs w:val="22"/>
        </w:rPr>
        <w:t xml:space="preserve">rehabilitation facility, an assisted living facility, </w:t>
      </w:r>
      <w:r w:rsidR="003D5B51">
        <w:rPr>
          <w:rFonts w:ascii="Aptos" w:hAnsi="Aptos"/>
          <w:sz w:val="22"/>
          <w:szCs w:val="22"/>
        </w:rPr>
        <w:t>seven</w:t>
      </w:r>
      <w:r w:rsidR="003D5B51" w:rsidRPr="009F7193">
        <w:rPr>
          <w:rFonts w:ascii="Aptos" w:hAnsi="Aptos"/>
          <w:sz w:val="22"/>
          <w:szCs w:val="22"/>
        </w:rPr>
        <w:t xml:space="preserve"> </w:t>
      </w:r>
      <w:r w:rsidR="005A2141" w:rsidRPr="009F7193">
        <w:rPr>
          <w:rFonts w:ascii="Aptos" w:hAnsi="Aptos"/>
          <w:sz w:val="22"/>
          <w:szCs w:val="22"/>
        </w:rPr>
        <w:t xml:space="preserve">urgent care centers and two acute hospitals – Cape Cod Hospital and Falmouth Hospital. </w:t>
      </w:r>
    </w:p>
    <w:p w14:paraId="2A5632C0" w14:textId="26F06185" w:rsidR="00EC0790" w:rsidRPr="009F7193" w:rsidRDefault="005A2141" w:rsidP="0075245E">
      <w:pPr>
        <w:suppressAutoHyphens w:val="0"/>
        <w:autoSpaceDE w:val="0"/>
        <w:autoSpaceDN w:val="0"/>
        <w:adjustRightInd w:val="0"/>
        <w:spacing w:after="120"/>
        <w:jc w:val="both"/>
        <w:rPr>
          <w:rFonts w:ascii="Aptos" w:hAnsi="Aptos"/>
          <w:sz w:val="22"/>
          <w:szCs w:val="22"/>
        </w:rPr>
      </w:pPr>
      <w:r w:rsidRPr="009F7193">
        <w:rPr>
          <w:rFonts w:ascii="Aptos" w:hAnsi="Aptos"/>
          <w:sz w:val="22"/>
          <w:szCs w:val="22"/>
        </w:rPr>
        <w:t xml:space="preserve">Cape Cod Hospital is the largest provider of inpatient </w:t>
      </w:r>
      <w:r w:rsidR="000C33DA" w:rsidRPr="009F7193">
        <w:rPr>
          <w:rFonts w:ascii="Aptos" w:hAnsi="Aptos"/>
          <w:sz w:val="22"/>
          <w:szCs w:val="22"/>
        </w:rPr>
        <w:t xml:space="preserve">and emergency </w:t>
      </w:r>
      <w:r w:rsidRPr="009F7193">
        <w:rPr>
          <w:rFonts w:ascii="Aptos" w:hAnsi="Aptos"/>
          <w:sz w:val="22"/>
          <w:szCs w:val="22"/>
        </w:rPr>
        <w:t xml:space="preserve">services on Cape Cod </w:t>
      </w:r>
      <w:r w:rsidR="000C33DA" w:rsidRPr="009F7193">
        <w:rPr>
          <w:rFonts w:ascii="Aptos" w:hAnsi="Aptos"/>
          <w:sz w:val="22"/>
          <w:szCs w:val="22"/>
        </w:rPr>
        <w:t>with the only designated trauma emergency department serving the Cape and Islands.</w:t>
      </w:r>
      <w:r w:rsidR="0075245E" w:rsidRPr="009F7193">
        <w:rPr>
          <w:rFonts w:ascii="Aptos" w:hAnsi="Aptos"/>
          <w:sz w:val="22"/>
          <w:szCs w:val="22"/>
        </w:rPr>
        <w:t xml:space="preserve"> </w:t>
      </w:r>
      <w:r w:rsidR="00EC0790" w:rsidRPr="009F7193">
        <w:rPr>
          <w:rFonts w:ascii="Aptos" w:hAnsi="Aptos"/>
          <w:sz w:val="22"/>
          <w:szCs w:val="22"/>
        </w:rPr>
        <w:t>The Hospital’s service area encompasses the entire Cape Cod region, with a population characterized by a high median age and a rapidly growing proportion of older adults. The Hospital operates three satellite MRI locations in addition to</w:t>
      </w:r>
      <w:r w:rsidR="0075245E" w:rsidRPr="009F7193">
        <w:rPr>
          <w:rFonts w:ascii="Aptos" w:hAnsi="Aptos"/>
          <w:sz w:val="22"/>
          <w:szCs w:val="22"/>
        </w:rPr>
        <w:t xml:space="preserve"> </w:t>
      </w:r>
      <w:r w:rsidR="0034616D" w:rsidRPr="009F7193">
        <w:rPr>
          <w:rFonts w:ascii="Aptos" w:hAnsi="Aptos"/>
          <w:sz w:val="22"/>
          <w:szCs w:val="22"/>
        </w:rPr>
        <w:t xml:space="preserve">providing </w:t>
      </w:r>
      <w:r w:rsidR="0075245E" w:rsidRPr="009F7193">
        <w:rPr>
          <w:rFonts w:ascii="Aptos" w:hAnsi="Aptos"/>
          <w:sz w:val="22"/>
          <w:szCs w:val="22"/>
        </w:rPr>
        <w:t xml:space="preserve">MRI </w:t>
      </w:r>
      <w:r w:rsidR="0034616D" w:rsidRPr="009F7193">
        <w:rPr>
          <w:rFonts w:ascii="Aptos" w:hAnsi="Aptos"/>
          <w:sz w:val="22"/>
          <w:szCs w:val="22"/>
        </w:rPr>
        <w:t xml:space="preserve">services </w:t>
      </w:r>
      <w:r w:rsidR="0075245E" w:rsidRPr="009F7193">
        <w:rPr>
          <w:rFonts w:ascii="Aptos" w:hAnsi="Aptos"/>
          <w:sz w:val="22"/>
          <w:szCs w:val="22"/>
        </w:rPr>
        <w:t>available at</w:t>
      </w:r>
      <w:r w:rsidR="00EC0790" w:rsidRPr="009F7193">
        <w:rPr>
          <w:rFonts w:ascii="Aptos" w:hAnsi="Aptos"/>
          <w:sz w:val="22"/>
          <w:szCs w:val="22"/>
        </w:rPr>
        <w:t xml:space="preserve"> its main campus. </w:t>
      </w:r>
      <w:proofErr w:type="gramStart"/>
      <w:r w:rsidR="0034616D" w:rsidRPr="009F7193">
        <w:rPr>
          <w:rFonts w:ascii="Aptos" w:hAnsi="Aptos"/>
          <w:sz w:val="22"/>
          <w:szCs w:val="22"/>
        </w:rPr>
        <w:t>A</w:t>
      </w:r>
      <w:r w:rsidR="00EC0790" w:rsidRPr="009F7193">
        <w:rPr>
          <w:rFonts w:ascii="Aptos" w:hAnsi="Aptos"/>
          <w:sz w:val="22"/>
          <w:szCs w:val="22"/>
        </w:rPr>
        <w:t xml:space="preserve">ll </w:t>
      </w:r>
      <w:r w:rsidR="0034616D" w:rsidRPr="009F7193">
        <w:rPr>
          <w:rFonts w:ascii="Aptos" w:hAnsi="Aptos"/>
          <w:sz w:val="22"/>
          <w:szCs w:val="22"/>
        </w:rPr>
        <w:t>of</w:t>
      </w:r>
      <w:proofErr w:type="gramEnd"/>
      <w:r w:rsidR="0034616D" w:rsidRPr="009F7193">
        <w:rPr>
          <w:rFonts w:ascii="Aptos" w:hAnsi="Aptos"/>
          <w:sz w:val="22"/>
          <w:szCs w:val="22"/>
        </w:rPr>
        <w:t xml:space="preserve"> the Hospital’s </w:t>
      </w:r>
      <w:r w:rsidR="00EC0790" w:rsidRPr="009F7193">
        <w:rPr>
          <w:rFonts w:ascii="Aptos" w:hAnsi="Aptos"/>
          <w:sz w:val="22"/>
          <w:szCs w:val="22"/>
        </w:rPr>
        <w:t>MRI units</w:t>
      </w:r>
      <w:r w:rsidR="0075245E" w:rsidRPr="009F7193">
        <w:rPr>
          <w:rFonts w:ascii="Aptos" w:hAnsi="Aptos"/>
          <w:sz w:val="22"/>
          <w:szCs w:val="22"/>
        </w:rPr>
        <w:t xml:space="preserve"> </w:t>
      </w:r>
      <w:r w:rsidR="00EC0790" w:rsidRPr="009F7193">
        <w:rPr>
          <w:rFonts w:ascii="Aptos" w:hAnsi="Aptos"/>
          <w:sz w:val="22"/>
          <w:szCs w:val="22"/>
        </w:rPr>
        <w:t>are operating above 8</w:t>
      </w:r>
      <w:r w:rsidR="0034616D" w:rsidRPr="009F7193">
        <w:rPr>
          <w:rFonts w:ascii="Aptos" w:hAnsi="Aptos"/>
          <w:sz w:val="22"/>
          <w:szCs w:val="22"/>
        </w:rPr>
        <w:t>5</w:t>
      </w:r>
      <w:r w:rsidR="00EC0790" w:rsidRPr="009F7193">
        <w:rPr>
          <w:rFonts w:ascii="Aptos" w:hAnsi="Aptos"/>
          <w:sz w:val="22"/>
          <w:szCs w:val="22"/>
        </w:rPr>
        <w:t xml:space="preserve">%. This </w:t>
      </w:r>
      <w:r w:rsidR="0034616D" w:rsidRPr="009F7193">
        <w:rPr>
          <w:rFonts w:ascii="Aptos" w:hAnsi="Aptos"/>
          <w:sz w:val="22"/>
          <w:szCs w:val="22"/>
        </w:rPr>
        <w:t>high</w:t>
      </w:r>
      <w:r w:rsidR="00EC0790" w:rsidRPr="009F7193">
        <w:rPr>
          <w:rFonts w:ascii="Aptos" w:hAnsi="Aptos"/>
          <w:sz w:val="22"/>
          <w:szCs w:val="22"/>
        </w:rPr>
        <w:t xml:space="preserve"> utilization results in longer wait times, increased strain on equipment, and limited ability to accommodate emergency</w:t>
      </w:r>
      <w:r w:rsidR="009F7193" w:rsidRPr="009F7193">
        <w:rPr>
          <w:rFonts w:ascii="Aptos" w:hAnsi="Aptos"/>
          <w:sz w:val="22"/>
          <w:szCs w:val="22"/>
        </w:rPr>
        <w:t xml:space="preserve"> patients</w:t>
      </w:r>
      <w:r w:rsidR="00EC0790" w:rsidRPr="009F7193">
        <w:rPr>
          <w:rFonts w:ascii="Aptos" w:hAnsi="Aptos"/>
          <w:sz w:val="22"/>
          <w:szCs w:val="22"/>
        </w:rPr>
        <w:t xml:space="preserve"> and complex inpatient cases</w:t>
      </w:r>
      <w:r w:rsidR="0034616D" w:rsidRPr="009F7193">
        <w:rPr>
          <w:rFonts w:ascii="Aptos" w:hAnsi="Aptos"/>
          <w:sz w:val="22"/>
          <w:szCs w:val="22"/>
        </w:rPr>
        <w:t xml:space="preserve"> in a timely manner</w:t>
      </w:r>
      <w:r w:rsidR="00EC0790" w:rsidRPr="009F7193">
        <w:rPr>
          <w:rFonts w:ascii="Aptos" w:hAnsi="Aptos"/>
          <w:sz w:val="22"/>
          <w:szCs w:val="22"/>
        </w:rPr>
        <w:t>.</w:t>
      </w:r>
    </w:p>
    <w:p w14:paraId="74BFAFD8" w14:textId="485B6EA7" w:rsidR="00EC0790" w:rsidRPr="009F7193" w:rsidRDefault="00EC0790" w:rsidP="0075245E">
      <w:pPr>
        <w:suppressAutoHyphens w:val="0"/>
        <w:autoSpaceDE w:val="0"/>
        <w:autoSpaceDN w:val="0"/>
        <w:adjustRightInd w:val="0"/>
        <w:spacing w:after="120"/>
        <w:jc w:val="both"/>
        <w:rPr>
          <w:rFonts w:ascii="Aptos" w:hAnsi="Aptos"/>
          <w:sz w:val="22"/>
          <w:szCs w:val="22"/>
        </w:rPr>
      </w:pPr>
      <w:r w:rsidRPr="009F7193">
        <w:rPr>
          <w:rFonts w:ascii="Aptos" w:hAnsi="Aptos"/>
          <w:sz w:val="22"/>
          <w:szCs w:val="22"/>
        </w:rPr>
        <w:t xml:space="preserve">In 2025, the Hospital replaced </w:t>
      </w:r>
      <w:r w:rsidR="0075245E" w:rsidRPr="009F7193">
        <w:rPr>
          <w:rFonts w:ascii="Aptos" w:hAnsi="Aptos"/>
          <w:sz w:val="22"/>
          <w:szCs w:val="22"/>
        </w:rPr>
        <w:t>the only MRI machine at its main campus</w:t>
      </w:r>
      <w:r w:rsidRPr="009F7193">
        <w:rPr>
          <w:rFonts w:ascii="Aptos" w:hAnsi="Aptos"/>
          <w:sz w:val="22"/>
          <w:szCs w:val="22"/>
        </w:rPr>
        <w:t xml:space="preserve"> with a state-of-the-art </w:t>
      </w:r>
      <w:r w:rsidR="0034616D" w:rsidRPr="009F7193">
        <w:rPr>
          <w:rFonts w:ascii="Aptos" w:hAnsi="Aptos"/>
          <w:sz w:val="22"/>
          <w:szCs w:val="22"/>
        </w:rPr>
        <w:t>unit</w:t>
      </w:r>
      <w:r w:rsidRPr="009F7193">
        <w:rPr>
          <w:rFonts w:ascii="Aptos" w:hAnsi="Aptos"/>
          <w:sz w:val="22"/>
          <w:szCs w:val="22"/>
        </w:rPr>
        <w:t xml:space="preserve">. Upon DPH licensure of the new </w:t>
      </w:r>
      <w:r w:rsidR="0075245E" w:rsidRPr="009F7193">
        <w:rPr>
          <w:rFonts w:ascii="Aptos" w:hAnsi="Aptos"/>
          <w:sz w:val="22"/>
          <w:szCs w:val="22"/>
        </w:rPr>
        <w:t>machine</w:t>
      </w:r>
      <w:r w:rsidRPr="009F7193">
        <w:rPr>
          <w:rFonts w:ascii="Aptos" w:hAnsi="Aptos"/>
          <w:sz w:val="22"/>
          <w:szCs w:val="22"/>
        </w:rPr>
        <w:t xml:space="preserve">, the </w:t>
      </w:r>
      <w:r w:rsidR="0075245E" w:rsidRPr="009F7193">
        <w:rPr>
          <w:rFonts w:ascii="Aptos" w:hAnsi="Aptos"/>
          <w:sz w:val="22"/>
          <w:szCs w:val="22"/>
        </w:rPr>
        <w:t xml:space="preserve">former </w:t>
      </w:r>
      <w:r w:rsidRPr="009F7193">
        <w:rPr>
          <w:rFonts w:ascii="Aptos" w:hAnsi="Aptos"/>
          <w:sz w:val="22"/>
          <w:szCs w:val="22"/>
        </w:rPr>
        <w:t>MRI was deactivated</w:t>
      </w:r>
      <w:r w:rsidR="009F7193" w:rsidRPr="009F7193">
        <w:rPr>
          <w:rFonts w:ascii="Aptos" w:hAnsi="Aptos"/>
          <w:sz w:val="22"/>
          <w:szCs w:val="22"/>
        </w:rPr>
        <w:t xml:space="preserve"> and</w:t>
      </w:r>
      <w:r w:rsidRPr="009F7193">
        <w:rPr>
          <w:rFonts w:ascii="Aptos" w:hAnsi="Aptos"/>
          <w:sz w:val="22"/>
          <w:szCs w:val="22"/>
        </w:rPr>
        <w:t xml:space="preserve"> remains </w:t>
      </w:r>
      <w:r w:rsidR="0075245E" w:rsidRPr="009F7193">
        <w:rPr>
          <w:rFonts w:ascii="Aptos" w:hAnsi="Aptos"/>
          <w:sz w:val="22"/>
          <w:szCs w:val="22"/>
        </w:rPr>
        <w:t>in place</w:t>
      </w:r>
      <w:r w:rsidRPr="009F7193">
        <w:rPr>
          <w:rFonts w:ascii="Aptos" w:hAnsi="Aptos"/>
          <w:sz w:val="22"/>
          <w:szCs w:val="22"/>
        </w:rPr>
        <w:t xml:space="preserve">. The main campus </w:t>
      </w:r>
      <w:r w:rsidR="0075245E" w:rsidRPr="009F7193">
        <w:rPr>
          <w:rFonts w:ascii="Aptos" w:hAnsi="Aptos"/>
          <w:sz w:val="22"/>
          <w:szCs w:val="22"/>
        </w:rPr>
        <w:t>continues to be</w:t>
      </w:r>
      <w:r w:rsidRPr="009F7193">
        <w:rPr>
          <w:rFonts w:ascii="Aptos" w:hAnsi="Aptos"/>
          <w:sz w:val="22"/>
          <w:szCs w:val="22"/>
        </w:rPr>
        <w:t xml:space="preserve"> limited to a single MRI </w:t>
      </w:r>
      <w:r w:rsidR="0034616D" w:rsidRPr="009F7193">
        <w:rPr>
          <w:rFonts w:ascii="Aptos" w:hAnsi="Aptos"/>
          <w:sz w:val="22"/>
          <w:szCs w:val="22"/>
        </w:rPr>
        <w:t>unit</w:t>
      </w:r>
      <w:r w:rsidRPr="009F7193">
        <w:rPr>
          <w:rFonts w:ascii="Aptos" w:hAnsi="Aptos"/>
          <w:sz w:val="22"/>
          <w:szCs w:val="22"/>
        </w:rPr>
        <w:t xml:space="preserve">, making it vulnerable to service disruptions and unable to absorb overflow from already overburdened satellite locations. This lack of redundancy threatens the Hospital’s ability to provide timely imaging for trauma, stroke, and other emergent cases, </w:t>
      </w:r>
      <w:r w:rsidR="0075245E" w:rsidRPr="009F7193">
        <w:rPr>
          <w:rFonts w:ascii="Aptos" w:hAnsi="Aptos"/>
          <w:sz w:val="22"/>
          <w:szCs w:val="22"/>
        </w:rPr>
        <w:t>which is further compounded by</w:t>
      </w:r>
      <w:r w:rsidRPr="009F7193">
        <w:rPr>
          <w:rFonts w:ascii="Aptos" w:hAnsi="Aptos"/>
          <w:sz w:val="22"/>
          <w:szCs w:val="22"/>
        </w:rPr>
        <w:t xml:space="preserve"> the Hospital’s recent designation as the only Level III Trauma Center in the area.</w:t>
      </w:r>
    </w:p>
    <w:p w14:paraId="232F58D4" w14:textId="68D7DD65" w:rsidR="00EC0790" w:rsidRPr="009F7193" w:rsidRDefault="00263370" w:rsidP="0075245E">
      <w:pPr>
        <w:suppressAutoHyphens w:val="0"/>
        <w:autoSpaceDE w:val="0"/>
        <w:autoSpaceDN w:val="0"/>
        <w:adjustRightInd w:val="0"/>
        <w:spacing w:after="120"/>
        <w:jc w:val="both"/>
        <w:rPr>
          <w:rFonts w:ascii="Aptos" w:hAnsi="Aptos"/>
          <w:sz w:val="22"/>
          <w:szCs w:val="22"/>
        </w:rPr>
      </w:pPr>
      <w:r w:rsidRPr="009F7193">
        <w:rPr>
          <w:rFonts w:ascii="Aptos" w:hAnsi="Aptos"/>
          <w:sz w:val="22"/>
          <w:szCs w:val="22"/>
        </w:rPr>
        <w:t xml:space="preserve">Utilization data demonstrates that </w:t>
      </w:r>
      <w:r w:rsidR="0075245E" w:rsidRPr="009F7193">
        <w:rPr>
          <w:rFonts w:ascii="Aptos" w:hAnsi="Aptos"/>
          <w:sz w:val="22"/>
          <w:szCs w:val="22"/>
        </w:rPr>
        <w:t>the need for MRI</w:t>
      </w:r>
      <w:r w:rsidRPr="009F7193">
        <w:rPr>
          <w:rFonts w:ascii="Aptos" w:hAnsi="Aptos"/>
          <w:sz w:val="22"/>
          <w:szCs w:val="22"/>
        </w:rPr>
        <w:t xml:space="preserve"> at the main campus has risen steadily, with utilization rates increasing from 83% in FY2022 to 8</w:t>
      </w:r>
      <w:r w:rsidR="00C00170">
        <w:rPr>
          <w:rFonts w:ascii="Aptos" w:hAnsi="Aptos"/>
          <w:sz w:val="22"/>
          <w:szCs w:val="22"/>
        </w:rPr>
        <w:t>9</w:t>
      </w:r>
      <w:r w:rsidRPr="009F7193">
        <w:rPr>
          <w:rFonts w:ascii="Aptos" w:hAnsi="Aptos"/>
          <w:sz w:val="22"/>
          <w:szCs w:val="22"/>
        </w:rPr>
        <w:t xml:space="preserve">% in FY2025, and projections indicating utilization will exceed 100% by FY2027. The need for </w:t>
      </w:r>
      <w:r w:rsidR="0034616D" w:rsidRPr="009F7193">
        <w:rPr>
          <w:rFonts w:ascii="Aptos" w:hAnsi="Aptos"/>
          <w:sz w:val="22"/>
          <w:szCs w:val="22"/>
        </w:rPr>
        <w:t>additional</w:t>
      </w:r>
      <w:r w:rsidRPr="009F7193">
        <w:rPr>
          <w:rFonts w:ascii="Aptos" w:hAnsi="Aptos"/>
          <w:sz w:val="22"/>
          <w:szCs w:val="22"/>
        </w:rPr>
        <w:t xml:space="preserve"> MRI capacity is further underscored by several recent developments: (1) the Hospital’s trauma designation and the associated increase in emergency MRI volume, (2) the opening of a new inpatient floor with 32 private medical/surgical beds in early FY2026, (3) updated state regulations mandating enhanced stroke care protocols effective January </w:t>
      </w:r>
      <w:r w:rsidR="009954A5" w:rsidRPr="009F7193">
        <w:rPr>
          <w:rFonts w:ascii="Aptos" w:hAnsi="Aptos"/>
          <w:sz w:val="22"/>
          <w:szCs w:val="22"/>
        </w:rPr>
        <w:t xml:space="preserve">1, </w:t>
      </w:r>
      <w:r w:rsidRPr="009F7193">
        <w:rPr>
          <w:rFonts w:ascii="Aptos" w:hAnsi="Aptos"/>
          <w:sz w:val="22"/>
          <w:szCs w:val="22"/>
        </w:rPr>
        <w:t>2026, and (4) the region’s rapidly aging population, with nearly 40% of Barnstable County residents projected to be 65 or older by 2035.</w:t>
      </w:r>
    </w:p>
    <w:p w14:paraId="3D5D0FCC" w14:textId="16829E1A" w:rsidR="00401E39" w:rsidRPr="009F7193" w:rsidRDefault="00263370" w:rsidP="0075245E">
      <w:pPr>
        <w:suppressAutoHyphens w:val="0"/>
        <w:autoSpaceDE w:val="0"/>
        <w:autoSpaceDN w:val="0"/>
        <w:adjustRightInd w:val="0"/>
        <w:spacing w:after="120"/>
        <w:jc w:val="both"/>
        <w:rPr>
          <w:rFonts w:ascii="Aptos" w:hAnsi="Aptos"/>
          <w:sz w:val="22"/>
          <w:szCs w:val="22"/>
        </w:rPr>
      </w:pPr>
      <w:r w:rsidRPr="009F7193">
        <w:rPr>
          <w:rFonts w:ascii="Aptos" w:hAnsi="Aptos"/>
          <w:sz w:val="22"/>
          <w:szCs w:val="22"/>
        </w:rPr>
        <w:t xml:space="preserve">Through this </w:t>
      </w:r>
      <w:r w:rsidR="0034616D" w:rsidRPr="009F7193">
        <w:rPr>
          <w:rFonts w:ascii="Aptos" w:hAnsi="Aptos"/>
          <w:sz w:val="22"/>
          <w:szCs w:val="22"/>
        </w:rPr>
        <w:t>a</w:t>
      </w:r>
      <w:r w:rsidRPr="009F7193">
        <w:rPr>
          <w:rFonts w:ascii="Aptos" w:hAnsi="Aptos"/>
          <w:sz w:val="22"/>
          <w:szCs w:val="22"/>
        </w:rPr>
        <w:t xml:space="preserve">pplication, the Hospital seeks to reactivate </w:t>
      </w:r>
      <w:r w:rsidR="009954A5" w:rsidRPr="009F7193">
        <w:rPr>
          <w:rFonts w:ascii="Aptos" w:hAnsi="Aptos"/>
          <w:sz w:val="22"/>
          <w:szCs w:val="22"/>
        </w:rPr>
        <w:t>the</w:t>
      </w:r>
      <w:r w:rsidRPr="009F7193">
        <w:rPr>
          <w:rFonts w:ascii="Aptos" w:hAnsi="Aptos"/>
          <w:sz w:val="22"/>
          <w:szCs w:val="22"/>
        </w:rPr>
        <w:t xml:space="preserve"> existing</w:t>
      </w:r>
      <w:r w:rsidR="009954A5" w:rsidRPr="009F7193">
        <w:rPr>
          <w:rFonts w:ascii="Aptos" w:hAnsi="Aptos"/>
          <w:sz w:val="22"/>
          <w:szCs w:val="22"/>
        </w:rPr>
        <w:t xml:space="preserve">, dormant </w:t>
      </w:r>
      <w:r w:rsidRPr="009F7193">
        <w:rPr>
          <w:rFonts w:ascii="Aptos" w:hAnsi="Aptos"/>
          <w:sz w:val="22"/>
          <w:szCs w:val="22"/>
        </w:rPr>
        <w:t xml:space="preserve">MRI </w:t>
      </w:r>
      <w:r w:rsidR="009954A5" w:rsidRPr="009F7193">
        <w:rPr>
          <w:rFonts w:ascii="Aptos" w:hAnsi="Aptos"/>
          <w:sz w:val="22"/>
          <w:szCs w:val="22"/>
        </w:rPr>
        <w:t>machine</w:t>
      </w:r>
      <w:r w:rsidR="0034616D" w:rsidRPr="009F7193">
        <w:rPr>
          <w:rFonts w:ascii="Aptos" w:hAnsi="Aptos"/>
          <w:sz w:val="22"/>
          <w:szCs w:val="22"/>
        </w:rPr>
        <w:t xml:space="preserve"> at the main campus</w:t>
      </w:r>
      <w:r w:rsidRPr="009F7193">
        <w:rPr>
          <w:rFonts w:ascii="Aptos" w:hAnsi="Aptos"/>
          <w:sz w:val="22"/>
          <w:szCs w:val="22"/>
        </w:rPr>
        <w:t xml:space="preserve">, thereby enabling the operation of two MRI </w:t>
      </w:r>
      <w:r w:rsidR="0034616D" w:rsidRPr="009F7193">
        <w:rPr>
          <w:rFonts w:ascii="Aptos" w:hAnsi="Aptos"/>
          <w:sz w:val="22"/>
          <w:szCs w:val="22"/>
        </w:rPr>
        <w:t>units</w:t>
      </w:r>
      <w:r w:rsidRPr="009F7193">
        <w:rPr>
          <w:rFonts w:ascii="Aptos" w:hAnsi="Aptos"/>
          <w:sz w:val="22"/>
          <w:szCs w:val="22"/>
        </w:rPr>
        <w:t xml:space="preserve"> at the main campus. This approach leverages an existing </w:t>
      </w:r>
      <w:r w:rsidR="0034616D" w:rsidRPr="009F7193">
        <w:rPr>
          <w:rFonts w:ascii="Aptos" w:hAnsi="Aptos"/>
          <w:sz w:val="22"/>
          <w:szCs w:val="22"/>
        </w:rPr>
        <w:t>resource</w:t>
      </w:r>
      <w:r w:rsidRPr="009F7193">
        <w:rPr>
          <w:rFonts w:ascii="Aptos" w:hAnsi="Aptos"/>
          <w:sz w:val="22"/>
          <w:szCs w:val="22"/>
        </w:rPr>
        <w:t xml:space="preserve">, requires no capital expenditure, and will immediately expand capacity to meet both current and future demand. The Proposed Project will support the Hospital’s mission of delivering high-quality, patient-centered care to the Cape Cod </w:t>
      </w:r>
      <w:r w:rsidR="0034616D" w:rsidRPr="009F7193">
        <w:rPr>
          <w:rFonts w:ascii="Aptos" w:hAnsi="Aptos"/>
          <w:sz w:val="22"/>
          <w:szCs w:val="22"/>
        </w:rPr>
        <w:t>region</w:t>
      </w:r>
      <w:r w:rsidR="00CF44F4" w:rsidRPr="009F7193">
        <w:rPr>
          <w:rFonts w:ascii="Aptos" w:hAnsi="Aptos"/>
          <w:sz w:val="22"/>
          <w:szCs w:val="22"/>
        </w:rPr>
        <w:t xml:space="preserve"> by ensuring timely access to advanced diagnostic imaging.</w:t>
      </w:r>
    </w:p>
    <w:p w14:paraId="636E3C05" w14:textId="1A646703" w:rsidR="00D77B5A" w:rsidRPr="009F7193" w:rsidRDefault="00D77B5A" w:rsidP="0075245E">
      <w:pPr>
        <w:suppressAutoHyphens w:val="0"/>
        <w:spacing w:after="120"/>
        <w:rPr>
          <w:rFonts w:asciiTheme="minorHAnsi" w:hAnsiTheme="minorHAnsi" w:cs="Arial"/>
          <w:sz w:val="22"/>
          <w:szCs w:val="22"/>
        </w:rPr>
      </w:pPr>
      <w:r w:rsidRPr="009F7193">
        <w:rPr>
          <w:rFonts w:asciiTheme="minorHAnsi" w:hAnsiTheme="minorHAnsi" w:cs="Arial"/>
          <w:sz w:val="22"/>
          <w:szCs w:val="22"/>
        </w:rPr>
        <w:br w:type="page"/>
      </w:r>
    </w:p>
    <w:p w14:paraId="7E4582A4" w14:textId="77777777" w:rsidR="00EA1E6D" w:rsidRPr="009F7193" w:rsidRDefault="00EA1E6D" w:rsidP="00820D40">
      <w:pPr>
        <w:suppressAutoHyphens w:val="0"/>
        <w:spacing w:after="160" w:line="259" w:lineRule="auto"/>
        <w:rPr>
          <w:rFonts w:asciiTheme="minorHAnsi" w:eastAsia="Calibri" w:hAnsiTheme="minorHAnsi" w:cs="Arial"/>
          <w:b/>
          <w:sz w:val="22"/>
          <w:szCs w:val="22"/>
        </w:rPr>
      </w:pPr>
      <w:bookmarkStart w:id="0" w:name="_Hlk90361737"/>
      <w:bookmarkStart w:id="1" w:name="_Hlk212542181"/>
      <w:r w:rsidRPr="009F7193">
        <w:rPr>
          <w:rFonts w:asciiTheme="minorHAnsi" w:eastAsia="Calibri" w:hAnsiTheme="minorHAnsi" w:cs="Arial"/>
          <w:b/>
          <w:sz w:val="22"/>
          <w:szCs w:val="22"/>
        </w:rPr>
        <w:lastRenderedPageBreak/>
        <w:t>Factor 1: Applicant Patient Panel Need, Public Health Values and Operational Objectives</w:t>
      </w:r>
    </w:p>
    <w:p w14:paraId="4BB1D041" w14:textId="77777777" w:rsidR="00EA1E6D" w:rsidRPr="009F7193" w:rsidRDefault="00EA1E6D" w:rsidP="00EA1E6D">
      <w:pPr>
        <w:ind w:left="185"/>
        <w:jc w:val="both"/>
        <w:rPr>
          <w:rFonts w:asciiTheme="minorHAnsi" w:eastAsia="Arial" w:hAnsiTheme="minorHAnsi" w:cs="Arial"/>
          <w:sz w:val="22"/>
          <w:szCs w:val="22"/>
        </w:rPr>
      </w:pPr>
    </w:p>
    <w:p w14:paraId="7F8F1F0F" w14:textId="77777777" w:rsidR="00EA1E6D" w:rsidRPr="009F7193" w:rsidRDefault="00EA1E6D" w:rsidP="00EA1E6D">
      <w:pPr>
        <w:ind w:left="720" w:hanging="720"/>
        <w:jc w:val="both"/>
        <w:rPr>
          <w:rFonts w:asciiTheme="minorHAnsi" w:eastAsia="Arial" w:hAnsiTheme="minorHAnsi" w:cs="Arial"/>
          <w:sz w:val="22"/>
          <w:szCs w:val="22"/>
          <w:u w:val="single"/>
        </w:rPr>
      </w:pPr>
      <w:r w:rsidRPr="009F7193">
        <w:rPr>
          <w:rFonts w:asciiTheme="minorHAnsi" w:eastAsia="Calibri" w:hAnsiTheme="minorHAnsi" w:cs="Arial"/>
          <w:b/>
          <w:sz w:val="22"/>
          <w:szCs w:val="22"/>
        </w:rPr>
        <w:t>F1.</w:t>
      </w:r>
      <w:proofErr w:type="gramStart"/>
      <w:r w:rsidRPr="009F7193">
        <w:rPr>
          <w:rFonts w:asciiTheme="minorHAnsi" w:eastAsia="Calibri" w:hAnsiTheme="minorHAnsi" w:cs="Arial"/>
          <w:b/>
          <w:sz w:val="22"/>
          <w:szCs w:val="22"/>
        </w:rPr>
        <w:t>a.i</w:t>
      </w:r>
      <w:proofErr w:type="gramEnd"/>
      <w:r w:rsidRPr="009F7193">
        <w:rPr>
          <w:rFonts w:asciiTheme="minorHAnsi" w:eastAsia="Calibri" w:hAnsiTheme="minorHAnsi" w:cs="Arial"/>
          <w:sz w:val="22"/>
          <w:szCs w:val="22"/>
        </w:rPr>
        <w:tab/>
      </w:r>
      <w:r w:rsidRPr="009F7193">
        <w:rPr>
          <w:rFonts w:asciiTheme="minorHAnsi" w:eastAsia="Calibri" w:hAnsiTheme="minorHAnsi" w:cs="Arial"/>
          <w:sz w:val="22"/>
          <w:szCs w:val="22"/>
        </w:rPr>
        <w:tab/>
      </w:r>
      <w:r w:rsidRPr="009F7193">
        <w:rPr>
          <w:rFonts w:asciiTheme="minorHAnsi" w:eastAsia="Calibri" w:hAnsiTheme="minorHAnsi" w:cs="Arial"/>
          <w:b/>
          <w:sz w:val="22"/>
          <w:szCs w:val="22"/>
          <w:u w:val="single"/>
        </w:rPr>
        <w:t>Patient Panel</w:t>
      </w:r>
      <w:r w:rsidRPr="009F7193">
        <w:rPr>
          <w:rFonts w:asciiTheme="minorHAnsi" w:eastAsia="Calibri" w:hAnsiTheme="minorHAnsi" w:cs="Arial"/>
          <w:b/>
          <w:sz w:val="22"/>
          <w:szCs w:val="22"/>
        </w:rPr>
        <w:t>:</w:t>
      </w:r>
    </w:p>
    <w:p w14:paraId="30A76D4C" w14:textId="77777777" w:rsidR="00EA1E6D" w:rsidRPr="009F7193" w:rsidRDefault="00EA1E6D" w:rsidP="00EA1E6D">
      <w:pPr>
        <w:spacing w:after="120"/>
        <w:ind w:left="1440"/>
        <w:jc w:val="both"/>
        <w:rPr>
          <w:rFonts w:asciiTheme="minorHAnsi" w:hAnsiTheme="minorHAnsi" w:cs="Arial"/>
          <w:b/>
          <w:sz w:val="22"/>
          <w:szCs w:val="22"/>
        </w:rPr>
      </w:pPr>
      <w:r w:rsidRPr="009F7193">
        <w:rPr>
          <w:rFonts w:asciiTheme="minorHAnsi" w:hAnsiTheme="minorHAnsi" w:cs="Arial"/>
          <w:b/>
          <w:sz w:val="22"/>
          <w:szCs w:val="22"/>
        </w:rPr>
        <w:t xml:space="preserve">Describe your existing Patient Panel, including incidence or prevalence of disease or behavioral risk factors, acuity mix, noted health disparities, geographic breakdown expressed in zip codes or other appropriate </w:t>
      </w:r>
      <w:proofErr w:type="gramStart"/>
      <w:r w:rsidRPr="009F7193">
        <w:rPr>
          <w:rFonts w:asciiTheme="minorHAnsi" w:hAnsiTheme="minorHAnsi" w:cs="Arial"/>
          <w:b/>
          <w:sz w:val="22"/>
          <w:szCs w:val="22"/>
        </w:rPr>
        <w:t>measure</w:t>
      </w:r>
      <w:proofErr w:type="gramEnd"/>
      <w:r w:rsidRPr="009F7193">
        <w:rPr>
          <w:rFonts w:asciiTheme="minorHAnsi" w:hAnsiTheme="minorHAnsi" w:cs="Arial"/>
          <w:b/>
          <w:sz w:val="22"/>
          <w:szCs w:val="22"/>
        </w:rPr>
        <w:t>, demographics including age, gender and sexual identity, race, ethnicity, socioeconomic status and other priority populations relevant to the Applicant's existing patient panel and payer mix.</w:t>
      </w:r>
    </w:p>
    <w:p w14:paraId="2218D75A" w14:textId="77777777" w:rsidR="00EA1E6D" w:rsidRPr="009F7193" w:rsidRDefault="00EA1E6D" w:rsidP="00EA1E6D">
      <w:pPr>
        <w:pStyle w:val="ListParagraph"/>
        <w:numPr>
          <w:ilvl w:val="0"/>
          <w:numId w:val="3"/>
        </w:numPr>
        <w:suppressAutoHyphens w:val="0"/>
        <w:spacing w:after="120"/>
        <w:ind w:left="360"/>
        <w:contextualSpacing w:val="0"/>
        <w:jc w:val="both"/>
        <w:rPr>
          <w:rFonts w:asciiTheme="minorHAnsi" w:hAnsiTheme="minorHAnsi" w:cs="Arial"/>
          <w:color w:val="000000" w:themeColor="text1"/>
          <w:sz w:val="22"/>
          <w:szCs w:val="22"/>
          <w:u w:val="single"/>
        </w:rPr>
      </w:pPr>
      <w:r w:rsidRPr="009F7193">
        <w:rPr>
          <w:rFonts w:asciiTheme="minorHAnsi" w:hAnsiTheme="minorHAnsi" w:cs="Arial"/>
          <w:color w:val="000000" w:themeColor="text1"/>
          <w:sz w:val="22"/>
          <w:szCs w:val="22"/>
          <w:u w:val="single"/>
        </w:rPr>
        <w:t xml:space="preserve">Cape Cod Healthcare </w:t>
      </w:r>
    </w:p>
    <w:p w14:paraId="2E0A49E6" w14:textId="698671CA" w:rsidR="00EA1E6D" w:rsidRPr="009F7193" w:rsidRDefault="00EA1E6D" w:rsidP="00EA1E6D">
      <w:pPr>
        <w:spacing w:after="120"/>
        <w:jc w:val="both"/>
        <w:rPr>
          <w:rFonts w:asciiTheme="minorHAnsi" w:hAnsiTheme="minorHAnsi" w:cs="Arial"/>
          <w:color w:val="000000" w:themeColor="text1"/>
          <w:sz w:val="22"/>
          <w:szCs w:val="22"/>
        </w:rPr>
      </w:pPr>
      <w:r w:rsidRPr="009F7193">
        <w:rPr>
          <w:rFonts w:asciiTheme="minorHAnsi" w:hAnsiTheme="minorHAnsi" w:cs="Arial"/>
          <w:color w:val="000000" w:themeColor="text1"/>
          <w:sz w:val="22"/>
          <w:szCs w:val="22"/>
        </w:rPr>
        <w:t xml:space="preserve">Cape Cod Healthcare is the leading provider of healthcare services for residents and visitors of Cape Cod. With nearly 600 physicians and 5,000 employees, the </w:t>
      </w:r>
      <w:r w:rsidR="00F12784">
        <w:rPr>
          <w:rFonts w:asciiTheme="minorHAnsi" w:hAnsiTheme="minorHAnsi" w:cs="Arial"/>
          <w:color w:val="000000" w:themeColor="text1"/>
          <w:sz w:val="22"/>
          <w:szCs w:val="22"/>
        </w:rPr>
        <w:t>Applicant</w:t>
      </w:r>
      <w:r w:rsidRPr="009F7193">
        <w:rPr>
          <w:rFonts w:asciiTheme="minorHAnsi" w:hAnsiTheme="minorHAnsi" w:cs="Arial"/>
          <w:color w:val="000000" w:themeColor="text1"/>
          <w:sz w:val="22"/>
          <w:szCs w:val="22"/>
        </w:rPr>
        <w:t xml:space="preserve"> has two acute care hospitals (Cape Cod Hospital and Falmouth Hospital), homecare and hospice services, a skilled nursing and </w:t>
      </w:r>
      <w:r w:rsidR="003D5B51">
        <w:rPr>
          <w:rFonts w:asciiTheme="minorHAnsi" w:hAnsiTheme="minorHAnsi" w:cs="Arial"/>
          <w:color w:val="000000" w:themeColor="text1"/>
          <w:sz w:val="22"/>
          <w:szCs w:val="22"/>
        </w:rPr>
        <w:t xml:space="preserve">a </w:t>
      </w:r>
      <w:r w:rsidRPr="009F7193">
        <w:rPr>
          <w:rFonts w:asciiTheme="minorHAnsi" w:hAnsiTheme="minorHAnsi" w:cs="Arial"/>
          <w:color w:val="000000" w:themeColor="text1"/>
          <w:sz w:val="22"/>
          <w:szCs w:val="22"/>
        </w:rPr>
        <w:t xml:space="preserve">rehabilitation facility (JML Care Center), an assisted living facility (Heritage at Falmouth), and numerous health programs. It provides </w:t>
      </w:r>
      <w:proofErr w:type="gramStart"/>
      <w:r w:rsidRPr="009F7193">
        <w:rPr>
          <w:rFonts w:asciiTheme="minorHAnsi" w:hAnsiTheme="minorHAnsi" w:cs="Arial"/>
          <w:color w:val="000000" w:themeColor="text1"/>
          <w:sz w:val="22"/>
          <w:szCs w:val="22"/>
        </w:rPr>
        <w:t>the majority of</w:t>
      </w:r>
      <w:proofErr w:type="gramEnd"/>
      <w:r w:rsidRPr="009F7193">
        <w:rPr>
          <w:rFonts w:asciiTheme="minorHAnsi" w:hAnsiTheme="minorHAnsi" w:cs="Arial"/>
          <w:color w:val="000000" w:themeColor="text1"/>
          <w:sz w:val="22"/>
          <w:szCs w:val="22"/>
        </w:rPr>
        <w:t xml:space="preserve"> care for Barnstable County’s year-round residents as well as the more than 5 million seasonal tourists who vacation there each summer.  </w:t>
      </w:r>
    </w:p>
    <w:p w14:paraId="5BC1CADA" w14:textId="77777777" w:rsidR="00EA1E6D" w:rsidRPr="009F7193" w:rsidRDefault="00EA1E6D" w:rsidP="00EA1E6D">
      <w:pPr>
        <w:spacing w:after="120"/>
        <w:ind w:firstLine="720"/>
        <w:jc w:val="both"/>
        <w:rPr>
          <w:rFonts w:asciiTheme="minorHAnsi" w:hAnsiTheme="minorHAnsi" w:cs="Arial"/>
          <w:i/>
          <w:iCs/>
          <w:sz w:val="22"/>
          <w:szCs w:val="22"/>
        </w:rPr>
      </w:pPr>
      <w:r w:rsidRPr="009F7193">
        <w:rPr>
          <w:rFonts w:asciiTheme="minorHAnsi" w:hAnsiTheme="minorHAnsi" w:cs="Arial"/>
          <w:i/>
          <w:iCs/>
          <w:sz w:val="22"/>
          <w:szCs w:val="22"/>
        </w:rPr>
        <w:t>Patient Panel</w:t>
      </w:r>
    </w:p>
    <w:p w14:paraId="34900648" w14:textId="7286EFB9" w:rsidR="00EA1E6D" w:rsidRPr="009F7193" w:rsidRDefault="00EA1E6D" w:rsidP="00EA1E6D">
      <w:pPr>
        <w:spacing w:after="120"/>
        <w:jc w:val="both"/>
        <w:rPr>
          <w:rFonts w:asciiTheme="minorHAnsi" w:hAnsiTheme="minorHAnsi" w:cs="Arial"/>
          <w:sz w:val="22"/>
          <w:szCs w:val="22"/>
        </w:rPr>
      </w:pPr>
      <w:r w:rsidRPr="009F7193">
        <w:rPr>
          <w:rFonts w:asciiTheme="minorHAnsi" w:hAnsiTheme="minorHAnsi" w:cs="Arial"/>
          <w:sz w:val="22"/>
          <w:szCs w:val="22"/>
        </w:rPr>
        <w:t>In FY25, approximately 5</w:t>
      </w:r>
      <w:r w:rsidR="00C00170">
        <w:rPr>
          <w:rFonts w:asciiTheme="minorHAnsi" w:hAnsiTheme="minorHAnsi" w:cs="Arial"/>
          <w:sz w:val="22"/>
          <w:szCs w:val="22"/>
        </w:rPr>
        <w:t>7</w:t>
      </w:r>
      <w:r w:rsidRPr="009F7193">
        <w:rPr>
          <w:rFonts w:asciiTheme="minorHAnsi" w:hAnsiTheme="minorHAnsi" w:cs="Arial"/>
          <w:sz w:val="22"/>
          <w:szCs w:val="22"/>
        </w:rPr>
        <w:t xml:space="preserve">% of the Applicant’s Patient Panel were female and 43% male; less than 1% identified as nonbinary or another gender. The largest percentage of patients were 65+, with 42% in this age range. 23% were aged 18-44 and 25% aged 45-64, while around 10% were below 18. </w:t>
      </w:r>
      <w:proofErr w:type="gramStart"/>
      <w:r w:rsidRPr="009F7193">
        <w:rPr>
          <w:rFonts w:asciiTheme="minorHAnsi" w:hAnsiTheme="minorHAnsi" w:cs="Arial"/>
          <w:sz w:val="22"/>
          <w:szCs w:val="22"/>
        </w:rPr>
        <w:t>The majority of</w:t>
      </w:r>
      <w:proofErr w:type="gramEnd"/>
      <w:r w:rsidRPr="009F7193">
        <w:rPr>
          <w:rFonts w:asciiTheme="minorHAnsi" w:hAnsiTheme="minorHAnsi" w:cs="Arial"/>
          <w:sz w:val="22"/>
          <w:szCs w:val="22"/>
        </w:rPr>
        <w:t xml:space="preserve"> Cape Cod Healthcare patients self-identified as White, while a similar percentage identified as not Hispanic or Latino. </w:t>
      </w:r>
    </w:p>
    <w:p w14:paraId="144DC004" w14:textId="77777777" w:rsidR="00EA1E6D" w:rsidRPr="009F7193" w:rsidRDefault="00EA1E6D" w:rsidP="00EA1E6D">
      <w:pPr>
        <w:spacing w:after="120"/>
        <w:ind w:hanging="540"/>
        <w:jc w:val="both"/>
        <w:rPr>
          <w:rFonts w:asciiTheme="minorHAnsi" w:eastAsia="Verdana" w:hAnsiTheme="minorHAnsi" w:cs="Arial"/>
          <w:b/>
          <w:bCs/>
          <w:sz w:val="22"/>
          <w:szCs w:val="22"/>
        </w:rPr>
        <w:sectPr w:rsidR="00EA1E6D" w:rsidRPr="009F7193" w:rsidSect="00EA1E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5CC145A" w14:textId="77777777" w:rsidR="00EA1E6D" w:rsidRPr="009F7193" w:rsidRDefault="00EA1E6D" w:rsidP="00EA1E6D">
      <w:pPr>
        <w:spacing w:after="120"/>
        <w:ind w:hanging="180"/>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lastRenderedPageBreak/>
        <w:t xml:space="preserve">Table 1: Cape Cod Healthcare Demographics </w:t>
      </w:r>
    </w:p>
    <w:tbl>
      <w:tblPr>
        <w:tblW w:w="135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455"/>
        <w:gridCol w:w="1455"/>
        <w:gridCol w:w="1455"/>
        <w:gridCol w:w="1455"/>
        <w:gridCol w:w="1455"/>
        <w:gridCol w:w="1455"/>
      </w:tblGrid>
      <w:tr w:rsidR="00EA1E6D" w:rsidRPr="009F7193" w14:paraId="01A14A7E" w14:textId="77777777" w:rsidTr="0099110B">
        <w:trPr>
          <w:cantSplit/>
          <w:trHeight w:val="300"/>
          <w:tblHeader/>
        </w:trPr>
        <w:tc>
          <w:tcPr>
            <w:tcW w:w="4770" w:type="dxa"/>
            <w:shd w:val="clear" w:color="auto" w:fill="156082" w:themeFill="accent1"/>
            <w:noWrap/>
            <w:vAlign w:val="center"/>
            <w:hideMark/>
          </w:tcPr>
          <w:p w14:paraId="01356B55" w14:textId="77777777" w:rsidR="00EA1E6D" w:rsidRPr="009F7193" w:rsidRDefault="00EA1E6D" w:rsidP="009B300B">
            <w:pPr>
              <w:contextualSpacing/>
              <w:rPr>
                <w:rFonts w:asciiTheme="minorHAnsi" w:hAnsiTheme="minorHAnsi" w:cstheme="majorHAnsi"/>
                <w:b/>
                <w:bCs/>
                <w:color w:val="FFFFFF" w:themeColor="background1"/>
                <w:sz w:val="20"/>
                <w:szCs w:val="20"/>
              </w:rPr>
            </w:pPr>
          </w:p>
        </w:tc>
        <w:tc>
          <w:tcPr>
            <w:tcW w:w="1455" w:type="dxa"/>
            <w:shd w:val="clear" w:color="auto" w:fill="156082" w:themeFill="accent1"/>
            <w:noWrap/>
            <w:vAlign w:val="center"/>
            <w:hideMark/>
          </w:tcPr>
          <w:p w14:paraId="79635CEA"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(n)</w:t>
            </w:r>
          </w:p>
        </w:tc>
        <w:tc>
          <w:tcPr>
            <w:tcW w:w="1455" w:type="dxa"/>
            <w:shd w:val="clear" w:color="auto" w:fill="156082" w:themeFill="accent1"/>
            <w:noWrap/>
            <w:vAlign w:val="center"/>
            <w:hideMark/>
          </w:tcPr>
          <w:p w14:paraId="73F07052"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w:t>
            </w:r>
          </w:p>
        </w:tc>
        <w:tc>
          <w:tcPr>
            <w:tcW w:w="1455" w:type="dxa"/>
            <w:shd w:val="clear" w:color="auto" w:fill="156082" w:themeFill="accent1"/>
            <w:noWrap/>
            <w:vAlign w:val="center"/>
            <w:hideMark/>
          </w:tcPr>
          <w:p w14:paraId="6A11F425"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(n)</w:t>
            </w:r>
          </w:p>
        </w:tc>
        <w:tc>
          <w:tcPr>
            <w:tcW w:w="1455" w:type="dxa"/>
            <w:shd w:val="clear" w:color="auto" w:fill="156082" w:themeFill="accent1"/>
            <w:noWrap/>
            <w:vAlign w:val="center"/>
            <w:hideMark/>
          </w:tcPr>
          <w:p w14:paraId="4DD0211B"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w:t>
            </w:r>
          </w:p>
        </w:tc>
        <w:tc>
          <w:tcPr>
            <w:tcW w:w="1455" w:type="dxa"/>
            <w:shd w:val="clear" w:color="auto" w:fill="156082" w:themeFill="accent1"/>
            <w:vAlign w:val="center"/>
          </w:tcPr>
          <w:p w14:paraId="4492F7B4"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 (n)</w:t>
            </w:r>
          </w:p>
        </w:tc>
        <w:tc>
          <w:tcPr>
            <w:tcW w:w="1455" w:type="dxa"/>
            <w:shd w:val="clear" w:color="auto" w:fill="156082" w:themeFill="accent1"/>
            <w:vAlign w:val="center"/>
          </w:tcPr>
          <w:p w14:paraId="553587A3"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 (%)</w:t>
            </w:r>
          </w:p>
        </w:tc>
      </w:tr>
      <w:tr w:rsidR="00EA1E6D" w:rsidRPr="009F7193" w14:paraId="559D7BAF" w14:textId="77777777" w:rsidTr="0099110B">
        <w:trPr>
          <w:cantSplit/>
          <w:trHeight w:val="300"/>
        </w:trPr>
        <w:tc>
          <w:tcPr>
            <w:tcW w:w="4770" w:type="dxa"/>
            <w:shd w:val="clear" w:color="auto" w:fill="DAE9F7" w:themeFill="text2" w:themeFillTint="1A"/>
            <w:noWrap/>
            <w:vAlign w:val="center"/>
            <w:hideMark/>
          </w:tcPr>
          <w:p w14:paraId="23B361D2" w14:textId="77777777" w:rsidR="00EA1E6D" w:rsidRPr="009F7193" w:rsidRDefault="00EA1E6D" w:rsidP="009B300B">
            <w:pPr>
              <w:contextualSpacing/>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Unique Patients</w:t>
            </w:r>
          </w:p>
        </w:tc>
        <w:tc>
          <w:tcPr>
            <w:tcW w:w="1455" w:type="dxa"/>
            <w:shd w:val="clear" w:color="auto" w:fill="DAE9F7" w:themeFill="text2" w:themeFillTint="1A"/>
            <w:noWrap/>
            <w:vAlign w:val="center"/>
          </w:tcPr>
          <w:p w14:paraId="33BC88E9"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 xml:space="preserve">200,812 </w:t>
            </w:r>
          </w:p>
        </w:tc>
        <w:tc>
          <w:tcPr>
            <w:tcW w:w="1455" w:type="dxa"/>
            <w:shd w:val="clear" w:color="auto" w:fill="DAE9F7" w:themeFill="text2" w:themeFillTint="1A"/>
            <w:noWrap/>
            <w:vAlign w:val="center"/>
          </w:tcPr>
          <w:p w14:paraId="62DD2CE5"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100%</w:t>
            </w:r>
          </w:p>
        </w:tc>
        <w:tc>
          <w:tcPr>
            <w:tcW w:w="1455" w:type="dxa"/>
            <w:shd w:val="clear" w:color="auto" w:fill="DAE9F7" w:themeFill="text2" w:themeFillTint="1A"/>
            <w:noWrap/>
            <w:vAlign w:val="center"/>
          </w:tcPr>
          <w:p w14:paraId="5A103202"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 xml:space="preserve">203,260 </w:t>
            </w:r>
          </w:p>
        </w:tc>
        <w:tc>
          <w:tcPr>
            <w:tcW w:w="1455" w:type="dxa"/>
            <w:shd w:val="clear" w:color="auto" w:fill="DAE9F7" w:themeFill="text2" w:themeFillTint="1A"/>
            <w:noWrap/>
            <w:vAlign w:val="center"/>
          </w:tcPr>
          <w:p w14:paraId="3A5B4C98"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100%</w:t>
            </w:r>
          </w:p>
        </w:tc>
        <w:tc>
          <w:tcPr>
            <w:tcW w:w="1455" w:type="dxa"/>
            <w:shd w:val="clear" w:color="auto" w:fill="DAE9F7" w:themeFill="text2" w:themeFillTint="1A"/>
            <w:vAlign w:val="center"/>
          </w:tcPr>
          <w:p w14:paraId="5B964333"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206,701</w:t>
            </w:r>
          </w:p>
        </w:tc>
        <w:tc>
          <w:tcPr>
            <w:tcW w:w="1455" w:type="dxa"/>
            <w:shd w:val="clear" w:color="auto" w:fill="DAE9F7" w:themeFill="text2" w:themeFillTint="1A"/>
            <w:vAlign w:val="center"/>
          </w:tcPr>
          <w:p w14:paraId="2E9CEF85"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100%</w:t>
            </w:r>
          </w:p>
        </w:tc>
      </w:tr>
      <w:tr w:rsidR="00EA1E6D" w:rsidRPr="009F7193" w14:paraId="14DE65B3" w14:textId="77777777" w:rsidTr="0099110B">
        <w:trPr>
          <w:cantSplit/>
          <w:trHeight w:val="290"/>
        </w:trPr>
        <w:tc>
          <w:tcPr>
            <w:tcW w:w="4770" w:type="dxa"/>
            <w:noWrap/>
            <w:vAlign w:val="center"/>
            <w:hideMark/>
          </w:tcPr>
          <w:p w14:paraId="159ED586"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Male</w:t>
            </w:r>
          </w:p>
        </w:tc>
        <w:tc>
          <w:tcPr>
            <w:tcW w:w="1455" w:type="dxa"/>
            <w:noWrap/>
            <w:vAlign w:val="center"/>
          </w:tcPr>
          <w:p w14:paraId="09722D3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87,148 </w:t>
            </w:r>
          </w:p>
        </w:tc>
        <w:tc>
          <w:tcPr>
            <w:tcW w:w="1455" w:type="dxa"/>
            <w:noWrap/>
            <w:vAlign w:val="center"/>
          </w:tcPr>
          <w:p w14:paraId="7C3CEE3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43%</w:t>
            </w:r>
          </w:p>
        </w:tc>
        <w:tc>
          <w:tcPr>
            <w:tcW w:w="1455" w:type="dxa"/>
            <w:noWrap/>
            <w:vAlign w:val="center"/>
          </w:tcPr>
          <w:p w14:paraId="488BBB6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88,392 </w:t>
            </w:r>
          </w:p>
        </w:tc>
        <w:tc>
          <w:tcPr>
            <w:tcW w:w="1455" w:type="dxa"/>
            <w:noWrap/>
            <w:vAlign w:val="center"/>
          </w:tcPr>
          <w:p w14:paraId="33A0346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43%</w:t>
            </w:r>
          </w:p>
        </w:tc>
        <w:tc>
          <w:tcPr>
            <w:tcW w:w="1455" w:type="dxa"/>
            <w:shd w:val="clear" w:color="auto" w:fill="FFFFFF" w:themeFill="background1"/>
            <w:vAlign w:val="center"/>
          </w:tcPr>
          <w:p w14:paraId="24074E2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90,056</w:t>
            </w:r>
          </w:p>
        </w:tc>
        <w:tc>
          <w:tcPr>
            <w:tcW w:w="1455" w:type="dxa"/>
            <w:shd w:val="clear" w:color="auto" w:fill="FFFFFF" w:themeFill="background1"/>
            <w:vAlign w:val="center"/>
          </w:tcPr>
          <w:p w14:paraId="474DF5E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43%</w:t>
            </w:r>
          </w:p>
        </w:tc>
      </w:tr>
      <w:tr w:rsidR="00EA1E6D" w:rsidRPr="009F7193" w14:paraId="39CDE258" w14:textId="77777777" w:rsidTr="0099110B">
        <w:trPr>
          <w:cantSplit/>
          <w:trHeight w:val="290"/>
        </w:trPr>
        <w:tc>
          <w:tcPr>
            <w:tcW w:w="4770" w:type="dxa"/>
            <w:noWrap/>
            <w:vAlign w:val="center"/>
            <w:hideMark/>
          </w:tcPr>
          <w:p w14:paraId="32F036E8"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Female</w:t>
            </w:r>
          </w:p>
        </w:tc>
        <w:tc>
          <w:tcPr>
            <w:tcW w:w="1455" w:type="dxa"/>
            <w:noWrap/>
            <w:vAlign w:val="center"/>
          </w:tcPr>
          <w:p w14:paraId="4477229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113,480 </w:t>
            </w:r>
          </w:p>
        </w:tc>
        <w:tc>
          <w:tcPr>
            <w:tcW w:w="1455" w:type="dxa"/>
            <w:noWrap/>
            <w:vAlign w:val="center"/>
          </w:tcPr>
          <w:p w14:paraId="29760F0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57%</w:t>
            </w:r>
          </w:p>
        </w:tc>
        <w:tc>
          <w:tcPr>
            <w:tcW w:w="1455" w:type="dxa"/>
            <w:noWrap/>
            <w:vAlign w:val="center"/>
          </w:tcPr>
          <w:p w14:paraId="312B978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114,673 </w:t>
            </w:r>
          </w:p>
        </w:tc>
        <w:tc>
          <w:tcPr>
            <w:tcW w:w="1455" w:type="dxa"/>
            <w:noWrap/>
            <w:vAlign w:val="center"/>
          </w:tcPr>
          <w:p w14:paraId="705FCB0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56%</w:t>
            </w:r>
          </w:p>
        </w:tc>
        <w:tc>
          <w:tcPr>
            <w:tcW w:w="1455" w:type="dxa"/>
            <w:shd w:val="clear" w:color="auto" w:fill="FFFFFF" w:themeFill="background1"/>
            <w:vAlign w:val="center"/>
          </w:tcPr>
          <w:p w14:paraId="25FDFC2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116,393</w:t>
            </w:r>
          </w:p>
        </w:tc>
        <w:tc>
          <w:tcPr>
            <w:tcW w:w="1455" w:type="dxa"/>
            <w:shd w:val="clear" w:color="auto" w:fill="FFFFFF" w:themeFill="background1"/>
            <w:vAlign w:val="center"/>
          </w:tcPr>
          <w:p w14:paraId="1BC042C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57%</w:t>
            </w:r>
          </w:p>
        </w:tc>
      </w:tr>
      <w:tr w:rsidR="00EA1E6D" w:rsidRPr="009F7193" w14:paraId="58CA6214" w14:textId="77777777" w:rsidTr="0099110B">
        <w:trPr>
          <w:cantSplit/>
          <w:trHeight w:val="300"/>
        </w:trPr>
        <w:tc>
          <w:tcPr>
            <w:tcW w:w="4770" w:type="dxa"/>
            <w:noWrap/>
            <w:vAlign w:val="center"/>
          </w:tcPr>
          <w:p w14:paraId="2A7129F4"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Nonbinary</w:t>
            </w:r>
          </w:p>
        </w:tc>
        <w:tc>
          <w:tcPr>
            <w:tcW w:w="1455" w:type="dxa"/>
            <w:noWrap/>
            <w:vAlign w:val="center"/>
          </w:tcPr>
          <w:p w14:paraId="5263434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27 </w:t>
            </w:r>
          </w:p>
        </w:tc>
        <w:tc>
          <w:tcPr>
            <w:tcW w:w="1455" w:type="dxa"/>
            <w:noWrap/>
            <w:vAlign w:val="center"/>
          </w:tcPr>
          <w:p w14:paraId="4518687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455" w:type="dxa"/>
            <w:noWrap/>
            <w:vAlign w:val="center"/>
          </w:tcPr>
          <w:p w14:paraId="546B574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30 </w:t>
            </w:r>
          </w:p>
        </w:tc>
        <w:tc>
          <w:tcPr>
            <w:tcW w:w="1455" w:type="dxa"/>
            <w:noWrap/>
            <w:vAlign w:val="center"/>
          </w:tcPr>
          <w:p w14:paraId="34FFCFF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455" w:type="dxa"/>
            <w:shd w:val="clear" w:color="auto" w:fill="FFFFFF" w:themeFill="background1"/>
            <w:vAlign w:val="center"/>
          </w:tcPr>
          <w:p w14:paraId="54D98DF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25</w:t>
            </w:r>
          </w:p>
        </w:tc>
        <w:tc>
          <w:tcPr>
            <w:tcW w:w="1455" w:type="dxa"/>
            <w:shd w:val="clear" w:color="auto" w:fill="FFFFFF" w:themeFill="background1"/>
            <w:vAlign w:val="center"/>
          </w:tcPr>
          <w:p w14:paraId="3928442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7C7C4B6B" w14:textId="77777777" w:rsidTr="0099110B">
        <w:trPr>
          <w:cantSplit/>
          <w:trHeight w:val="300"/>
        </w:trPr>
        <w:tc>
          <w:tcPr>
            <w:tcW w:w="4770" w:type="dxa"/>
            <w:noWrap/>
            <w:vAlign w:val="center"/>
            <w:hideMark/>
          </w:tcPr>
          <w:p w14:paraId="67218D07"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Other/Unknown</w:t>
            </w:r>
          </w:p>
        </w:tc>
        <w:tc>
          <w:tcPr>
            <w:tcW w:w="1455" w:type="dxa"/>
            <w:noWrap/>
            <w:vAlign w:val="center"/>
          </w:tcPr>
          <w:p w14:paraId="0D2C37B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157 </w:t>
            </w:r>
          </w:p>
        </w:tc>
        <w:tc>
          <w:tcPr>
            <w:tcW w:w="1455" w:type="dxa"/>
            <w:noWrap/>
            <w:vAlign w:val="center"/>
          </w:tcPr>
          <w:p w14:paraId="7462FA3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455" w:type="dxa"/>
            <w:noWrap/>
            <w:vAlign w:val="center"/>
          </w:tcPr>
          <w:p w14:paraId="1426F94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165 </w:t>
            </w:r>
          </w:p>
        </w:tc>
        <w:tc>
          <w:tcPr>
            <w:tcW w:w="1455" w:type="dxa"/>
            <w:noWrap/>
            <w:vAlign w:val="center"/>
          </w:tcPr>
          <w:p w14:paraId="36363A9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455" w:type="dxa"/>
            <w:shd w:val="clear" w:color="auto" w:fill="FFFFFF" w:themeFill="background1"/>
            <w:vAlign w:val="center"/>
          </w:tcPr>
          <w:p w14:paraId="5971865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227</w:t>
            </w:r>
          </w:p>
        </w:tc>
        <w:tc>
          <w:tcPr>
            <w:tcW w:w="1455" w:type="dxa"/>
            <w:shd w:val="clear" w:color="auto" w:fill="FFFFFF" w:themeFill="background1"/>
            <w:vAlign w:val="center"/>
          </w:tcPr>
          <w:p w14:paraId="733CBF1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2687E682" w14:textId="77777777" w:rsidTr="0099110B">
        <w:trPr>
          <w:cantSplit/>
          <w:trHeight w:val="290"/>
        </w:trPr>
        <w:tc>
          <w:tcPr>
            <w:tcW w:w="4770" w:type="dxa"/>
            <w:noWrap/>
            <w:vAlign w:val="center"/>
            <w:hideMark/>
          </w:tcPr>
          <w:p w14:paraId="47663531"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0-17</w:t>
            </w:r>
          </w:p>
        </w:tc>
        <w:tc>
          <w:tcPr>
            <w:tcW w:w="1455" w:type="dxa"/>
            <w:noWrap/>
            <w:vAlign w:val="center"/>
          </w:tcPr>
          <w:p w14:paraId="3713733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19,249 </w:t>
            </w:r>
          </w:p>
        </w:tc>
        <w:tc>
          <w:tcPr>
            <w:tcW w:w="1455" w:type="dxa"/>
            <w:noWrap/>
            <w:vAlign w:val="center"/>
          </w:tcPr>
          <w:p w14:paraId="0038CE3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10%</w:t>
            </w:r>
          </w:p>
        </w:tc>
        <w:tc>
          <w:tcPr>
            <w:tcW w:w="1455" w:type="dxa"/>
            <w:noWrap/>
            <w:vAlign w:val="center"/>
          </w:tcPr>
          <w:p w14:paraId="1E4BF2C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20,153 </w:t>
            </w:r>
          </w:p>
        </w:tc>
        <w:tc>
          <w:tcPr>
            <w:tcW w:w="1455" w:type="dxa"/>
            <w:noWrap/>
            <w:vAlign w:val="center"/>
          </w:tcPr>
          <w:p w14:paraId="62AD1A6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10%</w:t>
            </w:r>
          </w:p>
        </w:tc>
        <w:tc>
          <w:tcPr>
            <w:tcW w:w="1455" w:type="dxa"/>
            <w:shd w:val="clear" w:color="auto" w:fill="FFFFFF" w:themeFill="background1"/>
            <w:vAlign w:val="center"/>
          </w:tcPr>
          <w:p w14:paraId="25DBABE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20,948</w:t>
            </w:r>
          </w:p>
        </w:tc>
        <w:tc>
          <w:tcPr>
            <w:tcW w:w="1455" w:type="dxa"/>
            <w:shd w:val="clear" w:color="auto" w:fill="FFFFFF" w:themeFill="background1"/>
            <w:vAlign w:val="center"/>
          </w:tcPr>
          <w:p w14:paraId="775F854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10%</w:t>
            </w:r>
          </w:p>
        </w:tc>
      </w:tr>
      <w:tr w:rsidR="00EA1E6D" w:rsidRPr="009F7193" w14:paraId="0A3DE2CD" w14:textId="77777777" w:rsidTr="0099110B">
        <w:trPr>
          <w:cantSplit/>
          <w:trHeight w:val="290"/>
        </w:trPr>
        <w:tc>
          <w:tcPr>
            <w:tcW w:w="4770" w:type="dxa"/>
            <w:noWrap/>
            <w:vAlign w:val="center"/>
            <w:hideMark/>
          </w:tcPr>
          <w:p w14:paraId="46A2BF40"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18-44</w:t>
            </w:r>
          </w:p>
        </w:tc>
        <w:tc>
          <w:tcPr>
            <w:tcW w:w="1455" w:type="dxa"/>
            <w:noWrap/>
            <w:vAlign w:val="center"/>
          </w:tcPr>
          <w:p w14:paraId="6C8FD2A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45,566 </w:t>
            </w:r>
          </w:p>
        </w:tc>
        <w:tc>
          <w:tcPr>
            <w:tcW w:w="1455" w:type="dxa"/>
            <w:noWrap/>
            <w:vAlign w:val="center"/>
          </w:tcPr>
          <w:p w14:paraId="6491AA7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23%</w:t>
            </w:r>
          </w:p>
        </w:tc>
        <w:tc>
          <w:tcPr>
            <w:tcW w:w="1455" w:type="dxa"/>
            <w:noWrap/>
            <w:vAlign w:val="center"/>
          </w:tcPr>
          <w:p w14:paraId="4346321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46,185 </w:t>
            </w:r>
          </w:p>
        </w:tc>
        <w:tc>
          <w:tcPr>
            <w:tcW w:w="1455" w:type="dxa"/>
            <w:noWrap/>
            <w:vAlign w:val="center"/>
          </w:tcPr>
          <w:p w14:paraId="76FC441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23%</w:t>
            </w:r>
          </w:p>
        </w:tc>
        <w:tc>
          <w:tcPr>
            <w:tcW w:w="1455" w:type="dxa"/>
            <w:shd w:val="clear" w:color="auto" w:fill="FFFFFF" w:themeFill="background1"/>
            <w:vAlign w:val="center"/>
          </w:tcPr>
          <w:p w14:paraId="46CC245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47,089</w:t>
            </w:r>
          </w:p>
        </w:tc>
        <w:tc>
          <w:tcPr>
            <w:tcW w:w="1455" w:type="dxa"/>
            <w:shd w:val="clear" w:color="auto" w:fill="FFFFFF" w:themeFill="background1"/>
            <w:vAlign w:val="center"/>
          </w:tcPr>
          <w:p w14:paraId="209B8B5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23%</w:t>
            </w:r>
          </w:p>
        </w:tc>
      </w:tr>
      <w:tr w:rsidR="00EA1E6D" w:rsidRPr="009F7193" w14:paraId="29D7D015" w14:textId="77777777" w:rsidTr="0099110B">
        <w:trPr>
          <w:cantSplit/>
          <w:trHeight w:val="290"/>
        </w:trPr>
        <w:tc>
          <w:tcPr>
            <w:tcW w:w="4770" w:type="dxa"/>
            <w:noWrap/>
            <w:vAlign w:val="center"/>
          </w:tcPr>
          <w:p w14:paraId="0332838E"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45-64</w:t>
            </w:r>
          </w:p>
        </w:tc>
        <w:tc>
          <w:tcPr>
            <w:tcW w:w="1455" w:type="dxa"/>
            <w:noWrap/>
            <w:vAlign w:val="center"/>
          </w:tcPr>
          <w:p w14:paraId="43ED911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48,650 </w:t>
            </w:r>
          </w:p>
        </w:tc>
        <w:tc>
          <w:tcPr>
            <w:tcW w:w="1455" w:type="dxa"/>
            <w:noWrap/>
            <w:vAlign w:val="center"/>
          </w:tcPr>
          <w:p w14:paraId="0BE3E32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24%</w:t>
            </w:r>
          </w:p>
        </w:tc>
        <w:tc>
          <w:tcPr>
            <w:tcW w:w="1455" w:type="dxa"/>
            <w:noWrap/>
            <w:vAlign w:val="center"/>
          </w:tcPr>
          <w:p w14:paraId="408EC1D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49,817 </w:t>
            </w:r>
          </w:p>
        </w:tc>
        <w:tc>
          <w:tcPr>
            <w:tcW w:w="1455" w:type="dxa"/>
            <w:noWrap/>
            <w:vAlign w:val="center"/>
          </w:tcPr>
          <w:p w14:paraId="3FAFFB9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25%</w:t>
            </w:r>
          </w:p>
        </w:tc>
        <w:tc>
          <w:tcPr>
            <w:tcW w:w="1455" w:type="dxa"/>
            <w:shd w:val="clear" w:color="auto" w:fill="FFFFFF" w:themeFill="background1"/>
            <w:vAlign w:val="center"/>
          </w:tcPr>
          <w:p w14:paraId="5D530A6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51,131</w:t>
            </w:r>
          </w:p>
        </w:tc>
        <w:tc>
          <w:tcPr>
            <w:tcW w:w="1455" w:type="dxa"/>
            <w:shd w:val="clear" w:color="auto" w:fill="FFFFFF" w:themeFill="background1"/>
            <w:vAlign w:val="center"/>
          </w:tcPr>
          <w:p w14:paraId="55C2B64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25%</w:t>
            </w:r>
          </w:p>
        </w:tc>
      </w:tr>
      <w:tr w:rsidR="00EA1E6D" w:rsidRPr="009F7193" w14:paraId="04970012" w14:textId="77777777" w:rsidTr="0099110B">
        <w:trPr>
          <w:cantSplit/>
          <w:trHeight w:val="290"/>
        </w:trPr>
        <w:tc>
          <w:tcPr>
            <w:tcW w:w="4770" w:type="dxa"/>
            <w:noWrap/>
            <w:vAlign w:val="center"/>
            <w:hideMark/>
          </w:tcPr>
          <w:p w14:paraId="57568CFF"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65+</w:t>
            </w:r>
          </w:p>
        </w:tc>
        <w:tc>
          <w:tcPr>
            <w:tcW w:w="1455" w:type="dxa"/>
            <w:noWrap/>
            <w:vAlign w:val="center"/>
          </w:tcPr>
          <w:p w14:paraId="2E6BE48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87,347 </w:t>
            </w:r>
          </w:p>
        </w:tc>
        <w:tc>
          <w:tcPr>
            <w:tcW w:w="1455" w:type="dxa"/>
            <w:noWrap/>
            <w:vAlign w:val="center"/>
          </w:tcPr>
          <w:p w14:paraId="7C2B23B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43%</w:t>
            </w:r>
          </w:p>
        </w:tc>
        <w:tc>
          <w:tcPr>
            <w:tcW w:w="1455" w:type="dxa"/>
            <w:noWrap/>
            <w:vAlign w:val="center"/>
          </w:tcPr>
          <w:p w14:paraId="1E05724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87,105 </w:t>
            </w:r>
          </w:p>
        </w:tc>
        <w:tc>
          <w:tcPr>
            <w:tcW w:w="1455" w:type="dxa"/>
            <w:noWrap/>
            <w:vAlign w:val="center"/>
          </w:tcPr>
          <w:p w14:paraId="51FCF49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43%</w:t>
            </w:r>
          </w:p>
        </w:tc>
        <w:tc>
          <w:tcPr>
            <w:tcW w:w="1455" w:type="dxa"/>
            <w:shd w:val="clear" w:color="auto" w:fill="FFFFFF" w:themeFill="background1"/>
            <w:vAlign w:val="center"/>
          </w:tcPr>
          <w:p w14:paraId="703F270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87,533</w:t>
            </w:r>
          </w:p>
        </w:tc>
        <w:tc>
          <w:tcPr>
            <w:tcW w:w="1455" w:type="dxa"/>
            <w:shd w:val="clear" w:color="auto" w:fill="FFFFFF" w:themeFill="background1"/>
            <w:vAlign w:val="center"/>
          </w:tcPr>
          <w:p w14:paraId="41CA2FC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42%</w:t>
            </w:r>
          </w:p>
        </w:tc>
      </w:tr>
      <w:tr w:rsidR="00EA1E6D" w:rsidRPr="009F7193" w14:paraId="3E3A8837" w14:textId="77777777" w:rsidTr="0099110B">
        <w:trPr>
          <w:cantSplit/>
          <w:trHeight w:val="290"/>
        </w:trPr>
        <w:tc>
          <w:tcPr>
            <w:tcW w:w="4770" w:type="dxa"/>
            <w:noWrap/>
            <w:vAlign w:val="center"/>
          </w:tcPr>
          <w:p w14:paraId="2FEA56CE"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White</w:t>
            </w:r>
          </w:p>
        </w:tc>
        <w:tc>
          <w:tcPr>
            <w:tcW w:w="1455" w:type="dxa"/>
            <w:noWrap/>
            <w:vAlign w:val="bottom"/>
          </w:tcPr>
          <w:p w14:paraId="4C10F36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172,918 </w:t>
            </w:r>
          </w:p>
        </w:tc>
        <w:tc>
          <w:tcPr>
            <w:tcW w:w="1455" w:type="dxa"/>
            <w:noWrap/>
            <w:vAlign w:val="bottom"/>
          </w:tcPr>
          <w:p w14:paraId="4155A23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86%</w:t>
            </w:r>
          </w:p>
        </w:tc>
        <w:tc>
          <w:tcPr>
            <w:tcW w:w="1455" w:type="dxa"/>
            <w:noWrap/>
            <w:vAlign w:val="bottom"/>
          </w:tcPr>
          <w:p w14:paraId="0D3CC08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176,240 </w:t>
            </w:r>
          </w:p>
        </w:tc>
        <w:tc>
          <w:tcPr>
            <w:tcW w:w="1455" w:type="dxa"/>
            <w:noWrap/>
            <w:vAlign w:val="bottom"/>
          </w:tcPr>
          <w:p w14:paraId="6EB26C0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87%</w:t>
            </w:r>
          </w:p>
        </w:tc>
        <w:tc>
          <w:tcPr>
            <w:tcW w:w="1455" w:type="dxa"/>
            <w:shd w:val="clear" w:color="auto" w:fill="FFFFFF" w:themeFill="background1"/>
            <w:vAlign w:val="bottom"/>
          </w:tcPr>
          <w:p w14:paraId="4DE848B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179,347</w:t>
            </w:r>
          </w:p>
        </w:tc>
        <w:tc>
          <w:tcPr>
            <w:tcW w:w="1455" w:type="dxa"/>
            <w:shd w:val="clear" w:color="auto" w:fill="FFFFFF" w:themeFill="background1"/>
            <w:vAlign w:val="bottom"/>
          </w:tcPr>
          <w:p w14:paraId="6339DF5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88%</w:t>
            </w:r>
          </w:p>
        </w:tc>
      </w:tr>
      <w:tr w:rsidR="00EA1E6D" w:rsidRPr="009F7193" w14:paraId="4DFCE7A2" w14:textId="77777777" w:rsidTr="0099110B">
        <w:trPr>
          <w:cantSplit/>
          <w:trHeight w:val="290"/>
        </w:trPr>
        <w:tc>
          <w:tcPr>
            <w:tcW w:w="4770" w:type="dxa"/>
            <w:noWrap/>
            <w:vAlign w:val="center"/>
          </w:tcPr>
          <w:p w14:paraId="66887DDF"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Black or African American</w:t>
            </w:r>
          </w:p>
        </w:tc>
        <w:tc>
          <w:tcPr>
            <w:tcW w:w="1455" w:type="dxa"/>
            <w:noWrap/>
            <w:vAlign w:val="bottom"/>
          </w:tcPr>
          <w:p w14:paraId="1D51B05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7,829 </w:t>
            </w:r>
          </w:p>
        </w:tc>
        <w:tc>
          <w:tcPr>
            <w:tcW w:w="1455" w:type="dxa"/>
            <w:noWrap/>
            <w:vAlign w:val="bottom"/>
          </w:tcPr>
          <w:p w14:paraId="61E6319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w:t>
            </w:r>
          </w:p>
        </w:tc>
        <w:tc>
          <w:tcPr>
            <w:tcW w:w="1455" w:type="dxa"/>
            <w:noWrap/>
            <w:vAlign w:val="bottom"/>
          </w:tcPr>
          <w:p w14:paraId="5709A56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8,723 </w:t>
            </w:r>
          </w:p>
        </w:tc>
        <w:tc>
          <w:tcPr>
            <w:tcW w:w="1455" w:type="dxa"/>
            <w:noWrap/>
            <w:vAlign w:val="bottom"/>
          </w:tcPr>
          <w:p w14:paraId="281C478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w:t>
            </w:r>
          </w:p>
        </w:tc>
        <w:tc>
          <w:tcPr>
            <w:tcW w:w="1455" w:type="dxa"/>
            <w:shd w:val="clear" w:color="auto" w:fill="FFFFFF" w:themeFill="background1"/>
            <w:vAlign w:val="bottom"/>
          </w:tcPr>
          <w:p w14:paraId="5FF1B6D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8,882</w:t>
            </w:r>
          </w:p>
        </w:tc>
        <w:tc>
          <w:tcPr>
            <w:tcW w:w="1455" w:type="dxa"/>
            <w:shd w:val="clear" w:color="auto" w:fill="FFFFFF" w:themeFill="background1"/>
            <w:vAlign w:val="bottom"/>
          </w:tcPr>
          <w:p w14:paraId="57009FB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w:t>
            </w:r>
          </w:p>
        </w:tc>
      </w:tr>
      <w:tr w:rsidR="00EA1E6D" w:rsidRPr="009F7193" w14:paraId="29972327" w14:textId="77777777" w:rsidTr="0099110B">
        <w:trPr>
          <w:cantSplit/>
          <w:trHeight w:val="290"/>
        </w:trPr>
        <w:tc>
          <w:tcPr>
            <w:tcW w:w="4770" w:type="dxa"/>
            <w:noWrap/>
            <w:vAlign w:val="center"/>
          </w:tcPr>
          <w:p w14:paraId="7A4F00BF"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Asian</w:t>
            </w:r>
          </w:p>
        </w:tc>
        <w:tc>
          <w:tcPr>
            <w:tcW w:w="1455" w:type="dxa"/>
            <w:noWrap/>
            <w:vAlign w:val="bottom"/>
          </w:tcPr>
          <w:p w14:paraId="43DCA9D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1,723 </w:t>
            </w:r>
          </w:p>
        </w:tc>
        <w:tc>
          <w:tcPr>
            <w:tcW w:w="1455" w:type="dxa"/>
            <w:noWrap/>
            <w:vAlign w:val="bottom"/>
          </w:tcPr>
          <w:p w14:paraId="036D03D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c>
          <w:tcPr>
            <w:tcW w:w="1455" w:type="dxa"/>
            <w:noWrap/>
            <w:vAlign w:val="bottom"/>
          </w:tcPr>
          <w:p w14:paraId="0838007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1,826 </w:t>
            </w:r>
          </w:p>
        </w:tc>
        <w:tc>
          <w:tcPr>
            <w:tcW w:w="1455" w:type="dxa"/>
            <w:noWrap/>
            <w:vAlign w:val="bottom"/>
          </w:tcPr>
          <w:p w14:paraId="67763D5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c>
          <w:tcPr>
            <w:tcW w:w="1455" w:type="dxa"/>
            <w:shd w:val="clear" w:color="auto" w:fill="FFFFFF" w:themeFill="background1"/>
            <w:vAlign w:val="bottom"/>
          </w:tcPr>
          <w:p w14:paraId="3E1B9B8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1,932</w:t>
            </w:r>
          </w:p>
        </w:tc>
        <w:tc>
          <w:tcPr>
            <w:tcW w:w="1455" w:type="dxa"/>
            <w:shd w:val="clear" w:color="auto" w:fill="FFFFFF" w:themeFill="background1"/>
            <w:vAlign w:val="bottom"/>
          </w:tcPr>
          <w:p w14:paraId="442A65F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r>
      <w:tr w:rsidR="00EA1E6D" w:rsidRPr="009F7193" w14:paraId="145FA758" w14:textId="77777777" w:rsidTr="0099110B">
        <w:trPr>
          <w:cantSplit/>
          <w:trHeight w:val="290"/>
        </w:trPr>
        <w:tc>
          <w:tcPr>
            <w:tcW w:w="4770" w:type="dxa"/>
            <w:noWrap/>
            <w:vAlign w:val="center"/>
          </w:tcPr>
          <w:p w14:paraId="262C6842"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American Indian or Alaska Native</w:t>
            </w:r>
          </w:p>
        </w:tc>
        <w:tc>
          <w:tcPr>
            <w:tcW w:w="1455" w:type="dxa"/>
            <w:noWrap/>
            <w:vAlign w:val="bottom"/>
          </w:tcPr>
          <w:p w14:paraId="10A884B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476 </w:t>
            </w:r>
          </w:p>
        </w:tc>
        <w:tc>
          <w:tcPr>
            <w:tcW w:w="1455" w:type="dxa"/>
            <w:noWrap/>
            <w:vAlign w:val="bottom"/>
          </w:tcPr>
          <w:p w14:paraId="2BF7568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noWrap/>
            <w:vAlign w:val="bottom"/>
          </w:tcPr>
          <w:p w14:paraId="4ABFB69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473 </w:t>
            </w:r>
          </w:p>
        </w:tc>
        <w:tc>
          <w:tcPr>
            <w:tcW w:w="1455" w:type="dxa"/>
            <w:noWrap/>
            <w:vAlign w:val="bottom"/>
          </w:tcPr>
          <w:p w14:paraId="37CD6DA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shd w:val="clear" w:color="auto" w:fill="FFFFFF" w:themeFill="background1"/>
            <w:vAlign w:val="bottom"/>
          </w:tcPr>
          <w:p w14:paraId="5EF406C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486</w:t>
            </w:r>
          </w:p>
        </w:tc>
        <w:tc>
          <w:tcPr>
            <w:tcW w:w="1455" w:type="dxa"/>
            <w:shd w:val="clear" w:color="auto" w:fill="FFFFFF" w:themeFill="background1"/>
            <w:vAlign w:val="bottom"/>
          </w:tcPr>
          <w:p w14:paraId="52B567E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7A9661AF" w14:textId="77777777" w:rsidTr="0099110B">
        <w:trPr>
          <w:cantSplit/>
          <w:trHeight w:val="290"/>
        </w:trPr>
        <w:tc>
          <w:tcPr>
            <w:tcW w:w="4770" w:type="dxa"/>
            <w:noWrap/>
            <w:vAlign w:val="center"/>
          </w:tcPr>
          <w:p w14:paraId="34A384B4"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Native Hawaiian or Other Pacific Islander</w:t>
            </w:r>
          </w:p>
        </w:tc>
        <w:tc>
          <w:tcPr>
            <w:tcW w:w="1455" w:type="dxa"/>
            <w:noWrap/>
            <w:vAlign w:val="bottom"/>
          </w:tcPr>
          <w:p w14:paraId="0026CDE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115 </w:t>
            </w:r>
          </w:p>
        </w:tc>
        <w:tc>
          <w:tcPr>
            <w:tcW w:w="1455" w:type="dxa"/>
            <w:noWrap/>
            <w:vAlign w:val="bottom"/>
          </w:tcPr>
          <w:p w14:paraId="6BB5C89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noWrap/>
            <w:vAlign w:val="bottom"/>
          </w:tcPr>
          <w:p w14:paraId="37DD597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103 </w:t>
            </w:r>
          </w:p>
        </w:tc>
        <w:tc>
          <w:tcPr>
            <w:tcW w:w="1455" w:type="dxa"/>
            <w:noWrap/>
            <w:vAlign w:val="bottom"/>
          </w:tcPr>
          <w:p w14:paraId="41BE282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shd w:val="clear" w:color="auto" w:fill="FFFFFF" w:themeFill="background1"/>
            <w:vAlign w:val="bottom"/>
          </w:tcPr>
          <w:p w14:paraId="371879E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96</w:t>
            </w:r>
          </w:p>
        </w:tc>
        <w:tc>
          <w:tcPr>
            <w:tcW w:w="1455" w:type="dxa"/>
            <w:shd w:val="clear" w:color="auto" w:fill="FFFFFF" w:themeFill="background1"/>
            <w:vAlign w:val="bottom"/>
          </w:tcPr>
          <w:p w14:paraId="4108684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5DC92C4F" w14:textId="77777777" w:rsidTr="0099110B">
        <w:trPr>
          <w:cantSplit/>
          <w:trHeight w:val="290"/>
        </w:trPr>
        <w:tc>
          <w:tcPr>
            <w:tcW w:w="4770" w:type="dxa"/>
            <w:noWrap/>
            <w:vAlign w:val="center"/>
          </w:tcPr>
          <w:p w14:paraId="762E5F3F"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Multiple Races</w:t>
            </w:r>
          </w:p>
        </w:tc>
        <w:tc>
          <w:tcPr>
            <w:tcW w:w="1455" w:type="dxa"/>
            <w:noWrap/>
            <w:vAlign w:val="bottom"/>
          </w:tcPr>
          <w:p w14:paraId="6C08EAA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746 </w:t>
            </w:r>
          </w:p>
        </w:tc>
        <w:tc>
          <w:tcPr>
            <w:tcW w:w="1455" w:type="dxa"/>
            <w:noWrap/>
            <w:vAlign w:val="bottom"/>
          </w:tcPr>
          <w:p w14:paraId="2D1EB86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noWrap/>
            <w:vAlign w:val="bottom"/>
          </w:tcPr>
          <w:p w14:paraId="0E94EFA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818 </w:t>
            </w:r>
          </w:p>
        </w:tc>
        <w:tc>
          <w:tcPr>
            <w:tcW w:w="1455" w:type="dxa"/>
            <w:noWrap/>
            <w:vAlign w:val="bottom"/>
          </w:tcPr>
          <w:p w14:paraId="02BAC84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455" w:type="dxa"/>
            <w:shd w:val="clear" w:color="auto" w:fill="FFFFFF" w:themeFill="background1"/>
            <w:vAlign w:val="bottom"/>
          </w:tcPr>
          <w:p w14:paraId="52A1901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772</w:t>
            </w:r>
          </w:p>
        </w:tc>
        <w:tc>
          <w:tcPr>
            <w:tcW w:w="1455" w:type="dxa"/>
            <w:shd w:val="clear" w:color="auto" w:fill="FFFFFF" w:themeFill="background1"/>
            <w:vAlign w:val="bottom"/>
          </w:tcPr>
          <w:p w14:paraId="1B210BA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52619CD9" w14:textId="77777777" w:rsidTr="0099110B">
        <w:trPr>
          <w:cantSplit/>
          <w:trHeight w:val="300"/>
        </w:trPr>
        <w:tc>
          <w:tcPr>
            <w:tcW w:w="4770" w:type="dxa"/>
            <w:noWrap/>
            <w:vAlign w:val="center"/>
          </w:tcPr>
          <w:p w14:paraId="09B5AB58" w14:textId="557263ED"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w:t>
            </w:r>
            <w:r w:rsidR="00621629">
              <w:rPr>
                <w:rFonts w:asciiTheme="minorHAnsi" w:hAnsiTheme="minorHAnsi" w:cstheme="majorHAnsi"/>
                <w:color w:val="000000"/>
                <w:sz w:val="20"/>
                <w:szCs w:val="20"/>
              </w:rPr>
              <w:t xml:space="preserve">: </w:t>
            </w:r>
            <w:r w:rsidRPr="009F7193">
              <w:rPr>
                <w:rFonts w:asciiTheme="minorHAnsi" w:hAnsiTheme="minorHAnsi" w:cstheme="majorHAnsi"/>
                <w:color w:val="000000"/>
                <w:sz w:val="20"/>
                <w:szCs w:val="20"/>
              </w:rPr>
              <w:t>Other</w:t>
            </w:r>
          </w:p>
        </w:tc>
        <w:tc>
          <w:tcPr>
            <w:tcW w:w="1455" w:type="dxa"/>
            <w:noWrap/>
            <w:vAlign w:val="bottom"/>
          </w:tcPr>
          <w:p w14:paraId="197AFDE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10,075 </w:t>
            </w:r>
          </w:p>
        </w:tc>
        <w:tc>
          <w:tcPr>
            <w:tcW w:w="1455" w:type="dxa"/>
            <w:noWrap/>
            <w:vAlign w:val="bottom"/>
          </w:tcPr>
          <w:p w14:paraId="1E6A48F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c>
          <w:tcPr>
            <w:tcW w:w="1455" w:type="dxa"/>
            <w:noWrap/>
            <w:vAlign w:val="bottom"/>
          </w:tcPr>
          <w:p w14:paraId="6E7E670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10,863 </w:t>
            </w:r>
          </w:p>
        </w:tc>
        <w:tc>
          <w:tcPr>
            <w:tcW w:w="1455" w:type="dxa"/>
            <w:noWrap/>
            <w:vAlign w:val="bottom"/>
          </w:tcPr>
          <w:p w14:paraId="02443B7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c>
          <w:tcPr>
            <w:tcW w:w="1455" w:type="dxa"/>
            <w:shd w:val="clear" w:color="auto" w:fill="FFFFFF" w:themeFill="background1"/>
            <w:vAlign w:val="bottom"/>
          </w:tcPr>
          <w:p w14:paraId="0EA9DA5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11,143</w:t>
            </w:r>
          </w:p>
        </w:tc>
        <w:tc>
          <w:tcPr>
            <w:tcW w:w="1455" w:type="dxa"/>
            <w:shd w:val="clear" w:color="auto" w:fill="FFFFFF" w:themeFill="background1"/>
            <w:vAlign w:val="bottom"/>
          </w:tcPr>
          <w:p w14:paraId="2529DF2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r>
      <w:tr w:rsidR="00EA1E6D" w:rsidRPr="009F7193" w14:paraId="5DB9FC99" w14:textId="77777777" w:rsidTr="0099110B">
        <w:trPr>
          <w:cantSplit/>
          <w:trHeight w:val="300"/>
        </w:trPr>
        <w:tc>
          <w:tcPr>
            <w:tcW w:w="4770" w:type="dxa"/>
            <w:noWrap/>
            <w:vAlign w:val="center"/>
          </w:tcPr>
          <w:p w14:paraId="05CB22F4"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Unknown</w:t>
            </w:r>
          </w:p>
        </w:tc>
        <w:tc>
          <w:tcPr>
            <w:tcW w:w="1455" w:type="dxa"/>
            <w:noWrap/>
            <w:vAlign w:val="bottom"/>
          </w:tcPr>
          <w:p w14:paraId="5D08904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6,930 </w:t>
            </w:r>
          </w:p>
        </w:tc>
        <w:tc>
          <w:tcPr>
            <w:tcW w:w="1455" w:type="dxa"/>
            <w:noWrap/>
            <w:vAlign w:val="bottom"/>
          </w:tcPr>
          <w:p w14:paraId="2C92EE7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w:t>
            </w:r>
          </w:p>
        </w:tc>
        <w:tc>
          <w:tcPr>
            <w:tcW w:w="1455" w:type="dxa"/>
            <w:noWrap/>
            <w:vAlign w:val="bottom"/>
          </w:tcPr>
          <w:p w14:paraId="1BD452A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4,214 </w:t>
            </w:r>
          </w:p>
        </w:tc>
        <w:tc>
          <w:tcPr>
            <w:tcW w:w="1455" w:type="dxa"/>
            <w:noWrap/>
            <w:vAlign w:val="bottom"/>
          </w:tcPr>
          <w:p w14:paraId="3B73CCA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w:t>
            </w:r>
          </w:p>
        </w:tc>
        <w:tc>
          <w:tcPr>
            <w:tcW w:w="1455" w:type="dxa"/>
            <w:shd w:val="clear" w:color="auto" w:fill="FFFFFF" w:themeFill="background1"/>
            <w:vAlign w:val="bottom"/>
          </w:tcPr>
          <w:p w14:paraId="647FD3ED"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4,043</w:t>
            </w:r>
          </w:p>
        </w:tc>
        <w:tc>
          <w:tcPr>
            <w:tcW w:w="1455" w:type="dxa"/>
            <w:shd w:val="clear" w:color="auto" w:fill="FFFFFF" w:themeFill="background1"/>
            <w:vAlign w:val="bottom"/>
          </w:tcPr>
          <w:p w14:paraId="16F2051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w:t>
            </w:r>
          </w:p>
        </w:tc>
      </w:tr>
      <w:tr w:rsidR="00EA1E6D" w:rsidRPr="009F7193" w14:paraId="3740D6D1" w14:textId="77777777" w:rsidTr="0099110B">
        <w:trPr>
          <w:cantSplit/>
          <w:trHeight w:val="300"/>
        </w:trPr>
        <w:tc>
          <w:tcPr>
            <w:tcW w:w="4770" w:type="dxa"/>
            <w:noWrap/>
            <w:vAlign w:val="center"/>
          </w:tcPr>
          <w:p w14:paraId="431C7118"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Ethnicity: Hispanic/Latino</w:t>
            </w:r>
          </w:p>
        </w:tc>
        <w:tc>
          <w:tcPr>
            <w:tcW w:w="1455" w:type="dxa"/>
            <w:noWrap/>
            <w:vAlign w:val="center"/>
          </w:tcPr>
          <w:p w14:paraId="352B74B2"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4,700 </w:t>
            </w:r>
          </w:p>
        </w:tc>
        <w:tc>
          <w:tcPr>
            <w:tcW w:w="1455" w:type="dxa"/>
            <w:noWrap/>
            <w:vAlign w:val="center"/>
          </w:tcPr>
          <w:p w14:paraId="5F28955F"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2%</w:t>
            </w:r>
          </w:p>
        </w:tc>
        <w:tc>
          <w:tcPr>
            <w:tcW w:w="1455" w:type="dxa"/>
            <w:noWrap/>
            <w:vAlign w:val="center"/>
          </w:tcPr>
          <w:p w14:paraId="32F74D02"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5,421 </w:t>
            </w:r>
          </w:p>
        </w:tc>
        <w:tc>
          <w:tcPr>
            <w:tcW w:w="1455" w:type="dxa"/>
            <w:noWrap/>
            <w:vAlign w:val="center"/>
          </w:tcPr>
          <w:p w14:paraId="545203FE"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3%</w:t>
            </w:r>
          </w:p>
        </w:tc>
        <w:tc>
          <w:tcPr>
            <w:tcW w:w="1455" w:type="dxa"/>
            <w:shd w:val="clear" w:color="auto" w:fill="FFFFFF" w:themeFill="background1"/>
            <w:vAlign w:val="center"/>
          </w:tcPr>
          <w:p w14:paraId="696FFEF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5,679</w:t>
            </w:r>
          </w:p>
        </w:tc>
        <w:tc>
          <w:tcPr>
            <w:tcW w:w="1455" w:type="dxa"/>
            <w:shd w:val="clear" w:color="auto" w:fill="FFFFFF" w:themeFill="background1"/>
            <w:vAlign w:val="center"/>
          </w:tcPr>
          <w:p w14:paraId="08942AF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w:t>
            </w:r>
          </w:p>
        </w:tc>
      </w:tr>
      <w:tr w:rsidR="00EA1E6D" w:rsidRPr="009F7193" w14:paraId="66AA08EC" w14:textId="77777777" w:rsidTr="0099110B">
        <w:trPr>
          <w:cantSplit/>
          <w:trHeight w:val="300"/>
        </w:trPr>
        <w:tc>
          <w:tcPr>
            <w:tcW w:w="4770" w:type="dxa"/>
            <w:noWrap/>
            <w:vAlign w:val="center"/>
          </w:tcPr>
          <w:p w14:paraId="4D7DD349"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Ethnicity: Not Hispanic/Latino</w:t>
            </w:r>
          </w:p>
        </w:tc>
        <w:tc>
          <w:tcPr>
            <w:tcW w:w="1455" w:type="dxa"/>
            <w:noWrap/>
            <w:vAlign w:val="center"/>
          </w:tcPr>
          <w:p w14:paraId="6F1F7CAC"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168,313 </w:t>
            </w:r>
          </w:p>
        </w:tc>
        <w:tc>
          <w:tcPr>
            <w:tcW w:w="1455" w:type="dxa"/>
            <w:noWrap/>
            <w:vAlign w:val="center"/>
          </w:tcPr>
          <w:p w14:paraId="25FEB491"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84%</w:t>
            </w:r>
          </w:p>
        </w:tc>
        <w:tc>
          <w:tcPr>
            <w:tcW w:w="1455" w:type="dxa"/>
            <w:noWrap/>
            <w:vAlign w:val="center"/>
          </w:tcPr>
          <w:p w14:paraId="3761EFAD"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173,149 </w:t>
            </w:r>
          </w:p>
        </w:tc>
        <w:tc>
          <w:tcPr>
            <w:tcW w:w="1455" w:type="dxa"/>
            <w:noWrap/>
            <w:vAlign w:val="center"/>
          </w:tcPr>
          <w:p w14:paraId="433480E3"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85%</w:t>
            </w:r>
          </w:p>
        </w:tc>
        <w:tc>
          <w:tcPr>
            <w:tcW w:w="1455" w:type="dxa"/>
            <w:shd w:val="clear" w:color="auto" w:fill="FFFFFF" w:themeFill="background1"/>
            <w:vAlign w:val="center"/>
          </w:tcPr>
          <w:p w14:paraId="5041516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177,214</w:t>
            </w:r>
          </w:p>
        </w:tc>
        <w:tc>
          <w:tcPr>
            <w:tcW w:w="1455" w:type="dxa"/>
            <w:shd w:val="clear" w:color="auto" w:fill="FFFFFF" w:themeFill="background1"/>
            <w:vAlign w:val="center"/>
          </w:tcPr>
          <w:p w14:paraId="74DD3E4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86%</w:t>
            </w:r>
          </w:p>
        </w:tc>
      </w:tr>
      <w:tr w:rsidR="00EA1E6D" w:rsidRPr="009F7193" w14:paraId="08D6E2B3" w14:textId="77777777" w:rsidTr="0099110B">
        <w:trPr>
          <w:cantSplit/>
          <w:trHeight w:val="300"/>
        </w:trPr>
        <w:tc>
          <w:tcPr>
            <w:tcW w:w="4770" w:type="dxa"/>
            <w:noWrap/>
            <w:vAlign w:val="center"/>
          </w:tcPr>
          <w:p w14:paraId="24252053"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Ethnicity: Other/Unknown</w:t>
            </w:r>
          </w:p>
        </w:tc>
        <w:tc>
          <w:tcPr>
            <w:tcW w:w="1455" w:type="dxa"/>
            <w:noWrap/>
            <w:vAlign w:val="center"/>
          </w:tcPr>
          <w:p w14:paraId="3F55DAC8"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27,799 </w:t>
            </w:r>
          </w:p>
        </w:tc>
        <w:tc>
          <w:tcPr>
            <w:tcW w:w="1455" w:type="dxa"/>
            <w:noWrap/>
            <w:vAlign w:val="center"/>
          </w:tcPr>
          <w:p w14:paraId="5BB70132"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14%</w:t>
            </w:r>
          </w:p>
        </w:tc>
        <w:tc>
          <w:tcPr>
            <w:tcW w:w="1455" w:type="dxa"/>
            <w:noWrap/>
            <w:vAlign w:val="center"/>
          </w:tcPr>
          <w:p w14:paraId="16B5D380"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24,690 </w:t>
            </w:r>
          </w:p>
        </w:tc>
        <w:tc>
          <w:tcPr>
            <w:tcW w:w="1455" w:type="dxa"/>
            <w:noWrap/>
            <w:vAlign w:val="center"/>
          </w:tcPr>
          <w:p w14:paraId="587FA466"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12%</w:t>
            </w:r>
          </w:p>
        </w:tc>
        <w:tc>
          <w:tcPr>
            <w:tcW w:w="1455" w:type="dxa"/>
            <w:shd w:val="clear" w:color="auto" w:fill="FFFFFF" w:themeFill="background1"/>
            <w:vAlign w:val="center"/>
          </w:tcPr>
          <w:p w14:paraId="33D2C12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23,808</w:t>
            </w:r>
          </w:p>
        </w:tc>
        <w:tc>
          <w:tcPr>
            <w:tcW w:w="1455" w:type="dxa"/>
            <w:shd w:val="clear" w:color="auto" w:fill="FFFFFF" w:themeFill="background1"/>
            <w:vAlign w:val="center"/>
          </w:tcPr>
          <w:p w14:paraId="37490F2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11%</w:t>
            </w:r>
          </w:p>
        </w:tc>
      </w:tr>
    </w:tbl>
    <w:p w14:paraId="36C3A1DA" w14:textId="77777777" w:rsidR="00EA1E6D" w:rsidRPr="009F7193" w:rsidRDefault="00EA1E6D" w:rsidP="00EA1E6D">
      <w:pPr>
        <w:jc w:val="both"/>
        <w:rPr>
          <w:rFonts w:asciiTheme="minorHAnsi" w:eastAsia="Verdana" w:hAnsiTheme="minorHAnsi" w:cs="Arial"/>
          <w:b/>
          <w:bCs/>
          <w:sz w:val="22"/>
          <w:szCs w:val="22"/>
        </w:rPr>
        <w:sectPr w:rsidR="00EA1E6D" w:rsidRPr="009F7193" w:rsidSect="00EA1E6D">
          <w:pgSz w:w="15840" w:h="12240" w:orient="landscape"/>
          <w:pgMar w:top="1440" w:right="1440" w:bottom="1440" w:left="1440" w:header="720" w:footer="720" w:gutter="0"/>
          <w:cols w:space="720"/>
          <w:docGrid w:linePitch="360"/>
        </w:sectPr>
      </w:pPr>
    </w:p>
    <w:p w14:paraId="0A250436" w14:textId="77777777" w:rsidR="00EA1E6D" w:rsidRPr="009F7193" w:rsidRDefault="00EA1E6D" w:rsidP="00EA1E6D">
      <w:pPr>
        <w:jc w:val="both"/>
        <w:rPr>
          <w:rFonts w:asciiTheme="minorHAnsi" w:eastAsia="Verdana" w:hAnsiTheme="minorHAnsi" w:cs="Arial"/>
          <w:b/>
          <w:bCs/>
          <w:sz w:val="22"/>
          <w:szCs w:val="22"/>
        </w:rPr>
      </w:pPr>
    </w:p>
    <w:p w14:paraId="19E84441" w14:textId="5F6DF71C" w:rsidR="001A7181" w:rsidRPr="001A7181" w:rsidRDefault="001A7181" w:rsidP="001A7181">
      <w:pPr>
        <w:ind w:left="-360"/>
        <w:jc w:val="both"/>
        <w:rPr>
          <w:rFonts w:asciiTheme="minorHAnsi" w:eastAsia="Verdana" w:hAnsiTheme="minorHAnsi" w:cs="Arial"/>
          <w:sz w:val="22"/>
          <w:szCs w:val="22"/>
        </w:rPr>
      </w:pPr>
      <w:r>
        <w:rPr>
          <w:rFonts w:asciiTheme="minorHAnsi" w:eastAsia="Verdana" w:hAnsiTheme="minorHAnsi" w:cs="Arial"/>
          <w:sz w:val="22"/>
          <w:szCs w:val="22"/>
        </w:rPr>
        <w:t xml:space="preserve">The table below illustrates the top </w:t>
      </w:r>
      <w:r w:rsidR="00A73E6B">
        <w:rPr>
          <w:rFonts w:asciiTheme="minorHAnsi" w:eastAsia="Verdana" w:hAnsiTheme="minorHAnsi" w:cs="Arial"/>
          <w:sz w:val="22"/>
          <w:szCs w:val="22"/>
        </w:rPr>
        <w:t>20</w:t>
      </w:r>
      <w:r>
        <w:rPr>
          <w:rFonts w:asciiTheme="minorHAnsi" w:eastAsia="Verdana" w:hAnsiTheme="minorHAnsi" w:cs="Arial"/>
          <w:sz w:val="22"/>
          <w:szCs w:val="22"/>
        </w:rPr>
        <w:t xml:space="preserve"> towns </w:t>
      </w:r>
      <w:r w:rsidR="00A73E6B">
        <w:rPr>
          <w:rFonts w:asciiTheme="minorHAnsi" w:eastAsia="Verdana" w:hAnsiTheme="minorHAnsi" w:cs="Arial"/>
          <w:sz w:val="22"/>
          <w:szCs w:val="22"/>
        </w:rPr>
        <w:t>comprising the</w:t>
      </w:r>
      <w:r>
        <w:rPr>
          <w:rFonts w:asciiTheme="minorHAnsi" w:eastAsia="Verdana" w:hAnsiTheme="minorHAnsi" w:cs="Arial"/>
          <w:sz w:val="22"/>
          <w:szCs w:val="22"/>
        </w:rPr>
        <w:t xml:space="preserve"> Applicant’s Patient Panel. </w:t>
      </w:r>
      <w:r w:rsidR="001A01E6">
        <w:rPr>
          <w:rFonts w:asciiTheme="minorHAnsi" w:eastAsia="Verdana" w:hAnsiTheme="minorHAnsi" w:cs="Arial"/>
          <w:sz w:val="22"/>
          <w:szCs w:val="22"/>
        </w:rPr>
        <w:t xml:space="preserve">In FY2025, approximately 81% of the Patient Panel resided in Barnstable County. </w:t>
      </w:r>
    </w:p>
    <w:p w14:paraId="4F14C9C5" w14:textId="77777777" w:rsidR="00EA1E6D" w:rsidRPr="009F7193" w:rsidRDefault="00EA1E6D" w:rsidP="00EA1E6D">
      <w:pPr>
        <w:ind w:hanging="540"/>
        <w:jc w:val="both"/>
        <w:rPr>
          <w:rFonts w:asciiTheme="minorHAnsi" w:eastAsia="Verdana" w:hAnsiTheme="minorHAnsi" w:cs="Arial"/>
          <w:b/>
          <w:bCs/>
          <w:sz w:val="22"/>
          <w:szCs w:val="22"/>
        </w:rPr>
      </w:pPr>
    </w:p>
    <w:p w14:paraId="6B8D63A7" w14:textId="3DA78837" w:rsidR="00EA1E6D" w:rsidRPr="009F7193" w:rsidRDefault="00EA1E6D" w:rsidP="00EA1E6D">
      <w:pPr>
        <w:spacing w:after="120"/>
        <w:ind w:hanging="360"/>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t xml:space="preserve">Table 2: Cape Cod Healthcare Geographic Origin </w:t>
      </w:r>
    </w:p>
    <w:tbl>
      <w:tblPr>
        <w:tblW w:w="13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384"/>
        <w:gridCol w:w="1384"/>
        <w:gridCol w:w="1194"/>
        <w:gridCol w:w="1194"/>
        <w:gridCol w:w="1194"/>
        <w:gridCol w:w="1194"/>
        <w:gridCol w:w="1195"/>
      </w:tblGrid>
      <w:tr w:rsidR="00A73E6B" w:rsidRPr="009F7193" w14:paraId="05A81EB5" w14:textId="77777777" w:rsidTr="00053F78">
        <w:trPr>
          <w:cantSplit/>
          <w:trHeight w:val="268"/>
          <w:tblHeader/>
          <w:jc w:val="center"/>
        </w:trPr>
        <w:tc>
          <w:tcPr>
            <w:tcW w:w="4410" w:type="dxa"/>
            <w:shd w:val="clear" w:color="auto" w:fill="156082" w:themeFill="accent1"/>
            <w:noWrap/>
            <w:vAlign w:val="center"/>
            <w:hideMark/>
          </w:tcPr>
          <w:p w14:paraId="2A34FCBF" w14:textId="31289387" w:rsidR="00A73E6B" w:rsidRPr="009F7193" w:rsidRDefault="00A73E6B" w:rsidP="009B300B">
            <w:pPr>
              <w:contextualSpacing/>
              <w:rPr>
                <w:rFonts w:asciiTheme="minorHAnsi" w:hAnsiTheme="minorHAnsi" w:cstheme="majorHAnsi"/>
                <w:b/>
                <w:bCs/>
                <w:color w:val="FFFFFF" w:themeColor="background1"/>
                <w:sz w:val="20"/>
                <w:szCs w:val="20"/>
              </w:rPr>
            </w:pPr>
            <w:r>
              <w:rPr>
                <w:rFonts w:asciiTheme="minorHAnsi" w:hAnsiTheme="minorHAnsi" w:cstheme="majorHAnsi"/>
                <w:b/>
                <w:bCs/>
                <w:color w:val="FFFFFF" w:themeColor="background1"/>
                <w:sz w:val="20"/>
                <w:szCs w:val="20"/>
              </w:rPr>
              <w:t>Town</w:t>
            </w:r>
          </w:p>
          <w:p w14:paraId="4DD1079F" w14:textId="77777777" w:rsidR="00A73E6B" w:rsidRPr="009F7193" w:rsidRDefault="00A73E6B" w:rsidP="009B300B">
            <w:pPr>
              <w:contextualSpacing/>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 </w:t>
            </w:r>
          </w:p>
        </w:tc>
        <w:tc>
          <w:tcPr>
            <w:tcW w:w="1384" w:type="dxa"/>
            <w:shd w:val="clear" w:color="auto" w:fill="156082" w:themeFill="accent1"/>
          </w:tcPr>
          <w:p w14:paraId="022BA1F8" w14:textId="7C79B698" w:rsidR="00A73E6B" w:rsidRPr="009F7193" w:rsidRDefault="00A73E6B" w:rsidP="009B300B">
            <w:pPr>
              <w:contextualSpacing/>
              <w:jc w:val="center"/>
              <w:rPr>
                <w:rFonts w:asciiTheme="minorHAnsi" w:hAnsiTheme="minorHAnsi" w:cstheme="majorHAnsi"/>
                <w:b/>
                <w:bCs/>
                <w:color w:val="FFFFFF" w:themeColor="background1"/>
                <w:sz w:val="20"/>
                <w:szCs w:val="20"/>
              </w:rPr>
            </w:pPr>
            <w:r>
              <w:rPr>
                <w:rFonts w:asciiTheme="minorHAnsi" w:hAnsiTheme="minorHAnsi" w:cstheme="majorHAnsi"/>
                <w:b/>
                <w:bCs/>
                <w:color w:val="FFFFFF" w:themeColor="background1"/>
                <w:sz w:val="20"/>
                <w:szCs w:val="20"/>
              </w:rPr>
              <w:t>Zip Code</w:t>
            </w:r>
          </w:p>
        </w:tc>
        <w:tc>
          <w:tcPr>
            <w:tcW w:w="1384" w:type="dxa"/>
            <w:shd w:val="clear" w:color="auto" w:fill="156082" w:themeFill="accent1"/>
            <w:noWrap/>
            <w:vAlign w:val="center"/>
            <w:hideMark/>
          </w:tcPr>
          <w:p w14:paraId="671E4F9A" w14:textId="4829AF01"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(n)</w:t>
            </w:r>
          </w:p>
        </w:tc>
        <w:tc>
          <w:tcPr>
            <w:tcW w:w="1194" w:type="dxa"/>
            <w:shd w:val="clear" w:color="auto" w:fill="156082" w:themeFill="accent1"/>
            <w:vAlign w:val="center"/>
          </w:tcPr>
          <w:p w14:paraId="10E0B5EB" w14:textId="77777777"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w:t>
            </w:r>
          </w:p>
        </w:tc>
        <w:tc>
          <w:tcPr>
            <w:tcW w:w="1194" w:type="dxa"/>
            <w:shd w:val="clear" w:color="auto" w:fill="156082" w:themeFill="accent1"/>
            <w:vAlign w:val="center"/>
          </w:tcPr>
          <w:p w14:paraId="17AFAC39" w14:textId="77777777"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(n)</w:t>
            </w:r>
          </w:p>
        </w:tc>
        <w:tc>
          <w:tcPr>
            <w:tcW w:w="1194" w:type="dxa"/>
            <w:shd w:val="clear" w:color="auto" w:fill="156082" w:themeFill="accent1"/>
            <w:vAlign w:val="center"/>
          </w:tcPr>
          <w:p w14:paraId="496ED4DB" w14:textId="77777777"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w:t>
            </w:r>
          </w:p>
        </w:tc>
        <w:tc>
          <w:tcPr>
            <w:tcW w:w="1194" w:type="dxa"/>
            <w:shd w:val="clear" w:color="auto" w:fill="156082" w:themeFill="accent1"/>
            <w:vAlign w:val="center"/>
          </w:tcPr>
          <w:p w14:paraId="3BE8C0B5" w14:textId="77777777"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 (n)</w:t>
            </w:r>
          </w:p>
        </w:tc>
        <w:tc>
          <w:tcPr>
            <w:tcW w:w="1195" w:type="dxa"/>
            <w:shd w:val="clear" w:color="auto" w:fill="156082" w:themeFill="accent1"/>
            <w:vAlign w:val="center"/>
          </w:tcPr>
          <w:p w14:paraId="6B35AFDA" w14:textId="77777777" w:rsidR="00A73E6B" w:rsidRPr="009F7193" w:rsidRDefault="00A73E6B"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w:t>
            </w:r>
          </w:p>
        </w:tc>
      </w:tr>
      <w:tr w:rsidR="00A73E6B" w:rsidRPr="009F7193" w14:paraId="3B765E18" w14:textId="77777777" w:rsidTr="00053F78">
        <w:trPr>
          <w:cantSplit/>
          <w:trHeight w:val="20"/>
          <w:jc w:val="center"/>
        </w:trPr>
        <w:tc>
          <w:tcPr>
            <w:tcW w:w="4410" w:type="dxa"/>
            <w:noWrap/>
            <w:vAlign w:val="bottom"/>
          </w:tcPr>
          <w:p w14:paraId="1DAEB76F" w14:textId="1F488B6D"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East Falmouth</w:t>
            </w:r>
          </w:p>
        </w:tc>
        <w:tc>
          <w:tcPr>
            <w:tcW w:w="1384" w:type="dxa"/>
            <w:vAlign w:val="bottom"/>
          </w:tcPr>
          <w:p w14:paraId="69B4012A" w14:textId="0DE18D6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02536</w:t>
            </w:r>
          </w:p>
        </w:tc>
        <w:tc>
          <w:tcPr>
            <w:tcW w:w="1384" w:type="dxa"/>
            <w:noWrap/>
            <w:vAlign w:val="bottom"/>
          </w:tcPr>
          <w:p w14:paraId="52BFE135" w14:textId="0942D46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14,134</w:t>
            </w:r>
          </w:p>
        </w:tc>
        <w:tc>
          <w:tcPr>
            <w:tcW w:w="1194" w:type="dxa"/>
            <w:noWrap/>
            <w:vAlign w:val="bottom"/>
          </w:tcPr>
          <w:p w14:paraId="262F9DD3" w14:textId="01B6994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7.0%</w:t>
            </w:r>
          </w:p>
        </w:tc>
        <w:tc>
          <w:tcPr>
            <w:tcW w:w="1194" w:type="dxa"/>
            <w:noWrap/>
            <w:vAlign w:val="bottom"/>
          </w:tcPr>
          <w:p w14:paraId="0BC66CE4" w14:textId="25143C7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14,545</w:t>
            </w:r>
          </w:p>
        </w:tc>
        <w:tc>
          <w:tcPr>
            <w:tcW w:w="1194" w:type="dxa"/>
            <w:noWrap/>
            <w:vAlign w:val="bottom"/>
          </w:tcPr>
          <w:p w14:paraId="564C1402" w14:textId="4788A70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7.2%</w:t>
            </w:r>
          </w:p>
        </w:tc>
        <w:tc>
          <w:tcPr>
            <w:tcW w:w="1194" w:type="dxa"/>
            <w:noWrap/>
            <w:vAlign w:val="bottom"/>
          </w:tcPr>
          <w:p w14:paraId="3FA87EDF" w14:textId="2A519B3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14,786</w:t>
            </w:r>
          </w:p>
        </w:tc>
        <w:tc>
          <w:tcPr>
            <w:tcW w:w="1195" w:type="dxa"/>
            <w:noWrap/>
            <w:vAlign w:val="bottom"/>
          </w:tcPr>
          <w:p w14:paraId="3E180B4D" w14:textId="5D86E2F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7.2%</w:t>
            </w:r>
          </w:p>
        </w:tc>
      </w:tr>
      <w:tr w:rsidR="00A73E6B" w:rsidRPr="009F7193" w14:paraId="30985CF2" w14:textId="77777777" w:rsidTr="00053F78">
        <w:trPr>
          <w:cantSplit/>
          <w:trHeight w:val="20"/>
          <w:jc w:val="center"/>
        </w:trPr>
        <w:tc>
          <w:tcPr>
            <w:tcW w:w="4410" w:type="dxa"/>
            <w:noWrap/>
            <w:vAlign w:val="bottom"/>
          </w:tcPr>
          <w:p w14:paraId="47047F62" w14:textId="2C4F0323"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Hyannis</w:t>
            </w:r>
          </w:p>
        </w:tc>
        <w:tc>
          <w:tcPr>
            <w:tcW w:w="1384" w:type="dxa"/>
            <w:vAlign w:val="bottom"/>
          </w:tcPr>
          <w:p w14:paraId="6BD99C23" w14:textId="14947AE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02601</w:t>
            </w:r>
          </w:p>
        </w:tc>
        <w:tc>
          <w:tcPr>
            <w:tcW w:w="1384" w:type="dxa"/>
            <w:noWrap/>
            <w:vAlign w:val="bottom"/>
          </w:tcPr>
          <w:p w14:paraId="1297A314" w14:textId="13D7C0C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13,208</w:t>
            </w:r>
          </w:p>
        </w:tc>
        <w:tc>
          <w:tcPr>
            <w:tcW w:w="1194" w:type="dxa"/>
            <w:noWrap/>
            <w:vAlign w:val="bottom"/>
          </w:tcPr>
          <w:p w14:paraId="5E57ECE3" w14:textId="69352912"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6.6%</w:t>
            </w:r>
          </w:p>
        </w:tc>
        <w:tc>
          <w:tcPr>
            <w:tcW w:w="1194" w:type="dxa"/>
            <w:noWrap/>
            <w:vAlign w:val="bottom"/>
          </w:tcPr>
          <w:p w14:paraId="6E27AA43" w14:textId="301E015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13,613</w:t>
            </w:r>
          </w:p>
        </w:tc>
        <w:tc>
          <w:tcPr>
            <w:tcW w:w="1194" w:type="dxa"/>
            <w:noWrap/>
            <w:vAlign w:val="bottom"/>
          </w:tcPr>
          <w:p w14:paraId="02BBB877" w14:textId="533334D6"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6.7%</w:t>
            </w:r>
          </w:p>
        </w:tc>
        <w:tc>
          <w:tcPr>
            <w:tcW w:w="1194" w:type="dxa"/>
            <w:noWrap/>
            <w:vAlign w:val="bottom"/>
          </w:tcPr>
          <w:p w14:paraId="76A064E6" w14:textId="11A67C0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13,771</w:t>
            </w:r>
          </w:p>
        </w:tc>
        <w:tc>
          <w:tcPr>
            <w:tcW w:w="1195" w:type="dxa"/>
            <w:noWrap/>
            <w:vAlign w:val="bottom"/>
          </w:tcPr>
          <w:p w14:paraId="024BCA31" w14:textId="2764DF6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6.7%</w:t>
            </w:r>
          </w:p>
        </w:tc>
      </w:tr>
      <w:tr w:rsidR="00A73E6B" w:rsidRPr="009F7193" w14:paraId="0B912592" w14:textId="77777777" w:rsidTr="00053F78">
        <w:trPr>
          <w:cantSplit/>
          <w:trHeight w:val="20"/>
          <w:jc w:val="center"/>
        </w:trPr>
        <w:tc>
          <w:tcPr>
            <w:tcW w:w="4410" w:type="dxa"/>
            <w:noWrap/>
            <w:vAlign w:val="bottom"/>
          </w:tcPr>
          <w:p w14:paraId="60326AA9" w14:textId="08DD6F8B"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Mashpee</w:t>
            </w:r>
          </w:p>
        </w:tc>
        <w:tc>
          <w:tcPr>
            <w:tcW w:w="1384" w:type="dxa"/>
            <w:vAlign w:val="bottom"/>
          </w:tcPr>
          <w:p w14:paraId="5F2EB526" w14:textId="43D5B07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02649</w:t>
            </w:r>
          </w:p>
        </w:tc>
        <w:tc>
          <w:tcPr>
            <w:tcW w:w="1384" w:type="dxa"/>
            <w:noWrap/>
            <w:vAlign w:val="bottom"/>
          </w:tcPr>
          <w:p w14:paraId="0932AF76" w14:textId="26C9557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11,176</w:t>
            </w:r>
          </w:p>
        </w:tc>
        <w:tc>
          <w:tcPr>
            <w:tcW w:w="1194" w:type="dxa"/>
            <w:noWrap/>
            <w:vAlign w:val="bottom"/>
          </w:tcPr>
          <w:p w14:paraId="78820214" w14:textId="27C48F76"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5.6%</w:t>
            </w:r>
          </w:p>
        </w:tc>
        <w:tc>
          <w:tcPr>
            <w:tcW w:w="1194" w:type="dxa"/>
            <w:noWrap/>
            <w:vAlign w:val="bottom"/>
          </w:tcPr>
          <w:p w14:paraId="2E96ACA8" w14:textId="0009DD7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11,336</w:t>
            </w:r>
          </w:p>
        </w:tc>
        <w:tc>
          <w:tcPr>
            <w:tcW w:w="1194" w:type="dxa"/>
            <w:noWrap/>
            <w:vAlign w:val="bottom"/>
          </w:tcPr>
          <w:p w14:paraId="656A7861" w14:textId="3A102E6E"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5.6%</w:t>
            </w:r>
          </w:p>
        </w:tc>
        <w:tc>
          <w:tcPr>
            <w:tcW w:w="1194" w:type="dxa"/>
            <w:noWrap/>
            <w:vAlign w:val="bottom"/>
          </w:tcPr>
          <w:p w14:paraId="409908CA" w14:textId="2BEDEC2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11,458</w:t>
            </w:r>
          </w:p>
        </w:tc>
        <w:tc>
          <w:tcPr>
            <w:tcW w:w="1195" w:type="dxa"/>
            <w:noWrap/>
            <w:vAlign w:val="bottom"/>
          </w:tcPr>
          <w:p w14:paraId="49F30845" w14:textId="58C811F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5.5%</w:t>
            </w:r>
          </w:p>
        </w:tc>
      </w:tr>
      <w:tr w:rsidR="00A73E6B" w:rsidRPr="009F7193" w14:paraId="63FB01A2" w14:textId="77777777" w:rsidTr="00053F78">
        <w:trPr>
          <w:cantSplit/>
          <w:trHeight w:val="20"/>
          <w:jc w:val="center"/>
        </w:trPr>
        <w:tc>
          <w:tcPr>
            <w:tcW w:w="4410" w:type="dxa"/>
            <w:noWrap/>
            <w:vAlign w:val="bottom"/>
          </w:tcPr>
          <w:p w14:paraId="5A5B1819" w14:textId="435D0948"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Centerville</w:t>
            </w:r>
          </w:p>
        </w:tc>
        <w:tc>
          <w:tcPr>
            <w:tcW w:w="1384" w:type="dxa"/>
            <w:vAlign w:val="bottom"/>
          </w:tcPr>
          <w:p w14:paraId="77661E5B" w14:textId="246877CF"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02632</w:t>
            </w:r>
          </w:p>
        </w:tc>
        <w:tc>
          <w:tcPr>
            <w:tcW w:w="1384" w:type="dxa"/>
            <w:noWrap/>
            <w:vAlign w:val="bottom"/>
          </w:tcPr>
          <w:p w14:paraId="73B84A8D" w14:textId="78F91F8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8,386</w:t>
            </w:r>
          </w:p>
        </w:tc>
        <w:tc>
          <w:tcPr>
            <w:tcW w:w="1194" w:type="dxa"/>
            <w:noWrap/>
            <w:vAlign w:val="bottom"/>
          </w:tcPr>
          <w:p w14:paraId="0010EA67" w14:textId="5939911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4.2%</w:t>
            </w:r>
          </w:p>
        </w:tc>
        <w:tc>
          <w:tcPr>
            <w:tcW w:w="1194" w:type="dxa"/>
            <w:noWrap/>
            <w:vAlign w:val="bottom"/>
          </w:tcPr>
          <w:p w14:paraId="23FD298B" w14:textId="31C2C23E"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8,472</w:t>
            </w:r>
          </w:p>
        </w:tc>
        <w:tc>
          <w:tcPr>
            <w:tcW w:w="1194" w:type="dxa"/>
            <w:noWrap/>
            <w:vAlign w:val="bottom"/>
          </w:tcPr>
          <w:p w14:paraId="422F6ED9" w14:textId="5266213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4.2%</w:t>
            </w:r>
          </w:p>
        </w:tc>
        <w:tc>
          <w:tcPr>
            <w:tcW w:w="1194" w:type="dxa"/>
            <w:noWrap/>
            <w:vAlign w:val="bottom"/>
          </w:tcPr>
          <w:p w14:paraId="30BC4889" w14:textId="2A67A31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8,582</w:t>
            </w:r>
          </w:p>
        </w:tc>
        <w:tc>
          <w:tcPr>
            <w:tcW w:w="1195" w:type="dxa"/>
            <w:noWrap/>
            <w:vAlign w:val="bottom"/>
          </w:tcPr>
          <w:p w14:paraId="4237711B" w14:textId="069A570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4.2%</w:t>
            </w:r>
          </w:p>
        </w:tc>
      </w:tr>
      <w:tr w:rsidR="00A73E6B" w:rsidRPr="009F7193" w14:paraId="09E2F664" w14:textId="77777777" w:rsidTr="00053F78">
        <w:trPr>
          <w:cantSplit/>
          <w:trHeight w:val="20"/>
          <w:jc w:val="center"/>
        </w:trPr>
        <w:tc>
          <w:tcPr>
            <w:tcW w:w="4410" w:type="dxa"/>
            <w:noWrap/>
            <w:vAlign w:val="bottom"/>
          </w:tcPr>
          <w:p w14:paraId="2F7A821D" w14:textId="3F9B1116"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Harwich</w:t>
            </w:r>
          </w:p>
        </w:tc>
        <w:tc>
          <w:tcPr>
            <w:tcW w:w="1384" w:type="dxa"/>
            <w:vAlign w:val="bottom"/>
          </w:tcPr>
          <w:p w14:paraId="6BAE9381" w14:textId="2F532A8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02645</w:t>
            </w:r>
          </w:p>
        </w:tc>
        <w:tc>
          <w:tcPr>
            <w:tcW w:w="1384" w:type="dxa"/>
            <w:noWrap/>
            <w:vAlign w:val="bottom"/>
          </w:tcPr>
          <w:p w14:paraId="09DE5959" w14:textId="3376725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7,738</w:t>
            </w:r>
          </w:p>
        </w:tc>
        <w:tc>
          <w:tcPr>
            <w:tcW w:w="1194" w:type="dxa"/>
            <w:noWrap/>
            <w:vAlign w:val="bottom"/>
          </w:tcPr>
          <w:p w14:paraId="32165166" w14:textId="2F6FED7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3.9%</w:t>
            </w:r>
          </w:p>
        </w:tc>
        <w:tc>
          <w:tcPr>
            <w:tcW w:w="1194" w:type="dxa"/>
            <w:noWrap/>
            <w:vAlign w:val="bottom"/>
          </w:tcPr>
          <w:p w14:paraId="1D3D7406" w14:textId="4C44D7A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7,883</w:t>
            </w:r>
          </w:p>
        </w:tc>
        <w:tc>
          <w:tcPr>
            <w:tcW w:w="1194" w:type="dxa"/>
            <w:noWrap/>
            <w:vAlign w:val="bottom"/>
          </w:tcPr>
          <w:p w14:paraId="5998C5F9" w14:textId="39D5834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3.9%</w:t>
            </w:r>
          </w:p>
        </w:tc>
        <w:tc>
          <w:tcPr>
            <w:tcW w:w="1194" w:type="dxa"/>
            <w:noWrap/>
            <w:vAlign w:val="bottom"/>
          </w:tcPr>
          <w:p w14:paraId="54EFB959" w14:textId="13BBEDF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8,035</w:t>
            </w:r>
          </w:p>
        </w:tc>
        <w:tc>
          <w:tcPr>
            <w:tcW w:w="1195" w:type="dxa"/>
            <w:noWrap/>
            <w:vAlign w:val="bottom"/>
          </w:tcPr>
          <w:p w14:paraId="0BA667A6" w14:textId="6A84058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3.9%</w:t>
            </w:r>
          </w:p>
        </w:tc>
      </w:tr>
      <w:tr w:rsidR="00A73E6B" w:rsidRPr="009F7193" w14:paraId="4FAC16CB" w14:textId="77777777" w:rsidTr="00053F78">
        <w:trPr>
          <w:cantSplit/>
          <w:trHeight w:val="20"/>
          <w:jc w:val="center"/>
        </w:trPr>
        <w:tc>
          <w:tcPr>
            <w:tcW w:w="4410" w:type="dxa"/>
            <w:noWrap/>
            <w:vAlign w:val="bottom"/>
          </w:tcPr>
          <w:p w14:paraId="63131ED0" w14:textId="6EB91F5D"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Brewster</w:t>
            </w:r>
          </w:p>
        </w:tc>
        <w:tc>
          <w:tcPr>
            <w:tcW w:w="1384" w:type="dxa"/>
            <w:vAlign w:val="bottom"/>
          </w:tcPr>
          <w:p w14:paraId="5A477510" w14:textId="3823D52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02631</w:t>
            </w:r>
          </w:p>
        </w:tc>
        <w:tc>
          <w:tcPr>
            <w:tcW w:w="1384" w:type="dxa"/>
            <w:noWrap/>
            <w:vAlign w:val="bottom"/>
          </w:tcPr>
          <w:p w14:paraId="6F91EC26" w14:textId="0FD8C96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7,606</w:t>
            </w:r>
          </w:p>
        </w:tc>
        <w:tc>
          <w:tcPr>
            <w:tcW w:w="1194" w:type="dxa"/>
            <w:noWrap/>
            <w:vAlign w:val="bottom"/>
          </w:tcPr>
          <w:p w14:paraId="4C1D5ECC" w14:textId="08612B6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3.8%</w:t>
            </w:r>
          </w:p>
        </w:tc>
        <w:tc>
          <w:tcPr>
            <w:tcW w:w="1194" w:type="dxa"/>
            <w:noWrap/>
            <w:vAlign w:val="bottom"/>
          </w:tcPr>
          <w:p w14:paraId="1DCA8EA7" w14:textId="6F81541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7,617</w:t>
            </w:r>
          </w:p>
        </w:tc>
        <w:tc>
          <w:tcPr>
            <w:tcW w:w="1194" w:type="dxa"/>
            <w:noWrap/>
            <w:vAlign w:val="bottom"/>
          </w:tcPr>
          <w:p w14:paraId="7ECF6EA3" w14:textId="229FBC0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3.7%</w:t>
            </w:r>
          </w:p>
        </w:tc>
        <w:tc>
          <w:tcPr>
            <w:tcW w:w="1194" w:type="dxa"/>
            <w:noWrap/>
            <w:vAlign w:val="bottom"/>
          </w:tcPr>
          <w:p w14:paraId="76D45879" w14:textId="7123CBB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7,811</w:t>
            </w:r>
          </w:p>
        </w:tc>
        <w:tc>
          <w:tcPr>
            <w:tcW w:w="1195" w:type="dxa"/>
            <w:noWrap/>
            <w:vAlign w:val="bottom"/>
          </w:tcPr>
          <w:p w14:paraId="4B532480" w14:textId="4718FF3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3.8%</w:t>
            </w:r>
          </w:p>
        </w:tc>
      </w:tr>
      <w:tr w:rsidR="00A73E6B" w:rsidRPr="009F7193" w14:paraId="26DB20B6" w14:textId="77777777" w:rsidTr="00053F78">
        <w:trPr>
          <w:cantSplit/>
          <w:trHeight w:val="20"/>
          <w:jc w:val="center"/>
        </w:trPr>
        <w:tc>
          <w:tcPr>
            <w:tcW w:w="4410" w:type="dxa"/>
            <w:noWrap/>
            <w:vAlign w:val="bottom"/>
          </w:tcPr>
          <w:p w14:paraId="17F350DA" w14:textId="2B005BB7"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South Yarmouth</w:t>
            </w:r>
          </w:p>
        </w:tc>
        <w:tc>
          <w:tcPr>
            <w:tcW w:w="1384" w:type="dxa"/>
            <w:vAlign w:val="bottom"/>
          </w:tcPr>
          <w:p w14:paraId="223AB032" w14:textId="4C80576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02664</w:t>
            </w:r>
          </w:p>
        </w:tc>
        <w:tc>
          <w:tcPr>
            <w:tcW w:w="1384" w:type="dxa"/>
            <w:noWrap/>
            <w:vAlign w:val="bottom"/>
          </w:tcPr>
          <w:p w14:paraId="6C716C45" w14:textId="218575F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7,385</w:t>
            </w:r>
          </w:p>
        </w:tc>
        <w:tc>
          <w:tcPr>
            <w:tcW w:w="1194" w:type="dxa"/>
            <w:noWrap/>
            <w:vAlign w:val="bottom"/>
          </w:tcPr>
          <w:p w14:paraId="5653924B" w14:textId="73357F2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3.7%</w:t>
            </w:r>
          </w:p>
        </w:tc>
        <w:tc>
          <w:tcPr>
            <w:tcW w:w="1194" w:type="dxa"/>
            <w:noWrap/>
            <w:vAlign w:val="bottom"/>
          </w:tcPr>
          <w:p w14:paraId="5F203191" w14:textId="0567DB3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7,586</w:t>
            </w:r>
          </w:p>
        </w:tc>
        <w:tc>
          <w:tcPr>
            <w:tcW w:w="1194" w:type="dxa"/>
            <w:noWrap/>
            <w:vAlign w:val="bottom"/>
          </w:tcPr>
          <w:p w14:paraId="711A7E36" w14:textId="490268C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3.7%</w:t>
            </w:r>
          </w:p>
        </w:tc>
        <w:tc>
          <w:tcPr>
            <w:tcW w:w="1194" w:type="dxa"/>
            <w:noWrap/>
            <w:vAlign w:val="bottom"/>
          </w:tcPr>
          <w:p w14:paraId="2068C518" w14:textId="0793FFA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7,627</w:t>
            </w:r>
          </w:p>
        </w:tc>
        <w:tc>
          <w:tcPr>
            <w:tcW w:w="1195" w:type="dxa"/>
            <w:noWrap/>
            <w:vAlign w:val="bottom"/>
          </w:tcPr>
          <w:p w14:paraId="6E5DFDB6" w14:textId="3016AAA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3.7%</w:t>
            </w:r>
          </w:p>
        </w:tc>
      </w:tr>
      <w:tr w:rsidR="00A73E6B" w:rsidRPr="009F7193" w14:paraId="208FAC6C" w14:textId="77777777" w:rsidTr="00053F78">
        <w:trPr>
          <w:cantSplit/>
          <w:trHeight w:val="20"/>
          <w:jc w:val="center"/>
        </w:trPr>
        <w:tc>
          <w:tcPr>
            <w:tcW w:w="4410" w:type="dxa"/>
            <w:noWrap/>
            <w:vAlign w:val="bottom"/>
          </w:tcPr>
          <w:p w14:paraId="3F82A7AE" w14:textId="5EFF57AD"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West Yarmouth</w:t>
            </w:r>
          </w:p>
        </w:tc>
        <w:tc>
          <w:tcPr>
            <w:tcW w:w="1384" w:type="dxa"/>
            <w:vAlign w:val="bottom"/>
          </w:tcPr>
          <w:p w14:paraId="760A4AA3" w14:textId="6253AB8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02673</w:t>
            </w:r>
          </w:p>
        </w:tc>
        <w:tc>
          <w:tcPr>
            <w:tcW w:w="1384" w:type="dxa"/>
            <w:noWrap/>
            <w:vAlign w:val="bottom"/>
          </w:tcPr>
          <w:p w14:paraId="12679595" w14:textId="7B30D1C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6,785</w:t>
            </w:r>
          </w:p>
        </w:tc>
        <w:tc>
          <w:tcPr>
            <w:tcW w:w="1194" w:type="dxa"/>
            <w:noWrap/>
            <w:vAlign w:val="bottom"/>
          </w:tcPr>
          <w:p w14:paraId="2AE220AA" w14:textId="0BED89A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c>
          <w:tcPr>
            <w:tcW w:w="1194" w:type="dxa"/>
            <w:noWrap/>
            <w:vAlign w:val="bottom"/>
          </w:tcPr>
          <w:p w14:paraId="400BE1B0" w14:textId="2467AB4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6,962</w:t>
            </w:r>
          </w:p>
        </w:tc>
        <w:tc>
          <w:tcPr>
            <w:tcW w:w="1194" w:type="dxa"/>
            <w:noWrap/>
            <w:vAlign w:val="bottom"/>
          </w:tcPr>
          <w:p w14:paraId="22DE052A" w14:textId="134CD7E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c>
          <w:tcPr>
            <w:tcW w:w="1194" w:type="dxa"/>
            <w:noWrap/>
            <w:vAlign w:val="bottom"/>
          </w:tcPr>
          <w:p w14:paraId="3A78E923" w14:textId="4C48518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7,064</w:t>
            </w:r>
          </w:p>
        </w:tc>
        <w:tc>
          <w:tcPr>
            <w:tcW w:w="1195" w:type="dxa"/>
            <w:noWrap/>
            <w:vAlign w:val="bottom"/>
          </w:tcPr>
          <w:p w14:paraId="4B94A520" w14:textId="568A8C10"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r>
      <w:tr w:rsidR="00A73E6B" w:rsidRPr="009F7193" w14:paraId="29FED008" w14:textId="77777777" w:rsidTr="00053F78">
        <w:trPr>
          <w:cantSplit/>
          <w:trHeight w:val="20"/>
          <w:jc w:val="center"/>
        </w:trPr>
        <w:tc>
          <w:tcPr>
            <w:tcW w:w="4410" w:type="dxa"/>
            <w:noWrap/>
            <w:vAlign w:val="bottom"/>
          </w:tcPr>
          <w:p w14:paraId="42D65F03" w14:textId="6DC5D574"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Sandwich</w:t>
            </w:r>
          </w:p>
        </w:tc>
        <w:tc>
          <w:tcPr>
            <w:tcW w:w="1384" w:type="dxa"/>
            <w:vAlign w:val="bottom"/>
          </w:tcPr>
          <w:p w14:paraId="0060673B" w14:textId="1E5DD60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02563</w:t>
            </w:r>
          </w:p>
        </w:tc>
        <w:tc>
          <w:tcPr>
            <w:tcW w:w="1384" w:type="dxa"/>
            <w:noWrap/>
            <w:vAlign w:val="bottom"/>
          </w:tcPr>
          <w:p w14:paraId="3507BD46" w14:textId="382F205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6,824</w:t>
            </w:r>
          </w:p>
        </w:tc>
        <w:tc>
          <w:tcPr>
            <w:tcW w:w="1194" w:type="dxa"/>
            <w:noWrap/>
            <w:vAlign w:val="bottom"/>
          </w:tcPr>
          <w:p w14:paraId="04F4EF57" w14:textId="229E286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c>
          <w:tcPr>
            <w:tcW w:w="1194" w:type="dxa"/>
            <w:noWrap/>
            <w:vAlign w:val="bottom"/>
          </w:tcPr>
          <w:p w14:paraId="438E85F7" w14:textId="548320B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6,850</w:t>
            </w:r>
          </w:p>
        </w:tc>
        <w:tc>
          <w:tcPr>
            <w:tcW w:w="1194" w:type="dxa"/>
            <w:noWrap/>
            <w:vAlign w:val="bottom"/>
          </w:tcPr>
          <w:p w14:paraId="4DB638C2" w14:textId="7F1F8D86"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c>
          <w:tcPr>
            <w:tcW w:w="1194" w:type="dxa"/>
            <w:noWrap/>
            <w:vAlign w:val="bottom"/>
          </w:tcPr>
          <w:p w14:paraId="62AC571F" w14:textId="2BCD771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6,989</w:t>
            </w:r>
          </w:p>
        </w:tc>
        <w:tc>
          <w:tcPr>
            <w:tcW w:w="1195" w:type="dxa"/>
            <w:noWrap/>
            <w:vAlign w:val="bottom"/>
          </w:tcPr>
          <w:p w14:paraId="089728A4" w14:textId="6527909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3.4%</w:t>
            </w:r>
          </w:p>
        </w:tc>
      </w:tr>
      <w:tr w:rsidR="00A73E6B" w:rsidRPr="009F7193" w14:paraId="2EDAE17E" w14:textId="77777777" w:rsidTr="00053F78">
        <w:trPr>
          <w:cantSplit/>
          <w:trHeight w:val="20"/>
          <w:jc w:val="center"/>
        </w:trPr>
        <w:tc>
          <w:tcPr>
            <w:tcW w:w="4410" w:type="dxa"/>
            <w:noWrap/>
            <w:vAlign w:val="bottom"/>
          </w:tcPr>
          <w:p w14:paraId="2F7F7C14" w14:textId="6C670F16"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Falmouth</w:t>
            </w:r>
          </w:p>
        </w:tc>
        <w:tc>
          <w:tcPr>
            <w:tcW w:w="1384" w:type="dxa"/>
            <w:vAlign w:val="bottom"/>
          </w:tcPr>
          <w:p w14:paraId="7201C26E" w14:textId="4589623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02540</w:t>
            </w:r>
          </w:p>
        </w:tc>
        <w:tc>
          <w:tcPr>
            <w:tcW w:w="1384" w:type="dxa"/>
            <w:noWrap/>
            <w:vAlign w:val="bottom"/>
          </w:tcPr>
          <w:p w14:paraId="48C7D572" w14:textId="158F6F1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5,910</w:t>
            </w:r>
          </w:p>
        </w:tc>
        <w:tc>
          <w:tcPr>
            <w:tcW w:w="1194" w:type="dxa"/>
            <w:noWrap/>
            <w:vAlign w:val="bottom"/>
          </w:tcPr>
          <w:p w14:paraId="35544983" w14:textId="05A7047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2.9%</w:t>
            </w:r>
          </w:p>
        </w:tc>
        <w:tc>
          <w:tcPr>
            <w:tcW w:w="1194" w:type="dxa"/>
            <w:noWrap/>
            <w:vAlign w:val="bottom"/>
          </w:tcPr>
          <w:p w14:paraId="7D94EAEC" w14:textId="3CA4427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5,981</w:t>
            </w:r>
          </w:p>
        </w:tc>
        <w:tc>
          <w:tcPr>
            <w:tcW w:w="1194" w:type="dxa"/>
            <w:noWrap/>
            <w:vAlign w:val="bottom"/>
          </w:tcPr>
          <w:p w14:paraId="550552C0" w14:textId="11AD2F5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2.9%</w:t>
            </w:r>
          </w:p>
        </w:tc>
        <w:tc>
          <w:tcPr>
            <w:tcW w:w="1194" w:type="dxa"/>
            <w:noWrap/>
            <w:vAlign w:val="bottom"/>
          </w:tcPr>
          <w:p w14:paraId="484462B2" w14:textId="165AA25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6,063</w:t>
            </w:r>
          </w:p>
        </w:tc>
        <w:tc>
          <w:tcPr>
            <w:tcW w:w="1195" w:type="dxa"/>
            <w:noWrap/>
            <w:vAlign w:val="bottom"/>
          </w:tcPr>
          <w:p w14:paraId="028B236E" w14:textId="3BC0618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2.9%</w:t>
            </w:r>
          </w:p>
        </w:tc>
      </w:tr>
      <w:tr w:rsidR="00A73E6B" w:rsidRPr="009F7193" w14:paraId="2116B14B" w14:textId="77777777" w:rsidTr="00053F78">
        <w:trPr>
          <w:cantSplit/>
          <w:trHeight w:val="20"/>
          <w:jc w:val="center"/>
        </w:trPr>
        <w:tc>
          <w:tcPr>
            <w:tcW w:w="4410" w:type="dxa"/>
            <w:noWrap/>
            <w:vAlign w:val="bottom"/>
          </w:tcPr>
          <w:p w14:paraId="1E0970E6" w14:textId="3A29CDAE"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Marstons Mills</w:t>
            </w:r>
          </w:p>
        </w:tc>
        <w:tc>
          <w:tcPr>
            <w:tcW w:w="1384" w:type="dxa"/>
            <w:vAlign w:val="bottom"/>
          </w:tcPr>
          <w:p w14:paraId="63E85640" w14:textId="42D03F4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02648</w:t>
            </w:r>
          </w:p>
        </w:tc>
        <w:tc>
          <w:tcPr>
            <w:tcW w:w="1384" w:type="dxa"/>
            <w:noWrap/>
            <w:vAlign w:val="bottom"/>
          </w:tcPr>
          <w:p w14:paraId="6B3CF507" w14:textId="71A9C3C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5,560</w:t>
            </w:r>
          </w:p>
        </w:tc>
        <w:tc>
          <w:tcPr>
            <w:tcW w:w="1194" w:type="dxa"/>
            <w:noWrap/>
            <w:vAlign w:val="bottom"/>
          </w:tcPr>
          <w:p w14:paraId="1C9106B4" w14:textId="4A42540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2.8%</w:t>
            </w:r>
          </w:p>
        </w:tc>
        <w:tc>
          <w:tcPr>
            <w:tcW w:w="1194" w:type="dxa"/>
            <w:noWrap/>
            <w:vAlign w:val="bottom"/>
          </w:tcPr>
          <w:p w14:paraId="02BAF64B" w14:textId="706FAE4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5,595</w:t>
            </w:r>
          </w:p>
        </w:tc>
        <w:tc>
          <w:tcPr>
            <w:tcW w:w="1194" w:type="dxa"/>
            <w:noWrap/>
            <w:vAlign w:val="bottom"/>
          </w:tcPr>
          <w:p w14:paraId="598758FC" w14:textId="6BD41E39"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2.8%</w:t>
            </w:r>
          </w:p>
        </w:tc>
        <w:tc>
          <w:tcPr>
            <w:tcW w:w="1194" w:type="dxa"/>
            <w:noWrap/>
            <w:vAlign w:val="bottom"/>
          </w:tcPr>
          <w:p w14:paraId="386DAF2A" w14:textId="475EECC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5,708</w:t>
            </w:r>
          </w:p>
        </w:tc>
        <w:tc>
          <w:tcPr>
            <w:tcW w:w="1195" w:type="dxa"/>
            <w:noWrap/>
            <w:vAlign w:val="bottom"/>
          </w:tcPr>
          <w:p w14:paraId="62E5B326" w14:textId="4F50322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2.8%</w:t>
            </w:r>
          </w:p>
        </w:tc>
      </w:tr>
      <w:tr w:rsidR="00A73E6B" w:rsidRPr="009F7193" w14:paraId="316BE99E" w14:textId="77777777" w:rsidTr="00053F78">
        <w:trPr>
          <w:cantSplit/>
          <w:trHeight w:val="20"/>
          <w:jc w:val="center"/>
        </w:trPr>
        <w:tc>
          <w:tcPr>
            <w:tcW w:w="4410" w:type="dxa"/>
            <w:noWrap/>
            <w:vAlign w:val="bottom"/>
          </w:tcPr>
          <w:p w14:paraId="7E9C40B7" w14:textId="4EE5A3BC"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Buzzards Bay; Bourne</w:t>
            </w:r>
          </w:p>
        </w:tc>
        <w:tc>
          <w:tcPr>
            <w:tcW w:w="1384" w:type="dxa"/>
            <w:vAlign w:val="bottom"/>
          </w:tcPr>
          <w:p w14:paraId="6D64CECE" w14:textId="1F4C26E1"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02532</w:t>
            </w:r>
          </w:p>
        </w:tc>
        <w:tc>
          <w:tcPr>
            <w:tcW w:w="1384" w:type="dxa"/>
            <w:noWrap/>
            <w:vAlign w:val="bottom"/>
          </w:tcPr>
          <w:p w14:paraId="4B6BAEB5" w14:textId="4F81FF32"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5,078</w:t>
            </w:r>
          </w:p>
        </w:tc>
        <w:tc>
          <w:tcPr>
            <w:tcW w:w="1194" w:type="dxa"/>
            <w:noWrap/>
            <w:vAlign w:val="bottom"/>
          </w:tcPr>
          <w:p w14:paraId="7D1A23E7" w14:textId="1F2407EF"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2.5%</w:t>
            </w:r>
          </w:p>
        </w:tc>
        <w:tc>
          <w:tcPr>
            <w:tcW w:w="1194" w:type="dxa"/>
            <w:noWrap/>
            <w:vAlign w:val="bottom"/>
          </w:tcPr>
          <w:p w14:paraId="6EE04010" w14:textId="76F8354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5,084</w:t>
            </w:r>
          </w:p>
        </w:tc>
        <w:tc>
          <w:tcPr>
            <w:tcW w:w="1194" w:type="dxa"/>
            <w:noWrap/>
            <w:vAlign w:val="bottom"/>
          </w:tcPr>
          <w:p w14:paraId="2C069C6D" w14:textId="3E9B17EC"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2.5%</w:t>
            </w:r>
          </w:p>
        </w:tc>
        <w:tc>
          <w:tcPr>
            <w:tcW w:w="1194" w:type="dxa"/>
            <w:noWrap/>
            <w:vAlign w:val="bottom"/>
          </w:tcPr>
          <w:p w14:paraId="14ABC9C2" w14:textId="738B4ED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5,165</w:t>
            </w:r>
          </w:p>
        </w:tc>
        <w:tc>
          <w:tcPr>
            <w:tcW w:w="1195" w:type="dxa"/>
            <w:noWrap/>
            <w:vAlign w:val="bottom"/>
          </w:tcPr>
          <w:p w14:paraId="1D67C7E2" w14:textId="735DDD92"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2.5%</w:t>
            </w:r>
          </w:p>
        </w:tc>
      </w:tr>
      <w:tr w:rsidR="00A73E6B" w:rsidRPr="009F7193" w14:paraId="2F958E53" w14:textId="77777777" w:rsidTr="00053F78">
        <w:trPr>
          <w:cantSplit/>
          <w:trHeight w:val="20"/>
          <w:jc w:val="center"/>
        </w:trPr>
        <w:tc>
          <w:tcPr>
            <w:tcW w:w="4410" w:type="dxa"/>
            <w:noWrap/>
            <w:vAlign w:val="bottom"/>
          </w:tcPr>
          <w:p w14:paraId="13EE14F0" w14:textId="27B242B3"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Yarmouth Port</w:t>
            </w:r>
          </w:p>
        </w:tc>
        <w:tc>
          <w:tcPr>
            <w:tcW w:w="1384" w:type="dxa"/>
            <w:vAlign w:val="bottom"/>
          </w:tcPr>
          <w:p w14:paraId="7CEA0E1B" w14:textId="6E8B764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02675</w:t>
            </w:r>
          </w:p>
        </w:tc>
        <w:tc>
          <w:tcPr>
            <w:tcW w:w="1384" w:type="dxa"/>
            <w:noWrap/>
            <w:vAlign w:val="bottom"/>
          </w:tcPr>
          <w:p w14:paraId="2FA5FA0E" w14:textId="3DC1A68A"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5,007</w:t>
            </w:r>
          </w:p>
        </w:tc>
        <w:tc>
          <w:tcPr>
            <w:tcW w:w="1194" w:type="dxa"/>
            <w:noWrap/>
            <w:vAlign w:val="bottom"/>
          </w:tcPr>
          <w:p w14:paraId="0D76ADC7" w14:textId="3FB89AF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2.5%</w:t>
            </w:r>
          </w:p>
        </w:tc>
        <w:tc>
          <w:tcPr>
            <w:tcW w:w="1194" w:type="dxa"/>
            <w:noWrap/>
            <w:vAlign w:val="bottom"/>
          </w:tcPr>
          <w:p w14:paraId="1CF551BC" w14:textId="32F4AE3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5,056</w:t>
            </w:r>
          </w:p>
        </w:tc>
        <w:tc>
          <w:tcPr>
            <w:tcW w:w="1194" w:type="dxa"/>
            <w:noWrap/>
            <w:vAlign w:val="bottom"/>
          </w:tcPr>
          <w:p w14:paraId="0A4D53BF" w14:textId="2D735FA2"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2.5%</w:t>
            </w:r>
          </w:p>
        </w:tc>
        <w:tc>
          <w:tcPr>
            <w:tcW w:w="1194" w:type="dxa"/>
            <w:noWrap/>
            <w:vAlign w:val="bottom"/>
          </w:tcPr>
          <w:p w14:paraId="53926D93" w14:textId="33DDFFDC"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5,061</w:t>
            </w:r>
          </w:p>
        </w:tc>
        <w:tc>
          <w:tcPr>
            <w:tcW w:w="1195" w:type="dxa"/>
            <w:noWrap/>
            <w:vAlign w:val="bottom"/>
          </w:tcPr>
          <w:p w14:paraId="33827A2B" w14:textId="639C90F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2.4%</w:t>
            </w:r>
          </w:p>
        </w:tc>
      </w:tr>
      <w:tr w:rsidR="00A73E6B" w:rsidRPr="009F7193" w14:paraId="73F8B735" w14:textId="77777777" w:rsidTr="00053F78">
        <w:trPr>
          <w:cantSplit/>
          <w:trHeight w:val="20"/>
          <w:jc w:val="center"/>
        </w:trPr>
        <w:tc>
          <w:tcPr>
            <w:tcW w:w="4410" w:type="dxa"/>
            <w:noWrap/>
            <w:vAlign w:val="bottom"/>
          </w:tcPr>
          <w:p w14:paraId="1781E3AA" w14:textId="5E3736AF"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South Dennis</w:t>
            </w:r>
          </w:p>
        </w:tc>
        <w:tc>
          <w:tcPr>
            <w:tcW w:w="1384" w:type="dxa"/>
            <w:vAlign w:val="bottom"/>
          </w:tcPr>
          <w:p w14:paraId="4A9D395A" w14:textId="16451F1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02660</w:t>
            </w:r>
          </w:p>
        </w:tc>
        <w:tc>
          <w:tcPr>
            <w:tcW w:w="1384" w:type="dxa"/>
            <w:noWrap/>
            <w:vAlign w:val="bottom"/>
          </w:tcPr>
          <w:p w14:paraId="6D07BE9B" w14:textId="0D80B13D"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4,453</w:t>
            </w:r>
          </w:p>
        </w:tc>
        <w:tc>
          <w:tcPr>
            <w:tcW w:w="1194" w:type="dxa"/>
            <w:noWrap/>
            <w:vAlign w:val="bottom"/>
          </w:tcPr>
          <w:p w14:paraId="5D2835F2" w14:textId="5A23E4FE"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2.2%</w:t>
            </w:r>
          </w:p>
        </w:tc>
        <w:tc>
          <w:tcPr>
            <w:tcW w:w="1194" w:type="dxa"/>
            <w:shd w:val="clear" w:color="000000" w:fill="FFFFFF"/>
            <w:noWrap/>
            <w:vAlign w:val="bottom"/>
          </w:tcPr>
          <w:p w14:paraId="6AAA65A5" w14:textId="6CF66E6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4,465</w:t>
            </w:r>
          </w:p>
        </w:tc>
        <w:tc>
          <w:tcPr>
            <w:tcW w:w="1194" w:type="dxa"/>
            <w:shd w:val="clear" w:color="000000" w:fill="FFFFFF"/>
            <w:noWrap/>
            <w:vAlign w:val="bottom"/>
          </w:tcPr>
          <w:p w14:paraId="260A57E4" w14:textId="2D2EFD15"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2.2%</w:t>
            </w:r>
          </w:p>
        </w:tc>
        <w:tc>
          <w:tcPr>
            <w:tcW w:w="1194" w:type="dxa"/>
            <w:shd w:val="clear" w:color="000000" w:fill="FFFFFF"/>
            <w:noWrap/>
            <w:vAlign w:val="bottom"/>
          </w:tcPr>
          <w:p w14:paraId="75DA7D59" w14:textId="3AC1546F"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4,562</w:t>
            </w:r>
          </w:p>
        </w:tc>
        <w:tc>
          <w:tcPr>
            <w:tcW w:w="1195" w:type="dxa"/>
            <w:shd w:val="clear" w:color="000000" w:fill="FFFFFF"/>
            <w:noWrap/>
            <w:vAlign w:val="bottom"/>
          </w:tcPr>
          <w:p w14:paraId="5A07B006" w14:textId="20E8F91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2.2%</w:t>
            </w:r>
          </w:p>
        </w:tc>
      </w:tr>
      <w:tr w:rsidR="00A73E6B" w:rsidRPr="009F7193" w14:paraId="6AA23372" w14:textId="77777777" w:rsidTr="00053F78">
        <w:trPr>
          <w:cantSplit/>
          <w:trHeight w:val="20"/>
          <w:jc w:val="center"/>
        </w:trPr>
        <w:tc>
          <w:tcPr>
            <w:tcW w:w="4410" w:type="dxa"/>
            <w:noWrap/>
            <w:vAlign w:val="bottom"/>
          </w:tcPr>
          <w:p w14:paraId="1D514FE3" w14:textId="4CBC7125" w:rsidR="00A73E6B" w:rsidRPr="00A73E6B" w:rsidRDefault="00C25803" w:rsidP="00A73E6B">
            <w:pPr>
              <w:contextualSpacing/>
              <w:rPr>
                <w:rFonts w:ascii="Aptos" w:hAnsi="Aptos"/>
                <w:color w:val="000000"/>
                <w:sz w:val="20"/>
                <w:szCs w:val="20"/>
              </w:rPr>
            </w:pPr>
            <w:r w:rsidRPr="00A73E6B">
              <w:rPr>
                <w:rFonts w:ascii="Aptos Narrow" w:hAnsi="Aptos Narrow"/>
                <w:color w:val="000000"/>
                <w:sz w:val="20"/>
                <w:szCs w:val="20"/>
              </w:rPr>
              <w:t>Orleans</w:t>
            </w:r>
          </w:p>
        </w:tc>
        <w:tc>
          <w:tcPr>
            <w:tcW w:w="1384" w:type="dxa"/>
            <w:vAlign w:val="bottom"/>
          </w:tcPr>
          <w:p w14:paraId="0A738A2A" w14:textId="1EF31F47"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02653</w:t>
            </w:r>
          </w:p>
        </w:tc>
        <w:tc>
          <w:tcPr>
            <w:tcW w:w="1384" w:type="dxa"/>
            <w:noWrap/>
            <w:vAlign w:val="bottom"/>
          </w:tcPr>
          <w:p w14:paraId="53728205" w14:textId="29859FDA"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4,237</w:t>
            </w:r>
          </w:p>
        </w:tc>
        <w:tc>
          <w:tcPr>
            <w:tcW w:w="1194" w:type="dxa"/>
            <w:noWrap/>
            <w:vAlign w:val="bottom"/>
          </w:tcPr>
          <w:p w14:paraId="6AF2C963" w14:textId="19BFBFB1"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2.1%</w:t>
            </w:r>
          </w:p>
        </w:tc>
        <w:tc>
          <w:tcPr>
            <w:tcW w:w="1194" w:type="dxa"/>
            <w:shd w:val="clear" w:color="000000" w:fill="FFFFFF"/>
            <w:noWrap/>
            <w:vAlign w:val="bottom"/>
          </w:tcPr>
          <w:p w14:paraId="7F24D76B" w14:textId="1456459F"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4,229</w:t>
            </w:r>
          </w:p>
        </w:tc>
        <w:tc>
          <w:tcPr>
            <w:tcW w:w="1194" w:type="dxa"/>
            <w:shd w:val="clear" w:color="000000" w:fill="FFFFFF"/>
            <w:noWrap/>
            <w:vAlign w:val="bottom"/>
          </w:tcPr>
          <w:p w14:paraId="436918D6" w14:textId="095C9374"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2.1%</w:t>
            </w:r>
          </w:p>
        </w:tc>
        <w:tc>
          <w:tcPr>
            <w:tcW w:w="1194" w:type="dxa"/>
            <w:shd w:val="clear" w:color="000000" w:fill="FFFFFF"/>
            <w:noWrap/>
            <w:vAlign w:val="bottom"/>
          </w:tcPr>
          <w:p w14:paraId="31EA920D" w14:textId="4BD3C628"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4,321</w:t>
            </w:r>
          </w:p>
        </w:tc>
        <w:tc>
          <w:tcPr>
            <w:tcW w:w="1195" w:type="dxa"/>
            <w:shd w:val="clear" w:color="000000" w:fill="FFFFFF"/>
            <w:noWrap/>
            <w:vAlign w:val="bottom"/>
          </w:tcPr>
          <w:p w14:paraId="0EF1BB11" w14:textId="76454CA6"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2.1%</w:t>
            </w:r>
          </w:p>
        </w:tc>
      </w:tr>
      <w:tr w:rsidR="00A73E6B" w:rsidRPr="009F7193" w14:paraId="2CB690CA" w14:textId="77777777" w:rsidTr="00053F78">
        <w:trPr>
          <w:cantSplit/>
          <w:trHeight w:val="20"/>
          <w:jc w:val="center"/>
        </w:trPr>
        <w:tc>
          <w:tcPr>
            <w:tcW w:w="4410" w:type="dxa"/>
            <w:noWrap/>
            <w:vAlign w:val="bottom"/>
          </w:tcPr>
          <w:p w14:paraId="6B9C8610" w14:textId="583D5BD0" w:rsidR="00A73E6B" w:rsidRPr="00A73E6B" w:rsidRDefault="00C25803" w:rsidP="00A73E6B">
            <w:pPr>
              <w:contextualSpacing/>
              <w:rPr>
                <w:rFonts w:ascii="Aptos" w:hAnsi="Aptos"/>
                <w:color w:val="000000"/>
                <w:sz w:val="20"/>
                <w:szCs w:val="20"/>
              </w:rPr>
            </w:pPr>
            <w:r w:rsidRPr="00A73E6B">
              <w:rPr>
                <w:rFonts w:ascii="Aptos Narrow" w:hAnsi="Aptos Narrow"/>
                <w:color w:val="000000"/>
                <w:sz w:val="20"/>
                <w:szCs w:val="20"/>
              </w:rPr>
              <w:t>East Sandwich</w:t>
            </w:r>
          </w:p>
        </w:tc>
        <w:tc>
          <w:tcPr>
            <w:tcW w:w="1384" w:type="dxa"/>
            <w:vAlign w:val="bottom"/>
          </w:tcPr>
          <w:p w14:paraId="38AA917F" w14:textId="7D2E6D57"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02537</w:t>
            </w:r>
          </w:p>
        </w:tc>
        <w:tc>
          <w:tcPr>
            <w:tcW w:w="1384" w:type="dxa"/>
            <w:noWrap/>
            <w:vAlign w:val="bottom"/>
          </w:tcPr>
          <w:p w14:paraId="6ECFF1FF" w14:textId="1F2249BA"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4,089</w:t>
            </w:r>
          </w:p>
        </w:tc>
        <w:tc>
          <w:tcPr>
            <w:tcW w:w="1194" w:type="dxa"/>
            <w:noWrap/>
            <w:vAlign w:val="bottom"/>
          </w:tcPr>
          <w:p w14:paraId="3A83A9EA" w14:textId="37A7D372"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2.0%</w:t>
            </w:r>
          </w:p>
        </w:tc>
        <w:tc>
          <w:tcPr>
            <w:tcW w:w="1194" w:type="dxa"/>
            <w:shd w:val="clear" w:color="000000" w:fill="FFFFFF"/>
            <w:noWrap/>
            <w:vAlign w:val="bottom"/>
          </w:tcPr>
          <w:p w14:paraId="681A4D99" w14:textId="6C10635A"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4,180</w:t>
            </w:r>
          </w:p>
        </w:tc>
        <w:tc>
          <w:tcPr>
            <w:tcW w:w="1194" w:type="dxa"/>
            <w:shd w:val="clear" w:color="000000" w:fill="FFFFFF"/>
            <w:noWrap/>
            <w:vAlign w:val="bottom"/>
          </w:tcPr>
          <w:p w14:paraId="541FCD62" w14:textId="2ECC8B84"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2.1%</w:t>
            </w:r>
          </w:p>
        </w:tc>
        <w:tc>
          <w:tcPr>
            <w:tcW w:w="1194" w:type="dxa"/>
            <w:shd w:val="clear" w:color="000000" w:fill="FFFFFF"/>
            <w:noWrap/>
            <w:vAlign w:val="bottom"/>
          </w:tcPr>
          <w:p w14:paraId="63170A88" w14:textId="4227144F"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4,178</w:t>
            </w:r>
          </w:p>
        </w:tc>
        <w:tc>
          <w:tcPr>
            <w:tcW w:w="1195" w:type="dxa"/>
            <w:shd w:val="clear" w:color="000000" w:fill="FFFFFF"/>
            <w:noWrap/>
            <w:vAlign w:val="bottom"/>
          </w:tcPr>
          <w:p w14:paraId="05FBECC2" w14:textId="4D48FFC5"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2.0%</w:t>
            </w:r>
          </w:p>
        </w:tc>
      </w:tr>
      <w:tr w:rsidR="00A73E6B" w:rsidRPr="009F7193" w14:paraId="648C5DD4" w14:textId="77777777" w:rsidTr="00053F78">
        <w:trPr>
          <w:cantSplit/>
          <w:trHeight w:val="20"/>
          <w:jc w:val="center"/>
        </w:trPr>
        <w:tc>
          <w:tcPr>
            <w:tcW w:w="4410" w:type="dxa"/>
            <w:noWrap/>
            <w:vAlign w:val="bottom"/>
          </w:tcPr>
          <w:p w14:paraId="72DD65B4" w14:textId="7DA37488" w:rsidR="00A73E6B" w:rsidRPr="00A73E6B" w:rsidRDefault="00C25803" w:rsidP="00A73E6B">
            <w:pPr>
              <w:contextualSpacing/>
              <w:rPr>
                <w:rFonts w:ascii="Aptos" w:hAnsi="Aptos"/>
                <w:color w:val="000000"/>
                <w:sz w:val="20"/>
                <w:szCs w:val="20"/>
              </w:rPr>
            </w:pPr>
            <w:r w:rsidRPr="00A73E6B">
              <w:rPr>
                <w:rFonts w:ascii="Aptos Narrow" w:hAnsi="Aptos Narrow"/>
                <w:color w:val="000000"/>
                <w:sz w:val="20"/>
                <w:szCs w:val="20"/>
              </w:rPr>
              <w:t>Eastham</w:t>
            </w:r>
          </w:p>
        </w:tc>
        <w:tc>
          <w:tcPr>
            <w:tcW w:w="1384" w:type="dxa"/>
            <w:vAlign w:val="bottom"/>
          </w:tcPr>
          <w:p w14:paraId="4C5970A7" w14:textId="3BC7F63C"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02642</w:t>
            </w:r>
          </w:p>
        </w:tc>
        <w:tc>
          <w:tcPr>
            <w:tcW w:w="1384" w:type="dxa"/>
            <w:noWrap/>
            <w:vAlign w:val="bottom"/>
          </w:tcPr>
          <w:p w14:paraId="32939FCE" w14:textId="62DE72B3"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3,422</w:t>
            </w:r>
          </w:p>
        </w:tc>
        <w:tc>
          <w:tcPr>
            <w:tcW w:w="1194" w:type="dxa"/>
            <w:noWrap/>
            <w:vAlign w:val="bottom"/>
          </w:tcPr>
          <w:p w14:paraId="64666D96" w14:textId="47863693"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1.7%</w:t>
            </w:r>
          </w:p>
        </w:tc>
        <w:tc>
          <w:tcPr>
            <w:tcW w:w="1194" w:type="dxa"/>
            <w:shd w:val="clear" w:color="000000" w:fill="FFFFFF"/>
            <w:noWrap/>
            <w:vAlign w:val="bottom"/>
          </w:tcPr>
          <w:p w14:paraId="488705D5" w14:textId="2E042C93"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3,547</w:t>
            </w:r>
          </w:p>
        </w:tc>
        <w:tc>
          <w:tcPr>
            <w:tcW w:w="1194" w:type="dxa"/>
            <w:shd w:val="clear" w:color="000000" w:fill="FFFFFF"/>
            <w:noWrap/>
            <w:vAlign w:val="bottom"/>
          </w:tcPr>
          <w:p w14:paraId="7EF79D42" w14:textId="2B275C04"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1.7%</w:t>
            </w:r>
          </w:p>
        </w:tc>
        <w:tc>
          <w:tcPr>
            <w:tcW w:w="1194" w:type="dxa"/>
            <w:shd w:val="clear" w:color="000000" w:fill="FFFFFF"/>
            <w:noWrap/>
            <w:vAlign w:val="bottom"/>
          </w:tcPr>
          <w:p w14:paraId="7C58E7DB" w14:textId="7E28C83B"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3,608</w:t>
            </w:r>
          </w:p>
        </w:tc>
        <w:tc>
          <w:tcPr>
            <w:tcW w:w="1195" w:type="dxa"/>
            <w:shd w:val="clear" w:color="000000" w:fill="FFFFFF"/>
            <w:noWrap/>
            <w:vAlign w:val="bottom"/>
          </w:tcPr>
          <w:p w14:paraId="79C3B890" w14:textId="1975A734"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1.7%</w:t>
            </w:r>
          </w:p>
        </w:tc>
      </w:tr>
      <w:tr w:rsidR="00A73E6B" w:rsidRPr="009F7193" w14:paraId="108AA5CE" w14:textId="77777777" w:rsidTr="00053F78">
        <w:trPr>
          <w:cantSplit/>
          <w:trHeight w:val="20"/>
          <w:jc w:val="center"/>
        </w:trPr>
        <w:tc>
          <w:tcPr>
            <w:tcW w:w="4410" w:type="dxa"/>
            <w:noWrap/>
            <w:vAlign w:val="bottom"/>
          </w:tcPr>
          <w:p w14:paraId="77F86F0B" w14:textId="4A0333A4" w:rsidR="00A73E6B" w:rsidRPr="00A73E6B" w:rsidRDefault="00C25803" w:rsidP="00A73E6B">
            <w:pPr>
              <w:contextualSpacing/>
              <w:rPr>
                <w:rFonts w:ascii="Aptos" w:hAnsi="Aptos"/>
                <w:sz w:val="20"/>
                <w:szCs w:val="20"/>
              </w:rPr>
            </w:pPr>
            <w:r w:rsidRPr="00A73E6B">
              <w:rPr>
                <w:rFonts w:ascii="Aptos Narrow" w:hAnsi="Aptos Narrow"/>
                <w:sz w:val="20"/>
                <w:szCs w:val="20"/>
              </w:rPr>
              <w:t>Plymouth</w:t>
            </w:r>
          </w:p>
        </w:tc>
        <w:tc>
          <w:tcPr>
            <w:tcW w:w="1384" w:type="dxa"/>
            <w:vAlign w:val="bottom"/>
          </w:tcPr>
          <w:p w14:paraId="23E2F32F" w14:textId="61B5FF9E"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02360</w:t>
            </w:r>
          </w:p>
        </w:tc>
        <w:tc>
          <w:tcPr>
            <w:tcW w:w="1384" w:type="dxa"/>
            <w:noWrap/>
            <w:vAlign w:val="bottom"/>
          </w:tcPr>
          <w:p w14:paraId="10C901D2" w14:textId="5590467E"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3,086</w:t>
            </w:r>
          </w:p>
        </w:tc>
        <w:tc>
          <w:tcPr>
            <w:tcW w:w="1194" w:type="dxa"/>
            <w:noWrap/>
            <w:vAlign w:val="bottom"/>
          </w:tcPr>
          <w:p w14:paraId="0A577C7B" w14:textId="1AB5176E"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1.5%</w:t>
            </w:r>
          </w:p>
        </w:tc>
        <w:tc>
          <w:tcPr>
            <w:tcW w:w="1194" w:type="dxa"/>
            <w:shd w:val="clear" w:color="000000" w:fill="FFFFFF"/>
            <w:noWrap/>
            <w:vAlign w:val="bottom"/>
          </w:tcPr>
          <w:p w14:paraId="594F2E15" w14:textId="1DF56FB0"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3,023</w:t>
            </w:r>
          </w:p>
        </w:tc>
        <w:tc>
          <w:tcPr>
            <w:tcW w:w="1194" w:type="dxa"/>
            <w:shd w:val="clear" w:color="000000" w:fill="FFFFFF"/>
            <w:noWrap/>
            <w:vAlign w:val="bottom"/>
          </w:tcPr>
          <w:p w14:paraId="4DA7CCB2" w14:textId="516E23A8"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1.5%</w:t>
            </w:r>
          </w:p>
        </w:tc>
        <w:tc>
          <w:tcPr>
            <w:tcW w:w="1194" w:type="dxa"/>
            <w:shd w:val="clear" w:color="000000" w:fill="FFFFFF"/>
            <w:noWrap/>
            <w:vAlign w:val="bottom"/>
          </w:tcPr>
          <w:p w14:paraId="3964A62D" w14:textId="7CE1BB43"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3,842</w:t>
            </w:r>
          </w:p>
        </w:tc>
        <w:tc>
          <w:tcPr>
            <w:tcW w:w="1195" w:type="dxa"/>
            <w:shd w:val="clear" w:color="000000" w:fill="FFFFFF"/>
            <w:noWrap/>
            <w:vAlign w:val="bottom"/>
          </w:tcPr>
          <w:p w14:paraId="6547DA32" w14:textId="6FF720CA" w:rsidR="00A73E6B" w:rsidRPr="001A01E6" w:rsidRDefault="00A73E6B" w:rsidP="00A73E6B">
            <w:pPr>
              <w:contextualSpacing/>
              <w:jc w:val="center"/>
              <w:rPr>
                <w:rFonts w:ascii="Aptos" w:hAnsi="Aptos"/>
                <w:sz w:val="20"/>
                <w:szCs w:val="20"/>
              </w:rPr>
            </w:pPr>
            <w:r w:rsidRPr="001A01E6">
              <w:rPr>
                <w:rFonts w:ascii="Aptos Narrow" w:hAnsi="Aptos Narrow"/>
                <w:sz w:val="20"/>
                <w:szCs w:val="20"/>
              </w:rPr>
              <w:t>1.9%</w:t>
            </w:r>
          </w:p>
        </w:tc>
      </w:tr>
      <w:tr w:rsidR="00A73E6B" w:rsidRPr="009F7193" w14:paraId="282F0E74" w14:textId="77777777" w:rsidTr="00053F78">
        <w:trPr>
          <w:cantSplit/>
          <w:trHeight w:val="20"/>
          <w:jc w:val="center"/>
        </w:trPr>
        <w:tc>
          <w:tcPr>
            <w:tcW w:w="4410" w:type="dxa"/>
            <w:noWrap/>
            <w:vAlign w:val="bottom"/>
          </w:tcPr>
          <w:p w14:paraId="32078A0E" w14:textId="0C6C7148" w:rsidR="00A73E6B" w:rsidRPr="00A73E6B" w:rsidRDefault="00C25803" w:rsidP="00A73E6B">
            <w:pPr>
              <w:contextualSpacing/>
              <w:rPr>
                <w:rFonts w:ascii="Aptos" w:hAnsi="Aptos"/>
                <w:color w:val="000000"/>
                <w:sz w:val="20"/>
                <w:szCs w:val="20"/>
              </w:rPr>
            </w:pPr>
            <w:r w:rsidRPr="00A73E6B">
              <w:rPr>
                <w:rFonts w:ascii="Aptos Narrow" w:hAnsi="Aptos Narrow"/>
                <w:color w:val="000000"/>
                <w:sz w:val="20"/>
                <w:szCs w:val="20"/>
              </w:rPr>
              <w:t>Chatham</w:t>
            </w:r>
          </w:p>
        </w:tc>
        <w:tc>
          <w:tcPr>
            <w:tcW w:w="1384" w:type="dxa"/>
            <w:vAlign w:val="bottom"/>
          </w:tcPr>
          <w:p w14:paraId="6A66DDDF" w14:textId="34F27F6A"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02633</w:t>
            </w:r>
          </w:p>
        </w:tc>
        <w:tc>
          <w:tcPr>
            <w:tcW w:w="1384" w:type="dxa"/>
            <w:noWrap/>
            <w:vAlign w:val="bottom"/>
          </w:tcPr>
          <w:p w14:paraId="66481A18" w14:textId="07AE8388"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3,064</w:t>
            </w:r>
          </w:p>
        </w:tc>
        <w:tc>
          <w:tcPr>
            <w:tcW w:w="1194" w:type="dxa"/>
            <w:noWrap/>
            <w:vAlign w:val="bottom"/>
          </w:tcPr>
          <w:p w14:paraId="771DF0D8" w14:textId="7B7C480C"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1.5%</w:t>
            </w:r>
          </w:p>
        </w:tc>
        <w:tc>
          <w:tcPr>
            <w:tcW w:w="1194" w:type="dxa"/>
            <w:shd w:val="clear" w:color="000000" w:fill="FFFFFF"/>
            <w:noWrap/>
            <w:vAlign w:val="bottom"/>
          </w:tcPr>
          <w:p w14:paraId="52AD7E69" w14:textId="0C1771A3"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3,084</w:t>
            </w:r>
          </w:p>
        </w:tc>
        <w:tc>
          <w:tcPr>
            <w:tcW w:w="1194" w:type="dxa"/>
            <w:shd w:val="clear" w:color="000000" w:fill="FFFFFF"/>
            <w:noWrap/>
            <w:vAlign w:val="bottom"/>
          </w:tcPr>
          <w:p w14:paraId="64D76A5E" w14:textId="16750E42"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1.5%</w:t>
            </w:r>
          </w:p>
        </w:tc>
        <w:tc>
          <w:tcPr>
            <w:tcW w:w="1194" w:type="dxa"/>
            <w:shd w:val="clear" w:color="000000" w:fill="FFFFFF"/>
            <w:noWrap/>
            <w:vAlign w:val="bottom"/>
          </w:tcPr>
          <w:p w14:paraId="37188B64" w14:textId="5033DC2F"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3,152</w:t>
            </w:r>
          </w:p>
        </w:tc>
        <w:tc>
          <w:tcPr>
            <w:tcW w:w="1195" w:type="dxa"/>
            <w:shd w:val="clear" w:color="000000" w:fill="FFFFFF"/>
            <w:noWrap/>
            <w:vAlign w:val="bottom"/>
          </w:tcPr>
          <w:p w14:paraId="43A83CBE" w14:textId="21BE9D72" w:rsidR="00A73E6B" w:rsidRPr="00A73E6B" w:rsidRDefault="00A73E6B" w:rsidP="00A73E6B">
            <w:pPr>
              <w:contextualSpacing/>
              <w:jc w:val="center"/>
              <w:rPr>
                <w:rFonts w:ascii="Aptos" w:hAnsi="Aptos"/>
                <w:color w:val="000000"/>
                <w:sz w:val="20"/>
                <w:szCs w:val="20"/>
              </w:rPr>
            </w:pPr>
            <w:r w:rsidRPr="00A73E6B">
              <w:rPr>
                <w:rFonts w:ascii="Aptos Narrow" w:hAnsi="Aptos Narrow"/>
                <w:color w:val="000000"/>
                <w:sz w:val="20"/>
                <w:szCs w:val="20"/>
              </w:rPr>
              <w:t>1.5%</w:t>
            </w:r>
          </w:p>
        </w:tc>
      </w:tr>
      <w:tr w:rsidR="00A73E6B" w:rsidRPr="009F7193" w14:paraId="1AFEACAD" w14:textId="77777777" w:rsidTr="00053F78">
        <w:trPr>
          <w:cantSplit/>
          <w:trHeight w:val="20"/>
          <w:jc w:val="center"/>
        </w:trPr>
        <w:tc>
          <w:tcPr>
            <w:tcW w:w="4410" w:type="dxa"/>
            <w:noWrap/>
            <w:vAlign w:val="bottom"/>
          </w:tcPr>
          <w:p w14:paraId="27997513" w14:textId="1003AC8F" w:rsidR="00A73E6B" w:rsidRPr="00A73E6B" w:rsidRDefault="00C25803" w:rsidP="00A73E6B">
            <w:pPr>
              <w:contextualSpacing/>
              <w:rPr>
                <w:rFonts w:asciiTheme="minorHAnsi" w:hAnsiTheme="minorHAnsi" w:cstheme="majorHAnsi"/>
                <w:color w:val="000000"/>
                <w:sz w:val="20"/>
                <w:szCs w:val="20"/>
              </w:rPr>
            </w:pPr>
            <w:r w:rsidRPr="00A73E6B">
              <w:rPr>
                <w:rFonts w:ascii="Aptos Narrow" w:hAnsi="Aptos Narrow"/>
                <w:color w:val="000000"/>
                <w:sz w:val="20"/>
                <w:szCs w:val="20"/>
              </w:rPr>
              <w:t>Osterville</w:t>
            </w:r>
          </w:p>
        </w:tc>
        <w:tc>
          <w:tcPr>
            <w:tcW w:w="1384" w:type="dxa"/>
            <w:vAlign w:val="bottom"/>
          </w:tcPr>
          <w:p w14:paraId="3A569AF8" w14:textId="2299DC3E"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02655</w:t>
            </w:r>
          </w:p>
        </w:tc>
        <w:tc>
          <w:tcPr>
            <w:tcW w:w="1384" w:type="dxa"/>
            <w:noWrap/>
            <w:vAlign w:val="bottom"/>
          </w:tcPr>
          <w:p w14:paraId="452D2774" w14:textId="5657FE37"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2,732</w:t>
            </w:r>
          </w:p>
        </w:tc>
        <w:tc>
          <w:tcPr>
            <w:tcW w:w="1194" w:type="dxa"/>
            <w:noWrap/>
            <w:vAlign w:val="bottom"/>
          </w:tcPr>
          <w:p w14:paraId="704F66E7" w14:textId="59FB2F02"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w:t>
            </w:r>
          </w:p>
        </w:tc>
        <w:tc>
          <w:tcPr>
            <w:tcW w:w="1194" w:type="dxa"/>
            <w:shd w:val="clear" w:color="000000" w:fill="FFFFFF"/>
            <w:noWrap/>
            <w:vAlign w:val="bottom"/>
          </w:tcPr>
          <w:p w14:paraId="312B9CFC" w14:textId="0C303913"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2,791</w:t>
            </w:r>
          </w:p>
        </w:tc>
        <w:tc>
          <w:tcPr>
            <w:tcW w:w="1194" w:type="dxa"/>
            <w:shd w:val="clear" w:color="000000" w:fill="FFFFFF"/>
            <w:noWrap/>
            <w:vAlign w:val="bottom"/>
          </w:tcPr>
          <w:p w14:paraId="71324D21" w14:textId="7221B068"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w:t>
            </w:r>
          </w:p>
        </w:tc>
        <w:tc>
          <w:tcPr>
            <w:tcW w:w="1194" w:type="dxa"/>
            <w:shd w:val="clear" w:color="000000" w:fill="FFFFFF"/>
            <w:noWrap/>
            <w:vAlign w:val="bottom"/>
          </w:tcPr>
          <w:p w14:paraId="31C5E62C" w14:textId="7CB17654"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2,809</w:t>
            </w:r>
          </w:p>
        </w:tc>
        <w:tc>
          <w:tcPr>
            <w:tcW w:w="1195" w:type="dxa"/>
            <w:shd w:val="clear" w:color="000000" w:fill="FFFFFF"/>
            <w:noWrap/>
            <w:vAlign w:val="bottom"/>
          </w:tcPr>
          <w:p w14:paraId="101BF124" w14:textId="3EE94AFB" w:rsidR="00A73E6B" w:rsidRPr="00A73E6B" w:rsidRDefault="00A73E6B" w:rsidP="00A73E6B">
            <w:pPr>
              <w:contextualSpacing/>
              <w:jc w:val="center"/>
              <w:rPr>
                <w:rFonts w:asciiTheme="minorHAnsi" w:hAnsiTheme="minorHAnsi" w:cstheme="majorHAnsi"/>
                <w:color w:val="000000"/>
                <w:sz w:val="20"/>
                <w:szCs w:val="20"/>
              </w:rPr>
            </w:pPr>
            <w:r w:rsidRPr="00A73E6B">
              <w:rPr>
                <w:rFonts w:ascii="Aptos Narrow" w:hAnsi="Aptos Narrow"/>
                <w:color w:val="000000"/>
                <w:sz w:val="20"/>
                <w:szCs w:val="20"/>
              </w:rPr>
              <w:t>1.4%</w:t>
            </w:r>
          </w:p>
        </w:tc>
      </w:tr>
      <w:tr w:rsidR="00A73E6B" w:rsidRPr="009F7193" w14:paraId="0EB7F987" w14:textId="77777777" w:rsidTr="00053F78">
        <w:trPr>
          <w:cantSplit/>
          <w:trHeight w:val="80"/>
          <w:jc w:val="center"/>
        </w:trPr>
        <w:tc>
          <w:tcPr>
            <w:tcW w:w="4410" w:type="dxa"/>
            <w:shd w:val="clear" w:color="auto" w:fill="FFFFFF" w:themeFill="background1"/>
            <w:noWrap/>
            <w:vAlign w:val="bottom"/>
          </w:tcPr>
          <w:p w14:paraId="37331DF9" w14:textId="3833D472" w:rsidR="00A73E6B" w:rsidRPr="00A73E6B" w:rsidRDefault="00A73E6B" w:rsidP="00A73E6B">
            <w:pPr>
              <w:contextualSpacing/>
              <w:jc w:val="right"/>
              <w:rPr>
                <w:rFonts w:asciiTheme="minorHAnsi" w:hAnsiTheme="minorHAnsi" w:cstheme="majorHAnsi"/>
                <w:b/>
                <w:bCs/>
                <w:color w:val="000000"/>
                <w:sz w:val="20"/>
                <w:szCs w:val="20"/>
              </w:rPr>
            </w:pPr>
            <w:r w:rsidRPr="00A73E6B">
              <w:rPr>
                <w:rFonts w:ascii="Aptos Narrow" w:hAnsi="Aptos Narrow"/>
                <w:color w:val="000000"/>
                <w:sz w:val="20"/>
                <w:szCs w:val="20"/>
              </w:rPr>
              <w:t> </w:t>
            </w:r>
          </w:p>
        </w:tc>
        <w:tc>
          <w:tcPr>
            <w:tcW w:w="1384" w:type="dxa"/>
            <w:vAlign w:val="bottom"/>
          </w:tcPr>
          <w:p w14:paraId="0A737B09" w14:textId="3769E76A"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 xml:space="preserve">Other </w:t>
            </w:r>
          </w:p>
        </w:tc>
        <w:tc>
          <w:tcPr>
            <w:tcW w:w="1384" w:type="dxa"/>
            <w:noWrap/>
            <w:vAlign w:val="bottom"/>
          </w:tcPr>
          <w:p w14:paraId="3F11AAFB" w14:textId="745CD39E"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70,932</w:t>
            </w:r>
          </w:p>
        </w:tc>
        <w:tc>
          <w:tcPr>
            <w:tcW w:w="1194" w:type="dxa"/>
            <w:noWrap/>
            <w:vAlign w:val="bottom"/>
          </w:tcPr>
          <w:p w14:paraId="23D92AA3" w14:textId="5B5FFAB9" w:rsidR="00A73E6B" w:rsidRPr="00A73E6B" w:rsidRDefault="001A01E6" w:rsidP="00A73E6B">
            <w:pPr>
              <w:contextualSpacing/>
              <w:jc w:val="center"/>
              <w:rPr>
                <w:rFonts w:asciiTheme="minorHAnsi" w:hAnsiTheme="minorHAnsi" w:cstheme="majorHAnsi"/>
                <w:b/>
                <w:bCs/>
                <w:color w:val="000000"/>
                <w:sz w:val="20"/>
                <w:szCs w:val="20"/>
              </w:rPr>
            </w:pPr>
            <w:r>
              <w:rPr>
                <w:rFonts w:ascii="Aptos Narrow" w:hAnsi="Aptos Narrow"/>
                <w:color w:val="000000"/>
                <w:sz w:val="20"/>
                <w:szCs w:val="20"/>
              </w:rPr>
              <w:t>35.3%</w:t>
            </w:r>
          </w:p>
        </w:tc>
        <w:tc>
          <w:tcPr>
            <w:tcW w:w="1194" w:type="dxa"/>
            <w:shd w:val="clear" w:color="auto" w:fill="FFFFFF" w:themeFill="background1"/>
            <w:noWrap/>
            <w:vAlign w:val="bottom"/>
          </w:tcPr>
          <w:p w14:paraId="5D4585AE" w14:textId="282F520E"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71,361</w:t>
            </w:r>
          </w:p>
        </w:tc>
        <w:tc>
          <w:tcPr>
            <w:tcW w:w="1194" w:type="dxa"/>
            <w:shd w:val="clear" w:color="auto" w:fill="FFFFFF" w:themeFill="background1"/>
            <w:noWrap/>
            <w:vAlign w:val="bottom"/>
          </w:tcPr>
          <w:p w14:paraId="4F265594" w14:textId="08110156"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35.1%</w:t>
            </w:r>
          </w:p>
        </w:tc>
        <w:tc>
          <w:tcPr>
            <w:tcW w:w="1194" w:type="dxa"/>
            <w:shd w:val="clear" w:color="auto" w:fill="FFFFFF" w:themeFill="background1"/>
            <w:noWrap/>
            <w:vAlign w:val="bottom"/>
          </w:tcPr>
          <w:p w14:paraId="0CADE1CA" w14:textId="3A6BAE17"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72,109</w:t>
            </w:r>
          </w:p>
        </w:tc>
        <w:tc>
          <w:tcPr>
            <w:tcW w:w="1195" w:type="dxa"/>
            <w:shd w:val="clear" w:color="auto" w:fill="FFFFFF" w:themeFill="background1"/>
            <w:noWrap/>
            <w:vAlign w:val="bottom"/>
          </w:tcPr>
          <w:p w14:paraId="05BBBFC1" w14:textId="4EC364E8" w:rsidR="00A73E6B" w:rsidRPr="00A73E6B" w:rsidRDefault="00A73E6B" w:rsidP="00A73E6B">
            <w:pPr>
              <w:contextualSpacing/>
              <w:jc w:val="center"/>
              <w:rPr>
                <w:rFonts w:asciiTheme="minorHAnsi" w:hAnsiTheme="minorHAnsi" w:cstheme="majorHAnsi"/>
                <w:b/>
                <w:bCs/>
                <w:color w:val="000000"/>
                <w:sz w:val="20"/>
                <w:szCs w:val="20"/>
              </w:rPr>
            </w:pPr>
            <w:r w:rsidRPr="00A73E6B">
              <w:rPr>
                <w:rFonts w:ascii="Aptos Narrow" w:hAnsi="Aptos Narrow"/>
                <w:color w:val="000000"/>
                <w:sz w:val="20"/>
                <w:szCs w:val="20"/>
              </w:rPr>
              <w:t>34.9%</w:t>
            </w:r>
          </w:p>
        </w:tc>
      </w:tr>
      <w:tr w:rsidR="00A73E6B" w:rsidRPr="009F7193" w14:paraId="33B5C9FB" w14:textId="77777777" w:rsidTr="00053F78">
        <w:trPr>
          <w:cantSplit/>
          <w:trHeight w:val="241"/>
          <w:jc w:val="center"/>
        </w:trPr>
        <w:tc>
          <w:tcPr>
            <w:tcW w:w="4410" w:type="dxa"/>
            <w:shd w:val="clear" w:color="auto" w:fill="DAE9F7" w:themeFill="text2" w:themeFillTint="1A"/>
            <w:noWrap/>
            <w:vAlign w:val="center"/>
            <w:hideMark/>
          </w:tcPr>
          <w:p w14:paraId="149FF9F7" w14:textId="50FFBDFF" w:rsidR="00A73E6B" w:rsidRPr="00A73E6B" w:rsidRDefault="00A73E6B" w:rsidP="009B300B">
            <w:pPr>
              <w:contextualSpacing/>
              <w:jc w:val="right"/>
              <w:rPr>
                <w:rFonts w:asciiTheme="minorHAnsi" w:hAnsiTheme="minorHAnsi" w:cstheme="majorHAnsi"/>
                <w:b/>
                <w:bCs/>
                <w:color w:val="000000"/>
                <w:sz w:val="20"/>
                <w:szCs w:val="20"/>
              </w:rPr>
            </w:pPr>
          </w:p>
        </w:tc>
        <w:tc>
          <w:tcPr>
            <w:tcW w:w="1384" w:type="dxa"/>
            <w:shd w:val="clear" w:color="auto" w:fill="DAE9F7" w:themeFill="text2" w:themeFillTint="1A"/>
          </w:tcPr>
          <w:p w14:paraId="39E0964B" w14:textId="7E28D351" w:rsidR="00A73E6B" w:rsidRPr="00A73E6B" w:rsidRDefault="001A01E6"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TOTAL</w:t>
            </w:r>
          </w:p>
        </w:tc>
        <w:tc>
          <w:tcPr>
            <w:tcW w:w="1384" w:type="dxa"/>
            <w:shd w:val="clear" w:color="auto" w:fill="DAE9F7" w:themeFill="text2" w:themeFillTint="1A"/>
            <w:noWrap/>
            <w:vAlign w:val="center"/>
            <w:hideMark/>
          </w:tcPr>
          <w:p w14:paraId="58452C48" w14:textId="620A22A9"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200,812</w:t>
            </w:r>
          </w:p>
        </w:tc>
        <w:tc>
          <w:tcPr>
            <w:tcW w:w="1194" w:type="dxa"/>
            <w:shd w:val="clear" w:color="auto" w:fill="DAE9F7" w:themeFill="text2" w:themeFillTint="1A"/>
            <w:noWrap/>
            <w:vAlign w:val="center"/>
            <w:hideMark/>
          </w:tcPr>
          <w:p w14:paraId="70C09ECB" w14:textId="77777777"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100%</w:t>
            </w:r>
          </w:p>
        </w:tc>
        <w:tc>
          <w:tcPr>
            <w:tcW w:w="1194" w:type="dxa"/>
            <w:shd w:val="clear" w:color="auto" w:fill="DAE9F7" w:themeFill="text2" w:themeFillTint="1A"/>
            <w:noWrap/>
            <w:vAlign w:val="center"/>
            <w:hideMark/>
          </w:tcPr>
          <w:p w14:paraId="2898CD61" w14:textId="77777777"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203,260</w:t>
            </w:r>
          </w:p>
        </w:tc>
        <w:tc>
          <w:tcPr>
            <w:tcW w:w="1194" w:type="dxa"/>
            <w:shd w:val="clear" w:color="auto" w:fill="DAE9F7" w:themeFill="text2" w:themeFillTint="1A"/>
            <w:noWrap/>
            <w:vAlign w:val="center"/>
            <w:hideMark/>
          </w:tcPr>
          <w:p w14:paraId="090BD0FE" w14:textId="77777777"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100%</w:t>
            </w:r>
          </w:p>
        </w:tc>
        <w:tc>
          <w:tcPr>
            <w:tcW w:w="1194" w:type="dxa"/>
            <w:shd w:val="clear" w:color="auto" w:fill="DAE9F7" w:themeFill="text2" w:themeFillTint="1A"/>
            <w:noWrap/>
            <w:vAlign w:val="center"/>
            <w:hideMark/>
          </w:tcPr>
          <w:p w14:paraId="255D5014" w14:textId="77777777"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206,701</w:t>
            </w:r>
          </w:p>
        </w:tc>
        <w:tc>
          <w:tcPr>
            <w:tcW w:w="1195" w:type="dxa"/>
            <w:shd w:val="clear" w:color="auto" w:fill="DAE9F7" w:themeFill="text2" w:themeFillTint="1A"/>
            <w:noWrap/>
            <w:vAlign w:val="center"/>
            <w:hideMark/>
          </w:tcPr>
          <w:p w14:paraId="07D5E4C3" w14:textId="77777777" w:rsidR="00A73E6B" w:rsidRPr="00A73E6B" w:rsidRDefault="00A73E6B" w:rsidP="009B300B">
            <w:pPr>
              <w:contextualSpacing/>
              <w:jc w:val="center"/>
              <w:rPr>
                <w:rFonts w:asciiTheme="minorHAnsi" w:hAnsiTheme="minorHAnsi" w:cstheme="majorHAnsi"/>
                <w:b/>
                <w:bCs/>
                <w:color w:val="000000"/>
                <w:sz w:val="20"/>
                <w:szCs w:val="20"/>
              </w:rPr>
            </w:pPr>
            <w:r w:rsidRPr="00A73E6B">
              <w:rPr>
                <w:rFonts w:asciiTheme="minorHAnsi" w:hAnsiTheme="minorHAnsi" w:cstheme="majorHAnsi"/>
                <w:b/>
                <w:bCs/>
                <w:color w:val="000000"/>
                <w:sz w:val="20"/>
                <w:szCs w:val="20"/>
              </w:rPr>
              <w:t>100%</w:t>
            </w:r>
          </w:p>
        </w:tc>
      </w:tr>
    </w:tbl>
    <w:p w14:paraId="032EAB06" w14:textId="77777777" w:rsidR="00A73E6B" w:rsidRDefault="00A73E6B" w:rsidP="00EA1E6D">
      <w:pPr>
        <w:ind w:hanging="540"/>
        <w:jc w:val="both"/>
        <w:rPr>
          <w:rFonts w:asciiTheme="minorHAnsi" w:eastAsia="Verdana" w:hAnsiTheme="minorHAnsi" w:cs="Arial"/>
          <w:b/>
          <w:bCs/>
          <w:sz w:val="22"/>
          <w:szCs w:val="22"/>
        </w:rPr>
        <w:sectPr w:rsidR="00A73E6B" w:rsidSect="00A73E6B">
          <w:pgSz w:w="15840" w:h="12240" w:orient="landscape"/>
          <w:pgMar w:top="1440" w:right="1440" w:bottom="1440" w:left="1440" w:header="720" w:footer="720" w:gutter="0"/>
          <w:cols w:space="720"/>
          <w:docGrid w:linePitch="360"/>
        </w:sectPr>
      </w:pPr>
    </w:p>
    <w:p w14:paraId="4F30AF57" w14:textId="77777777" w:rsidR="00EA1E6D" w:rsidRPr="009F7193" w:rsidRDefault="00EA1E6D" w:rsidP="00EA1E6D">
      <w:pPr>
        <w:spacing w:after="120"/>
        <w:jc w:val="both"/>
        <w:rPr>
          <w:rFonts w:asciiTheme="minorHAnsi" w:eastAsia="Verdana" w:hAnsiTheme="minorHAnsi" w:cs="Arial"/>
          <w:sz w:val="22"/>
          <w:szCs w:val="22"/>
        </w:rPr>
      </w:pPr>
      <w:r w:rsidRPr="009F7193">
        <w:rPr>
          <w:rFonts w:asciiTheme="minorHAnsi" w:eastAsia="Verdana" w:hAnsiTheme="minorHAnsi" w:cs="Arial"/>
          <w:sz w:val="22"/>
          <w:szCs w:val="22"/>
        </w:rPr>
        <w:lastRenderedPageBreak/>
        <w:t xml:space="preserve">The largest payer of the Applicant’s Patient Panel is Medicare, consistently over 40% across the relevant </w:t>
      </w:r>
      <w:proofErr w:type="gramStart"/>
      <w:r w:rsidRPr="009F7193">
        <w:rPr>
          <w:rFonts w:asciiTheme="minorHAnsi" w:eastAsia="Verdana" w:hAnsiTheme="minorHAnsi" w:cs="Arial"/>
          <w:sz w:val="22"/>
          <w:szCs w:val="22"/>
        </w:rPr>
        <w:t>time period</w:t>
      </w:r>
      <w:proofErr w:type="gramEnd"/>
      <w:r w:rsidRPr="009F7193">
        <w:rPr>
          <w:rFonts w:asciiTheme="minorHAnsi" w:eastAsia="Verdana" w:hAnsiTheme="minorHAnsi" w:cs="Arial"/>
          <w:sz w:val="22"/>
          <w:szCs w:val="22"/>
        </w:rPr>
        <w:t xml:space="preserve">. Another 14% of patients are insured by a Medicare Advantage plan. Collectively, in FY 2025, 17% of patients used either Managed Medicaid or MassHealth. </w:t>
      </w:r>
    </w:p>
    <w:p w14:paraId="19C36E6E" w14:textId="77777777" w:rsidR="00EA1E6D" w:rsidRPr="009F7193" w:rsidRDefault="00EA1E6D" w:rsidP="00EA1E6D">
      <w:pPr>
        <w:spacing w:after="120"/>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t xml:space="preserve">Table 3: Cape Cod Healthcare Payer Mix </w:t>
      </w:r>
    </w:p>
    <w:tbl>
      <w:tblPr>
        <w:tblStyle w:val="TableGrid"/>
        <w:tblW w:w="9450" w:type="dxa"/>
        <w:tblInd w:w="-5" w:type="dxa"/>
        <w:tblLayout w:type="fixed"/>
        <w:tblLook w:val="04A0" w:firstRow="1" w:lastRow="0" w:firstColumn="1" w:lastColumn="0" w:noHBand="0" w:noVBand="1"/>
      </w:tblPr>
      <w:tblGrid>
        <w:gridCol w:w="2790"/>
        <w:gridCol w:w="2220"/>
        <w:gridCol w:w="2220"/>
        <w:gridCol w:w="2220"/>
      </w:tblGrid>
      <w:tr w:rsidR="00EA1E6D" w:rsidRPr="009F7193" w14:paraId="4F973156" w14:textId="77777777" w:rsidTr="00F32E68">
        <w:trPr>
          <w:cantSplit/>
          <w:tblHeader/>
        </w:trPr>
        <w:tc>
          <w:tcPr>
            <w:tcW w:w="2790" w:type="dxa"/>
            <w:shd w:val="clear" w:color="auto" w:fill="156082" w:themeFill="accent1"/>
            <w:vAlign w:val="center"/>
          </w:tcPr>
          <w:p w14:paraId="797032EC" w14:textId="77777777" w:rsidR="00EA1E6D" w:rsidRPr="009F7193" w:rsidRDefault="00EA1E6D" w:rsidP="009B300B">
            <w:pPr>
              <w:pStyle w:val="ListParagraph"/>
              <w:ind w:left="0"/>
              <w:contextualSpacing w:val="0"/>
              <w:rPr>
                <w:rFonts w:asciiTheme="minorHAnsi" w:hAnsiTheme="minorHAnsi" w:cstheme="majorHAnsi"/>
                <w:color w:val="FFFFFF" w:themeColor="background1"/>
                <w:sz w:val="20"/>
                <w:szCs w:val="20"/>
              </w:rPr>
            </w:pPr>
            <w:r w:rsidRPr="009F7193">
              <w:rPr>
                <w:rFonts w:asciiTheme="minorHAnsi" w:hAnsiTheme="minorHAnsi" w:cstheme="majorHAnsi"/>
                <w:b/>
                <w:bCs/>
                <w:color w:val="FFFFFF" w:themeColor="background1"/>
                <w:sz w:val="20"/>
                <w:szCs w:val="20"/>
              </w:rPr>
              <w:t>Payer Mix</w:t>
            </w:r>
          </w:p>
        </w:tc>
        <w:tc>
          <w:tcPr>
            <w:tcW w:w="2220" w:type="dxa"/>
            <w:tcBorders>
              <w:bottom w:val="single" w:sz="4" w:space="0" w:color="auto"/>
            </w:tcBorders>
            <w:shd w:val="clear" w:color="auto" w:fill="156082" w:themeFill="accent1"/>
            <w:vAlign w:val="center"/>
          </w:tcPr>
          <w:p w14:paraId="605E7414"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w:t>
            </w:r>
          </w:p>
        </w:tc>
        <w:tc>
          <w:tcPr>
            <w:tcW w:w="2220" w:type="dxa"/>
            <w:tcBorders>
              <w:bottom w:val="single" w:sz="4" w:space="0" w:color="auto"/>
            </w:tcBorders>
            <w:shd w:val="clear" w:color="auto" w:fill="156082" w:themeFill="accent1"/>
            <w:vAlign w:val="center"/>
          </w:tcPr>
          <w:p w14:paraId="22981648"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w:t>
            </w:r>
          </w:p>
        </w:tc>
        <w:tc>
          <w:tcPr>
            <w:tcW w:w="2220" w:type="dxa"/>
            <w:tcBorders>
              <w:bottom w:val="single" w:sz="4" w:space="0" w:color="auto"/>
            </w:tcBorders>
            <w:shd w:val="clear" w:color="auto" w:fill="156082" w:themeFill="accent1"/>
            <w:vAlign w:val="center"/>
          </w:tcPr>
          <w:p w14:paraId="3F9B9B07"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 xml:space="preserve">FY25 </w:t>
            </w:r>
          </w:p>
        </w:tc>
      </w:tr>
      <w:tr w:rsidR="000A1048" w:rsidRPr="009F7193" w14:paraId="6ADF859E" w14:textId="77777777" w:rsidTr="00F32E68">
        <w:trPr>
          <w:cantSplit/>
        </w:trPr>
        <w:tc>
          <w:tcPr>
            <w:tcW w:w="2790" w:type="dxa"/>
            <w:vAlign w:val="center"/>
          </w:tcPr>
          <w:p w14:paraId="764C8941"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Commercial</w:t>
            </w:r>
          </w:p>
        </w:tc>
        <w:tc>
          <w:tcPr>
            <w:tcW w:w="2220" w:type="dxa"/>
            <w:tcBorders>
              <w:top w:val="single" w:sz="4" w:space="0" w:color="auto"/>
              <w:left w:val="single" w:sz="4" w:space="0" w:color="auto"/>
              <w:bottom w:val="single" w:sz="4" w:space="0" w:color="auto"/>
              <w:right w:val="single" w:sz="4" w:space="0" w:color="auto"/>
            </w:tcBorders>
            <w:vAlign w:val="center"/>
          </w:tcPr>
          <w:p w14:paraId="713A7AB8" w14:textId="5A4136D5"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24.9%</w:t>
            </w:r>
          </w:p>
        </w:tc>
        <w:tc>
          <w:tcPr>
            <w:tcW w:w="2220" w:type="dxa"/>
            <w:tcBorders>
              <w:top w:val="single" w:sz="4" w:space="0" w:color="auto"/>
              <w:left w:val="single" w:sz="4" w:space="0" w:color="auto"/>
              <w:bottom w:val="single" w:sz="4" w:space="0" w:color="auto"/>
              <w:right w:val="single" w:sz="4" w:space="0" w:color="auto"/>
            </w:tcBorders>
            <w:vAlign w:val="center"/>
          </w:tcPr>
          <w:p w14:paraId="6B82EBA3" w14:textId="6FA4B61B"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24.0%</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6C3BA" w14:textId="02842030"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23.6%</w:t>
            </w:r>
          </w:p>
        </w:tc>
      </w:tr>
      <w:tr w:rsidR="000A1048" w:rsidRPr="009F7193" w14:paraId="19D2C018" w14:textId="77777777" w:rsidTr="00F32E68">
        <w:trPr>
          <w:cantSplit/>
        </w:trPr>
        <w:tc>
          <w:tcPr>
            <w:tcW w:w="2790" w:type="dxa"/>
            <w:vAlign w:val="center"/>
          </w:tcPr>
          <w:p w14:paraId="1C15F071"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Managed Medicaid</w:t>
            </w:r>
          </w:p>
        </w:tc>
        <w:tc>
          <w:tcPr>
            <w:tcW w:w="2220" w:type="dxa"/>
            <w:tcBorders>
              <w:top w:val="single" w:sz="4" w:space="0" w:color="auto"/>
              <w:left w:val="single" w:sz="4" w:space="0" w:color="auto"/>
              <w:bottom w:val="single" w:sz="4" w:space="0" w:color="auto"/>
              <w:right w:val="single" w:sz="4" w:space="0" w:color="auto"/>
            </w:tcBorders>
            <w:vAlign w:val="center"/>
          </w:tcPr>
          <w:p w14:paraId="10B5E436" w14:textId="4BE967CF"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13.5%</w:t>
            </w:r>
          </w:p>
        </w:tc>
        <w:tc>
          <w:tcPr>
            <w:tcW w:w="2220" w:type="dxa"/>
            <w:tcBorders>
              <w:top w:val="single" w:sz="4" w:space="0" w:color="auto"/>
              <w:left w:val="single" w:sz="4" w:space="0" w:color="auto"/>
              <w:bottom w:val="single" w:sz="4" w:space="0" w:color="auto"/>
              <w:right w:val="single" w:sz="4" w:space="0" w:color="auto"/>
            </w:tcBorders>
            <w:vAlign w:val="center"/>
          </w:tcPr>
          <w:p w14:paraId="2D00B832" w14:textId="42BE23C9"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12.1%</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72212" w14:textId="3F4A1621"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12.1%</w:t>
            </w:r>
          </w:p>
        </w:tc>
      </w:tr>
      <w:tr w:rsidR="000A1048" w:rsidRPr="009F7193" w14:paraId="599BCB8F" w14:textId="77777777" w:rsidTr="00F32E68">
        <w:trPr>
          <w:cantSplit/>
        </w:trPr>
        <w:tc>
          <w:tcPr>
            <w:tcW w:w="2790" w:type="dxa"/>
            <w:vAlign w:val="center"/>
          </w:tcPr>
          <w:p w14:paraId="45200AFF"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MassHealth</w:t>
            </w:r>
          </w:p>
        </w:tc>
        <w:tc>
          <w:tcPr>
            <w:tcW w:w="2220" w:type="dxa"/>
            <w:tcBorders>
              <w:top w:val="single" w:sz="4" w:space="0" w:color="auto"/>
              <w:left w:val="single" w:sz="4" w:space="0" w:color="auto"/>
              <w:bottom w:val="single" w:sz="4" w:space="0" w:color="auto"/>
              <w:right w:val="single" w:sz="4" w:space="0" w:color="auto"/>
            </w:tcBorders>
            <w:vAlign w:val="center"/>
          </w:tcPr>
          <w:p w14:paraId="7952ADE7" w14:textId="5FFB3509"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4.8%</w:t>
            </w:r>
          </w:p>
        </w:tc>
        <w:tc>
          <w:tcPr>
            <w:tcW w:w="2220" w:type="dxa"/>
            <w:tcBorders>
              <w:top w:val="single" w:sz="4" w:space="0" w:color="auto"/>
              <w:left w:val="single" w:sz="4" w:space="0" w:color="auto"/>
              <w:bottom w:val="single" w:sz="4" w:space="0" w:color="auto"/>
              <w:right w:val="single" w:sz="4" w:space="0" w:color="auto"/>
            </w:tcBorders>
            <w:vAlign w:val="center"/>
          </w:tcPr>
          <w:p w14:paraId="73E66BE1" w14:textId="686864FF"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5.2%</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58568" w14:textId="3C6E449C"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4.5%</w:t>
            </w:r>
          </w:p>
        </w:tc>
      </w:tr>
      <w:tr w:rsidR="000A1048" w:rsidRPr="009F7193" w14:paraId="4966348B" w14:textId="77777777" w:rsidTr="00F32E68">
        <w:trPr>
          <w:cantSplit/>
        </w:trPr>
        <w:tc>
          <w:tcPr>
            <w:tcW w:w="2790" w:type="dxa"/>
            <w:vAlign w:val="center"/>
          </w:tcPr>
          <w:p w14:paraId="48DD128D"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Medicare</w:t>
            </w:r>
          </w:p>
        </w:tc>
        <w:tc>
          <w:tcPr>
            <w:tcW w:w="2220" w:type="dxa"/>
            <w:tcBorders>
              <w:top w:val="single" w:sz="4" w:space="0" w:color="auto"/>
              <w:left w:val="single" w:sz="4" w:space="0" w:color="auto"/>
              <w:bottom w:val="single" w:sz="4" w:space="0" w:color="auto"/>
              <w:right w:val="single" w:sz="4" w:space="0" w:color="auto"/>
            </w:tcBorders>
            <w:vAlign w:val="center"/>
          </w:tcPr>
          <w:p w14:paraId="641D90C0" w14:textId="6C73C2DE"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41.0%</w:t>
            </w:r>
          </w:p>
        </w:tc>
        <w:tc>
          <w:tcPr>
            <w:tcW w:w="2220" w:type="dxa"/>
            <w:tcBorders>
              <w:top w:val="single" w:sz="4" w:space="0" w:color="auto"/>
              <w:left w:val="single" w:sz="4" w:space="0" w:color="auto"/>
              <w:bottom w:val="single" w:sz="4" w:space="0" w:color="auto"/>
              <w:right w:val="single" w:sz="4" w:space="0" w:color="auto"/>
            </w:tcBorders>
            <w:vAlign w:val="center"/>
          </w:tcPr>
          <w:p w14:paraId="5D46F44F" w14:textId="2FED3416"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41.2%</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75D62" w14:textId="621BA2B2"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41.9%</w:t>
            </w:r>
          </w:p>
        </w:tc>
      </w:tr>
      <w:tr w:rsidR="000A1048" w:rsidRPr="009F7193" w14:paraId="3499CFBB" w14:textId="77777777" w:rsidTr="00F32E68">
        <w:trPr>
          <w:cantSplit/>
        </w:trPr>
        <w:tc>
          <w:tcPr>
            <w:tcW w:w="2790" w:type="dxa"/>
            <w:vAlign w:val="center"/>
          </w:tcPr>
          <w:p w14:paraId="70FA9E52"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Medicare Advantage</w:t>
            </w:r>
          </w:p>
        </w:tc>
        <w:tc>
          <w:tcPr>
            <w:tcW w:w="2220" w:type="dxa"/>
            <w:tcBorders>
              <w:top w:val="single" w:sz="4" w:space="0" w:color="auto"/>
              <w:left w:val="single" w:sz="4" w:space="0" w:color="auto"/>
              <w:bottom w:val="single" w:sz="4" w:space="0" w:color="auto"/>
              <w:right w:val="single" w:sz="4" w:space="0" w:color="auto"/>
            </w:tcBorders>
            <w:vAlign w:val="center"/>
          </w:tcPr>
          <w:p w14:paraId="5998AA38" w14:textId="25B143C0"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11.7%</w:t>
            </w:r>
          </w:p>
        </w:tc>
        <w:tc>
          <w:tcPr>
            <w:tcW w:w="2220" w:type="dxa"/>
            <w:tcBorders>
              <w:top w:val="single" w:sz="4" w:space="0" w:color="auto"/>
              <w:left w:val="single" w:sz="4" w:space="0" w:color="auto"/>
              <w:bottom w:val="single" w:sz="4" w:space="0" w:color="auto"/>
              <w:right w:val="single" w:sz="4" w:space="0" w:color="auto"/>
            </w:tcBorders>
            <w:vAlign w:val="center"/>
          </w:tcPr>
          <w:p w14:paraId="50C71F0D" w14:textId="15482CAB"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13.0%</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F2778" w14:textId="7A2F5642"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13.6%</w:t>
            </w:r>
          </w:p>
        </w:tc>
      </w:tr>
      <w:tr w:rsidR="000A1048" w:rsidRPr="009F7193" w14:paraId="43902CD4" w14:textId="77777777" w:rsidTr="00F32E68">
        <w:trPr>
          <w:cantSplit/>
        </w:trPr>
        <w:tc>
          <w:tcPr>
            <w:tcW w:w="2790" w:type="dxa"/>
            <w:vAlign w:val="center"/>
          </w:tcPr>
          <w:p w14:paraId="0BC30810" w14:textId="77777777" w:rsidR="000A1048" w:rsidRPr="009F7193" w:rsidRDefault="000A1048" w:rsidP="000A1048">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Other</w:t>
            </w:r>
          </w:p>
        </w:tc>
        <w:tc>
          <w:tcPr>
            <w:tcW w:w="2220" w:type="dxa"/>
            <w:tcBorders>
              <w:top w:val="single" w:sz="4" w:space="0" w:color="auto"/>
              <w:left w:val="single" w:sz="4" w:space="0" w:color="auto"/>
              <w:bottom w:val="single" w:sz="4" w:space="0" w:color="auto"/>
              <w:right w:val="single" w:sz="4" w:space="0" w:color="auto"/>
            </w:tcBorders>
            <w:vAlign w:val="center"/>
          </w:tcPr>
          <w:p w14:paraId="54191119" w14:textId="65B99B73"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4.1%</w:t>
            </w:r>
          </w:p>
        </w:tc>
        <w:tc>
          <w:tcPr>
            <w:tcW w:w="2220" w:type="dxa"/>
            <w:tcBorders>
              <w:top w:val="single" w:sz="4" w:space="0" w:color="auto"/>
              <w:left w:val="single" w:sz="4" w:space="0" w:color="auto"/>
              <w:bottom w:val="single" w:sz="4" w:space="0" w:color="auto"/>
              <w:right w:val="single" w:sz="4" w:space="0" w:color="auto"/>
            </w:tcBorders>
            <w:vAlign w:val="center"/>
          </w:tcPr>
          <w:p w14:paraId="60B1CA44" w14:textId="7C30BB54" w:rsidR="000A1048" w:rsidRPr="000A1048" w:rsidRDefault="000A1048" w:rsidP="000A1048">
            <w:pPr>
              <w:pStyle w:val="ListParagraph"/>
              <w:ind w:left="0"/>
              <w:jc w:val="center"/>
              <w:rPr>
                <w:rFonts w:ascii="Aptos" w:hAnsi="Aptos" w:cstheme="majorHAnsi"/>
                <w:sz w:val="20"/>
                <w:szCs w:val="20"/>
              </w:rPr>
            </w:pPr>
            <w:r w:rsidRPr="000A1048">
              <w:rPr>
                <w:rFonts w:ascii="Aptos" w:hAnsi="Aptos" w:cs="Arial"/>
                <w:color w:val="000000"/>
                <w:sz w:val="20"/>
                <w:szCs w:val="20"/>
              </w:rPr>
              <w:t>4.5%</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978E8" w14:textId="3F40AA14" w:rsidR="000A1048" w:rsidRPr="000A1048" w:rsidRDefault="000A1048" w:rsidP="000A1048">
            <w:pPr>
              <w:pStyle w:val="ListParagraph"/>
              <w:ind w:left="0"/>
              <w:jc w:val="center"/>
              <w:rPr>
                <w:rFonts w:ascii="Aptos" w:hAnsi="Aptos" w:cstheme="majorHAnsi"/>
                <w:color w:val="000000"/>
                <w:sz w:val="20"/>
                <w:szCs w:val="20"/>
              </w:rPr>
            </w:pPr>
            <w:r w:rsidRPr="000A1048">
              <w:rPr>
                <w:rFonts w:ascii="Aptos" w:hAnsi="Aptos" w:cs="Arial"/>
                <w:color w:val="000000"/>
                <w:sz w:val="20"/>
                <w:szCs w:val="20"/>
              </w:rPr>
              <w:t>4.4%</w:t>
            </w:r>
          </w:p>
        </w:tc>
      </w:tr>
      <w:tr w:rsidR="00EA1E6D" w:rsidRPr="009F7193" w14:paraId="68266B4E" w14:textId="77777777" w:rsidTr="00F32E68">
        <w:trPr>
          <w:cantSplit/>
        </w:trPr>
        <w:tc>
          <w:tcPr>
            <w:tcW w:w="2790" w:type="dxa"/>
            <w:shd w:val="clear" w:color="auto" w:fill="DAE9F7" w:themeFill="text2" w:themeFillTint="1A"/>
            <w:vAlign w:val="center"/>
          </w:tcPr>
          <w:p w14:paraId="0D14A4F9" w14:textId="77777777" w:rsidR="00EA1E6D" w:rsidRPr="009F7193" w:rsidRDefault="00EA1E6D" w:rsidP="009B300B">
            <w:pPr>
              <w:pStyle w:val="ListParagraph"/>
              <w:ind w:left="0"/>
              <w:rPr>
                <w:rFonts w:asciiTheme="minorHAnsi" w:hAnsiTheme="minorHAnsi" w:cstheme="majorHAnsi"/>
                <w:b/>
                <w:bCs/>
                <w:sz w:val="20"/>
                <w:szCs w:val="20"/>
              </w:rPr>
            </w:pPr>
            <w:r w:rsidRPr="009F7193">
              <w:rPr>
                <w:rFonts w:asciiTheme="minorHAnsi" w:hAnsiTheme="minorHAnsi" w:cstheme="majorHAnsi"/>
                <w:b/>
                <w:bCs/>
                <w:sz w:val="20"/>
                <w:szCs w:val="20"/>
              </w:rPr>
              <w:t>TOTAL</w:t>
            </w:r>
          </w:p>
        </w:tc>
        <w:tc>
          <w:tcPr>
            <w:tcW w:w="2220" w:type="dxa"/>
            <w:tcBorders>
              <w:top w:val="single" w:sz="4" w:space="0" w:color="auto"/>
            </w:tcBorders>
            <w:shd w:val="clear" w:color="auto" w:fill="DAE9F7" w:themeFill="text2" w:themeFillTint="1A"/>
            <w:vAlign w:val="center"/>
          </w:tcPr>
          <w:p w14:paraId="6C09A3C5"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Aptos" w:hAnsi="Aptos"/>
                <w:b/>
                <w:bCs/>
                <w:color w:val="000000"/>
                <w:sz w:val="20"/>
                <w:szCs w:val="20"/>
              </w:rPr>
              <w:t>100%</w:t>
            </w:r>
          </w:p>
        </w:tc>
        <w:tc>
          <w:tcPr>
            <w:tcW w:w="2220" w:type="dxa"/>
            <w:tcBorders>
              <w:top w:val="single" w:sz="4" w:space="0" w:color="auto"/>
            </w:tcBorders>
            <w:shd w:val="clear" w:color="auto" w:fill="DAE9F7" w:themeFill="text2" w:themeFillTint="1A"/>
            <w:vAlign w:val="center"/>
          </w:tcPr>
          <w:p w14:paraId="48DCA910"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Aptos" w:hAnsi="Aptos"/>
                <w:b/>
                <w:bCs/>
                <w:color w:val="000000"/>
                <w:sz w:val="20"/>
                <w:szCs w:val="20"/>
              </w:rPr>
              <w:t>100%</w:t>
            </w:r>
          </w:p>
        </w:tc>
        <w:tc>
          <w:tcPr>
            <w:tcW w:w="2220" w:type="dxa"/>
            <w:tcBorders>
              <w:top w:val="single" w:sz="4" w:space="0" w:color="auto"/>
            </w:tcBorders>
            <w:shd w:val="clear" w:color="auto" w:fill="DAE9F7" w:themeFill="text2" w:themeFillTint="1A"/>
            <w:vAlign w:val="center"/>
          </w:tcPr>
          <w:p w14:paraId="544EA540"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Theme="minorHAnsi" w:hAnsiTheme="minorHAnsi" w:cstheme="majorHAnsi"/>
                <w:b/>
                <w:bCs/>
                <w:sz w:val="20"/>
                <w:szCs w:val="20"/>
              </w:rPr>
              <w:t>100%</w:t>
            </w:r>
          </w:p>
        </w:tc>
      </w:tr>
    </w:tbl>
    <w:p w14:paraId="24EF6E1F" w14:textId="77777777" w:rsidR="00EA1E6D" w:rsidRPr="009F7193" w:rsidRDefault="00EA1E6D" w:rsidP="00EA1E6D">
      <w:pPr>
        <w:jc w:val="both"/>
        <w:rPr>
          <w:rFonts w:asciiTheme="minorHAnsi" w:eastAsia="Verdana" w:hAnsiTheme="minorHAnsi" w:cs="Arial"/>
          <w:b/>
          <w:bCs/>
          <w:sz w:val="22"/>
          <w:szCs w:val="22"/>
        </w:rPr>
      </w:pPr>
    </w:p>
    <w:p w14:paraId="10606C7D" w14:textId="77777777" w:rsidR="00EA1E6D" w:rsidRPr="009F7193" w:rsidRDefault="00EA1E6D" w:rsidP="00EA1E6D">
      <w:pPr>
        <w:jc w:val="both"/>
        <w:rPr>
          <w:rFonts w:asciiTheme="minorHAnsi" w:eastAsia="Verdana" w:hAnsiTheme="minorHAnsi" w:cs="Arial"/>
          <w:b/>
          <w:bCs/>
          <w:sz w:val="22"/>
          <w:szCs w:val="22"/>
        </w:rPr>
      </w:pPr>
    </w:p>
    <w:p w14:paraId="5E2EA6FD" w14:textId="77777777" w:rsidR="00EA1E6D" w:rsidRPr="009F7193" w:rsidRDefault="00EA1E6D" w:rsidP="00EA1E6D">
      <w:pPr>
        <w:pStyle w:val="ListParagraph"/>
        <w:numPr>
          <w:ilvl w:val="0"/>
          <w:numId w:val="3"/>
        </w:numPr>
        <w:suppressAutoHyphens w:val="0"/>
        <w:ind w:left="360"/>
        <w:jc w:val="both"/>
        <w:rPr>
          <w:rFonts w:asciiTheme="minorHAnsi" w:hAnsiTheme="minorHAnsi" w:cs="Arial"/>
          <w:color w:val="000000" w:themeColor="text1"/>
          <w:sz w:val="22"/>
          <w:szCs w:val="22"/>
          <w:u w:val="single"/>
        </w:rPr>
      </w:pPr>
      <w:r w:rsidRPr="009F7193">
        <w:rPr>
          <w:rFonts w:asciiTheme="minorHAnsi" w:hAnsiTheme="minorHAnsi" w:cs="Arial"/>
          <w:color w:val="000000" w:themeColor="text1"/>
          <w:sz w:val="22"/>
          <w:szCs w:val="22"/>
          <w:u w:val="single"/>
        </w:rPr>
        <w:t>Cape Cod Hospital</w:t>
      </w:r>
    </w:p>
    <w:p w14:paraId="3EC91EDD" w14:textId="77777777" w:rsidR="00EA1E6D" w:rsidRPr="009F7193" w:rsidRDefault="00EA1E6D" w:rsidP="00EA1E6D">
      <w:pPr>
        <w:jc w:val="both"/>
        <w:rPr>
          <w:rFonts w:asciiTheme="minorHAnsi" w:hAnsiTheme="minorHAnsi" w:cs="Arial"/>
          <w:color w:val="000000" w:themeColor="text1"/>
          <w:sz w:val="22"/>
          <w:szCs w:val="22"/>
        </w:rPr>
      </w:pPr>
    </w:p>
    <w:p w14:paraId="44B1CDCA" w14:textId="4041DD2C" w:rsidR="00EA1E6D" w:rsidRPr="009F7193" w:rsidRDefault="00EA1E6D" w:rsidP="00EA1E6D">
      <w:pPr>
        <w:jc w:val="both"/>
        <w:rPr>
          <w:rFonts w:asciiTheme="minorHAnsi" w:hAnsiTheme="minorHAnsi" w:cs="Arial"/>
          <w:color w:val="000000" w:themeColor="text1"/>
          <w:sz w:val="22"/>
          <w:szCs w:val="22"/>
        </w:rPr>
        <w:sectPr w:rsidR="00EA1E6D" w:rsidRPr="009F7193" w:rsidSect="00EA1E6D">
          <w:pgSz w:w="12240" w:h="15840"/>
          <w:pgMar w:top="1440" w:right="1440" w:bottom="1440" w:left="1440" w:header="720" w:footer="720" w:gutter="0"/>
          <w:cols w:space="720"/>
          <w:docGrid w:linePitch="360"/>
        </w:sectPr>
      </w:pPr>
      <w:r w:rsidRPr="009F7193">
        <w:rPr>
          <w:rFonts w:asciiTheme="minorHAnsi" w:hAnsiTheme="minorHAnsi" w:cs="Arial"/>
          <w:color w:val="000000" w:themeColor="text1"/>
          <w:sz w:val="22"/>
          <w:szCs w:val="22"/>
        </w:rPr>
        <w:t xml:space="preserve">Cape Cod Hospital’s patient population is largely reflective of that of the </w:t>
      </w:r>
      <w:r w:rsidR="00F12784">
        <w:rPr>
          <w:rFonts w:asciiTheme="minorHAnsi" w:hAnsiTheme="minorHAnsi" w:cs="Arial"/>
          <w:color w:val="000000" w:themeColor="text1"/>
          <w:sz w:val="22"/>
          <w:szCs w:val="22"/>
        </w:rPr>
        <w:t>Applicant</w:t>
      </w:r>
      <w:r w:rsidRPr="009F7193">
        <w:rPr>
          <w:rFonts w:asciiTheme="minorHAnsi" w:hAnsiTheme="minorHAnsi" w:cs="Arial"/>
          <w:color w:val="000000" w:themeColor="text1"/>
          <w:sz w:val="22"/>
          <w:szCs w:val="22"/>
        </w:rPr>
        <w:t xml:space="preserve">’s panel. Approximately 59% of patients were female and 40% were male. Like Cape Cod Healthcare, the Hospital’s </w:t>
      </w:r>
      <w:r w:rsidRPr="009F7193">
        <w:rPr>
          <w:rFonts w:asciiTheme="minorHAnsi" w:hAnsiTheme="minorHAnsi" w:cs="Arial"/>
          <w:sz w:val="22"/>
          <w:szCs w:val="22"/>
        </w:rPr>
        <w:t xml:space="preserve">largest age cohort were patients 65 and over, accounting for 46% of patients. 21% were aged 18-44 and 25% aged 45-64, while fewer than 10% were below 18. </w:t>
      </w:r>
    </w:p>
    <w:p w14:paraId="74309F7D" w14:textId="77777777" w:rsidR="00EA1E6D" w:rsidRPr="009F7193" w:rsidRDefault="00EA1E6D" w:rsidP="00EA1E6D">
      <w:pPr>
        <w:spacing w:after="120"/>
        <w:jc w:val="both"/>
        <w:rPr>
          <w:rFonts w:asciiTheme="minorHAnsi" w:hAnsiTheme="minorHAnsi" w:cs="Arial"/>
          <w:color w:val="000000" w:themeColor="text1"/>
          <w:sz w:val="22"/>
          <w:szCs w:val="22"/>
        </w:rPr>
      </w:pPr>
      <w:r w:rsidRPr="009F7193">
        <w:rPr>
          <w:rFonts w:asciiTheme="minorHAnsi" w:eastAsia="Verdana" w:hAnsiTheme="minorHAnsi" w:cs="Arial"/>
          <w:b/>
          <w:bCs/>
          <w:sz w:val="22"/>
          <w:szCs w:val="22"/>
        </w:rPr>
        <w:lastRenderedPageBreak/>
        <w:t xml:space="preserve">Table 4: Cape Cod Hospital Demographics </w:t>
      </w:r>
    </w:p>
    <w:bookmarkEnd w:id="0"/>
    <w:tbl>
      <w:tblPr>
        <w:tblW w:w="12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1350"/>
        <w:gridCol w:w="1350"/>
        <w:gridCol w:w="1350"/>
        <w:gridCol w:w="1350"/>
        <w:gridCol w:w="1350"/>
        <w:gridCol w:w="1350"/>
      </w:tblGrid>
      <w:tr w:rsidR="00EA1E6D" w:rsidRPr="009F7193" w14:paraId="7BB904C7" w14:textId="77777777" w:rsidTr="00FC49A4">
        <w:trPr>
          <w:cantSplit/>
          <w:trHeight w:val="300"/>
          <w:tblHeader/>
        </w:trPr>
        <w:tc>
          <w:tcPr>
            <w:tcW w:w="4495" w:type="dxa"/>
            <w:shd w:val="clear" w:color="auto" w:fill="156082" w:themeFill="accent1"/>
            <w:noWrap/>
            <w:vAlign w:val="center"/>
            <w:hideMark/>
          </w:tcPr>
          <w:p w14:paraId="086367D7" w14:textId="77777777" w:rsidR="00EA1E6D" w:rsidRPr="009F7193" w:rsidRDefault="00EA1E6D" w:rsidP="009B300B">
            <w:pPr>
              <w:contextualSpacing/>
              <w:jc w:val="center"/>
              <w:rPr>
                <w:rFonts w:asciiTheme="minorHAnsi" w:hAnsiTheme="minorHAnsi" w:cstheme="majorHAnsi"/>
                <w:b/>
                <w:bCs/>
                <w:color w:val="000000"/>
                <w:sz w:val="20"/>
                <w:szCs w:val="20"/>
              </w:rPr>
            </w:pPr>
          </w:p>
        </w:tc>
        <w:tc>
          <w:tcPr>
            <w:tcW w:w="1350" w:type="dxa"/>
            <w:shd w:val="clear" w:color="auto" w:fill="156082" w:themeFill="accent1"/>
            <w:noWrap/>
            <w:vAlign w:val="center"/>
            <w:hideMark/>
          </w:tcPr>
          <w:p w14:paraId="68934618"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(n)</w:t>
            </w:r>
          </w:p>
        </w:tc>
        <w:tc>
          <w:tcPr>
            <w:tcW w:w="1350" w:type="dxa"/>
            <w:shd w:val="clear" w:color="auto" w:fill="156082" w:themeFill="accent1"/>
            <w:vAlign w:val="center"/>
          </w:tcPr>
          <w:p w14:paraId="74F50040"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 (%)</w:t>
            </w:r>
          </w:p>
        </w:tc>
        <w:tc>
          <w:tcPr>
            <w:tcW w:w="1350" w:type="dxa"/>
            <w:shd w:val="clear" w:color="auto" w:fill="156082" w:themeFill="accent1"/>
            <w:vAlign w:val="center"/>
          </w:tcPr>
          <w:p w14:paraId="761788EA"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(n)</w:t>
            </w:r>
          </w:p>
        </w:tc>
        <w:tc>
          <w:tcPr>
            <w:tcW w:w="1350" w:type="dxa"/>
            <w:shd w:val="clear" w:color="auto" w:fill="156082" w:themeFill="accent1"/>
            <w:vAlign w:val="center"/>
          </w:tcPr>
          <w:p w14:paraId="7FEC67F9"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 (%)</w:t>
            </w:r>
          </w:p>
        </w:tc>
        <w:tc>
          <w:tcPr>
            <w:tcW w:w="1350" w:type="dxa"/>
            <w:shd w:val="clear" w:color="auto" w:fill="156082" w:themeFill="accent1"/>
            <w:vAlign w:val="center"/>
          </w:tcPr>
          <w:p w14:paraId="2B5DBC1C"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 (n)</w:t>
            </w:r>
          </w:p>
        </w:tc>
        <w:tc>
          <w:tcPr>
            <w:tcW w:w="1350" w:type="dxa"/>
            <w:shd w:val="clear" w:color="auto" w:fill="156082" w:themeFill="accent1"/>
            <w:vAlign w:val="center"/>
          </w:tcPr>
          <w:p w14:paraId="4606535E" w14:textId="77777777" w:rsidR="00EA1E6D" w:rsidRPr="009F7193" w:rsidRDefault="00EA1E6D" w:rsidP="009B300B">
            <w:pPr>
              <w:contextualSpacing/>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FY25 (%)</w:t>
            </w:r>
          </w:p>
        </w:tc>
      </w:tr>
      <w:tr w:rsidR="00EA1E6D" w:rsidRPr="009F7193" w14:paraId="64B630B0" w14:textId="77777777" w:rsidTr="00FC49A4">
        <w:trPr>
          <w:cantSplit/>
          <w:trHeight w:val="300"/>
        </w:trPr>
        <w:tc>
          <w:tcPr>
            <w:tcW w:w="4495" w:type="dxa"/>
            <w:shd w:val="clear" w:color="auto" w:fill="DAE9F7" w:themeFill="text2" w:themeFillTint="1A"/>
            <w:noWrap/>
            <w:vAlign w:val="center"/>
            <w:hideMark/>
          </w:tcPr>
          <w:p w14:paraId="03F93903" w14:textId="77777777" w:rsidR="00EA1E6D" w:rsidRPr="009F7193" w:rsidRDefault="00EA1E6D" w:rsidP="009B300B">
            <w:pPr>
              <w:contextualSpacing/>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Unique Patients</w:t>
            </w:r>
          </w:p>
        </w:tc>
        <w:tc>
          <w:tcPr>
            <w:tcW w:w="1350" w:type="dxa"/>
            <w:shd w:val="clear" w:color="auto" w:fill="DAE9F7" w:themeFill="text2" w:themeFillTint="1A"/>
            <w:noWrap/>
            <w:vAlign w:val="center"/>
          </w:tcPr>
          <w:p w14:paraId="0B0CDF2A"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b/>
                <w:bCs/>
                <w:color w:val="000000"/>
                <w:sz w:val="20"/>
                <w:szCs w:val="20"/>
              </w:rPr>
              <w:t xml:space="preserve">118,964 </w:t>
            </w:r>
          </w:p>
        </w:tc>
        <w:tc>
          <w:tcPr>
            <w:tcW w:w="1350" w:type="dxa"/>
            <w:shd w:val="clear" w:color="auto" w:fill="DAE9F7" w:themeFill="text2" w:themeFillTint="1A"/>
            <w:noWrap/>
            <w:vAlign w:val="center"/>
          </w:tcPr>
          <w:p w14:paraId="07DA1525"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b/>
                <w:bCs/>
                <w:color w:val="000000"/>
                <w:sz w:val="20"/>
                <w:szCs w:val="20"/>
              </w:rPr>
              <w:t>100%</w:t>
            </w:r>
          </w:p>
        </w:tc>
        <w:tc>
          <w:tcPr>
            <w:tcW w:w="1350" w:type="dxa"/>
            <w:shd w:val="clear" w:color="auto" w:fill="DAE9F7" w:themeFill="text2" w:themeFillTint="1A"/>
            <w:noWrap/>
            <w:vAlign w:val="center"/>
          </w:tcPr>
          <w:p w14:paraId="5469D979"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b/>
                <w:bCs/>
                <w:color w:val="000000"/>
                <w:sz w:val="20"/>
                <w:szCs w:val="20"/>
              </w:rPr>
              <w:t xml:space="preserve">120,397 </w:t>
            </w:r>
          </w:p>
        </w:tc>
        <w:tc>
          <w:tcPr>
            <w:tcW w:w="1350" w:type="dxa"/>
            <w:shd w:val="clear" w:color="auto" w:fill="DAE9F7" w:themeFill="text2" w:themeFillTint="1A"/>
            <w:noWrap/>
            <w:vAlign w:val="center"/>
          </w:tcPr>
          <w:p w14:paraId="7BC8D729"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b/>
                <w:bCs/>
                <w:color w:val="000000"/>
                <w:sz w:val="20"/>
                <w:szCs w:val="20"/>
              </w:rPr>
              <w:t>100%</w:t>
            </w:r>
          </w:p>
        </w:tc>
        <w:tc>
          <w:tcPr>
            <w:tcW w:w="1350" w:type="dxa"/>
            <w:shd w:val="clear" w:color="auto" w:fill="DAE9F7" w:themeFill="text2" w:themeFillTint="1A"/>
            <w:vAlign w:val="center"/>
          </w:tcPr>
          <w:p w14:paraId="62F348C9"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123,708</w:t>
            </w:r>
          </w:p>
        </w:tc>
        <w:tc>
          <w:tcPr>
            <w:tcW w:w="1350" w:type="dxa"/>
            <w:shd w:val="clear" w:color="auto" w:fill="DAE9F7" w:themeFill="text2" w:themeFillTint="1A"/>
            <w:vAlign w:val="center"/>
          </w:tcPr>
          <w:p w14:paraId="2A3C41D4"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b/>
                <w:bCs/>
                <w:color w:val="000000"/>
                <w:sz w:val="20"/>
                <w:szCs w:val="20"/>
              </w:rPr>
              <w:t>100%</w:t>
            </w:r>
          </w:p>
        </w:tc>
      </w:tr>
      <w:tr w:rsidR="00EA1E6D" w:rsidRPr="009F7193" w14:paraId="2D387148" w14:textId="77777777" w:rsidTr="00FC49A4">
        <w:trPr>
          <w:cantSplit/>
          <w:trHeight w:val="290"/>
        </w:trPr>
        <w:tc>
          <w:tcPr>
            <w:tcW w:w="4495" w:type="dxa"/>
            <w:shd w:val="clear" w:color="000000" w:fill="FFFFFF"/>
            <w:noWrap/>
            <w:vAlign w:val="center"/>
            <w:hideMark/>
          </w:tcPr>
          <w:p w14:paraId="3C76C580"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Male</w:t>
            </w:r>
          </w:p>
        </w:tc>
        <w:tc>
          <w:tcPr>
            <w:tcW w:w="1350" w:type="dxa"/>
            <w:noWrap/>
            <w:vAlign w:val="center"/>
          </w:tcPr>
          <w:p w14:paraId="3383991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48,062 </w:t>
            </w:r>
          </w:p>
        </w:tc>
        <w:tc>
          <w:tcPr>
            <w:tcW w:w="1350" w:type="dxa"/>
            <w:noWrap/>
            <w:vAlign w:val="center"/>
          </w:tcPr>
          <w:p w14:paraId="5A95D0A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40%</w:t>
            </w:r>
          </w:p>
        </w:tc>
        <w:tc>
          <w:tcPr>
            <w:tcW w:w="1350" w:type="dxa"/>
            <w:noWrap/>
            <w:vAlign w:val="center"/>
          </w:tcPr>
          <w:p w14:paraId="4072EF8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48,808 </w:t>
            </w:r>
          </w:p>
        </w:tc>
        <w:tc>
          <w:tcPr>
            <w:tcW w:w="1350" w:type="dxa"/>
            <w:noWrap/>
            <w:vAlign w:val="center"/>
          </w:tcPr>
          <w:p w14:paraId="145B41B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41%</w:t>
            </w:r>
          </w:p>
        </w:tc>
        <w:tc>
          <w:tcPr>
            <w:tcW w:w="1350" w:type="dxa"/>
            <w:shd w:val="clear" w:color="auto" w:fill="FFFFFF" w:themeFill="background1"/>
            <w:vAlign w:val="center"/>
          </w:tcPr>
          <w:p w14:paraId="0BF3F99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50,004</w:t>
            </w:r>
          </w:p>
        </w:tc>
        <w:tc>
          <w:tcPr>
            <w:tcW w:w="1350" w:type="dxa"/>
            <w:shd w:val="clear" w:color="auto" w:fill="FFFFFF" w:themeFill="background1"/>
            <w:vAlign w:val="center"/>
          </w:tcPr>
          <w:p w14:paraId="29BC05D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40%</w:t>
            </w:r>
          </w:p>
        </w:tc>
      </w:tr>
      <w:tr w:rsidR="00EA1E6D" w:rsidRPr="009F7193" w14:paraId="3A92CAAF" w14:textId="77777777" w:rsidTr="00FC49A4">
        <w:trPr>
          <w:cantSplit/>
          <w:trHeight w:val="290"/>
        </w:trPr>
        <w:tc>
          <w:tcPr>
            <w:tcW w:w="4495" w:type="dxa"/>
            <w:shd w:val="clear" w:color="000000" w:fill="FFFFFF"/>
            <w:noWrap/>
            <w:vAlign w:val="center"/>
            <w:hideMark/>
          </w:tcPr>
          <w:p w14:paraId="695E93C5"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Female</w:t>
            </w:r>
          </w:p>
        </w:tc>
        <w:tc>
          <w:tcPr>
            <w:tcW w:w="1350" w:type="dxa"/>
            <w:noWrap/>
            <w:vAlign w:val="center"/>
          </w:tcPr>
          <w:p w14:paraId="6C57EAB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70,752 </w:t>
            </w:r>
          </w:p>
        </w:tc>
        <w:tc>
          <w:tcPr>
            <w:tcW w:w="1350" w:type="dxa"/>
            <w:noWrap/>
            <w:vAlign w:val="center"/>
          </w:tcPr>
          <w:p w14:paraId="03D576B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59%</w:t>
            </w:r>
          </w:p>
        </w:tc>
        <w:tc>
          <w:tcPr>
            <w:tcW w:w="1350" w:type="dxa"/>
            <w:noWrap/>
            <w:vAlign w:val="center"/>
          </w:tcPr>
          <w:p w14:paraId="2F38B99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71,428 </w:t>
            </w:r>
          </w:p>
        </w:tc>
        <w:tc>
          <w:tcPr>
            <w:tcW w:w="1350" w:type="dxa"/>
            <w:noWrap/>
            <w:vAlign w:val="center"/>
          </w:tcPr>
          <w:p w14:paraId="2E342DD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59%</w:t>
            </w:r>
          </w:p>
        </w:tc>
        <w:tc>
          <w:tcPr>
            <w:tcW w:w="1350" w:type="dxa"/>
            <w:shd w:val="clear" w:color="auto" w:fill="FFFFFF" w:themeFill="background1"/>
            <w:vAlign w:val="center"/>
          </w:tcPr>
          <w:p w14:paraId="22CF917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73,502</w:t>
            </w:r>
          </w:p>
        </w:tc>
        <w:tc>
          <w:tcPr>
            <w:tcW w:w="1350" w:type="dxa"/>
            <w:shd w:val="clear" w:color="auto" w:fill="FFFFFF" w:themeFill="background1"/>
            <w:vAlign w:val="center"/>
          </w:tcPr>
          <w:p w14:paraId="100C151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59%</w:t>
            </w:r>
          </w:p>
        </w:tc>
      </w:tr>
      <w:tr w:rsidR="00EA1E6D" w:rsidRPr="009F7193" w14:paraId="39029340" w14:textId="77777777" w:rsidTr="00FC49A4">
        <w:trPr>
          <w:cantSplit/>
          <w:trHeight w:val="300"/>
        </w:trPr>
        <w:tc>
          <w:tcPr>
            <w:tcW w:w="4495" w:type="dxa"/>
            <w:shd w:val="clear" w:color="000000" w:fill="FFFFFF"/>
            <w:noWrap/>
            <w:vAlign w:val="center"/>
          </w:tcPr>
          <w:p w14:paraId="2C766A8D"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Nonbinary</w:t>
            </w:r>
          </w:p>
        </w:tc>
        <w:tc>
          <w:tcPr>
            <w:tcW w:w="1350" w:type="dxa"/>
            <w:noWrap/>
            <w:vAlign w:val="center"/>
          </w:tcPr>
          <w:p w14:paraId="55E267E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14 </w:t>
            </w:r>
          </w:p>
        </w:tc>
        <w:tc>
          <w:tcPr>
            <w:tcW w:w="1350" w:type="dxa"/>
            <w:noWrap/>
            <w:vAlign w:val="center"/>
          </w:tcPr>
          <w:p w14:paraId="69BA04F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350" w:type="dxa"/>
            <w:noWrap/>
            <w:vAlign w:val="center"/>
          </w:tcPr>
          <w:p w14:paraId="205CE94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15 </w:t>
            </w:r>
          </w:p>
        </w:tc>
        <w:tc>
          <w:tcPr>
            <w:tcW w:w="1350" w:type="dxa"/>
            <w:noWrap/>
            <w:vAlign w:val="center"/>
          </w:tcPr>
          <w:p w14:paraId="276DD3B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350" w:type="dxa"/>
            <w:shd w:val="clear" w:color="auto" w:fill="FFFFFF" w:themeFill="background1"/>
            <w:vAlign w:val="center"/>
          </w:tcPr>
          <w:p w14:paraId="3B609AB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12</w:t>
            </w:r>
          </w:p>
        </w:tc>
        <w:tc>
          <w:tcPr>
            <w:tcW w:w="1350" w:type="dxa"/>
            <w:shd w:val="clear" w:color="auto" w:fill="FFFFFF" w:themeFill="background1"/>
            <w:vAlign w:val="center"/>
          </w:tcPr>
          <w:p w14:paraId="041BC93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2212FFAF" w14:textId="77777777" w:rsidTr="00FC49A4">
        <w:trPr>
          <w:cantSplit/>
          <w:trHeight w:val="300"/>
        </w:trPr>
        <w:tc>
          <w:tcPr>
            <w:tcW w:w="4495" w:type="dxa"/>
            <w:shd w:val="clear" w:color="000000" w:fill="FFFFFF"/>
            <w:noWrap/>
            <w:vAlign w:val="center"/>
            <w:hideMark/>
          </w:tcPr>
          <w:p w14:paraId="32D7E368"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Gender: Other/Unknown</w:t>
            </w:r>
          </w:p>
        </w:tc>
        <w:tc>
          <w:tcPr>
            <w:tcW w:w="1350" w:type="dxa"/>
            <w:noWrap/>
            <w:vAlign w:val="center"/>
          </w:tcPr>
          <w:p w14:paraId="1F3BC88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136 </w:t>
            </w:r>
          </w:p>
        </w:tc>
        <w:tc>
          <w:tcPr>
            <w:tcW w:w="1350" w:type="dxa"/>
            <w:noWrap/>
            <w:vAlign w:val="center"/>
          </w:tcPr>
          <w:p w14:paraId="5387A76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350" w:type="dxa"/>
            <w:noWrap/>
            <w:vAlign w:val="center"/>
          </w:tcPr>
          <w:p w14:paraId="162EBAA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146 </w:t>
            </w:r>
          </w:p>
        </w:tc>
        <w:tc>
          <w:tcPr>
            <w:tcW w:w="1350" w:type="dxa"/>
            <w:noWrap/>
            <w:vAlign w:val="center"/>
          </w:tcPr>
          <w:p w14:paraId="19BC033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0%</w:t>
            </w:r>
          </w:p>
        </w:tc>
        <w:tc>
          <w:tcPr>
            <w:tcW w:w="1350" w:type="dxa"/>
            <w:shd w:val="clear" w:color="auto" w:fill="FFFFFF" w:themeFill="background1"/>
            <w:vAlign w:val="center"/>
          </w:tcPr>
          <w:p w14:paraId="5CD35D2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190</w:t>
            </w:r>
          </w:p>
        </w:tc>
        <w:tc>
          <w:tcPr>
            <w:tcW w:w="1350" w:type="dxa"/>
            <w:shd w:val="clear" w:color="auto" w:fill="FFFFFF" w:themeFill="background1"/>
            <w:vAlign w:val="center"/>
          </w:tcPr>
          <w:p w14:paraId="33AA29D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52E155FD" w14:textId="77777777" w:rsidTr="00FC49A4">
        <w:trPr>
          <w:cantSplit/>
          <w:trHeight w:val="290"/>
        </w:trPr>
        <w:tc>
          <w:tcPr>
            <w:tcW w:w="4495" w:type="dxa"/>
            <w:shd w:val="clear" w:color="000000" w:fill="FFFFFF"/>
            <w:noWrap/>
            <w:vAlign w:val="center"/>
            <w:hideMark/>
          </w:tcPr>
          <w:p w14:paraId="4DE79E5C"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0-17</w:t>
            </w:r>
          </w:p>
        </w:tc>
        <w:tc>
          <w:tcPr>
            <w:tcW w:w="1350" w:type="dxa"/>
            <w:noWrap/>
            <w:vAlign w:val="center"/>
          </w:tcPr>
          <w:p w14:paraId="49B31BB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9,715 </w:t>
            </w:r>
          </w:p>
        </w:tc>
        <w:tc>
          <w:tcPr>
            <w:tcW w:w="1350" w:type="dxa"/>
            <w:noWrap/>
            <w:vAlign w:val="center"/>
          </w:tcPr>
          <w:p w14:paraId="773A413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8%</w:t>
            </w:r>
          </w:p>
        </w:tc>
        <w:tc>
          <w:tcPr>
            <w:tcW w:w="1350" w:type="dxa"/>
            <w:noWrap/>
            <w:vAlign w:val="center"/>
          </w:tcPr>
          <w:p w14:paraId="10E40A9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9,857 </w:t>
            </w:r>
          </w:p>
        </w:tc>
        <w:tc>
          <w:tcPr>
            <w:tcW w:w="1350" w:type="dxa"/>
            <w:noWrap/>
            <w:vAlign w:val="center"/>
          </w:tcPr>
          <w:p w14:paraId="1776D3D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8%</w:t>
            </w:r>
          </w:p>
        </w:tc>
        <w:tc>
          <w:tcPr>
            <w:tcW w:w="1350" w:type="dxa"/>
            <w:shd w:val="clear" w:color="auto" w:fill="FFFFFF" w:themeFill="background1"/>
            <w:vAlign w:val="center"/>
          </w:tcPr>
          <w:p w14:paraId="44AAA80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10,213</w:t>
            </w:r>
          </w:p>
        </w:tc>
        <w:tc>
          <w:tcPr>
            <w:tcW w:w="1350" w:type="dxa"/>
            <w:shd w:val="clear" w:color="auto" w:fill="FFFFFF" w:themeFill="background1"/>
            <w:vAlign w:val="center"/>
          </w:tcPr>
          <w:p w14:paraId="61FD70E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w:t>
            </w:r>
          </w:p>
        </w:tc>
      </w:tr>
      <w:tr w:rsidR="00EA1E6D" w:rsidRPr="009F7193" w14:paraId="0F884EB2" w14:textId="77777777" w:rsidTr="00FC49A4">
        <w:trPr>
          <w:cantSplit/>
          <w:trHeight w:val="290"/>
        </w:trPr>
        <w:tc>
          <w:tcPr>
            <w:tcW w:w="4495" w:type="dxa"/>
            <w:shd w:val="clear" w:color="000000" w:fill="FFFFFF"/>
            <w:noWrap/>
            <w:vAlign w:val="center"/>
            <w:hideMark/>
          </w:tcPr>
          <w:p w14:paraId="29AC9F5B"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18-44</w:t>
            </w:r>
          </w:p>
        </w:tc>
        <w:tc>
          <w:tcPr>
            <w:tcW w:w="1350" w:type="dxa"/>
            <w:noWrap/>
            <w:vAlign w:val="center"/>
          </w:tcPr>
          <w:p w14:paraId="5E6A34B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24,545 </w:t>
            </w:r>
          </w:p>
        </w:tc>
        <w:tc>
          <w:tcPr>
            <w:tcW w:w="1350" w:type="dxa"/>
            <w:noWrap/>
            <w:vAlign w:val="center"/>
          </w:tcPr>
          <w:p w14:paraId="2B75DF7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21%</w:t>
            </w:r>
          </w:p>
        </w:tc>
        <w:tc>
          <w:tcPr>
            <w:tcW w:w="1350" w:type="dxa"/>
            <w:noWrap/>
            <w:vAlign w:val="center"/>
          </w:tcPr>
          <w:p w14:paraId="640BE4C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24,823 </w:t>
            </w:r>
          </w:p>
        </w:tc>
        <w:tc>
          <w:tcPr>
            <w:tcW w:w="1350" w:type="dxa"/>
            <w:noWrap/>
            <w:vAlign w:val="center"/>
          </w:tcPr>
          <w:p w14:paraId="37537CE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21%</w:t>
            </w:r>
          </w:p>
        </w:tc>
        <w:tc>
          <w:tcPr>
            <w:tcW w:w="1350" w:type="dxa"/>
            <w:shd w:val="clear" w:color="auto" w:fill="FFFFFF" w:themeFill="background1"/>
            <w:vAlign w:val="center"/>
          </w:tcPr>
          <w:p w14:paraId="18EAA97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25,719</w:t>
            </w:r>
          </w:p>
        </w:tc>
        <w:tc>
          <w:tcPr>
            <w:tcW w:w="1350" w:type="dxa"/>
            <w:shd w:val="clear" w:color="auto" w:fill="FFFFFF" w:themeFill="background1"/>
            <w:vAlign w:val="center"/>
          </w:tcPr>
          <w:p w14:paraId="7D7513D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21%</w:t>
            </w:r>
          </w:p>
        </w:tc>
      </w:tr>
      <w:tr w:rsidR="00EA1E6D" w:rsidRPr="009F7193" w14:paraId="7C48A037" w14:textId="77777777" w:rsidTr="00FC49A4">
        <w:trPr>
          <w:cantSplit/>
          <w:trHeight w:val="290"/>
        </w:trPr>
        <w:tc>
          <w:tcPr>
            <w:tcW w:w="4495" w:type="dxa"/>
            <w:shd w:val="clear" w:color="000000" w:fill="FFFFFF"/>
            <w:noWrap/>
            <w:vAlign w:val="center"/>
          </w:tcPr>
          <w:p w14:paraId="7B3FBFBA"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45-64</w:t>
            </w:r>
          </w:p>
        </w:tc>
        <w:tc>
          <w:tcPr>
            <w:tcW w:w="1350" w:type="dxa"/>
            <w:noWrap/>
            <w:vAlign w:val="center"/>
          </w:tcPr>
          <w:p w14:paraId="57AB443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28,935 </w:t>
            </w:r>
          </w:p>
        </w:tc>
        <w:tc>
          <w:tcPr>
            <w:tcW w:w="1350" w:type="dxa"/>
            <w:noWrap/>
            <w:vAlign w:val="center"/>
          </w:tcPr>
          <w:p w14:paraId="6064154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24%</w:t>
            </w:r>
          </w:p>
        </w:tc>
        <w:tc>
          <w:tcPr>
            <w:tcW w:w="1350" w:type="dxa"/>
            <w:noWrap/>
            <w:vAlign w:val="center"/>
          </w:tcPr>
          <w:p w14:paraId="7A91C3F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29,818 </w:t>
            </w:r>
          </w:p>
        </w:tc>
        <w:tc>
          <w:tcPr>
            <w:tcW w:w="1350" w:type="dxa"/>
            <w:noWrap/>
            <w:vAlign w:val="center"/>
          </w:tcPr>
          <w:p w14:paraId="4519011A"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25%</w:t>
            </w:r>
          </w:p>
        </w:tc>
        <w:tc>
          <w:tcPr>
            <w:tcW w:w="1350" w:type="dxa"/>
            <w:shd w:val="clear" w:color="auto" w:fill="FFFFFF" w:themeFill="background1"/>
            <w:vAlign w:val="center"/>
          </w:tcPr>
          <w:p w14:paraId="6B4C18D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30,991</w:t>
            </w:r>
          </w:p>
        </w:tc>
        <w:tc>
          <w:tcPr>
            <w:tcW w:w="1350" w:type="dxa"/>
            <w:shd w:val="clear" w:color="auto" w:fill="FFFFFF" w:themeFill="background1"/>
            <w:vAlign w:val="center"/>
          </w:tcPr>
          <w:p w14:paraId="6161B42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25%</w:t>
            </w:r>
          </w:p>
        </w:tc>
      </w:tr>
      <w:tr w:rsidR="00EA1E6D" w:rsidRPr="009F7193" w14:paraId="02FBC8E3" w14:textId="77777777" w:rsidTr="00FC49A4">
        <w:trPr>
          <w:cantSplit/>
          <w:trHeight w:val="290"/>
        </w:trPr>
        <w:tc>
          <w:tcPr>
            <w:tcW w:w="4495" w:type="dxa"/>
            <w:shd w:val="clear" w:color="000000" w:fill="FFFFFF"/>
            <w:noWrap/>
            <w:vAlign w:val="center"/>
            <w:hideMark/>
          </w:tcPr>
          <w:p w14:paraId="093767B4"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Age: 65+</w:t>
            </w:r>
          </w:p>
        </w:tc>
        <w:tc>
          <w:tcPr>
            <w:tcW w:w="1350" w:type="dxa"/>
            <w:noWrap/>
            <w:vAlign w:val="center"/>
          </w:tcPr>
          <w:p w14:paraId="2D92127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55,769 </w:t>
            </w:r>
          </w:p>
        </w:tc>
        <w:tc>
          <w:tcPr>
            <w:tcW w:w="1350" w:type="dxa"/>
            <w:noWrap/>
            <w:vAlign w:val="center"/>
          </w:tcPr>
          <w:p w14:paraId="57DB7AA1"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47%</w:t>
            </w:r>
          </w:p>
        </w:tc>
        <w:tc>
          <w:tcPr>
            <w:tcW w:w="1350" w:type="dxa"/>
            <w:noWrap/>
            <w:vAlign w:val="center"/>
          </w:tcPr>
          <w:p w14:paraId="19FC680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 xml:space="preserve">55,899 </w:t>
            </w:r>
          </w:p>
        </w:tc>
        <w:tc>
          <w:tcPr>
            <w:tcW w:w="1350" w:type="dxa"/>
            <w:noWrap/>
            <w:vAlign w:val="center"/>
          </w:tcPr>
          <w:p w14:paraId="0330945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Calibri Light"/>
                <w:color w:val="000000"/>
                <w:sz w:val="20"/>
                <w:szCs w:val="20"/>
              </w:rPr>
              <w:t>46%</w:t>
            </w:r>
          </w:p>
        </w:tc>
        <w:tc>
          <w:tcPr>
            <w:tcW w:w="1350" w:type="dxa"/>
            <w:shd w:val="clear" w:color="auto" w:fill="FFFFFF" w:themeFill="background1"/>
            <w:vAlign w:val="center"/>
          </w:tcPr>
          <w:p w14:paraId="79B78A5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56,785</w:t>
            </w:r>
          </w:p>
        </w:tc>
        <w:tc>
          <w:tcPr>
            <w:tcW w:w="1350" w:type="dxa"/>
            <w:shd w:val="clear" w:color="auto" w:fill="FFFFFF" w:themeFill="background1"/>
            <w:vAlign w:val="center"/>
          </w:tcPr>
          <w:p w14:paraId="1144444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46%</w:t>
            </w:r>
          </w:p>
        </w:tc>
      </w:tr>
      <w:tr w:rsidR="00EA1E6D" w:rsidRPr="009F7193" w14:paraId="3F2BFE38" w14:textId="77777777" w:rsidTr="00FC49A4">
        <w:trPr>
          <w:cantSplit/>
          <w:trHeight w:val="290"/>
        </w:trPr>
        <w:tc>
          <w:tcPr>
            <w:tcW w:w="4495" w:type="dxa"/>
            <w:shd w:val="clear" w:color="000000" w:fill="FFFFFF"/>
            <w:noWrap/>
            <w:vAlign w:val="center"/>
          </w:tcPr>
          <w:p w14:paraId="10565A53"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White</w:t>
            </w:r>
          </w:p>
        </w:tc>
        <w:tc>
          <w:tcPr>
            <w:tcW w:w="1350" w:type="dxa"/>
            <w:noWrap/>
            <w:vAlign w:val="bottom"/>
          </w:tcPr>
          <w:p w14:paraId="5BD3DBE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101,239 </w:t>
            </w:r>
          </w:p>
        </w:tc>
        <w:tc>
          <w:tcPr>
            <w:tcW w:w="1350" w:type="dxa"/>
            <w:noWrap/>
            <w:vAlign w:val="bottom"/>
          </w:tcPr>
          <w:p w14:paraId="69A8DF4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85%</w:t>
            </w:r>
          </w:p>
        </w:tc>
        <w:tc>
          <w:tcPr>
            <w:tcW w:w="1350" w:type="dxa"/>
            <w:noWrap/>
            <w:vAlign w:val="bottom"/>
          </w:tcPr>
          <w:p w14:paraId="0E8B5C6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102,702 </w:t>
            </w:r>
          </w:p>
        </w:tc>
        <w:tc>
          <w:tcPr>
            <w:tcW w:w="1350" w:type="dxa"/>
            <w:noWrap/>
            <w:vAlign w:val="bottom"/>
          </w:tcPr>
          <w:p w14:paraId="13647D3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85%</w:t>
            </w:r>
          </w:p>
        </w:tc>
        <w:tc>
          <w:tcPr>
            <w:tcW w:w="1350" w:type="dxa"/>
            <w:shd w:val="clear" w:color="auto" w:fill="FFFFFF" w:themeFill="background1"/>
            <w:vAlign w:val="bottom"/>
          </w:tcPr>
          <w:p w14:paraId="1124576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105,762</w:t>
            </w:r>
          </w:p>
        </w:tc>
        <w:tc>
          <w:tcPr>
            <w:tcW w:w="1350" w:type="dxa"/>
            <w:shd w:val="clear" w:color="auto" w:fill="FFFFFF" w:themeFill="background1"/>
            <w:vAlign w:val="bottom"/>
          </w:tcPr>
          <w:p w14:paraId="3A39317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85%</w:t>
            </w:r>
          </w:p>
        </w:tc>
      </w:tr>
      <w:tr w:rsidR="00EA1E6D" w:rsidRPr="009F7193" w14:paraId="77ADF250" w14:textId="77777777" w:rsidTr="00FC49A4">
        <w:trPr>
          <w:cantSplit/>
          <w:trHeight w:val="290"/>
        </w:trPr>
        <w:tc>
          <w:tcPr>
            <w:tcW w:w="4495" w:type="dxa"/>
            <w:shd w:val="clear" w:color="000000" w:fill="FFFFFF"/>
            <w:noWrap/>
            <w:vAlign w:val="center"/>
          </w:tcPr>
          <w:p w14:paraId="15C48F93"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Black or African American</w:t>
            </w:r>
          </w:p>
        </w:tc>
        <w:tc>
          <w:tcPr>
            <w:tcW w:w="1350" w:type="dxa"/>
            <w:noWrap/>
            <w:vAlign w:val="bottom"/>
          </w:tcPr>
          <w:p w14:paraId="30C4BD1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5,331 </w:t>
            </w:r>
          </w:p>
        </w:tc>
        <w:tc>
          <w:tcPr>
            <w:tcW w:w="1350" w:type="dxa"/>
            <w:noWrap/>
            <w:vAlign w:val="bottom"/>
          </w:tcPr>
          <w:p w14:paraId="0696E82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w:t>
            </w:r>
          </w:p>
        </w:tc>
        <w:tc>
          <w:tcPr>
            <w:tcW w:w="1350" w:type="dxa"/>
            <w:noWrap/>
            <w:vAlign w:val="bottom"/>
          </w:tcPr>
          <w:p w14:paraId="6655275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5,918 </w:t>
            </w:r>
          </w:p>
        </w:tc>
        <w:tc>
          <w:tcPr>
            <w:tcW w:w="1350" w:type="dxa"/>
            <w:noWrap/>
            <w:vAlign w:val="bottom"/>
          </w:tcPr>
          <w:p w14:paraId="6BD3022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c>
          <w:tcPr>
            <w:tcW w:w="1350" w:type="dxa"/>
            <w:shd w:val="clear" w:color="auto" w:fill="FFFFFF" w:themeFill="background1"/>
            <w:vAlign w:val="bottom"/>
          </w:tcPr>
          <w:p w14:paraId="1906924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6,072</w:t>
            </w:r>
          </w:p>
        </w:tc>
        <w:tc>
          <w:tcPr>
            <w:tcW w:w="1350" w:type="dxa"/>
            <w:shd w:val="clear" w:color="auto" w:fill="FFFFFF" w:themeFill="background1"/>
            <w:vAlign w:val="bottom"/>
          </w:tcPr>
          <w:p w14:paraId="2C27387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r>
      <w:tr w:rsidR="00EA1E6D" w:rsidRPr="009F7193" w14:paraId="4A4680E6" w14:textId="77777777" w:rsidTr="00FC49A4">
        <w:trPr>
          <w:cantSplit/>
          <w:trHeight w:val="290"/>
        </w:trPr>
        <w:tc>
          <w:tcPr>
            <w:tcW w:w="4495" w:type="dxa"/>
            <w:noWrap/>
            <w:vAlign w:val="center"/>
          </w:tcPr>
          <w:p w14:paraId="6735D308"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Asian</w:t>
            </w:r>
          </w:p>
        </w:tc>
        <w:tc>
          <w:tcPr>
            <w:tcW w:w="1350" w:type="dxa"/>
            <w:noWrap/>
            <w:vAlign w:val="bottom"/>
          </w:tcPr>
          <w:p w14:paraId="16EDD05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964 </w:t>
            </w:r>
          </w:p>
        </w:tc>
        <w:tc>
          <w:tcPr>
            <w:tcW w:w="1350" w:type="dxa"/>
            <w:noWrap/>
            <w:vAlign w:val="bottom"/>
          </w:tcPr>
          <w:p w14:paraId="3C5F86A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c>
          <w:tcPr>
            <w:tcW w:w="1350" w:type="dxa"/>
            <w:noWrap/>
            <w:vAlign w:val="bottom"/>
          </w:tcPr>
          <w:p w14:paraId="37BDB31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1,018 </w:t>
            </w:r>
          </w:p>
        </w:tc>
        <w:tc>
          <w:tcPr>
            <w:tcW w:w="1350" w:type="dxa"/>
            <w:noWrap/>
            <w:vAlign w:val="bottom"/>
          </w:tcPr>
          <w:p w14:paraId="038BA3C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c>
          <w:tcPr>
            <w:tcW w:w="1350" w:type="dxa"/>
            <w:shd w:val="clear" w:color="auto" w:fill="FFFFFF" w:themeFill="background1"/>
            <w:vAlign w:val="bottom"/>
          </w:tcPr>
          <w:p w14:paraId="1F17459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1,091</w:t>
            </w:r>
          </w:p>
        </w:tc>
        <w:tc>
          <w:tcPr>
            <w:tcW w:w="1350" w:type="dxa"/>
            <w:shd w:val="clear" w:color="auto" w:fill="FFFFFF" w:themeFill="background1"/>
            <w:vAlign w:val="bottom"/>
          </w:tcPr>
          <w:p w14:paraId="5AD5771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w:t>
            </w:r>
          </w:p>
        </w:tc>
      </w:tr>
      <w:tr w:rsidR="00EA1E6D" w:rsidRPr="009F7193" w14:paraId="365E93DA" w14:textId="77777777" w:rsidTr="00FC49A4">
        <w:trPr>
          <w:cantSplit/>
          <w:trHeight w:val="290"/>
        </w:trPr>
        <w:tc>
          <w:tcPr>
            <w:tcW w:w="4495" w:type="dxa"/>
            <w:noWrap/>
            <w:vAlign w:val="center"/>
          </w:tcPr>
          <w:p w14:paraId="0DCBE5B4"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American Indian or Alaska Native</w:t>
            </w:r>
          </w:p>
        </w:tc>
        <w:tc>
          <w:tcPr>
            <w:tcW w:w="1350" w:type="dxa"/>
            <w:noWrap/>
            <w:vAlign w:val="bottom"/>
          </w:tcPr>
          <w:p w14:paraId="6237DE5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250 </w:t>
            </w:r>
          </w:p>
        </w:tc>
        <w:tc>
          <w:tcPr>
            <w:tcW w:w="1350" w:type="dxa"/>
            <w:noWrap/>
            <w:vAlign w:val="bottom"/>
          </w:tcPr>
          <w:p w14:paraId="14589E8C"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noWrap/>
            <w:vAlign w:val="bottom"/>
          </w:tcPr>
          <w:p w14:paraId="26C7218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244 </w:t>
            </w:r>
          </w:p>
        </w:tc>
        <w:tc>
          <w:tcPr>
            <w:tcW w:w="1350" w:type="dxa"/>
            <w:noWrap/>
            <w:vAlign w:val="bottom"/>
          </w:tcPr>
          <w:p w14:paraId="405DE22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shd w:val="clear" w:color="auto" w:fill="FFFFFF" w:themeFill="background1"/>
            <w:vAlign w:val="bottom"/>
          </w:tcPr>
          <w:p w14:paraId="6CB9CF27"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252</w:t>
            </w:r>
          </w:p>
        </w:tc>
        <w:tc>
          <w:tcPr>
            <w:tcW w:w="1350" w:type="dxa"/>
            <w:shd w:val="clear" w:color="auto" w:fill="FFFFFF" w:themeFill="background1"/>
            <w:vAlign w:val="bottom"/>
          </w:tcPr>
          <w:p w14:paraId="2F4CF4F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7FC19328" w14:textId="77777777" w:rsidTr="00FC49A4">
        <w:trPr>
          <w:cantSplit/>
          <w:trHeight w:val="290"/>
        </w:trPr>
        <w:tc>
          <w:tcPr>
            <w:tcW w:w="4495" w:type="dxa"/>
            <w:noWrap/>
            <w:vAlign w:val="center"/>
          </w:tcPr>
          <w:p w14:paraId="655AF027"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Native Hawaiian or Other Pacific Islander</w:t>
            </w:r>
          </w:p>
        </w:tc>
        <w:tc>
          <w:tcPr>
            <w:tcW w:w="1350" w:type="dxa"/>
            <w:noWrap/>
            <w:vAlign w:val="bottom"/>
          </w:tcPr>
          <w:p w14:paraId="6CBBFFD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80 </w:t>
            </w:r>
          </w:p>
        </w:tc>
        <w:tc>
          <w:tcPr>
            <w:tcW w:w="1350" w:type="dxa"/>
            <w:noWrap/>
            <w:vAlign w:val="bottom"/>
          </w:tcPr>
          <w:p w14:paraId="035244E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noWrap/>
            <w:vAlign w:val="bottom"/>
          </w:tcPr>
          <w:p w14:paraId="062B1AE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64 </w:t>
            </w:r>
          </w:p>
        </w:tc>
        <w:tc>
          <w:tcPr>
            <w:tcW w:w="1350" w:type="dxa"/>
            <w:noWrap/>
            <w:vAlign w:val="bottom"/>
          </w:tcPr>
          <w:p w14:paraId="3EB4E65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shd w:val="clear" w:color="auto" w:fill="FFFFFF" w:themeFill="background1"/>
            <w:vAlign w:val="bottom"/>
          </w:tcPr>
          <w:p w14:paraId="3CF58C2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57</w:t>
            </w:r>
          </w:p>
        </w:tc>
        <w:tc>
          <w:tcPr>
            <w:tcW w:w="1350" w:type="dxa"/>
            <w:shd w:val="clear" w:color="auto" w:fill="FFFFFF" w:themeFill="background1"/>
            <w:vAlign w:val="bottom"/>
          </w:tcPr>
          <w:p w14:paraId="330FC9E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55051023" w14:textId="77777777" w:rsidTr="00FC49A4">
        <w:trPr>
          <w:cantSplit/>
          <w:trHeight w:val="300"/>
        </w:trPr>
        <w:tc>
          <w:tcPr>
            <w:tcW w:w="4495" w:type="dxa"/>
            <w:noWrap/>
            <w:vAlign w:val="center"/>
          </w:tcPr>
          <w:p w14:paraId="4037697B"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Multiple Races</w:t>
            </w:r>
          </w:p>
        </w:tc>
        <w:tc>
          <w:tcPr>
            <w:tcW w:w="1350" w:type="dxa"/>
            <w:noWrap/>
            <w:vAlign w:val="bottom"/>
          </w:tcPr>
          <w:p w14:paraId="28D66894"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406 </w:t>
            </w:r>
          </w:p>
        </w:tc>
        <w:tc>
          <w:tcPr>
            <w:tcW w:w="1350" w:type="dxa"/>
            <w:noWrap/>
            <w:vAlign w:val="bottom"/>
          </w:tcPr>
          <w:p w14:paraId="4476C7E3"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noWrap/>
            <w:vAlign w:val="bottom"/>
          </w:tcPr>
          <w:p w14:paraId="1BDF2C4E"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430 </w:t>
            </w:r>
          </w:p>
        </w:tc>
        <w:tc>
          <w:tcPr>
            <w:tcW w:w="1350" w:type="dxa"/>
            <w:noWrap/>
            <w:vAlign w:val="bottom"/>
          </w:tcPr>
          <w:p w14:paraId="5BB361D5"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c>
          <w:tcPr>
            <w:tcW w:w="1350" w:type="dxa"/>
            <w:shd w:val="clear" w:color="auto" w:fill="FFFFFF" w:themeFill="background1"/>
            <w:vAlign w:val="bottom"/>
          </w:tcPr>
          <w:p w14:paraId="0BBD1CB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399</w:t>
            </w:r>
          </w:p>
        </w:tc>
        <w:tc>
          <w:tcPr>
            <w:tcW w:w="1350" w:type="dxa"/>
            <w:shd w:val="clear" w:color="auto" w:fill="FFFFFF" w:themeFill="background1"/>
            <w:vAlign w:val="bottom"/>
          </w:tcPr>
          <w:p w14:paraId="7104823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0%</w:t>
            </w:r>
          </w:p>
        </w:tc>
      </w:tr>
      <w:tr w:rsidR="00EA1E6D" w:rsidRPr="009F7193" w14:paraId="6F951CE6" w14:textId="77777777" w:rsidTr="00FC49A4">
        <w:trPr>
          <w:cantSplit/>
          <w:trHeight w:val="300"/>
        </w:trPr>
        <w:tc>
          <w:tcPr>
            <w:tcW w:w="4495" w:type="dxa"/>
            <w:noWrap/>
            <w:vAlign w:val="center"/>
            <w:hideMark/>
          </w:tcPr>
          <w:p w14:paraId="3E48EE8C" w14:textId="77777777" w:rsidR="00EA1E6D" w:rsidRPr="009F7193" w:rsidRDefault="00EA1E6D" w:rsidP="009B300B">
            <w:pPr>
              <w:contextualSpacing/>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Race: Other</w:t>
            </w:r>
          </w:p>
        </w:tc>
        <w:tc>
          <w:tcPr>
            <w:tcW w:w="1350" w:type="dxa"/>
            <w:noWrap/>
            <w:vAlign w:val="bottom"/>
          </w:tcPr>
          <w:p w14:paraId="0EF456EA"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 xml:space="preserve">7,424 </w:t>
            </w:r>
          </w:p>
        </w:tc>
        <w:tc>
          <w:tcPr>
            <w:tcW w:w="1350" w:type="dxa"/>
            <w:noWrap/>
            <w:vAlign w:val="bottom"/>
          </w:tcPr>
          <w:p w14:paraId="4EB7119E"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6%</w:t>
            </w:r>
          </w:p>
        </w:tc>
        <w:tc>
          <w:tcPr>
            <w:tcW w:w="1350" w:type="dxa"/>
            <w:noWrap/>
            <w:vAlign w:val="bottom"/>
          </w:tcPr>
          <w:p w14:paraId="602BC698"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 xml:space="preserve">7,807 </w:t>
            </w:r>
          </w:p>
        </w:tc>
        <w:tc>
          <w:tcPr>
            <w:tcW w:w="1350" w:type="dxa"/>
            <w:noWrap/>
            <w:vAlign w:val="bottom"/>
          </w:tcPr>
          <w:p w14:paraId="0A6E9A27"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6%</w:t>
            </w:r>
          </w:p>
        </w:tc>
        <w:tc>
          <w:tcPr>
            <w:tcW w:w="1350" w:type="dxa"/>
            <w:shd w:val="clear" w:color="auto" w:fill="FFFFFF" w:themeFill="background1"/>
            <w:vAlign w:val="bottom"/>
          </w:tcPr>
          <w:p w14:paraId="501C70FB"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7,958</w:t>
            </w:r>
          </w:p>
        </w:tc>
        <w:tc>
          <w:tcPr>
            <w:tcW w:w="1350" w:type="dxa"/>
            <w:shd w:val="clear" w:color="auto" w:fill="FFFFFF" w:themeFill="background1"/>
            <w:vAlign w:val="bottom"/>
          </w:tcPr>
          <w:p w14:paraId="6E272A78"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6%</w:t>
            </w:r>
          </w:p>
        </w:tc>
      </w:tr>
      <w:tr w:rsidR="00EA1E6D" w:rsidRPr="009F7193" w14:paraId="6E09C0E7" w14:textId="77777777" w:rsidTr="00FC49A4">
        <w:trPr>
          <w:cantSplit/>
          <w:trHeight w:val="300"/>
        </w:trPr>
        <w:tc>
          <w:tcPr>
            <w:tcW w:w="4495" w:type="dxa"/>
            <w:noWrap/>
            <w:vAlign w:val="center"/>
          </w:tcPr>
          <w:p w14:paraId="4682A58E"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Race: Unknown</w:t>
            </w:r>
          </w:p>
        </w:tc>
        <w:tc>
          <w:tcPr>
            <w:tcW w:w="1350" w:type="dxa"/>
            <w:noWrap/>
            <w:vAlign w:val="bottom"/>
          </w:tcPr>
          <w:p w14:paraId="1D16181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3,270 </w:t>
            </w:r>
          </w:p>
        </w:tc>
        <w:tc>
          <w:tcPr>
            <w:tcW w:w="1350" w:type="dxa"/>
            <w:noWrap/>
            <w:vAlign w:val="bottom"/>
          </w:tcPr>
          <w:p w14:paraId="73A82770"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w:t>
            </w:r>
          </w:p>
        </w:tc>
        <w:tc>
          <w:tcPr>
            <w:tcW w:w="1350" w:type="dxa"/>
            <w:noWrap/>
            <w:vAlign w:val="bottom"/>
          </w:tcPr>
          <w:p w14:paraId="14FDED2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 xml:space="preserve">2,214 </w:t>
            </w:r>
          </w:p>
        </w:tc>
        <w:tc>
          <w:tcPr>
            <w:tcW w:w="1350" w:type="dxa"/>
            <w:noWrap/>
            <w:vAlign w:val="bottom"/>
          </w:tcPr>
          <w:p w14:paraId="6C7F8F36"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w:t>
            </w:r>
          </w:p>
        </w:tc>
        <w:tc>
          <w:tcPr>
            <w:tcW w:w="1350" w:type="dxa"/>
            <w:shd w:val="clear" w:color="auto" w:fill="FFFFFF" w:themeFill="background1"/>
            <w:vAlign w:val="bottom"/>
          </w:tcPr>
          <w:p w14:paraId="74A6049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2,117</w:t>
            </w:r>
          </w:p>
        </w:tc>
        <w:tc>
          <w:tcPr>
            <w:tcW w:w="1350" w:type="dxa"/>
            <w:shd w:val="clear" w:color="auto" w:fill="FFFFFF" w:themeFill="background1"/>
            <w:vAlign w:val="bottom"/>
          </w:tcPr>
          <w:p w14:paraId="200B56B2"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w:t>
            </w:r>
          </w:p>
        </w:tc>
      </w:tr>
      <w:tr w:rsidR="00EA1E6D" w:rsidRPr="009F7193" w14:paraId="614B01E4" w14:textId="77777777" w:rsidTr="00FC49A4">
        <w:trPr>
          <w:cantSplit/>
          <w:trHeight w:val="300"/>
        </w:trPr>
        <w:tc>
          <w:tcPr>
            <w:tcW w:w="4495" w:type="dxa"/>
            <w:noWrap/>
            <w:vAlign w:val="center"/>
          </w:tcPr>
          <w:p w14:paraId="073A60BF" w14:textId="77777777" w:rsidR="00EA1E6D" w:rsidRPr="009F7193" w:rsidRDefault="00EA1E6D" w:rsidP="009B300B">
            <w:pPr>
              <w:contextualSpacing/>
              <w:rPr>
                <w:rFonts w:asciiTheme="minorHAnsi" w:hAnsiTheme="minorHAnsi" w:cstheme="majorHAnsi"/>
                <w:b/>
                <w:bCs/>
                <w:color w:val="000000"/>
                <w:sz w:val="20"/>
                <w:szCs w:val="20"/>
              </w:rPr>
            </w:pPr>
            <w:r w:rsidRPr="009F7193">
              <w:rPr>
                <w:rFonts w:asciiTheme="minorHAnsi" w:hAnsiTheme="minorHAnsi" w:cstheme="majorHAnsi"/>
                <w:color w:val="000000"/>
                <w:sz w:val="20"/>
                <w:szCs w:val="20"/>
              </w:rPr>
              <w:t>Ethnicity: Hispanic/Latino</w:t>
            </w:r>
          </w:p>
        </w:tc>
        <w:tc>
          <w:tcPr>
            <w:tcW w:w="1350" w:type="dxa"/>
            <w:noWrap/>
            <w:vAlign w:val="center"/>
          </w:tcPr>
          <w:p w14:paraId="659E388E"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3,265 </w:t>
            </w:r>
          </w:p>
        </w:tc>
        <w:tc>
          <w:tcPr>
            <w:tcW w:w="1350" w:type="dxa"/>
            <w:noWrap/>
            <w:vAlign w:val="center"/>
          </w:tcPr>
          <w:p w14:paraId="01EC9022"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3%</w:t>
            </w:r>
          </w:p>
        </w:tc>
        <w:tc>
          <w:tcPr>
            <w:tcW w:w="1350" w:type="dxa"/>
            <w:noWrap/>
            <w:vAlign w:val="center"/>
          </w:tcPr>
          <w:p w14:paraId="6B621515"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 xml:space="preserve">3,622 </w:t>
            </w:r>
          </w:p>
        </w:tc>
        <w:tc>
          <w:tcPr>
            <w:tcW w:w="1350" w:type="dxa"/>
            <w:noWrap/>
            <w:vAlign w:val="center"/>
          </w:tcPr>
          <w:p w14:paraId="2CCFB155" w14:textId="77777777" w:rsidR="00EA1E6D" w:rsidRPr="009F7193" w:rsidRDefault="00EA1E6D" w:rsidP="009B300B">
            <w:pPr>
              <w:contextualSpacing/>
              <w:jc w:val="center"/>
              <w:rPr>
                <w:rFonts w:asciiTheme="minorHAnsi" w:hAnsiTheme="minorHAnsi" w:cstheme="majorHAnsi"/>
                <w:b/>
                <w:bCs/>
                <w:color w:val="000000"/>
                <w:sz w:val="20"/>
                <w:szCs w:val="20"/>
              </w:rPr>
            </w:pPr>
            <w:r w:rsidRPr="009F7193">
              <w:rPr>
                <w:rFonts w:asciiTheme="minorHAnsi" w:hAnsiTheme="minorHAnsi" w:cs="Calibri Light"/>
                <w:color w:val="000000"/>
                <w:sz w:val="20"/>
                <w:szCs w:val="20"/>
              </w:rPr>
              <w:t>3%</w:t>
            </w:r>
          </w:p>
        </w:tc>
        <w:tc>
          <w:tcPr>
            <w:tcW w:w="1350" w:type="dxa"/>
            <w:shd w:val="clear" w:color="auto" w:fill="FFFFFF" w:themeFill="background1"/>
            <w:vAlign w:val="center"/>
          </w:tcPr>
          <w:p w14:paraId="36D2C73F"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3,818</w:t>
            </w:r>
          </w:p>
        </w:tc>
        <w:tc>
          <w:tcPr>
            <w:tcW w:w="1350" w:type="dxa"/>
            <w:shd w:val="clear" w:color="auto" w:fill="FFFFFF" w:themeFill="background1"/>
            <w:vAlign w:val="center"/>
          </w:tcPr>
          <w:p w14:paraId="4F328CA9" w14:textId="77777777" w:rsidR="00EA1E6D" w:rsidRPr="009F7193" w:rsidRDefault="00EA1E6D" w:rsidP="009B300B">
            <w:pPr>
              <w:contextualSpacing/>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3%</w:t>
            </w:r>
          </w:p>
        </w:tc>
      </w:tr>
      <w:tr w:rsidR="00EA1E6D" w:rsidRPr="009F7193" w14:paraId="2193E9B6" w14:textId="77777777" w:rsidTr="00FC49A4">
        <w:trPr>
          <w:cantSplit/>
          <w:trHeight w:val="300"/>
        </w:trPr>
        <w:tc>
          <w:tcPr>
            <w:tcW w:w="4495" w:type="dxa"/>
            <w:noWrap/>
            <w:vAlign w:val="center"/>
          </w:tcPr>
          <w:p w14:paraId="15946125"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Ethnicity: Not Hispanic/Latino</w:t>
            </w:r>
          </w:p>
        </w:tc>
        <w:tc>
          <w:tcPr>
            <w:tcW w:w="1350" w:type="dxa"/>
            <w:noWrap/>
            <w:vAlign w:val="center"/>
          </w:tcPr>
          <w:p w14:paraId="785F8FB2"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 xml:space="preserve">101,806 </w:t>
            </w:r>
          </w:p>
        </w:tc>
        <w:tc>
          <w:tcPr>
            <w:tcW w:w="1350" w:type="dxa"/>
            <w:noWrap/>
            <w:vAlign w:val="center"/>
          </w:tcPr>
          <w:p w14:paraId="051895E8"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86%</w:t>
            </w:r>
          </w:p>
        </w:tc>
        <w:tc>
          <w:tcPr>
            <w:tcW w:w="1350" w:type="dxa"/>
            <w:noWrap/>
            <w:vAlign w:val="center"/>
          </w:tcPr>
          <w:p w14:paraId="1B3B8AAC"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 xml:space="preserve">104,223 </w:t>
            </w:r>
          </w:p>
        </w:tc>
        <w:tc>
          <w:tcPr>
            <w:tcW w:w="1350" w:type="dxa"/>
            <w:noWrap/>
            <w:vAlign w:val="center"/>
          </w:tcPr>
          <w:p w14:paraId="5643B476"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87%</w:t>
            </w:r>
          </w:p>
        </w:tc>
        <w:tc>
          <w:tcPr>
            <w:tcW w:w="1350" w:type="dxa"/>
            <w:shd w:val="clear" w:color="auto" w:fill="FFFFFF" w:themeFill="background1"/>
            <w:vAlign w:val="center"/>
          </w:tcPr>
          <w:p w14:paraId="7E6EF3BF"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107,536</w:t>
            </w:r>
          </w:p>
        </w:tc>
        <w:tc>
          <w:tcPr>
            <w:tcW w:w="1350" w:type="dxa"/>
            <w:shd w:val="clear" w:color="auto" w:fill="FFFFFF" w:themeFill="background1"/>
            <w:vAlign w:val="center"/>
          </w:tcPr>
          <w:p w14:paraId="0189E146"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87%</w:t>
            </w:r>
          </w:p>
        </w:tc>
      </w:tr>
      <w:tr w:rsidR="00EA1E6D" w:rsidRPr="009F7193" w14:paraId="474937D0" w14:textId="77777777" w:rsidTr="00FC49A4">
        <w:trPr>
          <w:cantSplit/>
          <w:trHeight w:val="300"/>
        </w:trPr>
        <w:tc>
          <w:tcPr>
            <w:tcW w:w="4495" w:type="dxa"/>
            <w:noWrap/>
            <w:vAlign w:val="center"/>
          </w:tcPr>
          <w:p w14:paraId="4279B632" w14:textId="77777777" w:rsidR="00EA1E6D" w:rsidRPr="009F7193" w:rsidRDefault="00EA1E6D" w:rsidP="009B300B">
            <w:pPr>
              <w:contextualSpacing/>
              <w:rPr>
                <w:rFonts w:asciiTheme="minorHAnsi" w:hAnsiTheme="minorHAnsi" w:cstheme="majorHAnsi"/>
                <w:color w:val="000000"/>
                <w:sz w:val="20"/>
                <w:szCs w:val="20"/>
              </w:rPr>
            </w:pPr>
            <w:r w:rsidRPr="009F7193">
              <w:rPr>
                <w:rFonts w:asciiTheme="minorHAnsi" w:hAnsiTheme="minorHAnsi" w:cstheme="majorHAnsi"/>
                <w:color w:val="000000"/>
                <w:sz w:val="20"/>
                <w:szCs w:val="20"/>
              </w:rPr>
              <w:t>Ethnicity: Other/Unknown</w:t>
            </w:r>
          </w:p>
        </w:tc>
        <w:tc>
          <w:tcPr>
            <w:tcW w:w="1350" w:type="dxa"/>
            <w:noWrap/>
            <w:vAlign w:val="center"/>
          </w:tcPr>
          <w:p w14:paraId="524F81A7"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 xml:space="preserve">13,893 </w:t>
            </w:r>
          </w:p>
        </w:tc>
        <w:tc>
          <w:tcPr>
            <w:tcW w:w="1350" w:type="dxa"/>
            <w:noWrap/>
            <w:vAlign w:val="center"/>
          </w:tcPr>
          <w:p w14:paraId="4F2DD1F6"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12%</w:t>
            </w:r>
          </w:p>
        </w:tc>
        <w:tc>
          <w:tcPr>
            <w:tcW w:w="1350" w:type="dxa"/>
            <w:noWrap/>
            <w:vAlign w:val="center"/>
          </w:tcPr>
          <w:p w14:paraId="2BDCB298"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 xml:space="preserve">12,552 </w:t>
            </w:r>
          </w:p>
        </w:tc>
        <w:tc>
          <w:tcPr>
            <w:tcW w:w="1350" w:type="dxa"/>
            <w:noWrap/>
            <w:vAlign w:val="center"/>
          </w:tcPr>
          <w:p w14:paraId="4CBC3E18"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10%</w:t>
            </w:r>
          </w:p>
        </w:tc>
        <w:tc>
          <w:tcPr>
            <w:tcW w:w="1350" w:type="dxa"/>
            <w:shd w:val="clear" w:color="auto" w:fill="FFFFFF" w:themeFill="background1"/>
            <w:vAlign w:val="center"/>
          </w:tcPr>
          <w:p w14:paraId="6CA7067E"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12,354</w:t>
            </w:r>
          </w:p>
        </w:tc>
        <w:tc>
          <w:tcPr>
            <w:tcW w:w="1350" w:type="dxa"/>
            <w:shd w:val="clear" w:color="auto" w:fill="FFFFFF" w:themeFill="background1"/>
            <w:vAlign w:val="center"/>
          </w:tcPr>
          <w:p w14:paraId="5EB0FF91" w14:textId="77777777" w:rsidR="00EA1E6D" w:rsidRPr="009F7193" w:rsidRDefault="00EA1E6D" w:rsidP="009B300B">
            <w:pPr>
              <w:contextualSpacing/>
              <w:jc w:val="center"/>
              <w:rPr>
                <w:rFonts w:asciiTheme="minorHAnsi" w:hAnsiTheme="minorHAnsi" w:cs="Calibri Light"/>
                <w:color w:val="000000"/>
                <w:sz w:val="20"/>
                <w:szCs w:val="20"/>
              </w:rPr>
            </w:pPr>
            <w:r w:rsidRPr="009F7193">
              <w:rPr>
                <w:rFonts w:asciiTheme="minorHAnsi" w:hAnsiTheme="minorHAnsi" w:cs="Calibri Light"/>
                <w:color w:val="000000"/>
                <w:sz w:val="20"/>
                <w:szCs w:val="20"/>
              </w:rPr>
              <w:t>10%</w:t>
            </w:r>
          </w:p>
        </w:tc>
      </w:tr>
    </w:tbl>
    <w:p w14:paraId="5EEF141B" w14:textId="77777777" w:rsidR="00EA1E6D" w:rsidRPr="009F7193" w:rsidRDefault="00EA1E6D" w:rsidP="00EA1E6D">
      <w:pPr>
        <w:jc w:val="both"/>
        <w:rPr>
          <w:rFonts w:asciiTheme="minorHAnsi" w:hAnsiTheme="minorHAnsi" w:cs="Arial"/>
          <w:color w:val="000000" w:themeColor="text1"/>
          <w:sz w:val="22"/>
          <w:szCs w:val="22"/>
        </w:rPr>
        <w:sectPr w:rsidR="00EA1E6D" w:rsidRPr="009F7193" w:rsidSect="00EA1E6D">
          <w:pgSz w:w="15840" w:h="12240" w:orient="landscape"/>
          <w:pgMar w:top="1440" w:right="1440" w:bottom="1440" w:left="1440" w:header="720" w:footer="720" w:gutter="0"/>
          <w:cols w:space="720"/>
          <w:docGrid w:linePitch="360"/>
        </w:sectPr>
      </w:pPr>
    </w:p>
    <w:p w14:paraId="14E33F14" w14:textId="77777777" w:rsidR="00EA1E6D" w:rsidRPr="009F7193" w:rsidRDefault="00EA1E6D" w:rsidP="00EA1E6D">
      <w:pPr>
        <w:jc w:val="both"/>
        <w:rPr>
          <w:rFonts w:asciiTheme="minorHAnsi" w:hAnsiTheme="minorHAnsi" w:cs="Arial"/>
          <w:color w:val="000000" w:themeColor="text1"/>
          <w:sz w:val="22"/>
          <w:szCs w:val="22"/>
        </w:rPr>
      </w:pPr>
    </w:p>
    <w:p w14:paraId="75741AF0" w14:textId="63052D88" w:rsidR="00EA1E6D" w:rsidRPr="009F7193" w:rsidRDefault="00EA1E6D" w:rsidP="00EA1E6D">
      <w:pPr>
        <w:spacing w:after="120"/>
        <w:jc w:val="both"/>
        <w:rPr>
          <w:rFonts w:asciiTheme="minorHAnsi" w:hAnsiTheme="minorHAnsi" w:cs="Arial"/>
          <w:color w:val="000000" w:themeColor="text1"/>
          <w:sz w:val="22"/>
          <w:szCs w:val="22"/>
        </w:rPr>
      </w:pPr>
      <w:r w:rsidRPr="00131777">
        <w:rPr>
          <w:rFonts w:asciiTheme="minorHAnsi" w:hAnsiTheme="minorHAnsi" w:cs="Arial"/>
          <w:color w:val="000000" w:themeColor="text1"/>
          <w:sz w:val="22"/>
          <w:szCs w:val="22"/>
        </w:rPr>
        <w:t xml:space="preserve">As illustrated in the table below, </w:t>
      </w:r>
      <w:r w:rsidR="008840B7">
        <w:rPr>
          <w:rFonts w:asciiTheme="minorHAnsi" w:hAnsiTheme="minorHAnsi" w:cs="Arial"/>
          <w:color w:val="000000" w:themeColor="text1"/>
          <w:sz w:val="22"/>
          <w:szCs w:val="22"/>
        </w:rPr>
        <w:t>approximately 84%</w:t>
      </w:r>
      <w:r w:rsidRPr="00131777">
        <w:rPr>
          <w:rFonts w:asciiTheme="minorHAnsi" w:hAnsiTheme="minorHAnsi" w:cs="Arial"/>
          <w:color w:val="000000" w:themeColor="text1"/>
          <w:sz w:val="22"/>
          <w:szCs w:val="22"/>
        </w:rPr>
        <w:t xml:space="preserve"> of Cape Cod Hospital’s patients reside</w:t>
      </w:r>
      <w:r w:rsidR="00131777" w:rsidRPr="00131777">
        <w:rPr>
          <w:rFonts w:asciiTheme="minorHAnsi" w:hAnsiTheme="minorHAnsi" w:cs="Arial"/>
          <w:color w:val="000000" w:themeColor="text1"/>
          <w:sz w:val="22"/>
          <w:szCs w:val="22"/>
        </w:rPr>
        <w:t>d</w:t>
      </w:r>
      <w:r w:rsidRPr="00131777">
        <w:rPr>
          <w:rFonts w:asciiTheme="minorHAnsi" w:hAnsiTheme="minorHAnsi" w:cs="Arial"/>
          <w:color w:val="000000" w:themeColor="text1"/>
          <w:sz w:val="22"/>
          <w:szCs w:val="22"/>
        </w:rPr>
        <w:t xml:space="preserve"> in Barnstable County</w:t>
      </w:r>
      <w:r w:rsidR="00131777" w:rsidRPr="00131777">
        <w:rPr>
          <w:rFonts w:asciiTheme="minorHAnsi" w:hAnsiTheme="minorHAnsi" w:cs="Arial"/>
          <w:color w:val="000000" w:themeColor="text1"/>
          <w:sz w:val="22"/>
          <w:szCs w:val="22"/>
        </w:rPr>
        <w:t xml:space="preserve"> in FY2025</w:t>
      </w:r>
      <w:r w:rsidRPr="00131777">
        <w:rPr>
          <w:rFonts w:asciiTheme="minorHAnsi" w:hAnsiTheme="minorHAnsi" w:cs="Arial"/>
          <w:color w:val="000000" w:themeColor="text1"/>
          <w:sz w:val="22"/>
          <w:szCs w:val="22"/>
        </w:rPr>
        <w:t>.</w:t>
      </w:r>
      <w:r w:rsidRPr="009F7193">
        <w:rPr>
          <w:rFonts w:asciiTheme="minorHAnsi" w:hAnsiTheme="minorHAnsi" w:cs="Arial"/>
          <w:color w:val="000000" w:themeColor="text1"/>
          <w:sz w:val="22"/>
          <w:szCs w:val="22"/>
        </w:rPr>
        <w:t xml:space="preserve"> </w:t>
      </w:r>
    </w:p>
    <w:p w14:paraId="023A55EA" w14:textId="77777777" w:rsidR="00EA1E6D" w:rsidRPr="009F7193" w:rsidRDefault="00EA1E6D" w:rsidP="00EA1E6D">
      <w:pPr>
        <w:spacing w:after="120"/>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t>Table 5: Cape Cod Hospital Geographic Origin</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140"/>
        <w:gridCol w:w="1140"/>
        <w:gridCol w:w="1140"/>
        <w:gridCol w:w="1140"/>
        <w:gridCol w:w="1140"/>
        <w:gridCol w:w="1140"/>
      </w:tblGrid>
      <w:tr w:rsidR="00EA1E6D" w:rsidRPr="009F7193" w14:paraId="195CC5DD" w14:textId="77777777" w:rsidTr="00F5273A">
        <w:trPr>
          <w:cantSplit/>
          <w:trHeight w:val="300"/>
          <w:tblHeader/>
        </w:trPr>
        <w:tc>
          <w:tcPr>
            <w:tcW w:w="3420" w:type="dxa"/>
            <w:shd w:val="clear" w:color="auto" w:fill="156082" w:themeFill="accent1"/>
            <w:noWrap/>
            <w:vAlign w:val="center"/>
            <w:hideMark/>
          </w:tcPr>
          <w:p w14:paraId="12FE94B4" w14:textId="77777777" w:rsidR="00EA1E6D" w:rsidRPr="009F7193" w:rsidRDefault="00EA1E6D" w:rsidP="009B300B">
            <w:pPr>
              <w:rPr>
                <w:rFonts w:ascii="Aptos Narrow" w:hAnsi="Aptos Narrow" w:cs="Calibri Light"/>
                <w:b/>
                <w:bCs/>
                <w:color w:val="FFFFFF" w:themeColor="background1"/>
                <w:sz w:val="20"/>
                <w:szCs w:val="20"/>
              </w:rPr>
            </w:pPr>
            <w:r w:rsidRPr="009F7193">
              <w:rPr>
                <w:rFonts w:ascii="Aptos Narrow" w:hAnsi="Aptos Narrow" w:cs="Calibri Light"/>
                <w:b/>
                <w:bCs/>
                <w:color w:val="FFFFFF" w:themeColor="background1"/>
                <w:sz w:val="20"/>
                <w:szCs w:val="20"/>
              </w:rPr>
              <w:t>Patient Residence  </w:t>
            </w:r>
          </w:p>
        </w:tc>
        <w:tc>
          <w:tcPr>
            <w:tcW w:w="1140" w:type="dxa"/>
            <w:shd w:val="clear" w:color="auto" w:fill="156082" w:themeFill="accent1"/>
            <w:noWrap/>
            <w:vAlign w:val="center"/>
            <w:hideMark/>
          </w:tcPr>
          <w:p w14:paraId="4B9B74B1"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FY23 (n)</w:t>
            </w:r>
          </w:p>
        </w:tc>
        <w:tc>
          <w:tcPr>
            <w:tcW w:w="1140" w:type="dxa"/>
            <w:shd w:val="clear" w:color="auto" w:fill="156082" w:themeFill="accent1"/>
            <w:vAlign w:val="center"/>
          </w:tcPr>
          <w:p w14:paraId="25D876BB"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FY23 (%)</w:t>
            </w:r>
          </w:p>
        </w:tc>
        <w:tc>
          <w:tcPr>
            <w:tcW w:w="1140" w:type="dxa"/>
            <w:shd w:val="clear" w:color="auto" w:fill="156082" w:themeFill="accent1"/>
            <w:vAlign w:val="center"/>
          </w:tcPr>
          <w:p w14:paraId="7C4FA1E5"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FY24 (n)</w:t>
            </w:r>
          </w:p>
        </w:tc>
        <w:tc>
          <w:tcPr>
            <w:tcW w:w="1140" w:type="dxa"/>
            <w:shd w:val="clear" w:color="auto" w:fill="156082" w:themeFill="accent1"/>
            <w:vAlign w:val="center"/>
          </w:tcPr>
          <w:p w14:paraId="1602D6B7"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FY24 (%)</w:t>
            </w:r>
          </w:p>
        </w:tc>
        <w:tc>
          <w:tcPr>
            <w:tcW w:w="1140" w:type="dxa"/>
            <w:shd w:val="clear" w:color="auto" w:fill="156082" w:themeFill="accent1"/>
            <w:vAlign w:val="center"/>
          </w:tcPr>
          <w:p w14:paraId="05F3DC29"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FY25 (n)</w:t>
            </w:r>
          </w:p>
        </w:tc>
        <w:tc>
          <w:tcPr>
            <w:tcW w:w="1140" w:type="dxa"/>
            <w:shd w:val="clear" w:color="auto" w:fill="156082" w:themeFill="accent1"/>
            <w:vAlign w:val="center"/>
          </w:tcPr>
          <w:p w14:paraId="7751D4C7" w14:textId="77777777" w:rsidR="00EA1E6D" w:rsidRPr="009F7193" w:rsidRDefault="00EA1E6D" w:rsidP="009B300B">
            <w:pPr>
              <w:jc w:val="center"/>
              <w:rPr>
                <w:rFonts w:ascii="Aptos Narrow" w:hAnsi="Aptos Narrow" w:cs="Calibri Light"/>
                <w:b/>
                <w:bCs/>
                <w:color w:val="FFFFFF" w:themeColor="background1"/>
                <w:sz w:val="20"/>
                <w:szCs w:val="20"/>
              </w:rPr>
            </w:pPr>
            <w:r w:rsidRPr="009F7193">
              <w:rPr>
                <w:rFonts w:ascii="Aptos Narrow" w:hAnsi="Aptos Narrow" w:cstheme="majorHAnsi"/>
                <w:b/>
                <w:bCs/>
                <w:color w:val="FFFFFF" w:themeColor="background1"/>
                <w:sz w:val="20"/>
                <w:szCs w:val="20"/>
              </w:rPr>
              <w:t>FY25(%)</w:t>
            </w:r>
          </w:p>
        </w:tc>
      </w:tr>
      <w:tr w:rsidR="00131777" w:rsidRPr="009F7193" w14:paraId="5410381A" w14:textId="77777777" w:rsidTr="00F5273A">
        <w:trPr>
          <w:cantSplit/>
          <w:trHeight w:val="290"/>
        </w:trPr>
        <w:tc>
          <w:tcPr>
            <w:tcW w:w="3420" w:type="dxa"/>
            <w:shd w:val="clear" w:color="000000" w:fill="FFFFFF"/>
            <w:noWrap/>
            <w:vAlign w:val="bottom"/>
            <w:hideMark/>
          </w:tcPr>
          <w:p w14:paraId="171F7499"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Hyannis</w:t>
            </w:r>
          </w:p>
        </w:tc>
        <w:tc>
          <w:tcPr>
            <w:tcW w:w="1140" w:type="dxa"/>
            <w:shd w:val="clear" w:color="000000" w:fill="FFFFFF"/>
            <w:noWrap/>
            <w:vAlign w:val="center"/>
            <w:hideMark/>
          </w:tcPr>
          <w:p w14:paraId="2CC8C5BC" w14:textId="6575959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10,990</w:t>
            </w:r>
          </w:p>
        </w:tc>
        <w:tc>
          <w:tcPr>
            <w:tcW w:w="1140" w:type="dxa"/>
            <w:shd w:val="clear" w:color="000000" w:fill="FFFFFF"/>
            <w:noWrap/>
            <w:vAlign w:val="center"/>
            <w:hideMark/>
          </w:tcPr>
          <w:p w14:paraId="2D5680F5" w14:textId="63B847F1"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9%</w:t>
            </w:r>
          </w:p>
        </w:tc>
        <w:tc>
          <w:tcPr>
            <w:tcW w:w="1140" w:type="dxa"/>
            <w:shd w:val="clear" w:color="000000" w:fill="FFFFFF"/>
            <w:noWrap/>
            <w:vAlign w:val="center"/>
            <w:hideMark/>
          </w:tcPr>
          <w:p w14:paraId="6A9E11AA" w14:textId="1508A13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11,301</w:t>
            </w:r>
          </w:p>
        </w:tc>
        <w:tc>
          <w:tcPr>
            <w:tcW w:w="1140" w:type="dxa"/>
            <w:shd w:val="clear" w:color="000000" w:fill="FFFFFF"/>
            <w:noWrap/>
            <w:vAlign w:val="center"/>
            <w:hideMark/>
          </w:tcPr>
          <w:p w14:paraId="4D189EB8" w14:textId="0245246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9%</w:t>
            </w:r>
          </w:p>
        </w:tc>
        <w:tc>
          <w:tcPr>
            <w:tcW w:w="1140" w:type="dxa"/>
            <w:shd w:val="clear" w:color="000000" w:fill="FFFFFF"/>
            <w:noWrap/>
            <w:vAlign w:val="center"/>
            <w:hideMark/>
          </w:tcPr>
          <w:p w14:paraId="448DCB44" w14:textId="3ADBC38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11,376</w:t>
            </w:r>
          </w:p>
        </w:tc>
        <w:tc>
          <w:tcPr>
            <w:tcW w:w="1140" w:type="dxa"/>
            <w:shd w:val="clear" w:color="000000" w:fill="FFFFFF"/>
            <w:noWrap/>
            <w:vAlign w:val="center"/>
            <w:hideMark/>
          </w:tcPr>
          <w:p w14:paraId="0EBBC20D" w14:textId="42EA18D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9%</w:t>
            </w:r>
          </w:p>
        </w:tc>
      </w:tr>
      <w:tr w:rsidR="00131777" w:rsidRPr="009F7193" w14:paraId="21D76602" w14:textId="77777777" w:rsidTr="00F5273A">
        <w:trPr>
          <w:cantSplit/>
          <w:trHeight w:val="290"/>
        </w:trPr>
        <w:tc>
          <w:tcPr>
            <w:tcW w:w="3420" w:type="dxa"/>
            <w:shd w:val="clear" w:color="000000" w:fill="FFFFFF"/>
            <w:noWrap/>
            <w:vAlign w:val="bottom"/>
            <w:hideMark/>
          </w:tcPr>
          <w:p w14:paraId="0D450CF3"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Centerville</w:t>
            </w:r>
          </w:p>
        </w:tc>
        <w:tc>
          <w:tcPr>
            <w:tcW w:w="1140" w:type="dxa"/>
            <w:shd w:val="clear" w:color="000000" w:fill="FFFFFF"/>
            <w:noWrap/>
            <w:vAlign w:val="center"/>
            <w:hideMark/>
          </w:tcPr>
          <w:p w14:paraId="2D0E6F0A" w14:textId="6C486C6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6,571</w:t>
            </w:r>
          </w:p>
        </w:tc>
        <w:tc>
          <w:tcPr>
            <w:tcW w:w="1140" w:type="dxa"/>
            <w:shd w:val="clear" w:color="000000" w:fill="FFFFFF"/>
            <w:noWrap/>
            <w:vAlign w:val="center"/>
            <w:hideMark/>
          </w:tcPr>
          <w:p w14:paraId="1DC6A548" w14:textId="118A9F4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w:t>
            </w:r>
          </w:p>
        </w:tc>
        <w:tc>
          <w:tcPr>
            <w:tcW w:w="1140" w:type="dxa"/>
            <w:noWrap/>
            <w:vAlign w:val="center"/>
            <w:hideMark/>
          </w:tcPr>
          <w:p w14:paraId="68BF7C0B" w14:textId="16510311"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6,596</w:t>
            </w:r>
          </w:p>
        </w:tc>
        <w:tc>
          <w:tcPr>
            <w:tcW w:w="1140" w:type="dxa"/>
            <w:shd w:val="clear" w:color="000000" w:fill="FFFFFF"/>
            <w:noWrap/>
            <w:vAlign w:val="center"/>
            <w:hideMark/>
          </w:tcPr>
          <w:p w14:paraId="15069761" w14:textId="47125CDD"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38EA0E80" w14:textId="4BEB1CC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6,692</w:t>
            </w:r>
          </w:p>
        </w:tc>
        <w:tc>
          <w:tcPr>
            <w:tcW w:w="1140" w:type="dxa"/>
            <w:shd w:val="clear" w:color="000000" w:fill="FFFFFF"/>
            <w:noWrap/>
            <w:vAlign w:val="center"/>
            <w:hideMark/>
          </w:tcPr>
          <w:p w14:paraId="063B0910" w14:textId="0DC54E2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r>
      <w:tr w:rsidR="00131777" w:rsidRPr="009F7193" w14:paraId="676C6007" w14:textId="77777777" w:rsidTr="00F5273A">
        <w:trPr>
          <w:cantSplit/>
          <w:trHeight w:val="290"/>
        </w:trPr>
        <w:tc>
          <w:tcPr>
            <w:tcW w:w="3420" w:type="dxa"/>
            <w:shd w:val="clear" w:color="000000" w:fill="FFFFFF"/>
            <w:noWrap/>
            <w:vAlign w:val="bottom"/>
            <w:hideMark/>
          </w:tcPr>
          <w:p w14:paraId="5F71213C"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Harwich</w:t>
            </w:r>
          </w:p>
        </w:tc>
        <w:tc>
          <w:tcPr>
            <w:tcW w:w="1140" w:type="dxa"/>
            <w:shd w:val="clear" w:color="000000" w:fill="FFFFFF"/>
            <w:noWrap/>
            <w:vAlign w:val="center"/>
            <w:hideMark/>
          </w:tcPr>
          <w:p w14:paraId="1214D1B8" w14:textId="0ADFE3F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6,314</w:t>
            </w:r>
          </w:p>
        </w:tc>
        <w:tc>
          <w:tcPr>
            <w:tcW w:w="1140" w:type="dxa"/>
            <w:shd w:val="clear" w:color="000000" w:fill="FFFFFF"/>
            <w:noWrap/>
            <w:vAlign w:val="center"/>
            <w:hideMark/>
          </w:tcPr>
          <w:p w14:paraId="43BE27EE" w14:textId="080025E1"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710EB61E" w14:textId="5CB521FD"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6,328</w:t>
            </w:r>
          </w:p>
        </w:tc>
        <w:tc>
          <w:tcPr>
            <w:tcW w:w="1140" w:type="dxa"/>
            <w:shd w:val="clear" w:color="000000" w:fill="FFFFFF"/>
            <w:noWrap/>
            <w:vAlign w:val="center"/>
            <w:hideMark/>
          </w:tcPr>
          <w:p w14:paraId="5C6D82E0" w14:textId="299326B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7042AD74" w14:textId="37F46982"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6,428</w:t>
            </w:r>
          </w:p>
        </w:tc>
        <w:tc>
          <w:tcPr>
            <w:tcW w:w="1140" w:type="dxa"/>
            <w:shd w:val="clear" w:color="000000" w:fill="FFFFFF"/>
            <w:noWrap/>
            <w:vAlign w:val="center"/>
            <w:hideMark/>
          </w:tcPr>
          <w:p w14:paraId="4905326D" w14:textId="78A41DA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r>
      <w:tr w:rsidR="00131777" w:rsidRPr="009F7193" w14:paraId="6C848211" w14:textId="77777777" w:rsidTr="00F5273A">
        <w:trPr>
          <w:cantSplit/>
          <w:trHeight w:val="290"/>
        </w:trPr>
        <w:tc>
          <w:tcPr>
            <w:tcW w:w="3420" w:type="dxa"/>
            <w:shd w:val="clear" w:color="000000" w:fill="FFFFFF"/>
            <w:noWrap/>
            <w:vAlign w:val="bottom"/>
            <w:hideMark/>
          </w:tcPr>
          <w:p w14:paraId="43ACE3FB"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South Yarmouth</w:t>
            </w:r>
          </w:p>
        </w:tc>
        <w:tc>
          <w:tcPr>
            <w:tcW w:w="1140" w:type="dxa"/>
            <w:shd w:val="clear" w:color="000000" w:fill="FFFFFF"/>
            <w:noWrap/>
            <w:vAlign w:val="center"/>
            <w:hideMark/>
          </w:tcPr>
          <w:p w14:paraId="5AB2DC30" w14:textId="4D2A606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6,165</w:t>
            </w:r>
          </w:p>
        </w:tc>
        <w:tc>
          <w:tcPr>
            <w:tcW w:w="1140" w:type="dxa"/>
            <w:shd w:val="clear" w:color="000000" w:fill="FFFFFF"/>
            <w:noWrap/>
            <w:vAlign w:val="center"/>
            <w:hideMark/>
          </w:tcPr>
          <w:p w14:paraId="1AB60CA2" w14:textId="0E4E4F8A"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550F6B9B" w14:textId="675CB7A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6,256</w:t>
            </w:r>
          </w:p>
        </w:tc>
        <w:tc>
          <w:tcPr>
            <w:tcW w:w="1140" w:type="dxa"/>
            <w:shd w:val="clear" w:color="000000" w:fill="FFFFFF"/>
            <w:noWrap/>
            <w:vAlign w:val="center"/>
            <w:hideMark/>
          </w:tcPr>
          <w:p w14:paraId="4BA00175" w14:textId="2466609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5464D1C6" w14:textId="2FD6BC1B"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6,361</w:t>
            </w:r>
          </w:p>
        </w:tc>
        <w:tc>
          <w:tcPr>
            <w:tcW w:w="1140" w:type="dxa"/>
            <w:shd w:val="clear" w:color="000000" w:fill="FFFFFF"/>
            <w:noWrap/>
            <w:vAlign w:val="center"/>
            <w:hideMark/>
          </w:tcPr>
          <w:p w14:paraId="3AD084D4" w14:textId="4BAFE16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r>
      <w:tr w:rsidR="00131777" w:rsidRPr="009F7193" w14:paraId="32EA0FD8" w14:textId="77777777" w:rsidTr="00F5273A">
        <w:trPr>
          <w:cantSplit/>
          <w:trHeight w:val="290"/>
        </w:trPr>
        <w:tc>
          <w:tcPr>
            <w:tcW w:w="3420" w:type="dxa"/>
            <w:shd w:val="clear" w:color="000000" w:fill="FFFFFF"/>
            <w:noWrap/>
            <w:vAlign w:val="bottom"/>
            <w:hideMark/>
          </w:tcPr>
          <w:p w14:paraId="327ECA33"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Brewster</w:t>
            </w:r>
          </w:p>
        </w:tc>
        <w:tc>
          <w:tcPr>
            <w:tcW w:w="1140" w:type="dxa"/>
            <w:shd w:val="clear" w:color="000000" w:fill="FFFFFF"/>
            <w:noWrap/>
            <w:vAlign w:val="center"/>
            <w:hideMark/>
          </w:tcPr>
          <w:p w14:paraId="451FE277" w14:textId="27658DE9"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6,180</w:t>
            </w:r>
          </w:p>
        </w:tc>
        <w:tc>
          <w:tcPr>
            <w:tcW w:w="1140" w:type="dxa"/>
            <w:shd w:val="clear" w:color="000000" w:fill="FFFFFF"/>
            <w:noWrap/>
            <w:vAlign w:val="center"/>
            <w:hideMark/>
          </w:tcPr>
          <w:p w14:paraId="733FC432" w14:textId="27F14E9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7056B19D" w14:textId="5493CC7A"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6,162</w:t>
            </w:r>
          </w:p>
        </w:tc>
        <w:tc>
          <w:tcPr>
            <w:tcW w:w="1140" w:type="dxa"/>
            <w:shd w:val="clear" w:color="000000" w:fill="FFFFFF"/>
            <w:noWrap/>
            <w:vAlign w:val="center"/>
            <w:hideMark/>
          </w:tcPr>
          <w:p w14:paraId="48E8D330" w14:textId="4F856C0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26FABBB8" w14:textId="6E29945A"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6,253</w:t>
            </w:r>
          </w:p>
        </w:tc>
        <w:tc>
          <w:tcPr>
            <w:tcW w:w="1140" w:type="dxa"/>
            <w:shd w:val="clear" w:color="000000" w:fill="FFFFFF"/>
            <w:noWrap/>
            <w:vAlign w:val="center"/>
            <w:hideMark/>
          </w:tcPr>
          <w:p w14:paraId="7C004F2B" w14:textId="7E73110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r>
      <w:tr w:rsidR="00131777" w:rsidRPr="009F7193" w14:paraId="7073B48B" w14:textId="77777777" w:rsidTr="00F5273A">
        <w:trPr>
          <w:cantSplit/>
          <w:trHeight w:val="290"/>
        </w:trPr>
        <w:tc>
          <w:tcPr>
            <w:tcW w:w="3420" w:type="dxa"/>
            <w:shd w:val="clear" w:color="000000" w:fill="FFFFFF"/>
            <w:noWrap/>
            <w:vAlign w:val="bottom"/>
            <w:hideMark/>
          </w:tcPr>
          <w:p w14:paraId="586EA89C"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West Yarmouth</w:t>
            </w:r>
          </w:p>
        </w:tc>
        <w:tc>
          <w:tcPr>
            <w:tcW w:w="1140" w:type="dxa"/>
            <w:shd w:val="clear" w:color="000000" w:fill="FFFFFF"/>
            <w:noWrap/>
            <w:vAlign w:val="center"/>
            <w:hideMark/>
          </w:tcPr>
          <w:p w14:paraId="28474C07" w14:textId="1BB8CDF8"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5,602</w:t>
            </w:r>
          </w:p>
        </w:tc>
        <w:tc>
          <w:tcPr>
            <w:tcW w:w="1140" w:type="dxa"/>
            <w:shd w:val="clear" w:color="000000" w:fill="FFFFFF"/>
            <w:noWrap/>
            <w:vAlign w:val="center"/>
            <w:hideMark/>
          </w:tcPr>
          <w:p w14:paraId="523C7CD6" w14:textId="0C73EEB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758E04D7" w14:textId="4A5761C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5,732</w:t>
            </w:r>
          </w:p>
        </w:tc>
        <w:tc>
          <w:tcPr>
            <w:tcW w:w="1140" w:type="dxa"/>
            <w:shd w:val="clear" w:color="000000" w:fill="FFFFFF"/>
            <w:noWrap/>
            <w:vAlign w:val="center"/>
            <w:hideMark/>
          </w:tcPr>
          <w:p w14:paraId="645CA9E8" w14:textId="12240E91"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c>
          <w:tcPr>
            <w:tcW w:w="1140" w:type="dxa"/>
            <w:noWrap/>
            <w:vAlign w:val="center"/>
            <w:hideMark/>
          </w:tcPr>
          <w:p w14:paraId="51EF2895" w14:textId="61B2FC28"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5,815</w:t>
            </w:r>
          </w:p>
        </w:tc>
        <w:tc>
          <w:tcPr>
            <w:tcW w:w="1140" w:type="dxa"/>
            <w:shd w:val="clear" w:color="000000" w:fill="FFFFFF"/>
            <w:noWrap/>
            <w:vAlign w:val="center"/>
            <w:hideMark/>
          </w:tcPr>
          <w:p w14:paraId="5EF4CD45" w14:textId="1DFE5B0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5%</w:t>
            </w:r>
          </w:p>
        </w:tc>
      </w:tr>
      <w:tr w:rsidR="00131777" w:rsidRPr="009F7193" w14:paraId="7898653A" w14:textId="77777777" w:rsidTr="00F5273A">
        <w:trPr>
          <w:cantSplit/>
          <w:trHeight w:val="290"/>
        </w:trPr>
        <w:tc>
          <w:tcPr>
            <w:tcW w:w="3420" w:type="dxa"/>
            <w:noWrap/>
            <w:vAlign w:val="bottom"/>
            <w:hideMark/>
          </w:tcPr>
          <w:p w14:paraId="21E22897"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Mashpee</w:t>
            </w:r>
          </w:p>
        </w:tc>
        <w:tc>
          <w:tcPr>
            <w:tcW w:w="1140" w:type="dxa"/>
            <w:noWrap/>
            <w:vAlign w:val="center"/>
            <w:hideMark/>
          </w:tcPr>
          <w:p w14:paraId="7C3BF880" w14:textId="0EB956E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4,349</w:t>
            </w:r>
          </w:p>
        </w:tc>
        <w:tc>
          <w:tcPr>
            <w:tcW w:w="1140" w:type="dxa"/>
            <w:noWrap/>
            <w:vAlign w:val="center"/>
            <w:hideMark/>
          </w:tcPr>
          <w:p w14:paraId="23B949ED" w14:textId="0889D59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w:t>
            </w:r>
          </w:p>
        </w:tc>
        <w:tc>
          <w:tcPr>
            <w:tcW w:w="1140" w:type="dxa"/>
            <w:noWrap/>
            <w:vAlign w:val="center"/>
            <w:hideMark/>
          </w:tcPr>
          <w:p w14:paraId="1655D3A7" w14:textId="338245C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4,702</w:t>
            </w:r>
          </w:p>
        </w:tc>
        <w:tc>
          <w:tcPr>
            <w:tcW w:w="1140" w:type="dxa"/>
            <w:noWrap/>
            <w:vAlign w:val="center"/>
            <w:hideMark/>
          </w:tcPr>
          <w:p w14:paraId="75A57D3D" w14:textId="5D30135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w:t>
            </w:r>
          </w:p>
        </w:tc>
        <w:tc>
          <w:tcPr>
            <w:tcW w:w="1140" w:type="dxa"/>
            <w:noWrap/>
            <w:vAlign w:val="center"/>
            <w:hideMark/>
          </w:tcPr>
          <w:p w14:paraId="68C2899D" w14:textId="7BE9B41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4,922</w:t>
            </w:r>
          </w:p>
        </w:tc>
        <w:tc>
          <w:tcPr>
            <w:tcW w:w="1140" w:type="dxa"/>
            <w:noWrap/>
            <w:vAlign w:val="center"/>
            <w:hideMark/>
          </w:tcPr>
          <w:p w14:paraId="0A264100" w14:textId="27E7C25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w:t>
            </w:r>
          </w:p>
        </w:tc>
      </w:tr>
      <w:tr w:rsidR="00131777" w:rsidRPr="009F7193" w14:paraId="61BFB774" w14:textId="77777777" w:rsidTr="00F5273A">
        <w:trPr>
          <w:cantSplit/>
          <w:trHeight w:val="290"/>
        </w:trPr>
        <w:tc>
          <w:tcPr>
            <w:tcW w:w="3420" w:type="dxa"/>
            <w:shd w:val="clear" w:color="000000" w:fill="FFFFFF"/>
            <w:noWrap/>
            <w:vAlign w:val="bottom"/>
            <w:hideMark/>
          </w:tcPr>
          <w:p w14:paraId="0970662C" w14:textId="3598EF7E"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Yarmouth Po</w:t>
            </w:r>
            <w:r>
              <w:rPr>
                <w:rFonts w:ascii="Aptos Narrow" w:hAnsi="Aptos Narrow"/>
                <w:color w:val="000000"/>
                <w:sz w:val="20"/>
                <w:szCs w:val="20"/>
              </w:rPr>
              <w:t>rt</w:t>
            </w:r>
          </w:p>
        </w:tc>
        <w:tc>
          <w:tcPr>
            <w:tcW w:w="1140" w:type="dxa"/>
            <w:shd w:val="clear" w:color="000000" w:fill="FFFFFF"/>
            <w:noWrap/>
            <w:vAlign w:val="center"/>
            <w:hideMark/>
          </w:tcPr>
          <w:p w14:paraId="380C6274" w14:textId="203C855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4,155</w:t>
            </w:r>
          </w:p>
        </w:tc>
        <w:tc>
          <w:tcPr>
            <w:tcW w:w="1140" w:type="dxa"/>
            <w:shd w:val="clear" w:color="000000" w:fill="FFFFFF"/>
            <w:noWrap/>
            <w:vAlign w:val="center"/>
            <w:hideMark/>
          </w:tcPr>
          <w:p w14:paraId="4E29C605" w14:textId="2BF4698B"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339E8B67" w14:textId="3E3422D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4,193</w:t>
            </w:r>
          </w:p>
        </w:tc>
        <w:tc>
          <w:tcPr>
            <w:tcW w:w="1140" w:type="dxa"/>
            <w:shd w:val="clear" w:color="000000" w:fill="FFFFFF"/>
            <w:noWrap/>
            <w:vAlign w:val="center"/>
            <w:hideMark/>
          </w:tcPr>
          <w:p w14:paraId="6456C33C" w14:textId="5EF93F3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6F8CC650" w14:textId="58F9F8A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4,178</w:t>
            </w:r>
          </w:p>
        </w:tc>
        <w:tc>
          <w:tcPr>
            <w:tcW w:w="1140" w:type="dxa"/>
            <w:shd w:val="clear" w:color="000000" w:fill="FFFFFF"/>
            <w:noWrap/>
            <w:vAlign w:val="center"/>
            <w:hideMark/>
          </w:tcPr>
          <w:p w14:paraId="06A0CC06" w14:textId="09AC0BD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62920852" w14:textId="77777777" w:rsidTr="00F5273A">
        <w:trPr>
          <w:cantSplit/>
          <w:trHeight w:val="290"/>
        </w:trPr>
        <w:tc>
          <w:tcPr>
            <w:tcW w:w="3420" w:type="dxa"/>
            <w:shd w:val="clear" w:color="000000" w:fill="FFFFFF"/>
            <w:noWrap/>
            <w:vAlign w:val="bottom"/>
            <w:hideMark/>
          </w:tcPr>
          <w:p w14:paraId="12EDBC9A"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Marstons Mills</w:t>
            </w:r>
          </w:p>
        </w:tc>
        <w:tc>
          <w:tcPr>
            <w:tcW w:w="1140" w:type="dxa"/>
            <w:shd w:val="clear" w:color="000000" w:fill="FFFFFF"/>
            <w:noWrap/>
            <w:vAlign w:val="center"/>
            <w:hideMark/>
          </w:tcPr>
          <w:p w14:paraId="45692328" w14:textId="4F266D7A"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3,925</w:t>
            </w:r>
          </w:p>
        </w:tc>
        <w:tc>
          <w:tcPr>
            <w:tcW w:w="1140" w:type="dxa"/>
            <w:shd w:val="clear" w:color="000000" w:fill="FFFFFF"/>
            <w:noWrap/>
            <w:vAlign w:val="center"/>
            <w:hideMark/>
          </w:tcPr>
          <w:p w14:paraId="6D768CBF" w14:textId="6A10313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780265B5" w14:textId="4FA9B92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3,979</w:t>
            </w:r>
          </w:p>
        </w:tc>
        <w:tc>
          <w:tcPr>
            <w:tcW w:w="1140" w:type="dxa"/>
            <w:shd w:val="clear" w:color="000000" w:fill="FFFFFF"/>
            <w:noWrap/>
            <w:vAlign w:val="center"/>
            <w:hideMark/>
          </w:tcPr>
          <w:p w14:paraId="0F04C75E" w14:textId="177FD06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4561294E" w14:textId="092863B2"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4,105</w:t>
            </w:r>
          </w:p>
        </w:tc>
        <w:tc>
          <w:tcPr>
            <w:tcW w:w="1140" w:type="dxa"/>
            <w:shd w:val="clear" w:color="000000" w:fill="FFFFFF"/>
            <w:noWrap/>
            <w:vAlign w:val="center"/>
            <w:hideMark/>
          </w:tcPr>
          <w:p w14:paraId="3B7A6C1A" w14:textId="2D112CE9"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5A649628" w14:textId="77777777" w:rsidTr="00F5273A">
        <w:trPr>
          <w:cantSplit/>
          <w:trHeight w:val="290"/>
        </w:trPr>
        <w:tc>
          <w:tcPr>
            <w:tcW w:w="3420" w:type="dxa"/>
            <w:shd w:val="clear" w:color="000000" w:fill="FFFFFF"/>
            <w:noWrap/>
            <w:vAlign w:val="bottom"/>
            <w:hideMark/>
          </w:tcPr>
          <w:p w14:paraId="17561AB1"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South Dennis</w:t>
            </w:r>
          </w:p>
        </w:tc>
        <w:tc>
          <w:tcPr>
            <w:tcW w:w="1140" w:type="dxa"/>
            <w:shd w:val="clear" w:color="000000" w:fill="FFFFFF"/>
            <w:noWrap/>
            <w:vAlign w:val="center"/>
            <w:hideMark/>
          </w:tcPr>
          <w:p w14:paraId="5D4AB72A" w14:textId="73EE44B8"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3,785</w:t>
            </w:r>
          </w:p>
        </w:tc>
        <w:tc>
          <w:tcPr>
            <w:tcW w:w="1140" w:type="dxa"/>
            <w:shd w:val="clear" w:color="000000" w:fill="FFFFFF"/>
            <w:noWrap/>
            <w:vAlign w:val="center"/>
            <w:hideMark/>
          </w:tcPr>
          <w:p w14:paraId="1661AF4F" w14:textId="28612F0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3C8F3680" w14:textId="2D2EFF6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3,752</w:t>
            </w:r>
          </w:p>
        </w:tc>
        <w:tc>
          <w:tcPr>
            <w:tcW w:w="1140" w:type="dxa"/>
            <w:shd w:val="clear" w:color="000000" w:fill="FFFFFF"/>
            <w:noWrap/>
            <w:vAlign w:val="center"/>
            <w:hideMark/>
          </w:tcPr>
          <w:p w14:paraId="5D2AAD4E" w14:textId="0DD65CCA"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49477D40" w14:textId="202442F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3,788</w:t>
            </w:r>
          </w:p>
        </w:tc>
        <w:tc>
          <w:tcPr>
            <w:tcW w:w="1140" w:type="dxa"/>
            <w:shd w:val="clear" w:color="000000" w:fill="FFFFFF"/>
            <w:noWrap/>
            <w:vAlign w:val="center"/>
            <w:hideMark/>
          </w:tcPr>
          <w:p w14:paraId="569CDA03" w14:textId="10319DA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0593AD6F" w14:textId="77777777" w:rsidTr="00F5273A">
        <w:trPr>
          <w:cantSplit/>
          <w:trHeight w:val="290"/>
        </w:trPr>
        <w:tc>
          <w:tcPr>
            <w:tcW w:w="3420" w:type="dxa"/>
            <w:shd w:val="clear" w:color="000000" w:fill="FFFFFF"/>
            <w:noWrap/>
            <w:vAlign w:val="bottom"/>
            <w:hideMark/>
          </w:tcPr>
          <w:p w14:paraId="5FE15A0A"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Sandwich</w:t>
            </w:r>
          </w:p>
        </w:tc>
        <w:tc>
          <w:tcPr>
            <w:tcW w:w="1140" w:type="dxa"/>
            <w:shd w:val="clear" w:color="000000" w:fill="FFFFFF"/>
            <w:noWrap/>
            <w:vAlign w:val="center"/>
            <w:hideMark/>
          </w:tcPr>
          <w:p w14:paraId="634825D8" w14:textId="2766BB68"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3,273</w:t>
            </w:r>
          </w:p>
        </w:tc>
        <w:tc>
          <w:tcPr>
            <w:tcW w:w="1140" w:type="dxa"/>
            <w:shd w:val="clear" w:color="000000" w:fill="FFFFFF"/>
            <w:noWrap/>
            <w:vAlign w:val="center"/>
            <w:hideMark/>
          </w:tcPr>
          <w:p w14:paraId="61E0C51B" w14:textId="754F7D9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06F67D65" w14:textId="696EBE1B"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3,374</w:t>
            </w:r>
          </w:p>
        </w:tc>
        <w:tc>
          <w:tcPr>
            <w:tcW w:w="1140" w:type="dxa"/>
            <w:shd w:val="clear" w:color="000000" w:fill="FFFFFF"/>
            <w:noWrap/>
            <w:vAlign w:val="center"/>
            <w:hideMark/>
          </w:tcPr>
          <w:p w14:paraId="39354457" w14:textId="40FB546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4B8B7D5E" w14:textId="5B79C2A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3,575</w:t>
            </w:r>
          </w:p>
        </w:tc>
        <w:tc>
          <w:tcPr>
            <w:tcW w:w="1140" w:type="dxa"/>
            <w:shd w:val="clear" w:color="000000" w:fill="FFFFFF"/>
            <w:noWrap/>
            <w:vAlign w:val="center"/>
            <w:hideMark/>
          </w:tcPr>
          <w:p w14:paraId="41556F17" w14:textId="0DF2C803"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7988A074" w14:textId="77777777" w:rsidTr="00F5273A">
        <w:trPr>
          <w:cantSplit/>
          <w:trHeight w:val="290"/>
        </w:trPr>
        <w:tc>
          <w:tcPr>
            <w:tcW w:w="3420" w:type="dxa"/>
            <w:shd w:val="clear" w:color="000000" w:fill="FFFFFF"/>
            <w:noWrap/>
            <w:vAlign w:val="bottom"/>
            <w:hideMark/>
          </w:tcPr>
          <w:p w14:paraId="0D713A44"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Orleans</w:t>
            </w:r>
          </w:p>
        </w:tc>
        <w:tc>
          <w:tcPr>
            <w:tcW w:w="1140" w:type="dxa"/>
            <w:shd w:val="clear" w:color="000000" w:fill="FFFFFF"/>
            <w:noWrap/>
            <w:vAlign w:val="center"/>
            <w:hideMark/>
          </w:tcPr>
          <w:p w14:paraId="4BD50C5B" w14:textId="4BAF040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3,378</w:t>
            </w:r>
          </w:p>
        </w:tc>
        <w:tc>
          <w:tcPr>
            <w:tcW w:w="1140" w:type="dxa"/>
            <w:shd w:val="clear" w:color="000000" w:fill="FFFFFF"/>
            <w:noWrap/>
            <w:vAlign w:val="center"/>
            <w:hideMark/>
          </w:tcPr>
          <w:p w14:paraId="4747EE1A" w14:textId="1FE079C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2D863CA1" w14:textId="726D477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3,349</w:t>
            </w:r>
          </w:p>
        </w:tc>
        <w:tc>
          <w:tcPr>
            <w:tcW w:w="1140" w:type="dxa"/>
            <w:shd w:val="clear" w:color="000000" w:fill="FFFFFF"/>
            <w:noWrap/>
            <w:vAlign w:val="center"/>
            <w:hideMark/>
          </w:tcPr>
          <w:p w14:paraId="11D0B685" w14:textId="790F2D6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0EF6D17B" w14:textId="57654DC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3,460</w:t>
            </w:r>
          </w:p>
        </w:tc>
        <w:tc>
          <w:tcPr>
            <w:tcW w:w="1140" w:type="dxa"/>
            <w:shd w:val="clear" w:color="000000" w:fill="FFFFFF"/>
            <w:noWrap/>
            <w:vAlign w:val="center"/>
            <w:hideMark/>
          </w:tcPr>
          <w:p w14:paraId="2DCF01E6" w14:textId="2030F19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58C3B38C" w14:textId="77777777" w:rsidTr="00F5273A">
        <w:trPr>
          <w:cantSplit/>
          <w:trHeight w:val="290"/>
        </w:trPr>
        <w:tc>
          <w:tcPr>
            <w:tcW w:w="3420" w:type="dxa"/>
            <w:shd w:val="clear" w:color="000000" w:fill="FFFFFF"/>
            <w:noWrap/>
            <w:vAlign w:val="bottom"/>
            <w:hideMark/>
          </w:tcPr>
          <w:p w14:paraId="0980826C"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 xml:space="preserve">Falmouth (inclusive of East Falmouth, </w:t>
            </w:r>
            <w:proofErr w:type="spellStart"/>
            <w:r w:rsidRPr="009F7193">
              <w:rPr>
                <w:rFonts w:ascii="Aptos Narrow" w:hAnsi="Aptos Narrow"/>
                <w:color w:val="000000"/>
                <w:sz w:val="20"/>
                <w:szCs w:val="20"/>
              </w:rPr>
              <w:t>Hatchville</w:t>
            </w:r>
            <w:proofErr w:type="spellEnd"/>
            <w:r w:rsidRPr="009F7193">
              <w:rPr>
                <w:rFonts w:ascii="Aptos Narrow" w:hAnsi="Aptos Narrow"/>
                <w:color w:val="000000"/>
                <w:sz w:val="20"/>
                <w:szCs w:val="20"/>
              </w:rPr>
              <w:t xml:space="preserve">, </w:t>
            </w:r>
            <w:proofErr w:type="spellStart"/>
            <w:r w:rsidRPr="009F7193">
              <w:rPr>
                <w:rFonts w:ascii="Aptos Narrow" w:hAnsi="Aptos Narrow"/>
                <w:color w:val="000000"/>
                <w:sz w:val="20"/>
                <w:szCs w:val="20"/>
              </w:rPr>
              <w:t>Teaticket</w:t>
            </w:r>
            <w:proofErr w:type="spellEnd"/>
            <w:r w:rsidRPr="009F7193">
              <w:rPr>
                <w:rFonts w:ascii="Aptos Narrow" w:hAnsi="Aptos Narrow"/>
                <w:color w:val="000000"/>
                <w:sz w:val="20"/>
                <w:szCs w:val="20"/>
              </w:rPr>
              <w:t xml:space="preserve">, Waquoit) </w:t>
            </w:r>
          </w:p>
        </w:tc>
        <w:tc>
          <w:tcPr>
            <w:tcW w:w="1140" w:type="dxa"/>
            <w:shd w:val="clear" w:color="000000" w:fill="FFFFFF"/>
            <w:noWrap/>
            <w:vAlign w:val="center"/>
            <w:hideMark/>
          </w:tcPr>
          <w:p w14:paraId="22181B83" w14:textId="17D6BB5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2,690</w:t>
            </w:r>
          </w:p>
        </w:tc>
        <w:tc>
          <w:tcPr>
            <w:tcW w:w="1140" w:type="dxa"/>
            <w:shd w:val="clear" w:color="000000" w:fill="FFFFFF"/>
            <w:noWrap/>
            <w:vAlign w:val="center"/>
            <w:hideMark/>
          </w:tcPr>
          <w:p w14:paraId="11E445DD" w14:textId="7D89244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c>
          <w:tcPr>
            <w:tcW w:w="1140" w:type="dxa"/>
            <w:shd w:val="clear" w:color="000000" w:fill="FFFFFF"/>
            <w:noWrap/>
            <w:vAlign w:val="center"/>
            <w:hideMark/>
          </w:tcPr>
          <w:p w14:paraId="7D58D785" w14:textId="1815CCB6"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3,064</w:t>
            </w:r>
          </w:p>
        </w:tc>
        <w:tc>
          <w:tcPr>
            <w:tcW w:w="1140" w:type="dxa"/>
            <w:shd w:val="clear" w:color="000000" w:fill="FFFFFF"/>
            <w:noWrap/>
            <w:vAlign w:val="center"/>
            <w:hideMark/>
          </w:tcPr>
          <w:p w14:paraId="5450F7E9" w14:textId="1F6EB65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c>
          <w:tcPr>
            <w:tcW w:w="1140" w:type="dxa"/>
            <w:shd w:val="clear" w:color="000000" w:fill="FFFFFF"/>
            <w:noWrap/>
            <w:vAlign w:val="center"/>
            <w:hideMark/>
          </w:tcPr>
          <w:p w14:paraId="41438361" w14:textId="6B158F54"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3,358</w:t>
            </w:r>
          </w:p>
        </w:tc>
        <w:tc>
          <w:tcPr>
            <w:tcW w:w="1140" w:type="dxa"/>
            <w:shd w:val="clear" w:color="000000" w:fill="FFFFFF"/>
            <w:noWrap/>
            <w:vAlign w:val="center"/>
            <w:hideMark/>
          </w:tcPr>
          <w:p w14:paraId="561402FE" w14:textId="6BB751F0"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3%</w:t>
            </w:r>
          </w:p>
        </w:tc>
      </w:tr>
      <w:tr w:rsidR="00131777" w:rsidRPr="009F7193" w14:paraId="7F635D03" w14:textId="77777777" w:rsidTr="00F5273A">
        <w:trPr>
          <w:cantSplit/>
          <w:trHeight w:val="290"/>
        </w:trPr>
        <w:tc>
          <w:tcPr>
            <w:tcW w:w="3420" w:type="dxa"/>
            <w:shd w:val="clear" w:color="000000" w:fill="FFFFFF"/>
            <w:noWrap/>
            <w:vAlign w:val="bottom"/>
            <w:hideMark/>
          </w:tcPr>
          <w:p w14:paraId="66CBE390"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Eastham</w:t>
            </w:r>
          </w:p>
        </w:tc>
        <w:tc>
          <w:tcPr>
            <w:tcW w:w="1140" w:type="dxa"/>
            <w:shd w:val="clear" w:color="000000" w:fill="FFFFFF"/>
            <w:noWrap/>
            <w:vAlign w:val="center"/>
            <w:hideMark/>
          </w:tcPr>
          <w:p w14:paraId="36E6061F" w14:textId="177C56F9"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2,731</w:t>
            </w:r>
          </w:p>
        </w:tc>
        <w:tc>
          <w:tcPr>
            <w:tcW w:w="1140" w:type="dxa"/>
            <w:shd w:val="clear" w:color="000000" w:fill="FFFFFF"/>
            <w:noWrap/>
            <w:vAlign w:val="center"/>
            <w:hideMark/>
          </w:tcPr>
          <w:p w14:paraId="3185A1F0" w14:textId="52A5948F"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c>
          <w:tcPr>
            <w:tcW w:w="1140" w:type="dxa"/>
            <w:shd w:val="clear" w:color="000000" w:fill="FFFFFF"/>
            <w:noWrap/>
            <w:vAlign w:val="center"/>
            <w:hideMark/>
          </w:tcPr>
          <w:p w14:paraId="6EA24362" w14:textId="1D4B4097"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2,803</w:t>
            </w:r>
          </w:p>
        </w:tc>
        <w:tc>
          <w:tcPr>
            <w:tcW w:w="1140" w:type="dxa"/>
            <w:shd w:val="clear" w:color="000000" w:fill="FFFFFF"/>
            <w:noWrap/>
            <w:vAlign w:val="center"/>
            <w:hideMark/>
          </w:tcPr>
          <w:p w14:paraId="62000694" w14:textId="04A24835"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c>
          <w:tcPr>
            <w:tcW w:w="1140" w:type="dxa"/>
            <w:shd w:val="clear" w:color="000000" w:fill="FFFFFF"/>
            <w:noWrap/>
            <w:vAlign w:val="center"/>
            <w:hideMark/>
          </w:tcPr>
          <w:p w14:paraId="36093EE6" w14:textId="2EDD5939"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2,846</w:t>
            </w:r>
          </w:p>
        </w:tc>
        <w:tc>
          <w:tcPr>
            <w:tcW w:w="1140" w:type="dxa"/>
            <w:shd w:val="clear" w:color="000000" w:fill="FFFFFF"/>
            <w:noWrap/>
            <w:vAlign w:val="center"/>
            <w:hideMark/>
          </w:tcPr>
          <w:p w14:paraId="1BBEBCF2" w14:textId="3CAC3C9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r>
      <w:tr w:rsidR="00131777" w:rsidRPr="009F7193" w14:paraId="20A4819C" w14:textId="77777777" w:rsidTr="00F5273A">
        <w:trPr>
          <w:cantSplit/>
          <w:trHeight w:val="290"/>
        </w:trPr>
        <w:tc>
          <w:tcPr>
            <w:tcW w:w="3420" w:type="dxa"/>
            <w:shd w:val="clear" w:color="000000" w:fill="FFFFFF"/>
            <w:noWrap/>
            <w:vAlign w:val="bottom"/>
            <w:hideMark/>
          </w:tcPr>
          <w:p w14:paraId="21F438C6" w14:textId="77777777" w:rsidR="00131777" w:rsidRPr="009F7193" w:rsidRDefault="00131777" w:rsidP="00131777">
            <w:pPr>
              <w:rPr>
                <w:rFonts w:ascii="Aptos Narrow" w:hAnsi="Aptos Narrow" w:cs="Calibri Light"/>
                <w:color w:val="000000"/>
                <w:sz w:val="20"/>
                <w:szCs w:val="20"/>
              </w:rPr>
            </w:pPr>
            <w:r w:rsidRPr="009F7193">
              <w:rPr>
                <w:rFonts w:ascii="Aptos Narrow" w:hAnsi="Aptos Narrow"/>
                <w:color w:val="000000"/>
                <w:sz w:val="20"/>
                <w:szCs w:val="20"/>
              </w:rPr>
              <w:t>Chatham</w:t>
            </w:r>
          </w:p>
        </w:tc>
        <w:tc>
          <w:tcPr>
            <w:tcW w:w="1140" w:type="dxa"/>
            <w:shd w:val="clear" w:color="000000" w:fill="FFFFFF"/>
            <w:noWrap/>
            <w:vAlign w:val="center"/>
            <w:hideMark/>
          </w:tcPr>
          <w:p w14:paraId="3132C0FF" w14:textId="72622309"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2,480</w:t>
            </w:r>
          </w:p>
        </w:tc>
        <w:tc>
          <w:tcPr>
            <w:tcW w:w="1140" w:type="dxa"/>
            <w:shd w:val="clear" w:color="000000" w:fill="FFFFFF"/>
            <w:noWrap/>
            <w:vAlign w:val="center"/>
            <w:hideMark/>
          </w:tcPr>
          <w:p w14:paraId="0322D1E7" w14:textId="71447A22"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c>
          <w:tcPr>
            <w:tcW w:w="1140" w:type="dxa"/>
            <w:shd w:val="clear" w:color="000000" w:fill="FFFFFF"/>
            <w:noWrap/>
            <w:vAlign w:val="center"/>
            <w:hideMark/>
          </w:tcPr>
          <w:p w14:paraId="69DB4788" w14:textId="1E9FAED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2,429</w:t>
            </w:r>
          </w:p>
        </w:tc>
        <w:tc>
          <w:tcPr>
            <w:tcW w:w="1140" w:type="dxa"/>
            <w:shd w:val="clear" w:color="000000" w:fill="FFFFFF"/>
            <w:noWrap/>
            <w:vAlign w:val="center"/>
            <w:hideMark/>
          </w:tcPr>
          <w:p w14:paraId="1C542A97" w14:textId="07D01F58"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c>
          <w:tcPr>
            <w:tcW w:w="1140" w:type="dxa"/>
            <w:shd w:val="clear" w:color="000000" w:fill="FFFFFF"/>
            <w:noWrap/>
            <w:vAlign w:val="center"/>
            <w:hideMark/>
          </w:tcPr>
          <w:p w14:paraId="63F2A8D6" w14:textId="3668AABE"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2,504</w:t>
            </w:r>
          </w:p>
        </w:tc>
        <w:tc>
          <w:tcPr>
            <w:tcW w:w="1140" w:type="dxa"/>
            <w:shd w:val="clear" w:color="000000" w:fill="FFFFFF"/>
            <w:noWrap/>
            <w:vAlign w:val="center"/>
            <w:hideMark/>
          </w:tcPr>
          <w:p w14:paraId="6F440C9B" w14:textId="6B911C0C" w:rsidR="00131777" w:rsidRPr="00844F26" w:rsidRDefault="00131777" w:rsidP="00131777">
            <w:pPr>
              <w:jc w:val="center"/>
              <w:rPr>
                <w:rFonts w:asciiTheme="minorHAnsi" w:hAnsiTheme="minorHAnsi" w:cs="Calibri Light"/>
                <w:color w:val="000000"/>
                <w:sz w:val="20"/>
                <w:szCs w:val="20"/>
              </w:rPr>
            </w:pPr>
            <w:r w:rsidRPr="00844F26">
              <w:rPr>
                <w:rFonts w:asciiTheme="minorHAnsi" w:hAnsiTheme="minorHAnsi"/>
                <w:color w:val="000000"/>
                <w:sz w:val="20"/>
                <w:szCs w:val="20"/>
              </w:rPr>
              <w:t>2%</w:t>
            </w:r>
          </w:p>
        </w:tc>
      </w:tr>
      <w:tr w:rsidR="00844F26" w:rsidRPr="009F7193" w14:paraId="437BDEF9" w14:textId="77777777" w:rsidTr="00F5273A">
        <w:trPr>
          <w:cantSplit/>
          <w:trHeight w:val="290"/>
        </w:trPr>
        <w:tc>
          <w:tcPr>
            <w:tcW w:w="3420" w:type="dxa"/>
            <w:shd w:val="clear" w:color="000000" w:fill="FFFFFF"/>
            <w:noWrap/>
            <w:vAlign w:val="center"/>
            <w:hideMark/>
          </w:tcPr>
          <w:p w14:paraId="482EC200" w14:textId="3216B28B" w:rsidR="00844F26" w:rsidRPr="009F7193" w:rsidRDefault="00844F26" w:rsidP="00844F26">
            <w:pPr>
              <w:jc w:val="right"/>
              <w:rPr>
                <w:rFonts w:ascii="Aptos Narrow" w:hAnsi="Aptos Narrow" w:cs="Calibri Light"/>
                <w:color w:val="000000"/>
                <w:sz w:val="20"/>
                <w:szCs w:val="20"/>
              </w:rPr>
            </w:pPr>
            <w:r w:rsidRPr="009F7193">
              <w:rPr>
                <w:rFonts w:ascii="Aptos Narrow" w:hAnsi="Aptos Narrow" w:cstheme="majorHAnsi"/>
                <w:color w:val="000000"/>
                <w:sz w:val="20"/>
                <w:szCs w:val="20"/>
              </w:rPr>
              <w:t xml:space="preserve">Other </w:t>
            </w:r>
            <w:r>
              <w:rPr>
                <w:rFonts w:ascii="Aptos Narrow" w:hAnsi="Aptos Narrow" w:cstheme="majorHAnsi"/>
                <w:color w:val="000000"/>
                <w:sz w:val="20"/>
                <w:szCs w:val="20"/>
              </w:rPr>
              <w:t>Barnstable County</w:t>
            </w:r>
          </w:p>
        </w:tc>
        <w:tc>
          <w:tcPr>
            <w:tcW w:w="1140" w:type="dxa"/>
            <w:shd w:val="clear" w:color="000000" w:fill="FFFFFF"/>
            <w:noWrap/>
            <w:vAlign w:val="bottom"/>
          </w:tcPr>
          <w:p w14:paraId="44D55EEE" w14:textId="4D67F560"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26,578</w:t>
            </w:r>
          </w:p>
        </w:tc>
        <w:tc>
          <w:tcPr>
            <w:tcW w:w="1140" w:type="dxa"/>
            <w:shd w:val="clear" w:color="000000" w:fill="FFFFFF"/>
            <w:noWrap/>
            <w:vAlign w:val="center"/>
          </w:tcPr>
          <w:p w14:paraId="48A79DA3" w14:textId="283D54DE"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22%</w:t>
            </w:r>
          </w:p>
        </w:tc>
        <w:tc>
          <w:tcPr>
            <w:tcW w:w="1140" w:type="dxa"/>
            <w:shd w:val="clear" w:color="000000" w:fill="FFFFFF"/>
            <w:noWrap/>
            <w:vAlign w:val="bottom"/>
          </w:tcPr>
          <w:p w14:paraId="61575380" w14:textId="53ED9F31"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27,486</w:t>
            </w:r>
          </w:p>
        </w:tc>
        <w:tc>
          <w:tcPr>
            <w:tcW w:w="1140" w:type="dxa"/>
            <w:shd w:val="clear" w:color="000000" w:fill="FFFFFF"/>
            <w:noWrap/>
            <w:vAlign w:val="center"/>
          </w:tcPr>
          <w:p w14:paraId="6E2B34CE" w14:textId="5E00ECC5"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23%</w:t>
            </w:r>
          </w:p>
        </w:tc>
        <w:tc>
          <w:tcPr>
            <w:tcW w:w="1140" w:type="dxa"/>
            <w:shd w:val="clear" w:color="000000" w:fill="FFFFFF"/>
            <w:noWrap/>
            <w:vAlign w:val="center"/>
          </w:tcPr>
          <w:p w14:paraId="0A95C4D7" w14:textId="648836D4"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28,545</w:t>
            </w:r>
          </w:p>
        </w:tc>
        <w:tc>
          <w:tcPr>
            <w:tcW w:w="1140" w:type="dxa"/>
            <w:shd w:val="clear" w:color="000000" w:fill="FFFFFF"/>
            <w:noWrap/>
            <w:vAlign w:val="center"/>
          </w:tcPr>
          <w:p w14:paraId="2EAD2547" w14:textId="58AC471E"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23%</w:t>
            </w:r>
          </w:p>
        </w:tc>
      </w:tr>
      <w:tr w:rsidR="00844F26" w:rsidRPr="009F7193" w14:paraId="156A6EF5" w14:textId="77777777" w:rsidTr="00F5273A">
        <w:trPr>
          <w:cantSplit/>
          <w:trHeight w:val="290"/>
        </w:trPr>
        <w:tc>
          <w:tcPr>
            <w:tcW w:w="3420" w:type="dxa"/>
            <w:shd w:val="clear" w:color="000000" w:fill="FFFFFF"/>
            <w:noWrap/>
            <w:vAlign w:val="center"/>
            <w:hideMark/>
          </w:tcPr>
          <w:p w14:paraId="0225C98E" w14:textId="5D2157DD" w:rsidR="00844F26" w:rsidRPr="009F7193" w:rsidRDefault="00844F26" w:rsidP="00844F26">
            <w:pPr>
              <w:jc w:val="right"/>
              <w:rPr>
                <w:rFonts w:ascii="Aptos Narrow" w:hAnsi="Aptos Narrow" w:cs="Calibri Light"/>
                <w:color w:val="000000"/>
                <w:sz w:val="20"/>
                <w:szCs w:val="20"/>
              </w:rPr>
            </w:pPr>
            <w:r>
              <w:rPr>
                <w:rFonts w:ascii="Aptos Narrow" w:hAnsi="Aptos Narrow" w:cstheme="majorHAnsi"/>
                <w:color w:val="000000"/>
                <w:sz w:val="20"/>
                <w:szCs w:val="20"/>
              </w:rPr>
              <w:t xml:space="preserve">Other </w:t>
            </w:r>
          </w:p>
        </w:tc>
        <w:tc>
          <w:tcPr>
            <w:tcW w:w="1140" w:type="dxa"/>
            <w:shd w:val="clear" w:color="000000" w:fill="FFFFFF"/>
            <w:noWrap/>
            <w:vAlign w:val="center"/>
          </w:tcPr>
          <w:p w14:paraId="7EB210EB" w14:textId="64313D83"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19,798</w:t>
            </w:r>
          </w:p>
        </w:tc>
        <w:tc>
          <w:tcPr>
            <w:tcW w:w="1140" w:type="dxa"/>
            <w:shd w:val="clear" w:color="000000" w:fill="FFFFFF"/>
            <w:noWrap/>
            <w:vAlign w:val="center"/>
          </w:tcPr>
          <w:p w14:paraId="103FFA64" w14:textId="5011AED8"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17%</w:t>
            </w:r>
          </w:p>
        </w:tc>
        <w:tc>
          <w:tcPr>
            <w:tcW w:w="1140" w:type="dxa"/>
            <w:shd w:val="clear" w:color="000000" w:fill="FFFFFF"/>
            <w:noWrap/>
            <w:vAlign w:val="center"/>
          </w:tcPr>
          <w:p w14:paraId="017591D8" w14:textId="516D6FA8"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18,891</w:t>
            </w:r>
          </w:p>
        </w:tc>
        <w:tc>
          <w:tcPr>
            <w:tcW w:w="1140" w:type="dxa"/>
            <w:shd w:val="clear" w:color="000000" w:fill="FFFFFF"/>
            <w:noWrap/>
            <w:vAlign w:val="center"/>
          </w:tcPr>
          <w:p w14:paraId="1668B1D6" w14:textId="6E615C0A"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16%</w:t>
            </w:r>
          </w:p>
        </w:tc>
        <w:tc>
          <w:tcPr>
            <w:tcW w:w="1140" w:type="dxa"/>
            <w:shd w:val="clear" w:color="000000" w:fill="FFFFFF"/>
            <w:noWrap/>
            <w:vAlign w:val="center"/>
          </w:tcPr>
          <w:p w14:paraId="497B1238" w14:textId="2814EDEF"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19,502</w:t>
            </w:r>
          </w:p>
        </w:tc>
        <w:tc>
          <w:tcPr>
            <w:tcW w:w="1140" w:type="dxa"/>
            <w:shd w:val="clear" w:color="000000" w:fill="FFFFFF"/>
            <w:noWrap/>
            <w:vAlign w:val="center"/>
          </w:tcPr>
          <w:p w14:paraId="1176CB85" w14:textId="45F8BEDE" w:rsidR="00844F26" w:rsidRPr="00844F26" w:rsidRDefault="00844F26" w:rsidP="00844F26">
            <w:pPr>
              <w:jc w:val="center"/>
              <w:rPr>
                <w:rFonts w:asciiTheme="minorHAnsi" w:hAnsiTheme="minorHAnsi" w:cs="Calibri Light"/>
                <w:color w:val="000000"/>
                <w:sz w:val="20"/>
                <w:szCs w:val="20"/>
              </w:rPr>
            </w:pPr>
            <w:r w:rsidRPr="00844F26">
              <w:rPr>
                <w:rFonts w:asciiTheme="minorHAnsi" w:hAnsiTheme="minorHAnsi"/>
                <w:color w:val="000000"/>
                <w:sz w:val="20"/>
                <w:szCs w:val="20"/>
              </w:rPr>
              <w:t>16%</w:t>
            </w:r>
          </w:p>
        </w:tc>
      </w:tr>
      <w:tr w:rsidR="00EA1E6D" w:rsidRPr="009F7193" w14:paraId="5FC593E1" w14:textId="77777777" w:rsidTr="00F5273A">
        <w:trPr>
          <w:cantSplit/>
          <w:trHeight w:val="300"/>
        </w:trPr>
        <w:tc>
          <w:tcPr>
            <w:tcW w:w="3420" w:type="dxa"/>
            <w:shd w:val="clear" w:color="auto" w:fill="DAE9F7" w:themeFill="text2" w:themeFillTint="1A"/>
            <w:noWrap/>
            <w:vAlign w:val="bottom"/>
            <w:hideMark/>
          </w:tcPr>
          <w:p w14:paraId="2F2F64FA" w14:textId="77777777" w:rsidR="00EA1E6D" w:rsidRPr="009F7193" w:rsidRDefault="00EA1E6D" w:rsidP="009B300B">
            <w:pPr>
              <w:rPr>
                <w:rFonts w:ascii="Aptos Narrow" w:hAnsi="Aptos Narrow" w:cs="Calibri Light"/>
                <w:b/>
                <w:bCs/>
                <w:color w:val="000000"/>
                <w:sz w:val="20"/>
                <w:szCs w:val="20"/>
              </w:rPr>
            </w:pPr>
            <w:r w:rsidRPr="009F7193">
              <w:rPr>
                <w:rFonts w:ascii="Aptos Narrow" w:hAnsi="Aptos Narrow" w:cs="Calibri Light"/>
                <w:b/>
                <w:bCs/>
                <w:color w:val="000000"/>
                <w:sz w:val="20"/>
                <w:szCs w:val="20"/>
              </w:rPr>
              <w:t xml:space="preserve">TOTAL  </w:t>
            </w:r>
          </w:p>
        </w:tc>
        <w:tc>
          <w:tcPr>
            <w:tcW w:w="1140" w:type="dxa"/>
            <w:shd w:val="clear" w:color="auto" w:fill="DAE9F7" w:themeFill="text2" w:themeFillTint="1A"/>
            <w:noWrap/>
            <w:vAlign w:val="bottom"/>
            <w:hideMark/>
          </w:tcPr>
          <w:p w14:paraId="48419898"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b/>
                <w:bCs/>
                <w:sz w:val="20"/>
                <w:szCs w:val="20"/>
              </w:rPr>
              <w:t>118,964</w:t>
            </w:r>
          </w:p>
        </w:tc>
        <w:tc>
          <w:tcPr>
            <w:tcW w:w="1140" w:type="dxa"/>
            <w:shd w:val="clear" w:color="auto" w:fill="DAE9F7" w:themeFill="text2" w:themeFillTint="1A"/>
            <w:noWrap/>
            <w:vAlign w:val="bottom"/>
            <w:hideMark/>
          </w:tcPr>
          <w:p w14:paraId="1787EDE4"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cs="Calibri Light"/>
                <w:b/>
                <w:bCs/>
                <w:color w:val="000000"/>
                <w:sz w:val="20"/>
                <w:szCs w:val="20"/>
              </w:rPr>
              <w:t>100%</w:t>
            </w:r>
          </w:p>
        </w:tc>
        <w:tc>
          <w:tcPr>
            <w:tcW w:w="1140" w:type="dxa"/>
            <w:shd w:val="clear" w:color="auto" w:fill="DAE9F7" w:themeFill="text2" w:themeFillTint="1A"/>
            <w:noWrap/>
            <w:vAlign w:val="bottom"/>
            <w:hideMark/>
          </w:tcPr>
          <w:p w14:paraId="54BE022B"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b/>
                <w:bCs/>
                <w:sz w:val="20"/>
                <w:szCs w:val="20"/>
              </w:rPr>
              <w:t>120,397</w:t>
            </w:r>
          </w:p>
        </w:tc>
        <w:tc>
          <w:tcPr>
            <w:tcW w:w="1140" w:type="dxa"/>
            <w:shd w:val="clear" w:color="auto" w:fill="DAE9F7" w:themeFill="text2" w:themeFillTint="1A"/>
            <w:noWrap/>
            <w:vAlign w:val="bottom"/>
            <w:hideMark/>
          </w:tcPr>
          <w:p w14:paraId="18660A42"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cs="Calibri Light"/>
                <w:b/>
                <w:bCs/>
                <w:color w:val="000000"/>
                <w:sz w:val="20"/>
                <w:szCs w:val="20"/>
              </w:rPr>
              <w:t>100%</w:t>
            </w:r>
          </w:p>
        </w:tc>
        <w:tc>
          <w:tcPr>
            <w:tcW w:w="1140" w:type="dxa"/>
            <w:shd w:val="clear" w:color="auto" w:fill="DAE9F7" w:themeFill="text2" w:themeFillTint="1A"/>
            <w:noWrap/>
            <w:vAlign w:val="bottom"/>
            <w:hideMark/>
          </w:tcPr>
          <w:p w14:paraId="1DA44944"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b/>
                <w:bCs/>
                <w:sz w:val="20"/>
                <w:szCs w:val="20"/>
              </w:rPr>
              <w:t>123,708</w:t>
            </w:r>
          </w:p>
        </w:tc>
        <w:tc>
          <w:tcPr>
            <w:tcW w:w="1140" w:type="dxa"/>
            <w:shd w:val="clear" w:color="auto" w:fill="DAE9F7" w:themeFill="text2" w:themeFillTint="1A"/>
            <w:noWrap/>
            <w:vAlign w:val="bottom"/>
            <w:hideMark/>
          </w:tcPr>
          <w:p w14:paraId="429B6D86" w14:textId="77777777" w:rsidR="00EA1E6D" w:rsidRPr="009F7193" w:rsidRDefault="00EA1E6D" w:rsidP="009B300B">
            <w:pPr>
              <w:jc w:val="center"/>
              <w:rPr>
                <w:rFonts w:ascii="Aptos Narrow" w:hAnsi="Aptos Narrow" w:cs="Calibri Light"/>
                <w:b/>
                <w:bCs/>
                <w:color w:val="000000"/>
                <w:sz w:val="20"/>
                <w:szCs w:val="20"/>
              </w:rPr>
            </w:pPr>
            <w:r w:rsidRPr="009F7193">
              <w:rPr>
                <w:rFonts w:ascii="Aptos Narrow" w:hAnsi="Aptos Narrow" w:cs="Calibri Light"/>
                <w:b/>
                <w:bCs/>
                <w:color w:val="000000"/>
                <w:sz w:val="20"/>
                <w:szCs w:val="20"/>
              </w:rPr>
              <w:t>100%</w:t>
            </w:r>
          </w:p>
        </w:tc>
      </w:tr>
    </w:tbl>
    <w:p w14:paraId="39C715A6" w14:textId="77777777" w:rsidR="00EA1E6D" w:rsidRPr="009F7193" w:rsidRDefault="00EA1E6D" w:rsidP="00EA1E6D">
      <w:pPr>
        <w:jc w:val="both"/>
        <w:rPr>
          <w:rFonts w:asciiTheme="minorHAnsi" w:eastAsia="Verdana" w:hAnsiTheme="minorHAnsi" w:cs="Arial"/>
          <w:sz w:val="22"/>
          <w:szCs w:val="22"/>
        </w:rPr>
      </w:pPr>
    </w:p>
    <w:p w14:paraId="25966543" w14:textId="2E7DC4AB" w:rsidR="00EA1E6D" w:rsidRPr="009F7193" w:rsidRDefault="00EA1E6D" w:rsidP="00EA1E6D">
      <w:pPr>
        <w:jc w:val="both"/>
        <w:rPr>
          <w:rFonts w:asciiTheme="minorHAnsi" w:eastAsia="Verdana" w:hAnsiTheme="minorHAnsi" w:cs="Arial"/>
          <w:sz w:val="22"/>
          <w:szCs w:val="22"/>
        </w:rPr>
      </w:pPr>
      <w:r w:rsidRPr="009F7193">
        <w:rPr>
          <w:rFonts w:asciiTheme="minorHAnsi" w:eastAsia="Verdana" w:hAnsiTheme="minorHAnsi" w:cs="Arial"/>
          <w:sz w:val="22"/>
          <w:szCs w:val="22"/>
        </w:rPr>
        <w:t xml:space="preserve">Like the </w:t>
      </w:r>
      <w:r w:rsidR="00F12784">
        <w:rPr>
          <w:rFonts w:asciiTheme="minorHAnsi" w:eastAsia="Verdana" w:hAnsiTheme="minorHAnsi" w:cs="Arial"/>
          <w:sz w:val="22"/>
          <w:szCs w:val="22"/>
        </w:rPr>
        <w:t>Applicant</w:t>
      </w:r>
      <w:r w:rsidRPr="009F7193">
        <w:rPr>
          <w:rFonts w:asciiTheme="minorHAnsi" w:eastAsia="Verdana" w:hAnsiTheme="minorHAnsi" w:cs="Arial"/>
          <w:sz w:val="22"/>
          <w:szCs w:val="22"/>
        </w:rPr>
        <w:t xml:space="preserve">, Cape Cod Hospital’s payer mix is led by Medicare, representing more than 40% of patients. Medicare Advantage patients make up another 14%, Medicaid and MassHealth patients make up about 18%, while Commercial insurance patients have steadily been declining each year to 21%. Table 7 below provides a complete breakdown of Cape Cod Hospital’s payer mix. </w:t>
      </w:r>
    </w:p>
    <w:p w14:paraId="15B77AA8" w14:textId="77777777" w:rsidR="00EA1E6D" w:rsidRPr="009F7193" w:rsidRDefault="00EA1E6D" w:rsidP="00EA1E6D">
      <w:pPr>
        <w:jc w:val="both"/>
        <w:rPr>
          <w:rFonts w:asciiTheme="minorHAnsi" w:eastAsia="Verdana" w:hAnsiTheme="minorHAnsi" w:cs="Arial"/>
          <w:sz w:val="22"/>
          <w:szCs w:val="22"/>
        </w:rPr>
      </w:pPr>
    </w:p>
    <w:p w14:paraId="3AE9452A" w14:textId="77777777" w:rsidR="00EA1E6D" w:rsidRPr="009F7193" w:rsidRDefault="00EA1E6D" w:rsidP="00EA1E6D">
      <w:pPr>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t>Table 6: Cape Cod Hospital Payer Mix</w:t>
      </w:r>
    </w:p>
    <w:p w14:paraId="220F36B3" w14:textId="77777777" w:rsidR="00EA1E6D" w:rsidRPr="009F7193" w:rsidRDefault="00EA1E6D" w:rsidP="00EA1E6D">
      <w:pPr>
        <w:jc w:val="both"/>
        <w:rPr>
          <w:rFonts w:asciiTheme="minorHAnsi" w:eastAsia="Verdana" w:hAnsiTheme="minorHAnsi" w:cs="Arial"/>
          <w:b/>
          <w:bCs/>
          <w:sz w:val="22"/>
          <w:szCs w:val="22"/>
        </w:rPr>
      </w:pPr>
    </w:p>
    <w:tbl>
      <w:tblPr>
        <w:tblStyle w:val="TableGrid"/>
        <w:tblW w:w="8325" w:type="dxa"/>
        <w:tblInd w:w="-5" w:type="dxa"/>
        <w:tblLayout w:type="fixed"/>
        <w:tblLook w:val="04A0" w:firstRow="1" w:lastRow="0" w:firstColumn="1" w:lastColumn="0" w:noHBand="0" w:noVBand="1"/>
      </w:tblPr>
      <w:tblGrid>
        <w:gridCol w:w="2790"/>
        <w:gridCol w:w="1845"/>
        <w:gridCol w:w="1845"/>
        <w:gridCol w:w="1845"/>
      </w:tblGrid>
      <w:tr w:rsidR="00EA1E6D" w:rsidRPr="009F7193" w14:paraId="725B7D66" w14:textId="77777777" w:rsidTr="00782925">
        <w:trPr>
          <w:cantSplit/>
        </w:trPr>
        <w:tc>
          <w:tcPr>
            <w:tcW w:w="2790" w:type="dxa"/>
            <w:shd w:val="clear" w:color="auto" w:fill="156082" w:themeFill="accent1"/>
            <w:vAlign w:val="center"/>
          </w:tcPr>
          <w:p w14:paraId="3CB22DB8" w14:textId="77777777" w:rsidR="00EA1E6D" w:rsidRPr="009F7193" w:rsidRDefault="00EA1E6D" w:rsidP="009B300B">
            <w:pPr>
              <w:pStyle w:val="ListParagraph"/>
              <w:ind w:left="0"/>
              <w:contextualSpacing w:val="0"/>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Payer Mix</w:t>
            </w:r>
          </w:p>
        </w:tc>
        <w:tc>
          <w:tcPr>
            <w:tcW w:w="1845" w:type="dxa"/>
            <w:tcBorders>
              <w:bottom w:val="single" w:sz="4" w:space="0" w:color="auto"/>
            </w:tcBorders>
            <w:shd w:val="clear" w:color="auto" w:fill="156082" w:themeFill="accent1"/>
            <w:vAlign w:val="center"/>
          </w:tcPr>
          <w:p w14:paraId="1A90CAA1"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FY23</w:t>
            </w:r>
          </w:p>
        </w:tc>
        <w:tc>
          <w:tcPr>
            <w:tcW w:w="1845" w:type="dxa"/>
            <w:tcBorders>
              <w:bottom w:val="single" w:sz="4" w:space="0" w:color="auto"/>
            </w:tcBorders>
            <w:shd w:val="clear" w:color="auto" w:fill="156082" w:themeFill="accent1"/>
            <w:vAlign w:val="center"/>
          </w:tcPr>
          <w:p w14:paraId="3FBA53B6"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FY24</w:t>
            </w:r>
          </w:p>
        </w:tc>
        <w:tc>
          <w:tcPr>
            <w:tcW w:w="1845" w:type="dxa"/>
            <w:tcBorders>
              <w:bottom w:val="single" w:sz="4" w:space="0" w:color="auto"/>
            </w:tcBorders>
            <w:shd w:val="clear" w:color="auto" w:fill="156082" w:themeFill="accent1"/>
            <w:vAlign w:val="center"/>
          </w:tcPr>
          <w:p w14:paraId="6A2A430F" w14:textId="77777777" w:rsidR="00EA1E6D" w:rsidRPr="009F7193"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9F7193">
              <w:rPr>
                <w:rFonts w:asciiTheme="minorHAnsi" w:hAnsiTheme="minorHAnsi" w:cstheme="majorHAnsi"/>
                <w:b/>
                <w:bCs/>
                <w:color w:val="FFFFFF" w:themeColor="background1"/>
                <w:sz w:val="20"/>
                <w:szCs w:val="20"/>
              </w:rPr>
              <w:t xml:space="preserve">FY25 </w:t>
            </w:r>
          </w:p>
        </w:tc>
      </w:tr>
      <w:tr w:rsidR="00EA1E6D" w:rsidRPr="009F7193" w14:paraId="7FF94E57" w14:textId="77777777" w:rsidTr="00782925">
        <w:trPr>
          <w:cantSplit/>
        </w:trPr>
        <w:tc>
          <w:tcPr>
            <w:tcW w:w="2790" w:type="dxa"/>
            <w:vAlign w:val="center"/>
          </w:tcPr>
          <w:p w14:paraId="3AE6A1EC"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Commercial</w:t>
            </w:r>
          </w:p>
        </w:tc>
        <w:tc>
          <w:tcPr>
            <w:tcW w:w="1845" w:type="dxa"/>
            <w:tcBorders>
              <w:top w:val="single" w:sz="4" w:space="0" w:color="auto"/>
              <w:bottom w:val="single" w:sz="4" w:space="0" w:color="auto"/>
              <w:right w:val="single" w:sz="4" w:space="0" w:color="auto"/>
            </w:tcBorders>
            <w:vAlign w:val="center"/>
          </w:tcPr>
          <w:p w14:paraId="3CDEBBEB"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22%</w:t>
            </w:r>
          </w:p>
        </w:tc>
        <w:tc>
          <w:tcPr>
            <w:tcW w:w="1845" w:type="dxa"/>
            <w:tcBorders>
              <w:top w:val="single" w:sz="4" w:space="0" w:color="auto"/>
              <w:left w:val="single" w:sz="4" w:space="0" w:color="auto"/>
              <w:bottom w:val="single" w:sz="4" w:space="0" w:color="auto"/>
              <w:right w:val="single" w:sz="4" w:space="0" w:color="auto"/>
            </w:tcBorders>
            <w:vAlign w:val="center"/>
          </w:tcPr>
          <w:p w14:paraId="47DBF066"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21%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A26493"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21%</w:t>
            </w:r>
          </w:p>
        </w:tc>
      </w:tr>
      <w:tr w:rsidR="00EA1E6D" w:rsidRPr="009F7193" w14:paraId="096DA544" w14:textId="77777777" w:rsidTr="00782925">
        <w:trPr>
          <w:cantSplit/>
        </w:trPr>
        <w:tc>
          <w:tcPr>
            <w:tcW w:w="2790" w:type="dxa"/>
            <w:vAlign w:val="center"/>
          </w:tcPr>
          <w:p w14:paraId="1A3F51E0"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Managed Medicaid</w:t>
            </w:r>
          </w:p>
        </w:tc>
        <w:tc>
          <w:tcPr>
            <w:tcW w:w="1845" w:type="dxa"/>
            <w:tcBorders>
              <w:top w:val="single" w:sz="4" w:space="0" w:color="auto"/>
              <w:bottom w:val="single" w:sz="4" w:space="0" w:color="auto"/>
              <w:right w:val="single" w:sz="4" w:space="0" w:color="auto"/>
            </w:tcBorders>
            <w:vAlign w:val="center"/>
          </w:tcPr>
          <w:p w14:paraId="0A34B201"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229D899C"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12%</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B4F6D3"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12%</w:t>
            </w:r>
          </w:p>
        </w:tc>
      </w:tr>
      <w:tr w:rsidR="00EA1E6D" w:rsidRPr="009F7193" w14:paraId="3AC25A1F" w14:textId="77777777" w:rsidTr="00782925">
        <w:trPr>
          <w:cantSplit/>
        </w:trPr>
        <w:tc>
          <w:tcPr>
            <w:tcW w:w="2790" w:type="dxa"/>
            <w:vAlign w:val="center"/>
          </w:tcPr>
          <w:p w14:paraId="4E69E669"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MassHealth</w:t>
            </w:r>
          </w:p>
        </w:tc>
        <w:tc>
          <w:tcPr>
            <w:tcW w:w="1845" w:type="dxa"/>
            <w:tcBorders>
              <w:top w:val="single" w:sz="4" w:space="0" w:color="auto"/>
              <w:bottom w:val="single" w:sz="4" w:space="0" w:color="auto"/>
              <w:right w:val="single" w:sz="4" w:space="0" w:color="auto"/>
            </w:tcBorders>
            <w:vAlign w:val="center"/>
          </w:tcPr>
          <w:p w14:paraId="4FB939A3"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0FE506D9"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7%</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446422"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6%</w:t>
            </w:r>
          </w:p>
        </w:tc>
      </w:tr>
      <w:tr w:rsidR="00EA1E6D" w:rsidRPr="009F7193" w14:paraId="4F52717B" w14:textId="77777777" w:rsidTr="00782925">
        <w:trPr>
          <w:cantSplit/>
        </w:trPr>
        <w:tc>
          <w:tcPr>
            <w:tcW w:w="2790" w:type="dxa"/>
            <w:vAlign w:val="center"/>
          </w:tcPr>
          <w:p w14:paraId="4D083512"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Medicare</w:t>
            </w:r>
          </w:p>
        </w:tc>
        <w:tc>
          <w:tcPr>
            <w:tcW w:w="1845" w:type="dxa"/>
            <w:tcBorders>
              <w:top w:val="single" w:sz="4" w:space="0" w:color="auto"/>
              <w:bottom w:val="single" w:sz="4" w:space="0" w:color="auto"/>
              <w:right w:val="single" w:sz="4" w:space="0" w:color="auto"/>
            </w:tcBorders>
            <w:vAlign w:val="center"/>
          </w:tcPr>
          <w:p w14:paraId="4EE8DD43"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41%</w:t>
            </w:r>
          </w:p>
        </w:tc>
        <w:tc>
          <w:tcPr>
            <w:tcW w:w="1845" w:type="dxa"/>
            <w:tcBorders>
              <w:top w:val="single" w:sz="4" w:space="0" w:color="auto"/>
              <w:left w:val="single" w:sz="4" w:space="0" w:color="auto"/>
              <w:bottom w:val="single" w:sz="4" w:space="0" w:color="auto"/>
              <w:right w:val="single" w:sz="4" w:space="0" w:color="auto"/>
            </w:tcBorders>
            <w:vAlign w:val="center"/>
          </w:tcPr>
          <w:p w14:paraId="567D387E"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41%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ED1BDB"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42%</w:t>
            </w:r>
          </w:p>
        </w:tc>
      </w:tr>
      <w:tr w:rsidR="00EA1E6D" w:rsidRPr="009F7193" w14:paraId="4E651391" w14:textId="77777777" w:rsidTr="00782925">
        <w:trPr>
          <w:cantSplit/>
        </w:trPr>
        <w:tc>
          <w:tcPr>
            <w:tcW w:w="2790" w:type="dxa"/>
            <w:vAlign w:val="center"/>
          </w:tcPr>
          <w:p w14:paraId="28D85C1E"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Medicare Advantage</w:t>
            </w:r>
          </w:p>
        </w:tc>
        <w:tc>
          <w:tcPr>
            <w:tcW w:w="1845" w:type="dxa"/>
            <w:tcBorders>
              <w:top w:val="single" w:sz="4" w:space="0" w:color="auto"/>
              <w:bottom w:val="single" w:sz="4" w:space="0" w:color="auto"/>
              <w:right w:val="single" w:sz="4" w:space="0" w:color="auto"/>
            </w:tcBorders>
            <w:vAlign w:val="center"/>
          </w:tcPr>
          <w:p w14:paraId="0F52BBF9"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74020776"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14%</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E52910"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14%</w:t>
            </w:r>
          </w:p>
        </w:tc>
      </w:tr>
      <w:tr w:rsidR="00EA1E6D" w:rsidRPr="009F7193" w14:paraId="0D57F105" w14:textId="77777777" w:rsidTr="00782925">
        <w:trPr>
          <w:cantSplit/>
        </w:trPr>
        <w:tc>
          <w:tcPr>
            <w:tcW w:w="2790" w:type="dxa"/>
            <w:vAlign w:val="center"/>
          </w:tcPr>
          <w:p w14:paraId="16AC89D4" w14:textId="77777777" w:rsidR="00EA1E6D" w:rsidRPr="009F7193" w:rsidRDefault="00EA1E6D" w:rsidP="009B300B">
            <w:pPr>
              <w:pStyle w:val="ListParagraph"/>
              <w:ind w:left="0"/>
              <w:rPr>
                <w:rFonts w:asciiTheme="minorHAnsi" w:hAnsiTheme="minorHAnsi" w:cstheme="majorHAnsi"/>
                <w:sz w:val="20"/>
                <w:szCs w:val="20"/>
              </w:rPr>
            </w:pPr>
            <w:r w:rsidRPr="009F7193">
              <w:rPr>
                <w:rFonts w:asciiTheme="minorHAnsi" w:hAnsiTheme="minorHAnsi" w:cstheme="majorHAnsi"/>
                <w:sz w:val="20"/>
                <w:szCs w:val="20"/>
              </w:rPr>
              <w:t>Other</w:t>
            </w:r>
          </w:p>
        </w:tc>
        <w:tc>
          <w:tcPr>
            <w:tcW w:w="1845" w:type="dxa"/>
            <w:tcBorders>
              <w:top w:val="single" w:sz="4" w:space="0" w:color="auto"/>
              <w:bottom w:val="single" w:sz="4" w:space="0" w:color="auto"/>
              <w:right w:val="single" w:sz="4" w:space="0" w:color="auto"/>
            </w:tcBorders>
            <w:vAlign w:val="center"/>
          </w:tcPr>
          <w:p w14:paraId="74304FEC"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7C76FCA1" w14:textId="77777777" w:rsidR="00EA1E6D" w:rsidRPr="009F7193" w:rsidRDefault="00EA1E6D" w:rsidP="009B300B">
            <w:pPr>
              <w:pStyle w:val="ListParagraph"/>
              <w:ind w:left="0"/>
              <w:jc w:val="center"/>
              <w:rPr>
                <w:rFonts w:asciiTheme="minorHAnsi" w:hAnsiTheme="minorHAnsi" w:cstheme="majorHAnsi"/>
                <w:sz w:val="20"/>
                <w:szCs w:val="20"/>
              </w:rPr>
            </w:pPr>
            <w:r w:rsidRPr="009F7193">
              <w:rPr>
                <w:rFonts w:ascii="Aptos" w:hAnsi="Aptos"/>
                <w:color w:val="000000"/>
                <w:sz w:val="20"/>
                <w:szCs w:val="20"/>
              </w:rPr>
              <w:t>5%</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C69BE7" w14:textId="77777777" w:rsidR="00EA1E6D" w:rsidRPr="009F7193" w:rsidRDefault="00EA1E6D" w:rsidP="009B300B">
            <w:pPr>
              <w:pStyle w:val="ListParagraph"/>
              <w:ind w:left="0"/>
              <w:jc w:val="center"/>
              <w:rPr>
                <w:rFonts w:asciiTheme="minorHAnsi" w:hAnsiTheme="minorHAnsi" w:cstheme="majorHAnsi"/>
                <w:color w:val="000000"/>
                <w:sz w:val="20"/>
                <w:szCs w:val="20"/>
              </w:rPr>
            </w:pPr>
            <w:r w:rsidRPr="009F7193">
              <w:rPr>
                <w:rFonts w:asciiTheme="minorHAnsi" w:hAnsiTheme="minorHAnsi" w:cstheme="majorHAnsi"/>
                <w:color w:val="000000"/>
                <w:sz w:val="20"/>
                <w:szCs w:val="20"/>
              </w:rPr>
              <w:t>5%</w:t>
            </w:r>
          </w:p>
        </w:tc>
      </w:tr>
      <w:tr w:rsidR="00EA1E6D" w:rsidRPr="009F7193" w14:paraId="12D02582" w14:textId="77777777" w:rsidTr="00782925">
        <w:trPr>
          <w:cantSplit/>
        </w:trPr>
        <w:tc>
          <w:tcPr>
            <w:tcW w:w="2790" w:type="dxa"/>
            <w:shd w:val="clear" w:color="auto" w:fill="DAE9F7" w:themeFill="text2" w:themeFillTint="1A"/>
            <w:vAlign w:val="center"/>
          </w:tcPr>
          <w:p w14:paraId="01C6094A" w14:textId="77777777" w:rsidR="00EA1E6D" w:rsidRPr="009F7193" w:rsidRDefault="00EA1E6D" w:rsidP="009B300B">
            <w:pPr>
              <w:pStyle w:val="ListParagraph"/>
              <w:ind w:left="0"/>
              <w:rPr>
                <w:rFonts w:asciiTheme="minorHAnsi" w:hAnsiTheme="minorHAnsi" w:cstheme="majorHAnsi"/>
                <w:b/>
                <w:bCs/>
                <w:sz w:val="20"/>
                <w:szCs w:val="20"/>
              </w:rPr>
            </w:pPr>
            <w:r w:rsidRPr="009F7193">
              <w:rPr>
                <w:rFonts w:asciiTheme="minorHAnsi" w:hAnsiTheme="minorHAnsi" w:cstheme="majorHAnsi"/>
                <w:b/>
                <w:bCs/>
                <w:sz w:val="20"/>
                <w:szCs w:val="20"/>
              </w:rPr>
              <w:t>TOTAL</w:t>
            </w:r>
          </w:p>
        </w:tc>
        <w:tc>
          <w:tcPr>
            <w:tcW w:w="1845" w:type="dxa"/>
            <w:tcBorders>
              <w:top w:val="single" w:sz="4" w:space="0" w:color="auto"/>
            </w:tcBorders>
            <w:shd w:val="clear" w:color="auto" w:fill="DAE9F7" w:themeFill="text2" w:themeFillTint="1A"/>
            <w:vAlign w:val="bottom"/>
          </w:tcPr>
          <w:p w14:paraId="255EFF67"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Aptos Narrow" w:hAnsi="Aptos Narrow"/>
                <w:b/>
                <w:bCs/>
                <w:sz w:val="20"/>
                <w:szCs w:val="20"/>
              </w:rPr>
              <w:t>100%</w:t>
            </w:r>
          </w:p>
        </w:tc>
        <w:tc>
          <w:tcPr>
            <w:tcW w:w="1845" w:type="dxa"/>
            <w:tcBorders>
              <w:top w:val="single" w:sz="4" w:space="0" w:color="auto"/>
            </w:tcBorders>
            <w:shd w:val="clear" w:color="auto" w:fill="DAE9F7" w:themeFill="text2" w:themeFillTint="1A"/>
            <w:vAlign w:val="center"/>
          </w:tcPr>
          <w:p w14:paraId="4878C9A4"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Theme="minorHAnsi" w:hAnsiTheme="minorHAnsi" w:cstheme="majorHAnsi"/>
                <w:b/>
                <w:bCs/>
                <w:sz w:val="20"/>
                <w:szCs w:val="20"/>
              </w:rPr>
              <w:t>100%</w:t>
            </w:r>
          </w:p>
        </w:tc>
        <w:tc>
          <w:tcPr>
            <w:tcW w:w="1845" w:type="dxa"/>
            <w:tcBorders>
              <w:top w:val="single" w:sz="4" w:space="0" w:color="auto"/>
            </w:tcBorders>
            <w:shd w:val="clear" w:color="auto" w:fill="DAE9F7" w:themeFill="text2" w:themeFillTint="1A"/>
            <w:vAlign w:val="center"/>
          </w:tcPr>
          <w:p w14:paraId="5CDC8466" w14:textId="77777777" w:rsidR="00EA1E6D" w:rsidRPr="009F7193" w:rsidRDefault="00EA1E6D" w:rsidP="009B300B">
            <w:pPr>
              <w:pStyle w:val="ListParagraph"/>
              <w:ind w:left="0"/>
              <w:jc w:val="center"/>
              <w:rPr>
                <w:rFonts w:asciiTheme="minorHAnsi" w:hAnsiTheme="minorHAnsi" w:cstheme="majorHAnsi"/>
                <w:b/>
                <w:bCs/>
                <w:sz w:val="20"/>
                <w:szCs w:val="20"/>
              </w:rPr>
            </w:pPr>
            <w:r w:rsidRPr="009F7193">
              <w:rPr>
                <w:rFonts w:asciiTheme="minorHAnsi" w:hAnsiTheme="minorHAnsi" w:cstheme="majorHAnsi"/>
                <w:b/>
                <w:bCs/>
                <w:sz w:val="20"/>
                <w:szCs w:val="20"/>
              </w:rPr>
              <w:t>100%</w:t>
            </w:r>
          </w:p>
        </w:tc>
      </w:tr>
    </w:tbl>
    <w:p w14:paraId="563BA7A5" w14:textId="77777777" w:rsidR="00EA1E6D" w:rsidRPr="009F7193" w:rsidRDefault="00EA1E6D" w:rsidP="00EA1E6D">
      <w:pPr>
        <w:jc w:val="both"/>
        <w:rPr>
          <w:rFonts w:asciiTheme="minorHAnsi" w:eastAsia="Verdana" w:hAnsiTheme="minorHAnsi" w:cs="Arial"/>
          <w:sz w:val="22"/>
          <w:szCs w:val="22"/>
        </w:rPr>
      </w:pPr>
    </w:p>
    <w:p w14:paraId="499B405B" w14:textId="77777777" w:rsidR="00EA1E6D" w:rsidRPr="009F7193" w:rsidRDefault="00EA1E6D" w:rsidP="00EA1E6D">
      <w:pPr>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br w:type="page"/>
      </w:r>
    </w:p>
    <w:p w14:paraId="6400AD9C" w14:textId="77777777" w:rsidR="00EA1E6D" w:rsidRPr="009F7193" w:rsidRDefault="00EA1E6D" w:rsidP="00EA1E6D">
      <w:pPr>
        <w:jc w:val="both"/>
        <w:rPr>
          <w:rFonts w:asciiTheme="minorHAnsi" w:eastAsia="Verdana" w:hAnsiTheme="minorHAnsi" w:cs="Arial"/>
          <w:sz w:val="22"/>
          <w:szCs w:val="22"/>
        </w:rPr>
      </w:pPr>
    </w:p>
    <w:p w14:paraId="09112F9D" w14:textId="77777777" w:rsidR="00EA1E6D" w:rsidRPr="009F7193" w:rsidRDefault="00EA1E6D" w:rsidP="00EA1E6D">
      <w:pPr>
        <w:pStyle w:val="ListParagraph"/>
        <w:numPr>
          <w:ilvl w:val="0"/>
          <w:numId w:val="3"/>
        </w:numPr>
        <w:spacing w:after="120"/>
        <w:contextualSpacing w:val="0"/>
        <w:jc w:val="both"/>
        <w:rPr>
          <w:rFonts w:asciiTheme="minorHAnsi" w:hAnsiTheme="minorHAnsi" w:cs="Arial"/>
          <w:color w:val="000000" w:themeColor="text1"/>
          <w:sz w:val="22"/>
          <w:szCs w:val="22"/>
        </w:rPr>
      </w:pPr>
      <w:r w:rsidRPr="009F7193">
        <w:rPr>
          <w:rFonts w:asciiTheme="minorHAnsi" w:hAnsiTheme="minorHAnsi" w:cs="Arial"/>
          <w:color w:val="000000" w:themeColor="text1"/>
          <w:sz w:val="22"/>
          <w:szCs w:val="22"/>
          <w:u w:val="single"/>
        </w:rPr>
        <w:t>Cape Cod Hospital MRI Patients</w:t>
      </w:r>
    </w:p>
    <w:p w14:paraId="735C49C3" w14:textId="262DDC18" w:rsidR="00EA1E6D" w:rsidRPr="009F7193" w:rsidRDefault="00EA1E6D" w:rsidP="00EA1E6D">
      <w:pPr>
        <w:jc w:val="both"/>
        <w:rPr>
          <w:rFonts w:asciiTheme="minorHAnsi" w:hAnsiTheme="minorHAnsi" w:cs="Arial"/>
          <w:color w:val="000000" w:themeColor="text1"/>
          <w:sz w:val="22"/>
          <w:szCs w:val="22"/>
        </w:rPr>
      </w:pPr>
      <w:r w:rsidRPr="009F7193">
        <w:rPr>
          <w:rFonts w:asciiTheme="minorHAnsi" w:hAnsiTheme="minorHAnsi" w:cs="Arial"/>
          <w:color w:val="000000" w:themeColor="text1"/>
          <w:sz w:val="22"/>
          <w:szCs w:val="22"/>
        </w:rPr>
        <w:t xml:space="preserve">Approximately 60% of the Hospital’s MRI Patient Panel were female and 40% were male, with less than 1% identifying as another gender or unknown. MRI patients skewed older than </w:t>
      </w:r>
      <w:r w:rsidR="00F12784">
        <w:rPr>
          <w:rFonts w:asciiTheme="minorHAnsi" w:hAnsiTheme="minorHAnsi" w:cs="Arial"/>
          <w:color w:val="000000" w:themeColor="text1"/>
          <w:sz w:val="22"/>
          <w:szCs w:val="22"/>
        </w:rPr>
        <w:t xml:space="preserve">the </w:t>
      </w:r>
      <w:r w:rsidRPr="009F7193">
        <w:rPr>
          <w:rFonts w:asciiTheme="minorHAnsi" w:hAnsiTheme="minorHAnsi" w:cs="Arial"/>
          <w:color w:val="000000" w:themeColor="text1"/>
          <w:sz w:val="22"/>
          <w:szCs w:val="22"/>
        </w:rPr>
        <w:t xml:space="preserve">Hospital </w:t>
      </w:r>
      <w:r w:rsidR="00F12784">
        <w:rPr>
          <w:rFonts w:asciiTheme="minorHAnsi" w:hAnsiTheme="minorHAnsi" w:cs="Arial"/>
          <w:color w:val="000000" w:themeColor="text1"/>
          <w:sz w:val="22"/>
          <w:szCs w:val="22"/>
        </w:rPr>
        <w:t>and the</w:t>
      </w:r>
      <w:r w:rsidRPr="009F7193">
        <w:rPr>
          <w:rFonts w:asciiTheme="minorHAnsi" w:hAnsiTheme="minorHAnsi" w:cs="Arial"/>
          <w:color w:val="000000" w:themeColor="text1"/>
          <w:sz w:val="22"/>
          <w:szCs w:val="22"/>
        </w:rPr>
        <w:t xml:space="preserve"> </w:t>
      </w:r>
      <w:r w:rsidR="00F12784">
        <w:rPr>
          <w:rFonts w:asciiTheme="minorHAnsi" w:hAnsiTheme="minorHAnsi" w:cs="Arial"/>
          <w:color w:val="000000" w:themeColor="text1"/>
          <w:sz w:val="22"/>
          <w:szCs w:val="22"/>
        </w:rPr>
        <w:t>Applicant’s</w:t>
      </w:r>
      <w:r w:rsidRPr="009F7193">
        <w:rPr>
          <w:rFonts w:asciiTheme="minorHAnsi" w:hAnsiTheme="minorHAnsi" w:cs="Arial"/>
          <w:color w:val="000000" w:themeColor="text1"/>
          <w:sz w:val="22"/>
          <w:szCs w:val="22"/>
        </w:rPr>
        <w:t xml:space="preserve"> patients overall, with the largest proportion of patients </w:t>
      </w:r>
      <w:proofErr w:type="gramStart"/>
      <w:r w:rsidRPr="009F7193">
        <w:rPr>
          <w:rFonts w:asciiTheme="minorHAnsi" w:hAnsiTheme="minorHAnsi" w:cs="Arial"/>
          <w:color w:val="000000" w:themeColor="text1"/>
          <w:sz w:val="22"/>
          <w:szCs w:val="22"/>
        </w:rPr>
        <w:t>were aged</w:t>
      </w:r>
      <w:proofErr w:type="gramEnd"/>
      <w:r w:rsidRPr="009F7193">
        <w:rPr>
          <w:rFonts w:asciiTheme="minorHAnsi" w:hAnsiTheme="minorHAnsi" w:cs="Arial"/>
          <w:color w:val="000000" w:themeColor="text1"/>
          <w:sz w:val="22"/>
          <w:szCs w:val="22"/>
        </w:rPr>
        <w:t xml:space="preserve"> 65 and older, accounting for 59% of the panel. Patients aged 45-64 made up 28%, those aged 18-44 comprised 11%, and just 1% were under the age of 18. </w:t>
      </w:r>
    </w:p>
    <w:p w14:paraId="3686B2BB" w14:textId="77777777" w:rsidR="00EA1E6D" w:rsidRPr="009F7193" w:rsidRDefault="00EA1E6D" w:rsidP="00EA1E6D">
      <w:pPr>
        <w:jc w:val="both"/>
        <w:rPr>
          <w:rFonts w:asciiTheme="minorHAnsi" w:eastAsia="Verdana" w:hAnsiTheme="minorHAnsi" w:cs="Arial"/>
          <w:sz w:val="22"/>
          <w:szCs w:val="22"/>
        </w:rPr>
      </w:pPr>
    </w:p>
    <w:p w14:paraId="68837132" w14:textId="77777777" w:rsidR="00EA1E6D" w:rsidRPr="009F7193" w:rsidRDefault="00EA1E6D" w:rsidP="00EA1E6D">
      <w:pPr>
        <w:jc w:val="both"/>
        <w:rPr>
          <w:rFonts w:asciiTheme="minorHAnsi" w:eastAsia="Verdana" w:hAnsiTheme="minorHAnsi" w:cs="Arial"/>
          <w:b/>
          <w:bCs/>
          <w:sz w:val="22"/>
          <w:szCs w:val="22"/>
        </w:rPr>
        <w:sectPr w:rsidR="00EA1E6D" w:rsidRPr="009F7193" w:rsidSect="00EA1E6D">
          <w:pgSz w:w="12240" w:h="15840"/>
          <w:pgMar w:top="1440" w:right="1440" w:bottom="1440" w:left="1440" w:header="720" w:footer="720" w:gutter="0"/>
          <w:cols w:space="720"/>
          <w:docGrid w:linePitch="360"/>
        </w:sectPr>
      </w:pPr>
    </w:p>
    <w:p w14:paraId="159A6D06" w14:textId="77777777" w:rsidR="00EA1E6D" w:rsidRPr="009F7193" w:rsidRDefault="00EA1E6D" w:rsidP="006F6593">
      <w:pPr>
        <w:spacing w:after="120"/>
        <w:ind w:firstLine="180"/>
        <w:jc w:val="both"/>
        <w:rPr>
          <w:rFonts w:asciiTheme="minorHAnsi" w:eastAsia="Verdana" w:hAnsiTheme="minorHAnsi" w:cs="Arial"/>
          <w:b/>
          <w:bCs/>
          <w:sz w:val="22"/>
          <w:szCs w:val="22"/>
        </w:rPr>
      </w:pPr>
      <w:r w:rsidRPr="009F7193">
        <w:rPr>
          <w:rFonts w:asciiTheme="minorHAnsi" w:eastAsia="Verdana" w:hAnsiTheme="minorHAnsi" w:cs="Arial"/>
          <w:b/>
          <w:bCs/>
          <w:sz w:val="22"/>
          <w:szCs w:val="22"/>
        </w:rPr>
        <w:lastRenderedPageBreak/>
        <w:t xml:space="preserve">Table 7: Cape Cod Hospital MRI Patient Demographics </w:t>
      </w:r>
    </w:p>
    <w:tbl>
      <w:tblPr>
        <w:tblW w:w="124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380"/>
        <w:gridCol w:w="1380"/>
        <w:gridCol w:w="1380"/>
        <w:gridCol w:w="1380"/>
        <w:gridCol w:w="1380"/>
        <w:gridCol w:w="1380"/>
      </w:tblGrid>
      <w:tr w:rsidR="00EA1E6D" w:rsidRPr="009F7193" w14:paraId="348A2E7F" w14:textId="77777777" w:rsidTr="004C690A">
        <w:trPr>
          <w:cantSplit/>
          <w:trHeight w:val="300"/>
          <w:tblHeader/>
        </w:trPr>
        <w:tc>
          <w:tcPr>
            <w:tcW w:w="4135" w:type="dxa"/>
            <w:shd w:val="clear" w:color="auto" w:fill="156082" w:themeFill="accent1"/>
            <w:noWrap/>
            <w:vAlign w:val="center"/>
            <w:hideMark/>
          </w:tcPr>
          <w:p w14:paraId="60553B32" w14:textId="77777777" w:rsidR="00EA1E6D" w:rsidRPr="008D20AD" w:rsidRDefault="00EA1E6D" w:rsidP="009B300B">
            <w:pPr>
              <w:contextualSpacing/>
              <w:jc w:val="center"/>
              <w:rPr>
                <w:rFonts w:asciiTheme="minorHAnsi" w:hAnsiTheme="minorHAnsi" w:cstheme="majorHAnsi"/>
                <w:b/>
                <w:bCs/>
                <w:color w:val="000000"/>
                <w:sz w:val="20"/>
                <w:szCs w:val="20"/>
              </w:rPr>
            </w:pPr>
          </w:p>
        </w:tc>
        <w:tc>
          <w:tcPr>
            <w:tcW w:w="1380" w:type="dxa"/>
            <w:shd w:val="clear" w:color="auto" w:fill="156082" w:themeFill="accent1"/>
            <w:vAlign w:val="center"/>
          </w:tcPr>
          <w:p w14:paraId="40CCD9F6"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FY23 (n)</w:t>
            </w:r>
          </w:p>
        </w:tc>
        <w:tc>
          <w:tcPr>
            <w:tcW w:w="1380" w:type="dxa"/>
            <w:shd w:val="clear" w:color="auto" w:fill="156082" w:themeFill="accent1"/>
            <w:vAlign w:val="center"/>
          </w:tcPr>
          <w:p w14:paraId="0DD28252"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FY23 (%)</w:t>
            </w:r>
          </w:p>
        </w:tc>
        <w:tc>
          <w:tcPr>
            <w:tcW w:w="1380" w:type="dxa"/>
            <w:shd w:val="clear" w:color="auto" w:fill="156082" w:themeFill="accent1"/>
            <w:vAlign w:val="center"/>
          </w:tcPr>
          <w:p w14:paraId="5FDE2FFF"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FY24 (n)</w:t>
            </w:r>
          </w:p>
        </w:tc>
        <w:tc>
          <w:tcPr>
            <w:tcW w:w="1380" w:type="dxa"/>
            <w:shd w:val="clear" w:color="auto" w:fill="156082" w:themeFill="accent1"/>
            <w:vAlign w:val="center"/>
          </w:tcPr>
          <w:p w14:paraId="69E429EB"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FY24 (%)</w:t>
            </w:r>
          </w:p>
        </w:tc>
        <w:tc>
          <w:tcPr>
            <w:tcW w:w="1380" w:type="dxa"/>
            <w:shd w:val="clear" w:color="auto" w:fill="156082" w:themeFill="accent1"/>
            <w:vAlign w:val="center"/>
          </w:tcPr>
          <w:p w14:paraId="712905DE"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FY25 (n)</w:t>
            </w:r>
          </w:p>
        </w:tc>
        <w:tc>
          <w:tcPr>
            <w:tcW w:w="1380" w:type="dxa"/>
            <w:shd w:val="clear" w:color="auto" w:fill="156082" w:themeFill="accent1"/>
            <w:vAlign w:val="center"/>
          </w:tcPr>
          <w:p w14:paraId="4DD30C42"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FFFFFF" w:themeColor="background1"/>
                <w:sz w:val="20"/>
                <w:szCs w:val="20"/>
              </w:rPr>
              <w:t>FY25 (%)</w:t>
            </w:r>
          </w:p>
        </w:tc>
      </w:tr>
      <w:tr w:rsidR="00EA1E6D" w:rsidRPr="009F7193" w14:paraId="680AECD8" w14:textId="77777777" w:rsidTr="004C690A">
        <w:trPr>
          <w:cantSplit/>
          <w:trHeight w:val="300"/>
        </w:trPr>
        <w:tc>
          <w:tcPr>
            <w:tcW w:w="4135" w:type="dxa"/>
            <w:shd w:val="clear" w:color="auto" w:fill="DAE9F7" w:themeFill="text2" w:themeFillTint="1A"/>
            <w:noWrap/>
            <w:vAlign w:val="center"/>
            <w:hideMark/>
          </w:tcPr>
          <w:p w14:paraId="342694E8" w14:textId="77777777" w:rsidR="00EA1E6D" w:rsidRPr="008D20AD" w:rsidRDefault="00EA1E6D" w:rsidP="009B300B">
            <w:pPr>
              <w:contextualSpacing/>
              <w:rPr>
                <w:rFonts w:asciiTheme="minorHAnsi" w:hAnsiTheme="minorHAnsi" w:cstheme="majorHAnsi"/>
                <w:b/>
                <w:bCs/>
                <w:color w:val="000000"/>
                <w:sz w:val="20"/>
                <w:szCs w:val="20"/>
              </w:rPr>
            </w:pPr>
            <w:r w:rsidRPr="008D20AD">
              <w:rPr>
                <w:rFonts w:asciiTheme="minorHAnsi" w:hAnsiTheme="minorHAnsi" w:cstheme="majorHAnsi"/>
                <w:b/>
                <w:bCs/>
                <w:color w:val="000000"/>
                <w:sz w:val="20"/>
                <w:szCs w:val="20"/>
              </w:rPr>
              <w:t>Unique Patients</w:t>
            </w:r>
          </w:p>
        </w:tc>
        <w:tc>
          <w:tcPr>
            <w:tcW w:w="1380" w:type="dxa"/>
            <w:shd w:val="clear" w:color="auto" w:fill="DAE9F7" w:themeFill="text2" w:themeFillTint="1A"/>
            <w:noWrap/>
            <w:vAlign w:val="center"/>
          </w:tcPr>
          <w:p w14:paraId="472B48CB"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Calibri Light"/>
                <w:b/>
                <w:bCs/>
                <w:color w:val="000000"/>
                <w:sz w:val="20"/>
                <w:szCs w:val="20"/>
              </w:rPr>
              <w:t xml:space="preserve">11,794 </w:t>
            </w:r>
          </w:p>
        </w:tc>
        <w:tc>
          <w:tcPr>
            <w:tcW w:w="1380" w:type="dxa"/>
            <w:shd w:val="clear" w:color="auto" w:fill="DAE9F7" w:themeFill="text2" w:themeFillTint="1A"/>
            <w:noWrap/>
            <w:vAlign w:val="center"/>
          </w:tcPr>
          <w:p w14:paraId="62947CA5"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Calibri Light"/>
                <w:b/>
                <w:bCs/>
                <w:color w:val="000000"/>
                <w:sz w:val="20"/>
                <w:szCs w:val="20"/>
              </w:rPr>
              <w:t>100%</w:t>
            </w:r>
          </w:p>
        </w:tc>
        <w:tc>
          <w:tcPr>
            <w:tcW w:w="1380" w:type="dxa"/>
            <w:shd w:val="clear" w:color="auto" w:fill="DAE9F7" w:themeFill="text2" w:themeFillTint="1A"/>
            <w:noWrap/>
            <w:vAlign w:val="center"/>
          </w:tcPr>
          <w:p w14:paraId="757EAB2B"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Calibri Light"/>
                <w:b/>
                <w:bCs/>
                <w:color w:val="000000"/>
                <w:sz w:val="20"/>
                <w:szCs w:val="20"/>
              </w:rPr>
              <w:t xml:space="preserve">12,447 </w:t>
            </w:r>
          </w:p>
        </w:tc>
        <w:tc>
          <w:tcPr>
            <w:tcW w:w="1380" w:type="dxa"/>
            <w:shd w:val="clear" w:color="auto" w:fill="DAE9F7" w:themeFill="text2" w:themeFillTint="1A"/>
            <w:noWrap/>
            <w:vAlign w:val="center"/>
          </w:tcPr>
          <w:p w14:paraId="177979AC"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Calibri Light"/>
                <w:b/>
                <w:bCs/>
                <w:color w:val="000000"/>
                <w:sz w:val="20"/>
                <w:szCs w:val="20"/>
              </w:rPr>
              <w:t>100%</w:t>
            </w:r>
          </w:p>
        </w:tc>
        <w:tc>
          <w:tcPr>
            <w:tcW w:w="1380" w:type="dxa"/>
            <w:shd w:val="clear" w:color="auto" w:fill="DAE9F7" w:themeFill="text2" w:themeFillTint="1A"/>
            <w:vAlign w:val="center"/>
          </w:tcPr>
          <w:p w14:paraId="2A3D8870"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000000"/>
                <w:sz w:val="20"/>
                <w:szCs w:val="20"/>
              </w:rPr>
              <w:t>12,922</w:t>
            </w:r>
          </w:p>
        </w:tc>
        <w:tc>
          <w:tcPr>
            <w:tcW w:w="1380" w:type="dxa"/>
            <w:shd w:val="clear" w:color="auto" w:fill="DAE9F7" w:themeFill="text2" w:themeFillTint="1A"/>
            <w:vAlign w:val="center"/>
          </w:tcPr>
          <w:p w14:paraId="15A7F912" w14:textId="77777777" w:rsidR="00EA1E6D" w:rsidRPr="008D20AD" w:rsidRDefault="00EA1E6D" w:rsidP="009B300B">
            <w:pPr>
              <w:contextualSpacing/>
              <w:jc w:val="center"/>
              <w:rPr>
                <w:rFonts w:asciiTheme="minorHAnsi" w:hAnsiTheme="minorHAnsi" w:cstheme="majorHAnsi"/>
                <w:b/>
                <w:bCs/>
                <w:color w:val="000000"/>
                <w:sz w:val="20"/>
                <w:szCs w:val="20"/>
              </w:rPr>
            </w:pPr>
            <w:r w:rsidRPr="008D20AD">
              <w:rPr>
                <w:rFonts w:asciiTheme="minorHAnsi" w:hAnsiTheme="minorHAnsi" w:cstheme="majorHAnsi"/>
                <w:b/>
                <w:bCs/>
                <w:color w:val="000000"/>
                <w:sz w:val="20"/>
                <w:szCs w:val="20"/>
              </w:rPr>
              <w:t>100%</w:t>
            </w:r>
          </w:p>
        </w:tc>
      </w:tr>
      <w:tr w:rsidR="00EA1E6D" w:rsidRPr="009F7193" w14:paraId="4C6B85D3" w14:textId="77777777" w:rsidTr="004C690A">
        <w:trPr>
          <w:cantSplit/>
          <w:trHeight w:val="290"/>
        </w:trPr>
        <w:tc>
          <w:tcPr>
            <w:tcW w:w="4135" w:type="dxa"/>
            <w:noWrap/>
            <w:vAlign w:val="center"/>
            <w:hideMark/>
          </w:tcPr>
          <w:p w14:paraId="062D1B59"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Gender: Male</w:t>
            </w:r>
          </w:p>
        </w:tc>
        <w:tc>
          <w:tcPr>
            <w:tcW w:w="1380" w:type="dxa"/>
            <w:noWrap/>
            <w:vAlign w:val="center"/>
          </w:tcPr>
          <w:p w14:paraId="0B7EE8FF"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4,835 </w:t>
            </w:r>
          </w:p>
        </w:tc>
        <w:tc>
          <w:tcPr>
            <w:tcW w:w="1380" w:type="dxa"/>
            <w:noWrap/>
            <w:vAlign w:val="center"/>
          </w:tcPr>
          <w:p w14:paraId="1EBD32F0"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41%</w:t>
            </w:r>
          </w:p>
        </w:tc>
        <w:tc>
          <w:tcPr>
            <w:tcW w:w="1380" w:type="dxa"/>
            <w:noWrap/>
            <w:vAlign w:val="center"/>
          </w:tcPr>
          <w:p w14:paraId="5B57F2C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4,964 </w:t>
            </w:r>
          </w:p>
        </w:tc>
        <w:tc>
          <w:tcPr>
            <w:tcW w:w="1380" w:type="dxa"/>
            <w:noWrap/>
            <w:vAlign w:val="center"/>
          </w:tcPr>
          <w:p w14:paraId="5809DB7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40%</w:t>
            </w:r>
          </w:p>
        </w:tc>
        <w:tc>
          <w:tcPr>
            <w:tcW w:w="1380" w:type="dxa"/>
            <w:shd w:val="clear" w:color="auto" w:fill="FFFFFF" w:themeFill="background1"/>
            <w:vAlign w:val="center"/>
          </w:tcPr>
          <w:p w14:paraId="0D34506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5,075</w:t>
            </w:r>
          </w:p>
        </w:tc>
        <w:tc>
          <w:tcPr>
            <w:tcW w:w="1380" w:type="dxa"/>
            <w:shd w:val="clear" w:color="auto" w:fill="FFFFFF" w:themeFill="background1"/>
            <w:vAlign w:val="center"/>
          </w:tcPr>
          <w:p w14:paraId="2AFD246F"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40%</w:t>
            </w:r>
          </w:p>
        </w:tc>
      </w:tr>
      <w:tr w:rsidR="00EA1E6D" w:rsidRPr="009F7193" w14:paraId="51D9FEBD" w14:textId="77777777" w:rsidTr="004C690A">
        <w:trPr>
          <w:cantSplit/>
          <w:trHeight w:val="290"/>
        </w:trPr>
        <w:tc>
          <w:tcPr>
            <w:tcW w:w="4135" w:type="dxa"/>
            <w:noWrap/>
            <w:vAlign w:val="center"/>
            <w:hideMark/>
          </w:tcPr>
          <w:p w14:paraId="53F9BEC7" w14:textId="3D4F962C"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Gender: Female</w:t>
            </w:r>
            <w:r w:rsidR="008D20AD" w:rsidRPr="008D20AD">
              <w:rPr>
                <w:rStyle w:val="FootnoteReference"/>
                <w:rFonts w:asciiTheme="minorHAnsi" w:hAnsiTheme="minorHAnsi" w:cstheme="majorHAnsi"/>
                <w:color w:val="000000"/>
                <w:sz w:val="20"/>
                <w:szCs w:val="20"/>
              </w:rPr>
              <w:footnoteReference w:id="1"/>
            </w:r>
          </w:p>
        </w:tc>
        <w:tc>
          <w:tcPr>
            <w:tcW w:w="1380" w:type="dxa"/>
            <w:noWrap/>
            <w:vAlign w:val="center"/>
          </w:tcPr>
          <w:p w14:paraId="2F18AAF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6,958 </w:t>
            </w:r>
          </w:p>
        </w:tc>
        <w:tc>
          <w:tcPr>
            <w:tcW w:w="1380" w:type="dxa"/>
            <w:noWrap/>
            <w:vAlign w:val="center"/>
          </w:tcPr>
          <w:p w14:paraId="6062A070"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59%</w:t>
            </w:r>
          </w:p>
        </w:tc>
        <w:tc>
          <w:tcPr>
            <w:tcW w:w="1380" w:type="dxa"/>
            <w:noWrap/>
            <w:vAlign w:val="center"/>
          </w:tcPr>
          <w:p w14:paraId="42B1CE1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7,475 </w:t>
            </w:r>
          </w:p>
        </w:tc>
        <w:tc>
          <w:tcPr>
            <w:tcW w:w="1380" w:type="dxa"/>
            <w:noWrap/>
            <w:vAlign w:val="center"/>
          </w:tcPr>
          <w:p w14:paraId="3A3B32CD"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60%</w:t>
            </w:r>
          </w:p>
        </w:tc>
        <w:tc>
          <w:tcPr>
            <w:tcW w:w="1380" w:type="dxa"/>
            <w:shd w:val="clear" w:color="auto" w:fill="FFFFFF" w:themeFill="background1"/>
            <w:vAlign w:val="center"/>
          </w:tcPr>
          <w:p w14:paraId="0C18A709"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7,833</w:t>
            </w:r>
          </w:p>
        </w:tc>
        <w:tc>
          <w:tcPr>
            <w:tcW w:w="1380" w:type="dxa"/>
            <w:shd w:val="clear" w:color="auto" w:fill="FFFFFF" w:themeFill="background1"/>
            <w:vAlign w:val="center"/>
          </w:tcPr>
          <w:p w14:paraId="28CCBF7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60%</w:t>
            </w:r>
          </w:p>
        </w:tc>
      </w:tr>
      <w:tr w:rsidR="00EA1E6D" w:rsidRPr="009F7193" w14:paraId="5011B9E7" w14:textId="77777777" w:rsidTr="004C690A">
        <w:trPr>
          <w:cantSplit/>
          <w:trHeight w:val="290"/>
        </w:trPr>
        <w:tc>
          <w:tcPr>
            <w:tcW w:w="4135" w:type="dxa"/>
            <w:noWrap/>
            <w:vAlign w:val="center"/>
          </w:tcPr>
          <w:p w14:paraId="330E6F94"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Gender: Nonbinary</w:t>
            </w:r>
          </w:p>
        </w:tc>
        <w:tc>
          <w:tcPr>
            <w:tcW w:w="1380" w:type="dxa"/>
            <w:noWrap/>
            <w:vAlign w:val="center"/>
          </w:tcPr>
          <w:p w14:paraId="4BDB4F37"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&lt;11</w:t>
            </w:r>
          </w:p>
        </w:tc>
        <w:tc>
          <w:tcPr>
            <w:tcW w:w="1380" w:type="dxa"/>
            <w:noWrap/>
            <w:vAlign w:val="center"/>
          </w:tcPr>
          <w:p w14:paraId="377AD1A4"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0%</w:t>
            </w:r>
          </w:p>
        </w:tc>
        <w:tc>
          <w:tcPr>
            <w:tcW w:w="1380" w:type="dxa"/>
            <w:noWrap/>
            <w:vAlign w:val="center"/>
          </w:tcPr>
          <w:p w14:paraId="7DC94030"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&lt;11</w:t>
            </w:r>
          </w:p>
        </w:tc>
        <w:tc>
          <w:tcPr>
            <w:tcW w:w="1380" w:type="dxa"/>
            <w:noWrap/>
            <w:vAlign w:val="center"/>
          </w:tcPr>
          <w:p w14:paraId="2CB079CF"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0%</w:t>
            </w:r>
          </w:p>
        </w:tc>
        <w:tc>
          <w:tcPr>
            <w:tcW w:w="1380" w:type="dxa"/>
            <w:shd w:val="clear" w:color="auto" w:fill="FFFFFF" w:themeFill="background1"/>
            <w:vAlign w:val="center"/>
          </w:tcPr>
          <w:p w14:paraId="093DC42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&lt;11</w:t>
            </w:r>
          </w:p>
        </w:tc>
        <w:tc>
          <w:tcPr>
            <w:tcW w:w="1380" w:type="dxa"/>
            <w:shd w:val="clear" w:color="auto" w:fill="FFFFFF" w:themeFill="background1"/>
            <w:vAlign w:val="center"/>
          </w:tcPr>
          <w:p w14:paraId="219AF0B9"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r>
      <w:tr w:rsidR="00EA1E6D" w:rsidRPr="009F7193" w14:paraId="702183EE" w14:textId="77777777" w:rsidTr="004C690A">
        <w:trPr>
          <w:cantSplit/>
          <w:trHeight w:val="300"/>
        </w:trPr>
        <w:tc>
          <w:tcPr>
            <w:tcW w:w="4135" w:type="dxa"/>
            <w:noWrap/>
            <w:vAlign w:val="center"/>
            <w:hideMark/>
          </w:tcPr>
          <w:p w14:paraId="5315C4CF"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Gender: Other/Unknown</w:t>
            </w:r>
          </w:p>
        </w:tc>
        <w:tc>
          <w:tcPr>
            <w:tcW w:w="1380" w:type="dxa"/>
            <w:noWrap/>
            <w:vAlign w:val="center"/>
          </w:tcPr>
          <w:p w14:paraId="052C16A4"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&lt;11</w:t>
            </w:r>
          </w:p>
        </w:tc>
        <w:tc>
          <w:tcPr>
            <w:tcW w:w="1380" w:type="dxa"/>
            <w:noWrap/>
            <w:vAlign w:val="center"/>
          </w:tcPr>
          <w:p w14:paraId="076D321A"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0%</w:t>
            </w:r>
          </w:p>
        </w:tc>
        <w:tc>
          <w:tcPr>
            <w:tcW w:w="1380" w:type="dxa"/>
            <w:noWrap/>
            <w:vAlign w:val="center"/>
          </w:tcPr>
          <w:p w14:paraId="0327BC7B"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&lt;11</w:t>
            </w:r>
          </w:p>
        </w:tc>
        <w:tc>
          <w:tcPr>
            <w:tcW w:w="1380" w:type="dxa"/>
            <w:noWrap/>
            <w:vAlign w:val="center"/>
          </w:tcPr>
          <w:p w14:paraId="2676748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0%</w:t>
            </w:r>
          </w:p>
        </w:tc>
        <w:tc>
          <w:tcPr>
            <w:tcW w:w="1380" w:type="dxa"/>
            <w:shd w:val="clear" w:color="auto" w:fill="FFFFFF" w:themeFill="background1"/>
            <w:vAlign w:val="center"/>
          </w:tcPr>
          <w:p w14:paraId="29614194"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12</w:t>
            </w:r>
          </w:p>
        </w:tc>
        <w:tc>
          <w:tcPr>
            <w:tcW w:w="1380" w:type="dxa"/>
            <w:shd w:val="clear" w:color="auto" w:fill="FFFFFF" w:themeFill="background1"/>
            <w:vAlign w:val="center"/>
          </w:tcPr>
          <w:p w14:paraId="131D8FC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r>
      <w:tr w:rsidR="00EA1E6D" w:rsidRPr="009F7193" w14:paraId="31A1875B" w14:textId="77777777" w:rsidTr="004C690A">
        <w:trPr>
          <w:cantSplit/>
          <w:trHeight w:val="290"/>
        </w:trPr>
        <w:tc>
          <w:tcPr>
            <w:tcW w:w="4135" w:type="dxa"/>
            <w:noWrap/>
            <w:vAlign w:val="center"/>
            <w:hideMark/>
          </w:tcPr>
          <w:p w14:paraId="50CF3BF8"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Age: 0-17</w:t>
            </w:r>
          </w:p>
        </w:tc>
        <w:tc>
          <w:tcPr>
            <w:tcW w:w="1380" w:type="dxa"/>
            <w:noWrap/>
            <w:vAlign w:val="center"/>
          </w:tcPr>
          <w:p w14:paraId="393C725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84 </w:t>
            </w:r>
          </w:p>
        </w:tc>
        <w:tc>
          <w:tcPr>
            <w:tcW w:w="1380" w:type="dxa"/>
            <w:noWrap/>
            <w:vAlign w:val="center"/>
          </w:tcPr>
          <w:p w14:paraId="5EFB0D8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1%</w:t>
            </w:r>
          </w:p>
        </w:tc>
        <w:tc>
          <w:tcPr>
            <w:tcW w:w="1380" w:type="dxa"/>
            <w:noWrap/>
            <w:vAlign w:val="center"/>
          </w:tcPr>
          <w:p w14:paraId="6042EE6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89 </w:t>
            </w:r>
          </w:p>
        </w:tc>
        <w:tc>
          <w:tcPr>
            <w:tcW w:w="1380" w:type="dxa"/>
            <w:noWrap/>
            <w:vAlign w:val="center"/>
          </w:tcPr>
          <w:p w14:paraId="02C0B0A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1%</w:t>
            </w:r>
          </w:p>
        </w:tc>
        <w:tc>
          <w:tcPr>
            <w:tcW w:w="1380" w:type="dxa"/>
            <w:shd w:val="clear" w:color="auto" w:fill="FFFFFF" w:themeFill="background1"/>
            <w:vAlign w:val="center"/>
          </w:tcPr>
          <w:p w14:paraId="354591D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99</w:t>
            </w:r>
          </w:p>
        </w:tc>
        <w:tc>
          <w:tcPr>
            <w:tcW w:w="1380" w:type="dxa"/>
            <w:shd w:val="clear" w:color="auto" w:fill="FFFFFF" w:themeFill="background1"/>
            <w:vAlign w:val="center"/>
          </w:tcPr>
          <w:p w14:paraId="48F9C904"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r>
      <w:tr w:rsidR="00EA1E6D" w:rsidRPr="009F7193" w14:paraId="6A1A20F4" w14:textId="77777777" w:rsidTr="004C690A">
        <w:trPr>
          <w:cantSplit/>
          <w:trHeight w:val="290"/>
        </w:trPr>
        <w:tc>
          <w:tcPr>
            <w:tcW w:w="4135" w:type="dxa"/>
            <w:shd w:val="clear" w:color="000000" w:fill="FFFFFF"/>
            <w:noWrap/>
            <w:vAlign w:val="center"/>
            <w:hideMark/>
          </w:tcPr>
          <w:p w14:paraId="1CD26CED"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Age: 18-44</w:t>
            </w:r>
          </w:p>
        </w:tc>
        <w:tc>
          <w:tcPr>
            <w:tcW w:w="1380" w:type="dxa"/>
            <w:noWrap/>
            <w:vAlign w:val="center"/>
          </w:tcPr>
          <w:p w14:paraId="4FA982C9"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1,323 </w:t>
            </w:r>
          </w:p>
        </w:tc>
        <w:tc>
          <w:tcPr>
            <w:tcW w:w="1380" w:type="dxa"/>
            <w:noWrap/>
            <w:vAlign w:val="center"/>
          </w:tcPr>
          <w:p w14:paraId="350B25D2"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11%</w:t>
            </w:r>
          </w:p>
        </w:tc>
        <w:tc>
          <w:tcPr>
            <w:tcW w:w="1380" w:type="dxa"/>
            <w:noWrap/>
            <w:vAlign w:val="center"/>
          </w:tcPr>
          <w:p w14:paraId="07B6CA1A"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1,387 </w:t>
            </w:r>
          </w:p>
        </w:tc>
        <w:tc>
          <w:tcPr>
            <w:tcW w:w="1380" w:type="dxa"/>
            <w:noWrap/>
            <w:vAlign w:val="center"/>
          </w:tcPr>
          <w:p w14:paraId="0A73EEA3"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11%</w:t>
            </w:r>
          </w:p>
        </w:tc>
        <w:tc>
          <w:tcPr>
            <w:tcW w:w="1380" w:type="dxa"/>
            <w:shd w:val="clear" w:color="auto" w:fill="FFFFFF" w:themeFill="background1"/>
            <w:vAlign w:val="center"/>
          </w:tcPr>
          <w:p w14:paraId="1C96969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1,467</w:t>
            </w:r>
          </w:p>
        </w:tc>
        <w:tc>
          <w:tcPr>
            <w:tcW w:w="1380" w:type="dxa"/>
            <w:shd w:val="clear" w:color="auto" w:fill="FFFFFF" w:themeFill="background1"/>
            <w:vAlign w:val="center"/>
          </w:tcPr>
          <w:p w14:paraId="581CF61A"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11%</w:t>
            </w:r>
          </w:p>
        </w:tc>
      </w:tr>
      <w:tr w:rsidR="00EA1E6D" w:rsidRPr="009F7193" w14:paraId="15252E70" w14:textId="77777777" w:rsidTr="004C690A">
        <w:trPr>
          <w:cantSplit/>
          <w:trHeight w:val="290"/>
        </w:trPr>
        <w:tc>
          <w:tcPr>
            <w:tcW w:w="4135" w:type="dxa"/>
            <w:shd w:val="clear" w:color="000000" w:fill="FFFFFF"/>
            <w:noWrap/>
            <w:vAlign w:val="center"/>
          </w:tcPr>
          <w:p w14:paraId="076F24DC"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Age: 45-64</w:t>
            </w:r>
          </w:p>
        </w:tc>
        <w:tc>
          <w:tcPr>
            <w:tcW w:w="1380" w:type="dxa"/>
            <w:noWrap/>
            <w:vAlign w:val="center"/>
          </w:tcPr>
          <w:p w14:paraId="4DE5B4D5"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3,127 </w:t>
            </w:r>
          </w:p>
        </w:tc>
        <w:tc>
          <w:tcPr>
            <w:tcW w:w="1380" w:type="dxa"/>
            <w:noWrap/>
            <w:vAlign w:val="center"/>
          </w:tcPr>
          <w:p w14:paraId="00572FF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27%</w:t>
            </w:r>
          </w:p>
        </w:tc>
        <w:tc>
          <w:tcPr>
            <w:tcW w:w="1380" w:type="dxa"/>
            <w:noWrap/>
            <w:vAlign w:val="center"/>
          </w:tcPr>
          <w:p w14:paraId="2BD7CF6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3,483 </w:t>
            </w:r>
          </w:p>
        </w:tc>
        <w:tc>
          <w:tcPr>
            <w:tcW w:w="1380" w:type="dxa"/>
            <w:noWrap/>
            <w:vAlign w:val="center"/>
          </w:tcPr>
          <w:p w14:paraId="113B7C02"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28%</w:t>
            </w:r>
          </w:p>
        </w:tc>
        <w:tc>
          <w:tcPr>
            <w:tcW w:w="1380" w:type="dxa"/>
            <w:shd w:val="clear" w:color="auto" w:fill="FFFFFF" w:themeFill="background1"/>
            <w:vAlign w:val="center"/>
          </w:tcPr>
          <w:p w14:paraId="32110A55"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3,672</w:t>
            </w:r>
          </w:p>
        </w:tc>
        <w:tc>
          <w:tcPr>
            <w:tcW w:w="1380" w:type="dxa"/>
            <w:shd w:val="clear" w:color="auto" w:fill="FFFFFF" w:themeFill="background1"/>
            <w:vAlign w:val="center"/>
          </w:tcPr>
          <w:p w14:paraId="52C61BCB"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28%</w:t>
            </w:r>
          </w:p>
        </w:tc>
      </w:tr>
      <w:tr w:rsidR="00EA1E6D" w:rsidRPr="009F7193" w14:paraId="2B12F716" w14:textId="77777777" w:rsidTr="004C690A">
        <w:trPr>
          <w:cantSplit/>
          <w:trHeight w:val="290"/>
        </w:trPr>
        <w:tc>
          <w:tcPr>
            <w:tcW w:w="4135" w:type="dxa"/>
            <w:shd w:val="clear" w:color="000000" w:fill="FFFFFF"/>
            <w:noWrap/>
            <w:vAlign w:val="center"/>
            <w:hideMark/>
          </w:tcPr>
          <w:p w14:paraId="4E73438C"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Age: 65+</w:t>
            </w:r>
          </w:p>
        </w:tc>
        <w:tc>
          <w:tcPr>
            <w:tcW w:w="1380" w:type="dxa"/>
            <w:noWrap/>
            <w:vAlign w:val="center"/>
          </w:tcPr>
          <w:p w14:paraId="36F328ED"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7,260 </w:t>
            </w:r>
          </w:p>
        </w:tc>
        <w:tc>
          <w:tcPr>
            <w:tcW w:w="1380" w:type="dxa"/>
            <w:noWrap/>
            <w:vAlign w:val="center"/>
          </w:tcPr>
          <w:p w14:paraId="2975E87C"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62%</w:t>
            </w:r>
          </w:p>
        </w:tc>
        <w:tc>
          <w:tcPr>
            <w:tcW w:w="1380" w:type="dxa"/>
            <w:noWrap/>
            <w:vAlign w:val="center"/>
          </w:tcPr>
          <w:p w14:paraId="2B64B57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 xml:space="preserve">7,488 </w:t>
            </w:r>
          </w:p>
        </w:tc>
        <w:tc>
          <w:tcPr>
            <w:tcW w:w="1380" w:type="dxa"/>
            <w:noWrap/>
            <w:vAlign w:val="center"/>
          </w:tcPr>
          <w:p w14:paraId="5192569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Calibri Light"/>
                <w:color w:val="000000"/>
                <w:sz w:val="20"/>
                <w:szCs w:val="20"/>
              </w:rPr>
              <w:t>60%</w:t>
            </w:r>
          </w:p>
        </w:tc>
        <w:tc>
          <w:tcPr>
            <w:tcW w:w="1380" w:type="dxa"/>
            <w:shd w:val="clear" w:color="auto" w:fill="FFFFFF" w:themeFill="background1"/>
            <w:vAlign w:val="center"/>
          </w:tcPr>
          <w:p w14:paraId="7610E02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7,684</w:t>
            </w:r>
          </w:p>
        </w:tc>
        <w:tc>
          <w:tcPr>
            <w:tcW w:w="1380" w:type="dxa"/>
            <w:shd w:val="clear" w:color="auto" w:fill="FFFFFF" w:themeFill="background1"/>
            <w:vAlign w:val="center"/>
          </w:tcPr>
          <w:p w14:paraId="0075322F"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59%</w:t>
            </w:r>
          </w:p>
        </w:tc>
      </w:tr>
      <w:tr w:rsidR="00EA1E6D" w:rsidRPr="009F7193" w14:paraId="2BD2C546" w14:textId="77777777" w:rsidTr="004C690A">
        <w:trPr>
          <w:cantSplit/>
          <w:trHeight w:val="290"/>
        </w:trPr>
        <w:tc>
          <w:tcPr>
            <w:tcW w:w="4135" w:type="dxa"/>
            <w:shd w:val="clear" w:color="000000" w:fill="FFFFFF"/>
            <w:noWrap/>
            <w:vAlign w:val="center"/>
          </w:tcPr>
          <w:p w14:paraId="119DE1CF"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White</w:t>
            </w:r>
          </w:p>
        </w:tc>
        <w:tc>
          <w:tcPr>
            <w:tcW w:w="1380" w:type="dxa"/>
            <w:noWrap/>
            <w:vAlign w:val="center"/>
          </w:tcPr>
          <w:p w14:paraId="70EC86D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10,841</w:t>
            </w:r>
          </w:p>
        </w:tc>
        <w:tc>
          <w:tcPr>
            <w:tcW w:w="1380" w:type="dxa"/>
            <w:noWrap/>
            <w:vAlign w:val="center"/>
          </w:tcPr>
          <w:p w14:paraId="3CFEF1D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92%</w:t>
            </w:r>
          </w:p>
        </w:tc>
        <w:tc>
          <w:tcPr>
            <w:tcW w:w="1380" w:type="dxa"/>
            <w:noWrap/>
            <w:vAlign w:val="center"/>
          </w:tcPr>
          <w:p w14:paraId="1B9098A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11,447</w:t>
            </w:r>
          </w:p>
        </w:tc>
        <w:tc>
          <w:tcPr>
            <w:tcW w:w="1380" w:type="dxa"/>
            <w:noWrap/>
            <w:vAlign w:val="center"/>
          </w:tcPr>
          <w:p w14:paraId="153D0674"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92%</w:t>
            </w:r>
          </w:p>
        </w:tc>
        <w:tc>
          <w:tcPr>
            <w:tcW w:w="1380" w:type="dxa"/>
            <w:shd w:val="clear" w:color="auto" w:fill="FFFFFF" w:themeFill="background1"/>
            <w:vAlign w:val="center"/>
          </w:tcPr>
          <w:p w14:paraId="612D4410"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11,894</w:t>
            </w:r>
          </w:p>
        </w:tc>
        <w:tc>
          <w:tcPr>
            <w:tcW w:w="1380" w:type="dxa"/>
            <w:shd w:val="clear" w:color="auto" w:fill="FFFFFF" w:themeFill="background1"/>
            <w:vAlign w:val="center"/>
          </w:tcPr>
          <w:p w14:paraId="2099154C"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92%</w:t>
            </w:r>
          </w:p>
        </w:tc>
      </w:tr>
      <w:tr w:rsidR="00EA1E6D" w:rsidRPr="009F7193" w14:paraId="326716AE" w14:textId="77777777" w:rsidTr="004C690A">
        <w:trPr>
          <w:cantSplit/>
          <w:trHeight w:val="290"/>
        </w:trPr>
        <w:tc>
          <w:tcPr>
            <w:tcW w:w="4135" w:type="dxa"/>
            <w:shd w:val="clear" w:color="000000" w:fill="FFFFFF"/>
            <w:noWrap/>
            <w:vAlign w:val="center"/>
          </w:tcPr>
          <w:p w14:paraId="4FE6DEE7"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Black or African American</w:t>
            </w:r>
          </w:p>
        </w:tc>
        <w:tc>
          <w:tcPr>
            <w:tcW w:w="1380" w:type="dxa"/>
            <w:noWrap/>
            <w:vAlign w:val="center"/>
          </w:tcPr>
          <w:p w14:paraId="670220E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322</w:t>
            </w:r>
          </w:p>
        </w:tc>
        <w:tc>
          <w:tcPr>
            <w:tcW w:w="1380" w:type="dxa"/>
            <w:noWrap/>
            <w:vAlign w:val="center"/>
          </w:tcPr>
          <w:p w14:paraId="57B527B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c>
          <w:tcPr>
            <w:tcW w:w="1380" w:type="dxa"/>
            <w:noWrap/>
            <w:vAlign w:val="center"/>
          </w:tcPr>
          <w:p w14:paraId="5BC1839A"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370</w:t>
            </w:r>
          </w:p>
        </w:tc>
        <w:tc>
          <w:tcPr>
            <w:tcW w:w="1380" w:type="dxa"/>
            <w:noWrap/>
            <w:vAlign w:val="center"/>
          </w:tcPr>
          <w:p w14:paraId="29E288E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c>
          <w:tcPr>
            <w:tcW w:w="1380" w:type="dxa"/>
            <w:shd w:val="clear" w:color="auto" w:fill="FFFFFF" w:themeFill="background1"/>
            <w:vAlign w:val="center"/>
          </w:tcPr>
          <w:p w14:paraId="72AAFD93"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377</w:t>
            </w:r>
          </w:p>
        </w:tc>
        <w:tc>
          <w:tcPr>
            <w:tcW w:w="1380" w:type="dxa"/>
            <w:shd w:val="clear" w:color="auto" w:fill="FFFFFF" w:themeFill="background1"/>
            <w:vAlign w:val="center"/>
          </w:tcPr>
          <w:p w14:paraId="24CEF3A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r>
      <w:tr w:rsidR="00EA1E6D" w:rsidRPr="009F7193" w14:paraId="122297DB" w14:textId="77777777" w:rsidTr="004C690A">
        <w:trPr>
          <w:cantSplit/>
          <w:trHeight w:val="290"/>
        </w:trPr>
        <w:tc>
          <w:tcPr>
            <w:tcW w:w="4135" w:type="dxa"/>
            <w:shd w:val="clear" w:color="000000" w:fill="FFFFFF"/>
            <w:noWrap/>
            <w:vAlign w:val="center"/>
          </w:tcPr>
          <w:p w14:paraId="37DDDB17"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Asian</w:t>
            </w:r>
          </w:p>
        </w:tc>
        <w:tc>
          <w:tcPr>
            <w:tcW w:w="1380" w:type="dxa"/>
            <w:noWrap/>
            <w:vAlign w:val="center"/>
          </w:tcPr>
          <w:p w14:paraId="552ADEF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47</w:t>
            </w:r>
          </w:p>
        </w:tc>
        <w:tc>
          <w:tcPr>
            <w:tcW w:w="1380" w:type="dxa"/>
            <w:noWrap/>
            <w:vAlign w:val="center"/>
          </w:tcPr>
          <w:p w14:paraId="68B7985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c>
          <w:tcPr>
            <w:tcW w:w="1380" w:type="dxa"/>
            <w:noWrap/>
            <w:vAlign w:val="center"/>
          </w:tcPr>
          <w:p w14:paraId="665D3FAA"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70</w:t>
            </w:r>
          </w:p>
        </w:tc>
        <w:tc>
          <w:tcPr>
            <w:tcW w:w="1380" w:type="dxa"/>
            <w:noWrap/>
            <w:vAlign w:val="center"/>
          </w:tcPr>
          <w:p w14:paraId="22603DB8"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c>
          <w:tcPr>
            <w:tcW w:w="1380" w:type="dxa"/>
            <w:shd w:val="clear" w:color="auto" w:fill="FFFFFF" w:themeFill="background1"/>
            <w:vAlign w:val="center"/>
          </w:tcPr>
          <w:p w14:paraId="612C70F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71</w:t>
            </w:r>
          </w:p>
        </w:tc>
        <w:tc>
          <w:tcPr>
            <w:tcW w:w="1380" w:type="dxa"/>
            <w:shd w:val="clear" w:color="auto" w:fill="FFFFFF" w:themeFill="background1"/>
            <w:vAlign w:val="center"/>
          </w:tcPr>
          <w:p w14:paraId="00F6AB9F"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r>
      <w:tr w:rsidR="00EA1E6D" w:rsidRPr="009F7193" w14:paraId="6BC5C8C4" w14:textId="77777777" w:rsidTr="004C690A">
        <w:trPr>
          <w:cantSplit/>
          <w:trHeight w:val="290"/>
        </w:trPr>
        <w:tc>
          <w:tcPr>
            <w:tcW w:w="4135" w:type="dxa"/>
            <w:shd w:val="clear" w:color="000000" w:fill="FFFFFF"/>
            <w:noWrap/>
            <w:vAlign w:val="center"/>
          </w:tcPr>
          <w:p w14:paraId="54285CAA"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American Indian or Alaska Native</w:t>
            </w:r>
          </w:p>
        </w:tc>
        <w:tc>
          <w:tcPr>
            <w:tcW w:w="1380" w:type="dxa"/>
            <w:noWrap/>
            <w:vAlign w:val="center"/>
          </w:tcPr>
          <w:p w14:paraId="2B77BC44"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27</w:t>
            </w:r>
          </w:p>
        </w:tc>
        <w:tc>
          <w:tcPr>
            <w:tcW w:w="1380" w:type="dxa"/>
            <w:noWrap/>
            <w:vAlign w:val="center"/>
          </w:tcPr>
          <w:p w14:paraId="2B7E380C"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c>
          <w:tcPr>
            <w:tcW w:w="1380" w:type="dxa"/>
            <w:noWrap/>
            <w:vAlign w:val="center"/>
          </w:tcPr>
          <w:p w14:paraId="2438F8C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36</w:t>
            </w:r>
          </w:p>
        </w:tc>
        <w:tc>
          <w:tcPr>
            <w:tcW w:w="1380" w:type="dxa"/>
            <w:noWrap/>
            <w:vAlign w:val="center"/>
          </w:tcPr>
          <w:p w14:paraId="38ADC583"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c>
          <w:tcPr>
            <w:tcW w:w="1380" w:type="dxa"/>
            <w:shd w:val="clear" w:color="auto" w:fill="FFFFFF" w:themeFill="background1"/>
            <w:vAlign w:val="center"/>
          </w:tcPr>
          <w:p w14:paraId="7D7F01C9"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27</w:t>
            </w:r>
          </w:p>
        </w:tc>
        <w:tc>
          <w:tcPr>
            <w:tcW w:w="1380" w:type="dxa"/>
            <w:shd w:val="clear" w:color="auto" w:fill="FFFFFF" w:themeFill="background1"/>
            <w:vAlign w:val="center"/>
          </w:tcPr>
          <w:p w14:paraId="0C747C00"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r>
      <w:tr w:rsidR="00EA1E6D" w:rsidRPr="009F7193" w14:paraId="2989EF64" w14:textId="77777777" w:rsidTr="004C690A">
        <w:trPr>
          <w:cantSplit/>
          <w:trHeight w:val="290"/>
        </w:trPr>
        <w:tc>
          <w:tcPr>
            <w:tcW w:w="4135" w:type="dxa"/>
            <w:noWrap/>
            <w:vAlign w:val="center"/>
          </w:tcPr>
          <w:p w14:paraId="1DB3ECF5"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Multiple Races</w:t>
            </w:r>
          </w:p>
        </w:tc>
        <w:tc>
          <w:tcPr>
            <w:tcW w:w="1380" w:type="dxa"/>
            <w:noWrap/>
            <w:vAlign w:val="center"/>
          </w:tcPr>
          <w:p w14:paraId="1A964042"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20</w:t>
            </w:r>
          </w:p>
        </w:tc>
        <w:tc>
          <w:tcPr>
            <w:tcW w:w="1380" w:type="dxa"/>
            <w:noWrap/>
            <w:vAlign w:val="center"/>
          </w:tcPr>
          <w:p w14:paraId="112BE1DF"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c>
          <w:tcPr>
            <w:tcW w:w="1380" w:type="dxa"/>
            <w:noWrap/>
            <w:vAlign w:val="center"/>
          </w:tcPr>
          <w:p w14:paraId="5B84DCD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21</w:t>
            </w:r>
          </w:p>
        </w:tc>
        <w:tc>
          <w:tcPr>
            <w:tcW w:w="1380" w:type="dxa"/>
            <w:noWrap/>
            <w:vAlign w:val="center"/>
          </w:tcPr>
          <w:p w14:paraId="1318D9C2"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c>
          <w:tcPr>
            <w:tcW w:w="1380" w:type="dxa"/>
            <w:shd w:val="clear" w:color="auto" w:fill="FFFFFF" w:themeFill="background1"/>
            <w:vAlign w:val="center"/>
          </w:tcPr>
          <w:p w14:paraId="3B669D0D"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33</w:t>
            </w:r>
          </w:p>
        </w:tc>
        <w:tc>
          <w:tcPr>
            <w:tcW w:w="1380" w:type="dxa"/>
            <w:shd w:val="clear" w:color="auto" w:fill="FFFFFF" w:themeFill="background1"/>
            <w:vAlign w:val="center"/>
          </w:tcPr>
          <w:p w14:paraId="6AA3D0B0"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0%</w:t>
            </w:r>
          </w:p>
        </w:tc>
      </w:tr>
      <w:tr w:rsidR="00EA1E6D" w:rsidRPr="009F7193" w14:paraId="554C313C" w14:textId="77777777" w:rsidTr="004C690A">
        <w:trPr>
          <w:cantSplit/>
          <w:trHeight w:val="290"/>
        </w:trPr>
        <w:tc>
          <w:tcPr>
            <w:tcW w:w="4135" w:type="dxa"/>
            <w:noWrap/>
            <w:vAlign w:val="center"/>
          </w:tcPr>
          <w:p w14:paraId="2BB1A80B"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Other</w:t>
            </w:r>
          </w:p>
        </w:tc>
        <w:tc>
          <w:tcPr>
            <w:tcW w:w="1380" w:type="dxa"/>
            <w:noWrap/>
            <w:vAlign w:val="center"/>
          </w:tcPr>
          <w:p w14:paraId="59888A3B"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392</w:t>
            </w:r>
          </w:p>
        </w:tc>
        <w:tc>
          <w:tcPr>
            <w:tcW w:w="1380" w:type="dxa"/>
            <w:noWrap/>
            <w:vAlign w:val="center"/>
          </w:tcPr>
          <w:p w14:paraId="662BEA4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c>
          <w:tcPr>
            <w:tcW w:w="1380" w:type="dxa"/>
            <w:noWrap/>
            <w:vAlign w:val="center"/>
          </w:tcPr>
          <w:p w14:paraId="3DC76E66"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422</w:t>
            </w:r>
          </w:p>
        </w:tc>
        <w:tc>
          <w:tcPr>
            <w:tcW w:w="1380" w:type="dxa"/>
            <w:noWrap/>
            <w:vAlign w:val="center"/>
          </w:tcPr>
          <w:p w14:paraId="26E31945"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c>
          <w:tcPr>
            <w:tcW w:w="1380" w:type="dxa"/>
            <w:shd w:val="clear" w:color="auto" w:fill="FFFFFF" w:themeFill="background1"/>
            <w:vAlign w:val="center"/>
          </w:tcPr>
          <w:p w14:paraId="714D3A3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429</w:t>
            </w:r>
          </w:p>
        </w:tc>
        <w:tc>
          <w:tcPr>
            <w:tcW w:w="1380" w:type="dxa"/>
            <w:shd w:val="clear" w:color="auto" w:fill="FFFFFF" w:themeFill="background1"/>
            <w:vAlign w:val="center"/>
          </w:tcPr>
          <w:p w14:paraId="3ABF3B21"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3%</w:t>
            </w:r>
          </w:p>
        </w:tc>
      </w:tr>
      <w:tr w:rsidR="00EA1E6D" w:rsidRPr="009F7193" w14:paraId="55E29D80" w14:textId="77777777" w:rsidTr="004C690A">
        <w:trPr>
          <w:cantSplit/>
          <w:trHeight w:val="290"/>
        </w:trPr>
        <w:tc>
          <w:tcPr>
            <w:tcW w:w="4135" w:type="dxa"/>
            <w:noWrap/>
            <w:vAlign w:val="center"/>
          </w:tcPr>
          <w:p w14:paraId="6709B93D" w14:textId="77777777" w:rsidR="00EA1E6D" w:rsidRPr="008D20AD" w:rsidRDefault="00EA1E6D" w:rsidP="009B300B">
            <w:pPr>
              <w:contextualSpacing/>
              <w:rPr>
                <w:rFonts w:asciiTheme="minorHAnsi" w:hAnsiTheme="minorHAnsi" w:cstheme="majorHAnsi"/>
                <w:color w:val="000000"/>
                <w:sz w:val="20"/>
                <w:szCs w:val="20"/>
              </w:rPr>
            </w:pPr>
            <w:r w:rsidRPr="008D20AD">
              <w:rPr>
                <w:rFonts w:asciiTheme="minorHAnsi" w:hAnsiTheme="minorHAnsi" w:cstheme="majorHAnsi"/>
                <w:color w:val="000000"/>
                <w:sz w:val="20"/>
                <w:szCs w:val="20"/>
              </w:rPr>
              <w:t>Race: Unknown</w:t>
            </w:r>
          </w:p>
        </w:tc>
        <w:tc>
          <w:tcPr>
            <w:tcW w:w="1380" w:type="dxa"/>
            <w:noWrap/>
            <w:vAlign w:val="center"/>
          </w:tcPr>
          <w:p w14:paraId="7B144F52"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145</w:t>
            </w:r>
          </w:p>
        </w:tc>
        <w:tc>
          <w:tcPr>
            <w:tcW w:w="1380" w:type="dxa"/>
            <w:noWrap/>
            <w:vAlign w:val="center"/>
          </w:tcPr>
          <w:p w14:paraId="5533E7C9"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c>
          <w:tcPr>
            <w:tcW w:w="1380" w:type="dxa"/>
            <w:noWrap/>
            <w:vAlign w:val="center"/>
          </w:tcPr>
          <w:p w14:paraId="434FF28B"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81</w:t>
            </w:r>
          </w:p>
        </w:tc>
        <w:tc>
          <w:tcPr>
            <w:tcW w:w="1380" w:type="dxa"/>
            <w:noWrap/>
            <w:vAlign w:val="center"/>
          </w:tcPr>
          <w:p w14:paraId="6D18A73E"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c>
          <w:tcPr>
            <w:tcW w:w="1380" w:type="dxa"/>
            <w:shd w:val="clear" w:color="auto" w:fill="FFFFFF" w:themeFill="background1"/>
            <w:vAlign w:val="center"/>
          </w:tcPr>
          <w:p w14:paraId="65D4F32D"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91</w:t>
            </w:r>
          </w:p>
        </w:tc>
        <w:tc>
          <w:tcPr>
            <w:tcW w:w="1380" w:type="dxa"/>
            <w:shd w:val="clear" w:color="auto" w:fill="FFFFFF" w:themeFill="background1"/>
            <w:vAlign w:val="center"/>
          </w:tcPr>
          <w:p w14:paraId="3581F6B7" w14:textId="77777777" w:rsidR="00EA1E6D" w:rsidRPr="008D20AD" w:rsidRDefault="00EA1E6D" w:rsidP="009B300B">
            <w:pPr>
              <w:contextualSpacing/>
              <w:jc w:val="center"/>
              <w:rPr>
                <w:rFonts w:asciiTheme="minorHAnsi" w:hAnsiTheme="minorHAnsi" w:cstheme="majorHAnsi"/>
                <w:color w:val="000000"/>
                <w:sz w:val="20"/>
                <w:szCs w:val="20"/>
              </w:rPr>
            </w:pPr>
            <w:r w:rsidRPr="008D20AD">
              <w:rPr>
                <w:rFonts w:asciiTheme="minorHAnsi" w:hAnsiTheme="minorHAnsi" w:cstheme="majorHAnsi"/>
                <w:color w:val="000000"/>
                <w:sz w:val="20"/>
                <w:szCs w:val="20"/>
              </w:rPr>
              <w:t>1%</w:t>
            </w:r>
          </w:p>
        </w:tc>
      </w:tr>
      <w:tr w:rsidR="00EA1E6D" w:rsidRPr="009F7193" w14:paraId="10CB6BF8" w14:textId="77777777" w:rsidTr="004C690A">
        <w:trPr>
          <w:cantSplit/>
          <w:trHeight w:val="300"/>
        </w:trPr>
        <w:tc>
          <w:tcPr>
            <w:tcW w:w="4135" w:type="dxa"/>
            <w:noWrap/>
            <w:vAlign w:val="center"/>
          </w:tcPr>
          <w:p w14:paraId="71C11B3A" w14:textId="77777777" w:rsidR="00EA1E6D" w:rsidRPr="008D20AD" w:rsidRDefault="00EA1E6D" w:rsidP="009B300B">
            <w:pPr>
              <w:contextualSpacing/>
              <w:rPr>
                <w:rFonts w:asciiTheme="minorHAnsi" w:hAnsiTheme="minorHAnsi" w:cstheme="majorHAnsi"/>
                <w:b/>
                <w:bCs/>
                <w:color w:val="000000"/>
                <w:sz w:val="20"/>
                <w:szCs w:val="20"/>
              </w:rPr>
            </w:pPr>
            <w:r w:rsidRPr="008D20AD">
              <w:rPr>
                <w:rFonts w:asciiTheme="minorHAnsi" w:hAnsiTheme="minorHAnsi" w:cstheme="majorHAnsi"/>
                <w:color w:val="000000"/>
                <w:sz w:val="20"/>
                <w:szCs w:val="20"/>
              </w:rPr>
              <w:t>Ethnicity: Hispanic/Latino</w:t>
            </w:r>
          </w:p>
        </w:tc>
        <w:tc>
          <w:tcPr>
            <w:tcW w:w="1380" w:type="dxa"/>
            <w:noWrap/>
            <w:vAlign w:val="center"/>
          </w:tcPr>
          <w:p w14:paraId="183E7736"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219</w:t>
            </w:r>
          </w:p>
        </w:tc>
        <w:tc>
          <w:tcPr>
            <w:tcW w:w="1380" w:type="dxa"/>
            <w:noWrap/>
            <w:vAlign w:val="center"/>
          </w:tcPr>
          <w:p w14:paraId="2F6FFEE7"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2%</w:t>
            </w:r>
          </w:p>
        </w:tc>
        <w:tc>
          <w:tcPr>
            <w:tcW w:w="1380" w:type="dxa"/>
            <w:noWrap/>
            <w:vAlign w:val="center"/>
          </w:tcPr>
          <w:p w14:paraId="7692A4CE"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244</w:t>
            </w:r>
          </w:p>
        </w:tc>
        <w:tc>
          <w:tcPr>
            <w:tcW w:w="1380" w:type="dxa"/>
            <w:noWrap/>
            <w:vAlign w:val="center"/>
          </w:tcPr>
          <w:p w14:paraId="72C95836"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2%</w:t>
            </w:r>
          </w:p>
        </w:tc>
        <w:tc>
          <w:tcPr>
            <w:tcW w:w="1380" w:type="dxa"/>
            <w:shd w:val="clear" w:color="auto" w:fill="FFFFFF" w:themeFill="background1"/>
            <w:vAlign w:val="center"/>
          </w:tcPr>
          <w:p w14:paraId="314A06AE"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246</w:t>
            </w:r>
          </w:p>
        </w:tc>
        <w:tc>
          <w:tcPr>
            <w:tcW w:w="1380" w:type="dxa"/>
            <w:shd w:val="clear" w:color="auto" w:fill="FFFFFF" w:themeFill="background1"/>
            <w:vAlign w:val="center"/>
          </w:tcPr>
          <w:p w14:paraId="7FEF0CCF"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2%</w:t>
            </w:r>
          </w:p>
        </w:tc>
      </w:tr>
      <w:tr w:rsidR="00EA1E6D" w:rsidRPr="009F7193" w14:paraId="591B8B32" w14:textId="77777777" w:rsidTr="004C690A">
        <w:trPr>
          <w:cantSplit/>
          <w:trHeight w:val="300"/>
        </w:trPr>
        <w:tc>
          <w:tcPr>
            <w:tcW w:w="4135" w:type="dxa"/>
            <w:noWrap/>
            <w:vAlign w:val="center"/>
          </w:tcPr>
          <w:p w14:paraId="66F9CBDA" w14:textId="77777777" w:rsidR="00EA1E6D" w:rsidRPr="008D20AD" w:rsidRDefault="00EA1E6D" w:rsidP="009B300B">
            <w:pPr>
              <w:contextualSpacing/>
              <w:rPr>
                <w:rFonts w:asciiTheme="minorHAnsi" w:hAnsiTheme="minorHAnsi" w:cstheme="majorHAnsi"/>
                <w:b/>
                <w:bCs/>
                <w:color w:val="000000"/>
                <w:sz w:val="20"/>
                <w:szCs w:val="20"/>
              </w:rPr>
            </w:pPr>
            <w:r w:rsidRPr="008D20AD">
              <w:rPr>
                <w:rFonts w:asciiTheme="minorHAnsi" w:hAnsiTheme="minorHAnsi" w:cstheme="majorHAnsi"/>
                <w:color w:val="000000"/>
                <w:sz w:val="20"/>
                <w:szCs w:val="20"/>
              </w:rPr>
              <w:t>Ethnicity: Not Hispanic/Latino</w:t>
            </w:r>
          </w:p>
        </w:tc>
        <w:tc>
          <w:tcPr>
            <w:tcW w:w="1380" w:type="dxa"/>
            <w:noWrap/>
            <w:vAlign w:val="center"/>
          </w:tcPr>
          <w:p w14:paraId="180E6455"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10,463</w:t>
            </w:r>
          </w:p>
        </w:tc>
        <w:tc>
          <w:tcPr>
            <w:tcW w:w="1380" w:type="dxa"/>
            <w:noWrap/>
            <w:vAlign w:val="center"/>
          </w:tcPr>
          <w:p w14:paraId="7B2BC733"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89%</w:t>
            </w:r>
          </w:p>
        </w:tc>
        <w:tc>
          <w:tcPr>
            <w:tcW w:w="1380" w:type="dxa"/>
            <w:noWrap/>
            <w:vAlign w:val="center"/>
          </w:tcPr>
          <w:p w14:paraId="5985E3D1"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11,137</w:t>
            </w:r>
          </w:p>
        </w:tc>
        <w:tc>
          <w:tcPr>
            <w:tcW w:w="1380" w:type="dxa"/>
            <w:noWrap/>
            <w:vAlign w:val="center"/>
          </w:tcPr>
          <w:p w14:paraId="00819F2C"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89%</w:t>
            </w:r>
          </w:p>
        </w:tc>
        <w:tc>
          <w:tcPr>
            <w:tcW w:w="1380" w:type="dxa"/>
            <w:shd w:val="clear" w:color="auto" w:fill="FFFFFF" w:themeFill="background1"/>
            <w:vAlign w:val="center"/>
          </w:tcPr>
          <w:p w14:paraId="07C41116"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11,652</w:t>
            </w:r>
          </w:p>
        </w:tc>
        <w:tc>
          <w:tcPr>
            <w:tcW w:w="1380" w:type="dxa"/>
            <w:shd w:val="clear" w:color="auto" w:fill="FFFFFF" w:themeFill="background1"/>
            <w:vAlign w:val="center"/>
          </w:tcPr>
          <w:p w14:paraId="07D03204"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90%</w:t>
            </w:r>
          </w:p>
        </w:tc>
      </w:tr>
      <w:tr w:rsidR="00EA1E6D" w:rsidRPr="009F7193" w14:paraId="5507B811" w14:textId="77777777" w:rsidTr="004C690A">
        <w:trPr>
          <w:cantSplit/>
          <w:trHeight w:val="300"/>
        </w:trPr>
        <w:tc>
          <w:tcPr>
            <w:tcW w:w="4135" w:type="dxa"/>
            <w:noWrap/>
            <w:vAlign w:val="center"/>
          </w:tcPr>
          <w:p w14:paraId="10B7E727" w14:textId="77777777" w:rsidR="00EA1E6D" w:rsidRPr="008D20AD" w:rsidRDefault="00EA1E6D" w:rsidP="009B300B">
            <w:pPr>
              <w:contextualSpacing/>
              <w:rPr>
                <w:rFonts w:asciiTheme="minorHAnsi" w:hAnsiTheme="minorHAnsi" w:cstheme="majorHAnsi"/>
                <w:b/>
                <w:bCs/>
                <w:color w:val="000000"/>
                <w:sz w:val="20"/>
                <w:szCs w:val="20"/>
              </w:rPr>
            </w:pPr>
            <w:r w:rsidRPr="008D20AD">
              <w:rPr>
                <w:rFonts w:asciiTheme="minorHAnsi" w:hAnsiTheme="minorHAnsi" w:cstheme="majorHAnsi"/>
                <w:color w:val="000000"/>
                <w:sz w:val="20"/>
                <w:szCs w:val="20"/>
              </w:rPr>
              <w:t>Ethnicity: Other/Unknown</w:t>
            </w:r>
          </w:p>
        </w:tc>
        <w:tc>
          <w:tcPr>
            <w:tcW w:w="1380" w:type="dxa"/>
            <w:noWrap/>
            <w:vAlign w:val="center"/>
          </w:tcPr>
          <w:p w14:paraId="7A2B8733"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1,112</w:t>
            </w:r>
          </w:p>
        </w:tc>
        <w:tc>
          <w:tcPr>
            <w:tcW w:w="1380" w:type="dxa"/>
            <w:noWrap/>
            <w:vAlign w:val="center"/>
          </w:tcPr>
          <w:p w14:paraId="72EEAD08"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9%</w:t>
            </w:r>
          </w:p>
        </w:tc>
        <w:tc>
          <w:tcPr>
            <w:tcW w:w="1380" w:type="dxa"/>
            <w:noWrap/>
            <w:vAlign w:val="center"/>
          </w:tcPr>
          <w:p w14:paraId="4970EF56"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1,066</w:t>
            </w:r>
          </w:p>
        </w:tc>
        <w:tc>
          <w:tcPr>
            <w:tcW w:w="1380" w:type="dxa"/>
            <w:noWrap/>
            <w:vAlign w:val="center"/>
          </w:tcPr>
          <w:p w14:paraId="0C9A9195" w14:textId="77777777" w:rsidR="00EA1E6D" w:rsidRPr="008D20AD" w:rsidRDefault="00EA1E6D" w:rsidP="009B300B">
            <w:pPr>
              <w:contextualSpacing/>
              <w:jc w:val="center"/>
              <w:rPr>
                <w:rFonts w:asciiTheme="minorHAnsi" w:hAnsiTheme="minorHAnsi" w:cs="Calibri Light"/>
                <w:b/>
                <w:bCs/>
                <w:color w:val="000000"/>
                <w:sz w:val="20"/>
                <w:szCs w:val="20"/>
              </w:rPr>
            </w:pPr>
            <w:r w:rsidRPr="008D20AD">
              <w:rPr>
                <w:rFonts w:asciiTheme="minorHAnsi" w:hAnsiTheme="minorHAnsi" w:cs="Calibri Light"/>
                <w:color w:val="000000"/>
                <w:sz w:val="20"/>
                <w:szCs w:val="20"/>
              </w:rPr>
              <w:t>9%</w:t>
            </w:r>
          </w:p>
        </w:tc>
        <w:tc>
          <w:tcPr>
            <w:tcW w:w="1380" w:type="dxa"/>
            <w:shd w:val="clear" w:color="auto" w:fill="FFFFFF" w:themeFill="background1"/>
            <w:vAlign w:val="center"/>
          </w:tcPr>
          <w:p w14:paraId="20CFC4B7"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1,024</w:t>
            </w:r>
          </w:p>
        </w:tc>
        <w:tc>
          <w:tcPr>
            <w:tcW w:w="1380" w:type="dxa"/>
            <w:shd w:val="clear" w:color="auto" w:fill="FFFFFF" w:themeFill="background1"/>
            <w:vAlign w:val="center"/>
          </w:tcPr>
          <w:p w14:paraId="5DBA742D" w14:textId="77777777" w:rsidR="00EA1E6D" w:rsidRPr="008D20AD" w:rsidRDefault="00EA1E6D" w:rsidP="009B300B">
            <w:pPr>
              <w:contextualSpacing/>
              <w:jc w:val="center"/>
              <w:rPr>
                <w:rFonts w:asciiTheme="minorHAnsi" w:hAnsiTheme="minorHAnsi" w:cs="Calibri Light"/>
                <w:color w:val="000000"/>
                <w:sz w:val="20"/>
                <w:szCs w:val="20"/>
              </w:rPr>
            </w:pPr>
            <w:r w:rsidRPr="008D20AD">
              <w:rPr>
                <w:rFonts w:asciiTheme="minorHAnsi" w:hAnsiTheme="minorHAnsi" w:cs="Calibri Light"/>
                <w:color w:val="000000"/>
                <w:sz w:val="20"/>
                <w:szCs w:val="20"/>
              </w:rPr>
              <w:t>8%</w:t>
            </w:r>
          </w:p>
        </w:tc>
      </w:tr>
    </w:tbl>
    <w:p w14:paraId="242D3639" w14:textId="77777777" w:rsidR="00EA1E6D" w:rsidRPr="009F7193" w:rsidRDefault="00EA1E6D" w:rsidP="00EA1E6D">
      <w:pPr>
        <w:jc w:val="both"/>
        <w:rPr>
          <w:rFonts w:asciiTheme="minorHAnsi" w:hAnsiTheme="minorHAnsi" w:cs="Arial"/>
          <w:color w:val="000000" w:themeColor="text1"/>
          <w:sz w:val="22"/>
          <w:szCs w:val="22"/>
          <w:u w:val="single"/>
        </w:rPr>
      </w:pPr>
    </w:p>
    <w:p w14:paraId="7585FE92" w14:textId="77777777" w:rsidR="00EA1E6D" w:rsidRPr="009F7193" w:rsidRDefault="00EA1E6D" w:rsidP="00EA1E6D">
      <w:pPr>
        <w:jc w:val="both"/>
        <w:rPr>
          <w:rFonts w:asciiTheme="minorHAnsi" w:eastAsia="Verdana" w:hAnsiTheme="minorHAnsi" w:cs="Arial"/>
          <w:b/>
          <w:bCs/>
          <w:sz w:val="22"/>
          <w:szCs w:val="22"/>
        </w:rPr>
        <w:sectPr w:rsidR="00EA1E6D" w:rsidRPr="009F7193" w:rsidSect="00EA1E6D">
          <w:pgSz w:w="15840" w:h="12240" w:orient="landscape"/>
          <w:pgMar w:top="1440" w:right="1440" w:bottom="1440" w:left="1440" w:header="720" w:footer="720" w:gutter="0"/>
          <w:cols w:space="720"/>
          <w:docGrid w:linePitch="360"/>
        </w:sectPr>
      </w:pPr>
    </w:p>
    <w:p w14:paraId="30842D63" w14:textId="77777777" w:rsidR="00EA1E6D" w:rsidRPr="009F7193" w:rsidRDefault="00EA1E6D" w:rsidP="009F7193">
      <w:pPr>
        <w:spacing w:before="120" w:after="120"/>
        <w:jc w:val="both"/>
        <w:rPr>
          <w:rFonts w:asciiTheme="minorHAnsi" w:hAnsiTheme="minorHAnsi" w:cs="Arial"/>
          <w:color w:val="000000" w:themeColor="text1"/>
          <w:sz w:val="22"/>
          <w:szCs w:val="22"/>
        </w:rPr>
      </w:pPr>
      <w:r w:rsidRPr="009F7193">
        <w:rPr>
          <w:rFonts w:asciiTheme="minorHAnsi" w:eastAsia="Verdana" w:hAnsiTheme="minorHAnsi" w:cs="Arial"/>
          <w:b/>
          <w:bCs/>
          <w:sz w:val="22"/>
          <w:szCs w:val="22"/>
        </w:rPr>
        <w:lastRenderedPageBreak/>
        <w:t xml:space="preserve">Table 8: Cape Cod Hospital MRI Payer Mix </w:t>
      </w:r>
    </w:p>
    <w:p w14:paraId="4E62ED75" w14:textId="4F3D7E3D" w:rsidR="00EA1E6D" w:rsidRPr="009F7193" w:rsidRDefault="00EA1E6D" w:rsidP="009F7193">
      <w:pPr>
        <w:spacing w:before="120" w:after="120"/>
        <w:jc w:val="both"/>
        <w:rPr>
          <w:rFonts w:asciiTheme="minorHAnsi" w:hAnsiTheme="minorHAnsi" w:cs="Arial"/>
          <w:color w:val="000000" w:themeColor="text1"/>
          <w:sz w:val="22"/>
          <w:szCs w:val="22"/>
        </w:rPr>
      </w:pPr>
      <w:r w:rsidRPr="009F7193">
        <w:rPr>
          <w:rFonts w:asciiTheme="minorHAnsi" w:hAnsiTheme="minorHAnsi" w:cs="Arial"/>
          <w:color w:val="000000" w:themeColor="text1"/>
          <w:sz w:val="22"/>
          <w:szCs w:val="22"/>
        </w:rPr>
        <w:t>More than 45% of MRI patients were covered by Medicare, with another 15% covered by Medicare Advantage plans. A total of 13% of patients had some type of Medicaid coverage. Less than 20% of MRI patients were covered by commercial insurance plans.</w:t>
      </w:r>
    </w:p>
    <w:tbl>
      <w:tblPr>
        <w:tblStyle w:val="TableGrid"/>
        <w:tblW w:w="8325" w:type="dxa"/>
        <w:tblInd w:w="-5" w:type="dxa"/>
        <w:tblLayout w:type="fixed"/>
        <w:tblLook w:val="04A0" w:firstRow="1" w:lastRow="0" w:firstColumn="1" w:lastColumn="0" w:noHBand="0" w:noVBand="1"/>
      </w:tblPr>
      <w:tblGrid>
        <w:gridCol w:w="2790"/>
        <w:gridCol w:w="1845"/>
        <w:gridCol w:w="1845"/>
        <w:gridCol w:w="1845"/>
      </w:tblGrid>
      <w:tr w:rsidR="00EA1E6D" w:rsidRPr="009F7193" w14:paraId="2FFDAB58" w14:textId="77777777" w:rsidTr="00FC3113">
        <w:trPr>
          <w:cantSplit/>
          <w:tblHeader/>
        </w:trPr>
        <w:tc>
          <w:tcPr>
            <w:tcW w:w="2790" w:type="dxa"/>
            <w:shd w:val="clear" w:color="auto" w:fill="156082" w:themeFill="accent1"/>
            <w:vAlign w:val="center"/>
          </w:tcPr>
          <w:p w14:paraId="443C8A54" w14:textId="77777777" w:rsidR="00EA1E6D" w:rsidRPr="00F12784" w:rsidRDefault="00EA1E6D" w:rsidP="009B300B">
            <w:pPr>
              <w:pStyle w:val="ListParagraph"/>
              <w:ind w:left="0"/>
              <w:contextualSpacing w:val="0"/>
              <w:rPr>
                <w:rFonts w:asciiTheme="minorHAnsi" w:hAnsiTheme="minorHAnsi" w:cstheme="majorHAnsi"/>
                <w:b/>
                <w:bCs/>
                <w:color w:val="FFFFFF" w:themeColor="background1"/>
                <w:sz w:val="20"/>
                <w:szCs w:val="20"/>
              </w:rPr>
            </w:pPr>
            <w:r w:rsidRPr="00F12784">
              <w:rPr>
                <w:rFonts w:asciiTheme="minorHAnsi" w:hAnsiTheme="minorHAnsi" w:cstheme="majorHAnsi"/>
                <w:b/>
                <w:bCs/>
                <w:color w:val="FFFFFF" w:themeColor="background1"/>
                <w:sz w:val="20"/>
                <w:szCs w:val="20"/>
              </w:rPr>
              <w:t>Payer Mix</w:t>
            </w:r>
          </w:p>
        </w:tc>
        <w:tc>
          <w:tcPr>
            <w:tcW w:w="1845" w:type="dxa"/>
            <w:tcBorders>
              <w:bottom w:val="single" w:sz="4" w:space="0" w:color="auto"/>
            </w:tcBorders>
            <w:shd w:val="clear" w:color="auto" w:fill="156082" w:themeFill="accent1"/>
            <w:vAlign w:val="center"/>
          </w:tcPr>
          <w:p w14:paraId="619396C6" w14:textId="77777777" w:rsidR="00EA1E6D" w:rsidRPr="00F12784"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F12784">
              <w:rPr>
                <w:rFonts w:asciiTheme="minorHAnsi" w:hAnsiTheme="minorHAnsi" w:cstheme="majorHAnsi"/>
                <w:b/>
                <w:bCs/>
                <w:color w:val="FFFFFF" w:themeColor="background1"/>
                <w:sz w:val="20"/>
                <w:szCs w:val="20"/>
              </w:rPr>
              <w:t>FY23</w:t>
            </w:r>
          </w:p>
        </w:tc>
        <w:tc>
          <w:tcPr>
            <w:tcW w:w="1845" w:type="dxa"/>
            <w:tcBorders>
              <w:bottom w:val="single" w:sz="4" w:space="0" w:color="auto"/>
            </w:tcBorders>
            <w:shd w:val="clear" w:color="auto" w:fill="156082" w:themeFill="accent1"/>
            <w:vAlign w:val="center"/>
          </w:tcPr>
          <w:p w14:paraId="760C1719" w14:textId="77777777" w:rsidR="00EA1E6D" w:rsidRPr="00F12784"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F12784">
              <w:rPr>
                <w:rFonts w:asciiTheme="minorHAnsi" w:hAnsiTheme="minorHAnsi" w:cstheme="majorHAnsi"/>
                <w:b/>
                <w:bCs/>
                <w:color w:val="FFFFFF" w:themeColor="background1"/>
                <w:sz w:val="20"/>
                <w:szCs w:val="20"/>
              </w:rPr>
              <w:t>FY24</w:t>
            </w:r>
          </w:p>
        </w:tc>
        <w:tc>
          <w:tcPr>
            <w:tcW w:w="1845" w:type="dxa"/>
            <w:tcBorders>
              <w:bottom w:val="single" w:sz="4" w:space="0" w:color="auto"/>
            </w:tcBorders>
            <w:shd w:val="clear" w:color="auto" w:fill="156082" w:themeFill="accent1"/>
            <w:vAlign w:val="center"/>
          </w:tcPr>
          <w:p w14:paraId="48DF0CDF" w14:textId="77777777" w:rsidR="00EA1E6D" w:rsidRPr="00F12784"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F12784">
              <w:rPr>
                <w:rFonts w:asciiTheme="minorHAnsi" w:hAnsiTheme="minorHAnsi" w:cstheme="majorHAnsi"/>
                <w:b/>
                <w:bCs/>
                <w:color w:val="FFFFFF" w:themeColor="background1"/>
                <w:sz w:val="20"/>
                <w:szCs w:val="20"/>
              </w:rPr>
              <w:t xml:space="preserve">FY25 </w:t>
            </w:r>
          </w:p>
        </w:tc>
      </w:tr>
      <w:tr w:rsidR="00F06A34" w:rsidRPr="009F7193" w14:paraId="53628DBA" w14:textId="77777777" w:rsidTr="00FC3113">
        <w:trPr>
          <w:cantSplit/>
        </w:trPr>
        <w:tc>
          <w:tcPr>
            <w:tcW w:w="2790" w:type="dxa"/>
            <w:vAlign w:val="center"/>
          </w:tcPr>
          <w:p w14:paraId="31A30AC3"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Commercial</w:t>
            </w:r>
          </w:p>
        </w:tc>
        <w:tc>
          <w:tcPr>
            <w:tcW w:w="1845" w:type="dxa"/>
            <w:tcBorders>
              <w:top w:val="single" w:sz="4" w:space="0" w:color="auto"/>
              <w:left w:val="single" w:sz="4" w:space="0" w:color="auto"/>
              <w:bottom w:val="single" w:sz="4" w:space="0" w:color="auto"/>
              <w:right w:val="single" w:sz="4" w:space="0" w:color="auto"/>
            </w:tcBorders>
            <w:vAlign w:val="center"/>
          </w:tcPr>
          <w:p w14:paraId="56E0B2BB" w14:textId="49E8D8F7" w:rsidR="00F06A34" w:rsidRPr="00F12784" w:rsidRDefault="00F06A34" w:rsidP="00F06A34">
            <w:pPr>
              <w:pStyle w:val="ListParagraph"/>
              <w:ind w:left="0"/>
              <w:jc w:val="center"/>
              <w:rPr>
                <w:rFonts w:asciiTheme="minorHAnsi" w:hAnsiTheme="minorHAnsi" w:cstheme="majorHAnsi"/>
                <w:sz w:val="20"/>
                <w:szCs w:val="20"/>
              </w:rPr>
            </w:pPr>
            <w:r w:rsidRPr="00F12784">
              <w:rPr>
                <w:rFonts w:ascii="Arial" w:hAnsi="Arial" w:cs="Arial"/>
                <w:color w:val="000000"/>
                <w:sz w:val="20"/>
                <w:szCs w:val="20"/>
              </w:rPr>
              <w:t>18.6%</w:t>
            </w:r>
          </w:p>
        </w:tc>
        <w:tc>
          <w:tcPr>
            <w:tcW w:w="1845" w:type="dxa"/>
            <w:tcBorders>
              <w:top w:val="single" w:sz="4" w:space="0" w:color="auto"/>
              <w:left w:val="single" w:sz="4" w:space="0" w:color="auto"/>
              <w:bottom w:val="single" w:sz="4" w:space="0" w:color="auto"/>
              <w:right w:val="single" w:sz="4" w:space="0" w:color="auto"/>
            </w:tcBorders>
            <w:vAlign w:val="center"/>
          </w:tcPr>
          <w:p w14:paraId="05358C40" w14:textId="7B8E05BE" w:rsidR="00F06A34" w:rsidRPr="00F12784" w:rsidRDefault="00F06A34" w:rsidP="00F06A34">
            <w:pPr>
              <w:pStyle w:val="ListParagraph"/>
              <w:ind w:left="0"/>
              <w:jc w:val="center"/>
              <w:rPr>
                <w:rFonts w:asciiTheme="minorHAnsi" w:hAnsiTheme="minorHAnsi" w:cstheme="majorHAnsi"/>
                <w:sz w:val="20"/>
                <w:szCs w:val="20"/>
              </w:rPr>
            </w:pPr>
            <w:r w:rsidRPr="00F12784">
              <w:rPr>
                <w:rFonts w:ascii="Arial" w:hAnsi="Arial" w:cs="Arial"/>
                <w:color w:val="000000"/>
                <w:sz w:val="20"/>
                <w:szCs w:val="20"/>
              </w:rPr>
              <w:t>19.1%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21E55" w14:textId="34C8CD6D"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rial" w:hAnsi="Arial" w:cs="Arial"/>
                <w:color w:val="000000"/>
                <w:sz w:val="20"/>
                <w:szCs w:val="20"/>
              </w:rPr>
              <w:t>18.1%</w:t>
            </w:r>
          </w:p>
        </w:tc>
      </w:tr>
      <w:tr w:rsidR="00F06A34" w:rsidRPr="009F7193" w14:paraId="20226DB9" w14:textId="77777777" w:rsidTr="00FC3113">
        <w:trPr>
          <w:cantSplit/>
        </w:trPr>
        <w:tc>
          <w:tcPr>
            <w:tcW w:w="2790" w:type="dxa"/>
            <w:vAlign w:val="center"/>
          </w:tcPr>
          <w:p w14:paraId="06E3F350"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Managed Medicaid</w:t>
            </w:r>
          </w:p>
        </w:tc>
        <w:tc>
          <w:tcPr>
            <w:tcW w:w="1845" w:type="dxa"/>
            <w:tcBorders>
              <w:top w:val="single" w:sz="4" w:space="0" w:color="auto"/>
              <w:left w:val="single" w:sz="4" w:space="0" w:color="auto"/>
              <w:bottom w:val="single" w:sz="4" w:space="0" w:color="auto"/>
              <w:right w:val="single" w:sz="4" w:space="0" w:color="auto"/>
            </w:tcBorders>
            <w:vAlign w:val="center"/>
          </w:tcPr>
          <w:p w14:paraId="71F9F643" w14:textId="6D2108F4"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10.4%</w:t>
            </w:r>
          </w:p>
        </w:tc>
        <w:tc>
          <w:tcPr>
            <w:tcW w:w="1845" w:type="dxa"/>
            <w:tcBorders>
              <w:top w:val="single" w:sz="4" w:space="0" w:color="auto"/>
              <w:left w:val="single" w:sz="4" w:space="0" w:color="auto"/>
              <w:bottom w:val="single" w:sz="4" w:space="0" w:color="auto"/>
              <w:right w:val="single" w:sz="4" w:space="0" w:color="auto"/>
            </w:tcBorders>
            <w:vAlign w:val="center"/>
          </w:tcPr>
          <w:p w14:paraId="1D695D01" w14:textId="5E550B98"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8.0%</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1C228" w14:textId="53B0A43E"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ptos" w:hAnsi="Aptos"/>
                <w:color w:val="000000"/>
                <w:sz w:val="20"/>
                <w:szCs w:val="20"/>
              </w:rPr>
              <w:t>9.1%</w:t>
            </w:r>
          </w:p>
        </w:tc>
      </w:tr>
      <w:tr w:rsidR="00F06A34" w:rsidRPr="009F7193" w14:paraId="27023FAD" w14:textId="77777777" w:rsidTr="00FC3113">
        <w:trPr>
          <w:cantSplit/>
        </w:trPr>
        <w:tc>
          <w:tcPr>
            <w:tcW w:w="2790" w:type="dxa"/>
            <w:vAlign w:val="center"/>
          </w:tcPr>
          <w:p w14:paraId="63D808FA"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MassHealth</w:t>
            </w:r>
          </w:p>
        </w:tc>
        <w:tc>
          <w:tcPr>
            <w:tcW w:w="1845" w:type="dxa"/>
            <w:tcBorders>
              <w:top w:val="single" w:sz="4" w:space="0" w:color="auto"/>
              <w:left w:val="single" w:sz="4" w:space="0" w:color="auto"/>
              <w:bottom w:val="single" w:sz="4" w:space="0" w:color="auto"/>
              <w:right w:val="single" w:sz="4" w:space="0" w:color="auto"/>
            </w:tcBorders>
            <w:vAlign w:val="center"/>
          </w:tcPr>
          <w:p w14:paraId="71DD568E" w14:textId="3A5EAA20"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4.7%</w:t>
            </w:r>
          </w:p>
        </w:tc>
        <w:tc>
          <w:tcPr>
            <w:tcW w:w="1845" w:type="dxa"/>
            <w:tcBorders>
              <w:top w:val="single" w:sz="4" w:space="0" w:color="auto"/>
              <w:left w:val="single" w:sz="4" w:space="0" w:color="auto"/>
              <w:bottom w:val="single" w:sz="4" w:space="0" w:color="auto"/>
              <w:right w:val="single" w:sz="4" w:space="0" w:color="auto"/>
            </w:tcBorders>
            <w:vAlign w:val="center"/>
          </w:tcPr>
          <w:p w14:paraId="534E6977" w14:textId="1AF827A2"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5.9%</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D905" w14:textId="6F7996DB"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ptos" w:hAnsi="Aptos"/>
                <w:color w:val="000000"/>
                <w:sz w:val="20"/>
                <w:szCs w:val="20"/>
              </w:rPr>
              <w:t>4.4%</w:t>
            </w:r>
          </w:p>
        </w:tc>
      </w:tr>
      <w:tr w:rsidR="00F06A34" w:rsidRPr="009F7193" w14:paraId="441E2D71" w14:textId="77777777" w:rsidTr="00FC3113">
        <w:trPr>
          <w:cantSplit/>
        </w:trPr>
        <w:tc>
          <w:tcPr>
            <w:tcW w:w="2790" w:type="dxa"/>
            <w:vAlign w:val="center"/>
          </w:tcPr>
          <w:p w14:paraId="1C51A5CC"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Medicare</w:t>
            </w:r>
          </w:p>
        </w:tc>
        <w:tc>
          <w:tcPr>
            <w:tcW w:w="1845" w:type="dxa"/>
            <w:tcBorders>
              <w:top w:val="single" w:sz="4" w:space="0" w:color="auto"/>
              <w:left w:val="single" w:sz="4" w:space="0" w:color="auto"/>
              <w:bottom w:val="single" w:sz="4" w:space="0" w:color="auto"/>
              <w:right w:val="single" w:sz="4" w:space="0" w:color="auto"/>
            </w:tcBorders>
            <w:vAlign w:val="center"/>
          </w:tcPr>
          <w:p w14:paraId="03523457" w14:textId="7C5A39F6"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46.0%</w:t>
            </w:r>
          </w:p>
        </w:tc>
        <w:tc>
          <w:tcPr>
            <w:tcW w:w="1845" w:type="dxa"/>
            <w:tcBorders>
              <w:top w:val="single" w:sz="4" w:space="0" w:color="auto"/>
              <w:left w:val="single" w:sz="4" w:space="0" w:color="auto"/>
              <w:bottom w:val="single" w:sz="4" w:space="0" w:color="auto"/>
              <w:right w:val="single" w:sz="4" w:space="0" w:color="auto"/>
            </w:tcBorders>
            <w:vAlign w:val="center"/>
          </w:tcPr>
          <w:p w14:paraId="03AEAE0C" w14:textId="29E85221"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46.9%</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7BDEE" w14:textId="2B78FD10"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ptos" w:hAnsi="Aptos"/>
                <w:color w:val="000000"/>
                <w:sz w:val="20"/>
                <w:szCs w:val="20"/>
              </w:rPr>
              <w:t>49.0%</w:t>
            </w:r>
          </w:p>
        </w:tc>
      </w:tr>
      <w:tr w:rsidR="00F06A34" w:rsidRPr="009F7193" w14:paraId="3329DDFA" w14:textId="77777777" w:rsidTr="00FC3113">
        <w:trPr>
          <w:cantSplit/>
        </w:trPr>
        <w:tc>
          <w:tcPr>
            <w:tcW w:w="2790" w:type="dxa"/>
            <w:vAlign w:val="center"/>
          </w:tcPr>
          <w:p w14:paraId="54C2185F"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Medicare Advantage</w:t>
            </w:r>
          </w:p>
        </w:tc>
        <w:tc>
          <w:tcPr>
            <w:tcW w:w="1845" w:type="dxa"/>
            <w:tcBorders>
              <w:top w:val="single" w:sz="4" w:space="0" w:color="auto"/>
              <w:left w:val="single" w:sz="4" w:space="0" w:color="auto"/>
              <w:bottom w:val="single" w:sz="4" w:space="0" w:color="auto"/>
              <w:right w:val="single" w:sz="4" w:space="0" w:color="auto"/>
            </w:tcBorders>
            <w:vAlign w:val="center"/>
          </w:tcPr>
          <w:p w14:paraId="352DE9ED" w14:textId="6B023E24"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15.5%</w:t>
            </w:r>
          </w:p>
        </w:tc>
        <w:tc>
          <w:tcPr>
            <w:tcW w:w="1845" w:type="dxa"/>
            <w:tcBorders>
              <w:top w:val="single" w:sz="4" w:space="0" w:color="auto"/>
              <w:left w:val="single" w:sz="4" w:space="0" w:color="auto"/>
              <w:bottom w:val="single" w:sz="4" w:space="0" w:color="auto"/>
              <w:right w:val="single" w:sz="4" w:space="0" w:color="auto"/>
            </w:tcBorders>
            <w:vAlign w:val="center"/>
          </w:tcPr>
          <w:p w14:paraId="3D73F4C7" w14:textId="157BD276"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15.5%</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3B4E" w14:textId="707280CC"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ptos" w:hAnsi="Aptos"/>
                <w:color w:val="000000"/>
                <w:sz w:val="20"/>
                <w:szCs w:val="20"/>
              </w:rPr>
              <w:t>14.7%</w:t>
            </w:r>
          </w:p>
        </w:tc>
      </w:tr>
      <w:tr w:rsidR="00F06A34" w:rsidRPr="009F7193" w14:paraId="2EC9D0A1" w14:textId="77777777" w:rsidTr="00FC3113">
        <w:trPr>
          <w:cantSplit/>
        </w:trPr>
        <w:tc>
          <w:tcPr>
            <w:tcW w:w="2790" w:type="dxa"/>
            <w:vAlign w:val="center"/>
          </w:tcPr>
          <w:p w14:paraId="683593F6" w14:textId="77777777" w:rsidR="00F06A34" w:rsidRPr="00F12784" w:rsidRDefault="00F06A34" w:rsidP="00F06A34">
            <w:pPr>
              <w:pStyle w:val="ListParagraph"/>
              <w:ind w:left="0"/>
              <w:rPr>
                <w:rFonts w:asciiTheme="minorHAnsi" w:hAnsiTheme="minorHAnsi" w:cstheme="majorHAnsi"/>
                <w:sz w:val="20"/>
                <w:szCs w:val="20"/>
              </w:rPr>
            </w:pPr>
            <w:r w:rsidRPr="00F12784">
              <w:rPr>
                <w:rFonts w:asciiTheme="minorHAnsi" w:hAnsiTheme="minorHAnsi" w:cstheme="majorHAnsi"/>
                <w:sz w:val="20"/>
                <w:szCs w:val="20"/>
              </w:rPr>
              <w:t>Other</w:t>
            </w:r>
          </w:p>
        </w:tc>
        <w:tc>
          <w:tcPr>
            <w:tcW w:w="1845" w:type="dxa"/>
            <w:tcBorders>
              <w:top w:val="single" w:sz="4" w:space="0" w:color="auto"/>
              <w:left w:val="single" w:sz="4" w:space="0" w:color="auto"/>
              <w:bottom w:val="single" w:sz="4" w:space="0" w:color="auto"/>
              <w:right w:val="single" w:sz="4" w:space="0" w:color="auto"/>
            </w:tcBorders>
            <w:vAlign w:val="center"/>
          </w:tcPr>
          <w:p w14:paraId="6A7A43E5" w14:textId="44303689"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4.8%</w:t>
            </w:r>
          </w:p>
        </w:tc>
        <w:tc>
          <w:tcPr>
            <w:tcW w:w="1845" w:type="dxa"/>
            <w:tcBorders>
              <w:top w:val="single" w:sz="4" w:space="0" w:color="auto"/>
              <w:left w:val="single" w:sz="4" w:space="0" w:color="auto"/>
              <w:bottom w:val="single" w:sz="4" w:space="0" w:color="auto"/>
              <w:right w:val="single" w:sz="4" w:space="0" w:color="auto"/>
            </w:tcBorders>
            <w:vAlign w:val="center"/>
          </w:tcPr>
          <w:p w14:paraId="6F8B87DF" w14:textId="57544A7B" w:rsidR="00F06A34" w:rsidRPr="00F12784" w:rsidRDefault="00F06A34" w:rsidP="00F06A34">
            <w:pPr>
              <w:pStyle w:val="ListParagraph"/>
              <w:ind w:left="0"/>
              <w:jc w:val="center"/>
              <w:rPr>
                <w:rFonts w:asciiTheme="minorHAnsi" w:hAnsiTheme="minorHAnsi" w:cstheme="majorHAnsi"/>
                <w:sz w:val="20"/>
                <w:szCs w:val="20"/>
              </w:rPr>
            </w:pPr>
            <w:r w:rsidRPr="00F12784">
              <w:rPr>
                <w:rFonts w:ascii="Aptos" w:hAnsi="Aptos"/>
                <w:color w:val="000000"/>
                <w:sz w:val="20"/>
                <w:szCs w:val="20"/>
              </w:rPr>
              <w:t>4.6%</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8747D" w14:textId="1BCA6AAF" w:rsidR="00F06A34" w:rsidRPr="00F12784" w:rsidRDefault="00F06A34" w:rsidP="00F06A34">
            <w:pPr>
              <w:pStyle w:val="ListParagraph"/>
              <w:ind w:left="0"/>
              <w:jc w:val="center"/>
              <w:rPr>
                <w:rFonts w:asciiTheme="minorHAnsi" w:hAnsiTheme="minorHAnsi" w:cstheme="majorHAnsi"/>
                <w:color w:val="000000"/>
                <w:sz w:val="20"/>
                <w:szCs w:val="20"/>
              </w:rPr>
            </w:pPr>
            <w:r w:rsidRPr="00F12784">
              <w:rPr>
                <w:rFonts w:ascii="Aptos" w:hAnsi="Aptos"/>
                <w:color w:val="000000"/>
                <w:sz w:val="20"/>
                <w:szCs w:val="20"/>
              </w:rPr>
              <w:t>4.7%</w:t>
            </w:r>
          </w:p>
        </w:tc>
      </w:tr>
      <w:tr w:rsidR="00EA1E6D" w:rsidRPr="009F7193" w14:paraId="38490011" w14:textId="77777777" w:rsidTr="00FC3113">
        <w:trPr>
          <w:cantSplit/>
        </w:trPr>
        <w:tc>
          <w:tcPr>
            <w:tcW w:w="2790" w:type="dxa"/>
            <w:shd w:val="clear" w:color="auto" w:fill="DAE9F7" w:themeFill="text2" w:themeFillTint="1A"/>
            <w:vAlign w:val="center"/>
          </w:tcPr>
          <w:p w14:paraId="0F557593" w14:textId="77777777" w:rsidR="00EA1E6D" w:rsidRPr="00F12784" w:rsidRDefault="00EA1E6D" w:rsidP="009B300B">
            <w:pPr>
              <w:pStyle w:val="ListParagraph"/>
              <w:ind w:left="0"/>
              <w:rPr>
                <w:rFonts w:asciiTheme="minorHAnsi" w:hAnsiTheme="minorHAnsi" w:cstheme="majorHAnsi"/>
                <w:b/>
                <w:bCs/>
                <w:sz w:val="20"/>
                <w:szCs w:val="20"/>
              </w:rPr>
            </w:pPr>
            <w:r w:rsidRPr="00F12784">
              <w:rPr>
                <w:rFonts w:asciiTheme="minorHAnsi" w:hAnsiTheme="minorHAnsi" w:cstheme="majorHAnsi"/>
                <w:b/>
                <w:bCs/>
                <w:sz w:val="20"/>
                <w:szCs w:val="20"/>
              </w:rPr>
              <w:t>TOTAL</w:t>
            </w:r>
          </w:p>
        </w:tc>
        <w:tc>
          <w:tcPr>
            <w:tcW w:w="1845" w:type="dxa"/>
            <w:tcBorders>
              <w:top w:val="single" w:sz="4" w:space="0" w:color="auto"/>
            </w:tcBorders>
            <w:shd w:val="clear" w:color="auto" w:fill="DAE9F7" w:themeFill="text2" w:themeFillTint="1A"/>
            <w:vAlign w:val="center"/>
          </w:tcPr>
          <w:p w14:paraId="5C8C4E02" w14:textId="77777777" w:rsidR="00EA1E6D" w:rsidRPr="00F12784" w:rsidRDefault="00EA1E6D" w:rsidP="009B300B">
            <w:pPr>
              <w:pStyle w:val="ListParagraph"/>
              <w:ind w:left="0"/>
              <w:jc w:val="center"/>
              <w:rPr>
                <w:rFonts w:asciiTheme="minorHAnsi" w:hAnsiTheme="minorHAnsi" w:cstheme="majorHAnsi"/>
                <w:b/>
                <w:bCs/>
                <w:sz w:val="20"/>
                <w:szCs w:val="20"/>
              </w:rPr>
            </w:pPr>
            <w:r w:rsidRPr="00F12784">
              <w:rPr>
                <w:rFonts w:ascii="Aptos" w:hAnsi="Aptos"/>
                <w:b/>
                <w:bCs/>
                <w:color w:val="000000"/>
                <w:sz w:val="20"/>
                <w:szCs w:val="20"/>
              </w:rPr>
              <w:t>100%</w:t>
            </w:r>
          </w:p>
        </w:tc>
        <w:tc>
          <w:tcPr>
            <w:tcW w:w="1845" w:type="dxa"/>
            <w:tcBorders>
              <w:top w:val="single" w:sz="4" w:space="0" w:color="auto"/>
            </w:tcBorders>
            <w:shd w:val="clear" w:color="auto" w:fill="DAE9F7" w:themeFill="text2" w:themeFillTint="1A"/>
            <w:vAlign w:val="center"/>
          </w:tcPr>
          <w:p w14:paraId="0D99991E" w14:textId="77777777" w:rsidR="00EA1E6D" w:rsidRPr="00F12784" w:rsidRDefault="00EA1E6D" w:rsidP="009B300B">
            <w:pPr>
              <w:pStyle w:val="ListParagraph"/>
              <w:ind w:left="0"/>
              <w:jc w:val="center"/>
              <w:rPr>
                <w:rFonts w:asciiTheme="minorHAnsi" w:hAnsiTheme="minorHAnsi" w:cstheme="majorHAnsi"/>
                <w:b/>
                <w:bCs/>
                <w:sz w:val="20"/>
                <w:szCs w:val="20"/>
              </w:rPr>
            </w:pPr>
            <w:r w:rsidRPr="00F12784">
              <w:rPr>
                <w:rFonts w:ascii="Aptos" w:hAnsi="Aptos"/>
                <w:b/>
                <w:bCs/>
                <w:color w:val="000000"/>
                <w:sz w:val="20"/>
                <w:szCs w:val="20"/>
              </w:rPr>
              <w:t>100%</w:t>
            </w:r>
          </w:p>
        </w:tc>
        <w:tc>
          <w:tcPr>
            <w:tcW w:w="1845" w:type="dxa"/>
            <w:tcBorders>
              <w:top w:val="single" w:sz="4" w:space="0" w:color="auto"/>
            </w:tcBorders>
            <w:shd w:val="clear" w:color="auto" w:fill="DAE9F7" w:themeFill="text2" w:themeFillTint="1A"/>
            <w:vAlign w:val="center"/>
          </w:tcPr>
          <w:p w14:paraId="5893C713" w14:textId="77777777" w:rsidR="00EA1E6D" w:rsidRPr="00F12784" w:rsidRDefault="00EA1E6D" w:rsidP="009B300B">
            <w:pPr>
              <w:pStyle w:val="ListParagraph"/>
              <w:ind w:left="0"/>
              <w:jc w:val="center"/>
              <w:rPr>
                <w:rFonts w:asciiTheme="minorHAnsi" w:hAnsiTheme="minorHAnsi" w:cstheme="majorHAnsi"/>
                <w:b/>
                <w:bCs/>
                <w:sz w:val="20"/>
                <w:szCs w:val="20"/>
              </w:rPr>
            </w:pPr>
            <w:r w:rsidRPr="00F12784">
              <w:rPr>
                <w:rFonts w:asciiTheme="minorHAnsi" w:hAnsiTheme="minorHAnsi" w:cstheme="majorHAnsi"/>
                <w:b/>
                <w:bCs/>
                <w:sz w:val="20"/>
                <w:szCs w:val="20"/>
              </w:rPr>
              <w:t>100%</w:t>
            </w:r>
          </w:p>
        </w:tc>
      </w:tr>
    </w:tbl>
    <w:p w14:paraId="63944FAF" w14:textId="77777777" w:rsidR="00EA1E6D" w:rsidRPr="009F7193" w:rsidRDefault="00EA1E6D" w:rsidP="00EA1E6D">
      <w:pPr>
        <w:jc w:val="both"/>
        <w:rPr>
          <w:rFonts w:asciiTheme="minorHAnsi" w:eastAsia="Verdana" w:hAnsiTheme="minorHAnsi" w:cs="Arial"/>
          <w:b/>
          <w:bCs/>
          <w:sz w:val="22"/>
          <w:szCs w:val="22"/>
        </w:rPr>
      </w:pPr>
    </w:p>
    <w:p w14:paraId="67AE5698" w14:textId="29B288CA" w:rsidR="00EA1E6D" w:rsidRPr="009F7193" w:rsidRDefault="00EA1E6D" w:rsidP="00EA1E6D">
      <w:pPr>
        <w:spacing w:after="120"/>
        <w:jc w:val="both"/>
        <w:rPr>
          <w:rFonts w:asciiTheme="minorHAnsi" w:hAnsiTheme="minorHAnsi" w:cs="Arial"/>
          <w:color w:val="000000" w:themeColor="text1"/>
          <w:sz w:val="22"/>
          <w:szCs w:val="22"/>
        </w:rPr>
      </w:pPr>
      <w:r w:rsidRPr="00820D40">
        <w:rPr>
          <w:rFonts w:asciiTheme="minorHAnsi" w:hAnsiTheme="minorHAnsi" w:cs="Arial"/>
          <w:color w:val="000000" w:themeColor="text1"/>
          <w:sz w:val="22"/>
          <w:szCs w:val="22"/>
        </w:rPr>
        <w:t xml:space="preserve">In FY2025, there was significant overlap in the geographic origin between the patients utilizing the Hospital’s satellite MRIs and those who utilized the MRI at the Hospital’s main campus. For example, slightly </w:t>
      </w:r>
      <w:r w:rsidR="00B603F0">
        <w:rPr>
          <w:rFonts w:asciiTheme="minorHAnsi" w:hAnsiTheme="minorHAnsi" w:cs="Arial"/>
          <w:color w:val="000000" w:themeColor="text1"/>
          <w:sz w:val="22"/>
          <w:szCs w:val="22"/>
        </w:rPr>
        <w:t xml:space="preserve">more </w:t>
      </w:r>
      <w:r w:rsidRPr="00820D40">
        <w:rPr>
          <w:rFonts w:asciiTheme="minorHAnsi" w:hAnsiTheme="minorHAnsi" w:cs="Arial"/>
          <w:color w:val="000000" w:themeColor="text1"/>
          <w:sz w:val="22"/>
          <w:szCs w:val="22"/>
        </w:rPr>
        <w:t xml:space="preserve">than half of the Hospital’s patients from </w:t>
      </w:r>
      <w:r w:rsidR="006D0E06">
        <w:rPr>
          <w:rFonts w:asciiTheme="minorHAnsi" w:hAnsiTheme="minorHAnsi" w:cs="Arial"/>
          <w:color w:val="000000" w:themeColor="text1"/>
          <w:sz w:val="22"/>
          <w:szCs w:val="22"/>
        </w:rPr>
        <w:t>West Yarmouth</w:t>
      </w:r>
      <w:r w:rsidRPr="00820D40">
        <w:rPr>
          <w:rFonts w:asciiTheme="minorHAnsi" w:hAnsiTheme="minorHAnsi" w:cs="Arial"/>
          <w:color w:val="000000" w:themeColor="text1"/>
          <w:sz w:val="22"/>
          <w:szCs w:val="22"/>
        </w:rPr>
        <w:t xml:space="preserve"> received MRI services at the main campus while the rest used a satellite MRI. This </w:t>
      </w:r>
      <w:r w:rsidRPr="009F7193">
        <w:rPr>
          <w:rFonts w:asciiTheme="minorHAnsi" w:hAnsiTheme="minorHAnsi" w:cs="Arial"/>
          <w:color w:val="000000" w:themeColor="text1"/>
          <w:sz w:val="22"/>
          <w:szCs w:val="22"/>
        </w:rPr>
        <w:t xml:space="preserve">trend is similar for other patient origins, </w:t>
      </w:r>
      <w:r w:rsidR="006D0E06">
        <w:rPr>
          <w:rFonts w:asciiTheme="minorHAnsi" w:hAnsiTheme="minorHAnsi" w:cs="Arial"/>
          <w:color w:val="000000" w:themeColor="text1"/>
          <w:sz w:val="22"/>
          <w:szCs w:val="22"/>
        </w:rPr>
        <w:t>such as Hyannis</w:t>
      </w:r>
      <w:r w:rsidRPr="009F7193">
        <w:rPr>
          <w:rFonts w:asciiTheme="minorHAnsi" w:hAnsiTheme="minorHAnsi" w:cs="Arial"/>
          <w:color w:val="000000" w:themeColor="text1"/>
          <w:sz w:val="22"/>
          <w:szCs w:val="22"/>
        </w:rPr>
        <w:t>, South Yarmouth, and Dennis</w:t>
      </w:r>
      <w:r w:rsidR="00D93016">
        <w:rPr>
          <w:rFonts w:asciiTheme="minorHAnsi" w:hAnsiTheme="minorHAnsi" w:cs="Arial"/>
          <w:color w:val="000000" w:themeColor="text1"/>
          <w:sz w:val="22"/>
          <w:szCs w:val="22"/>
        </w:rPr>
        <w:t xml:space="preserve"> Port</w:t>
      </w:r>
      <w:r w:rsidRPr="009F7193">
        <w:rPr>
          <w:rFonts w:asciiTheme="minorHAnsi" w:hAnsiTheme="minorHAnsi" w:cs="Arial"/>
          <w:color w:val="000000" w:themeColor="text1"/>
          <w:sz w:val="22"/>
          <w:szCs w:val="22"/>
        </w:rPr>
        <w:t xml:space="preserve">.  </w:t>
      </w:r>
    </w:p>
    <w:p w14:paraId="263CFD41" w14:textId="77777777" w:rsidR="00EA1E6D" w:rsidRPr="009F7193" w:rsidRDefault="00EA1E6D" w:rsidP="00D93016">
      <w:pPr>
        <w:spacing w:after="120"/>
        <w:ind w:hanging="900"/>
        <w:jc w:val="both"/>
        <w:rPr>
          <w:rFonts w:asciiTheme="minorHAnsi" w:hAnsiTheme="minorHAnsi" w:cs="Arial"/>
          <w:color w:val="000000" w:themeColor="text1"/>
          <w:sz w:val="22"/>
          <w:szCs w:val="22"/>
        </w:rPr>
      </w:pPr>
      <w:r w:rsidRPr="00820D40">
        <w:rPr>
          <w:rFonts w:asciiTheme="minorHAnsi" w:eastAsia="Verdana" w:hAnsiTheme="minorHAnsi" w:cs="Arial"/>
          <w:b/>
          <w:bCs/>
          <w:sz w:val="22"/>
          <w:szCs w:val="22"/>
        </w:rPr>
        <w:t xml:space="preserve">Table </w:t>
      </w:r>
      <w:r w:rsidRPr="009F7193">
        <w:rPr>
          <w:rFonts w:asciiTheme="minorHAnsi" w:eastAsia="Verdana" w:hAnsiTheme="minorHAnsi" w:cs="Arial"/>
          <w:b/>
          <w:bCs/>
          <w:sz w:val="22"/>
          <w:szCs w:val="22"/>
        </w:rPr>
        <w:t xml:space="preserve">9: Cape Cod Hospital MRI Use  </w:t>
      </w:r>
    </w:p>
    <w:tbl>
      <w:tblPr>
        <w:tblStyle w:val="TableGrid"/>
        <w:tblW w:w="11250" w:type="dxa"/>
        <w:tblInd w:w="-905" w:type="dxa"/>
        <w:tblLayout w:type="fixed"/>
        <w:tblLook w:val="04A0" w:firstRow="1" w:lastRow="0" w:firstColumn="1" w:lastColumn="0" w:noHBand="0" w:noVBand="1"/>
      </w:tblPr>
      <w:tblGrid>
        <w:gridCol w:w="4590"/>
        <w:gridCol w:w="1710"/>
        <w:gridCol w:w="1620"/>
        <w:gridCol w:w="1620"/>
        <w:gridCol w:w="1710"/>
      </w:tblGrid>
      <w:tr w:rsidR="00EA1E6D" w:rsidRPr="009F7193" w14:paraId="75767EF4" w14:textId="77777777" w:rsidTr="009D08F5">
        <w:trPr>
          <w:cantSplit/>
          <w:trHeight w:val="245"/>
          <w:tblHeader/>
        </w:trPr>
        <w:tc>
          <w:tcPr>
            <w:tcW w:w="4590" w:type="dxa"/>
            <w:shd w:val="clear" w:color="auto" w:fill="156082" w:themeFill="accent1"/>
          </w:tcPr>
          <w:p w14:paraId="0CCC8002" w14:textId="77777777" w:rsidR="00EA1E6D" w:rsidRPr="008D20AD" w:rsidRDefault="00EA1E6D" w:rsidP="009B300B">
            <w:pPr>
              <w:pStyle w:val="ListParagraph"/>
              <w:ind w:left="0"/>
              <w:contextualSpacing w:val="0"/>
              <w:rPr>
                <w:rFonts w:asciiTheme="minorHAnsi" w:hAnsiTheme="minorHAnsi" w:cstheme="majorHAnsi"/>
                <w:b/>
                <w:bCs/>
                <w:color w:val="FFFFFF" w:themeColor="background1"/>
                <w:sz w:val="20"/>
                <w:szCs w:val="20"/>
              </w:rPr>
            </w:pPr>
            <w:r w:rsidRPr="008D20AD">
              <w:rPr>
                <w:rFonts w:asciiTheme="minorHAnsi" w:hAnsiTheme="minorHAnsi" w:cstheme="majorHAnsi"/>
                <w:b/>
                <w:bCs/>
                <w:color w:val="FFFFFF" w:themeColor="background1"/>
                <w:sz w:val="20"/>
                <w:szCs w:val="20"/>
              </w:rPr>
              <w:t xml:space="preserve">Patient Origin </w:t>
            </w:r>
          </w:p>
        </w:tc>
        <w:tc>
          <w:tcPr>
            <w:tcW w:w="1710" w:type="dxa"/>
            <w:tcBorders>
              <w:bottom w:val="single" w:sz="4" w:space="0" w:color="auto"/>
            </w:tcBorders>
            <w:shd w:val="clear" w:color="auto" w:fill="156082" w:themeFill="accent1"/>
          </w:tcPr>
          <w:p w14:paraId="1C577497" w14:textId="77975BCA" w:rsidR="00EA1E6D" w:rsidRPr="008D20AD"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8D20AD">
              <w:rPr>
                <w:rFonts w:asciiTheme="minorHAnsi" w:hAnsiTheme="minorHAnsi" w:cstheme="majorHAnsi"/>
                <w:b/>
                <w:bCs/>
                <w:color w:val="FFFFFF" w:themeColor="background1"/>
                <w:sz w:val="20"/>
                <w:szCs w:val="20"/>
              </w:rPr>
              <w:t xml:space="preserve">All MRI </w:t>
            </w:r>
            <w:proofErr w:type="gramStart"/>
            <w:r w:rsidRPr="008D20AD">
              <w:rPr>
                <w:rFonts w:asciiTheme="minorHAnsi" w:hAnsiTheme="minorHAnsi" w:cstheme="majorHAnsi"/>
                <w:b/>
                <w:bCs/>
                <w:color w:val="FFFFFF" w:themeColor="background1"/>
                <w:sz w:val="20"/>
                <w:szCs w:val="20"/>
              </w:rPr>
              <w:t>Locations  (</w:t>
            </w:r>
            <w:proofErr w:type="gramEnd"/>
            <w:r w:rsidR="009529DC" w:rsidRPr="008D20AD">
              <w:rPr>
                <w:rFonts w:asciiTheme="minorHAnsi" w:hAnsiTheme="minorHAnsi" w:cstheme="majorHAnsi"/>
                <w:b/>
                <w:bCs/>
                <w:color w:val="FFFFFF" w:themeColor="background1"/>
                <w:sz w:val="20"/>
                <w:szCs w:val="20"/>
              </w:rPr>
              <w:t>#</w:t>
            </w:r>
            <w:r w:rsidRPr="008D20AD">
              <w:rPr>
                <w:rFonts w:asciiTheme="minorHAnsi" w:hAnsiTheme="minorHAnsi" w:cstheme="majorHAnsi"/>
                <w:b/>
                <w:bCs/>
                <w:color w:val="FFFFFF" w:themeColor="background1"/>
                <w:sz w:val="20"/>
                <w:szCs w:val="20"/>
              </w:rPr>
              <w:t>)</w:t>
            </w:r>
          </w:p>
        </w:tc>
        <w:tc>
          <w:tcPr>
            <w:tcW w:w="1620" w:type="dxa"/>
            <w:tcBorders>
              <w:bottom w:val="single" w:sz="4" w:space="0" w:color="auto"/>
            </w:tcBorders>
            <w:shd w:val="clear" w:color="auto" w:fill="156082" w:themeFill="accent1"/>
          </w:tcPr>
          <w:p w14:paraId="6220909B" w14:textId="6C9AED35" w:rsidR="00EA1E6D" w:rsidRPr="008D20AD"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8D20AD">
              <w:rPr>
                <w:rFonts w:asciiTheme="minorHAnsi" w:hAnsiTheme="minorHAnsi" w:cstheme="majorHAnsi"/>
                <w:b/>
                <w:bCs/>
                <w:color w:val="FFFFFF" w:themeColor="background1"/>
                <w:sz w:val="20"/>
                <w:szCs w:val="20"/>
              </w:rPr>
              <w:t>All MRI Locations (</w:t>
            </w:r>
            <w:r w:rsidR="009529DC" w:rsidRPr="008D20AD">
              <w:rPr>
                <w:rFonts w:asciiTheme="minorHAnsi" w:hAnsiTheme="minorHAnsi" w:cstheme="majorHAnsi"/>
                <w:b/>
                <w:bCs/>
                <w:color w:val="FFFFFF" w:themeColor="background1"/>
                <w:sz w:val="20"/>
                <w:szCs w:val="20"/>
              </w:rPr>
              <w:t>%</w:t>
            </w:r>
            <w:r w:rsidRPr="008D20AD">
              <w:rPr>
                <w:rFonts w:asciiTheme="minorHAnsi" w:hAnsiTheme="minorHAnsi" w:cstheme="majorHAnsi"/>
                <w:b/>
                <w:bCs/>
                <w:color w:val="FFFFFF" w:themeColor="background1"/>
                <w:sz w:val="20"/>
                <w:szCs w:val="20"/>
              </w:rPr>
              <w:t>)</w:t>
            </w:r>
          </w:p>
        </w:tc>
        <w:tc>
          <w:tcPr>
            <w:tcW w:w="1620" w:type="dxa"/>
            <w:tcBorders>
              <w:bottom w:val="single" w:sz="4" w:space="0" w:color="auto"/>
            </w:tcBorders>
            <w:shd w:val="clear" w:color="auto" w:fill="156082" w:themeFill="accent1"/>
          </w:tcPr>
          <w:p w14:paraId="16587CA7" w14:textId="02B34F28" w:rsidR="00EA1E6D" w:rsidRPr="008D20AD"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8D20AD">
              <w:rPr>
                <w:rFonts w:asciiTheme="minorHAnsi" w:hAnsiTheme="minorHAnsi" w:cstheme="majorHAnsi"/>
                <w:b/>
                <w:bCs/>
                <w:color w:val="FFFFFF" w:themeColor="background1"/>
                <w:sz w:val="20"/>
                <w:szCs w:val="20"/>
              </w:rPr>
              <w:t xml:space="preserve">Main Campus </w:t>
            </w:r>
            <w:proofErr w:type="gramStart"/>
            <w:r w:rsidRPr="008D20AD">
              <w:rPr>
                <w:rFonts w:asciiTheme="minorHAnsi" w:hAnsiTheme="minorHAnsi" w:cstheme="majorHAnsi"/>
                <w:b/>
                <w:bCs/>
                <w:color w:val="FFFFFF" w:themeColor="background1"/>
                <w:sz w:val="20"/>
                <w:szCs w:val="20"/>
              </w:rPr>
              <w:t>Only (</w:t>
            </w:r>
            <w:r w:rsidR="009529DC" w:rsidRPr="008D20AD">
              <w:rPr>
                <w:rFonts w:asciiTheme="minorHAnsi" w:hAnsiTheme="minorHAnsi" w:cstheme="majorHAnsi"/>
                <w:b/>
                <w:bCs/>
                <w:color w:val="FFFFFF" w:themeColor="background1"/>
                <w:sz w:val="20"/>
                <w:szCs w:val="20"/>
              </w:rPr>
              <w:t>#</w:t>
            </w:r>
            <w:proofErr w:type="gramEnd"/>
            <w:r w:rsidRPr="008D20AD">
              <w:rPr>
                <w:rFonts w:asciiTheme="minorHAnsi" w:hAnsiTheme="minorHAnsi" w:cstheme="majorHAnsi"/>
                <w:b/>
                <w:bCs/>
                <w:color w:val="FFFFFF" w:themeColor="background1"/>
                <w:sz w:val="20"/>
                <w:szCs w:val="20"/>
              </w:rPr>
              <w:t>)</w:t>
            </w:r>
          </w:p>
        </w:tc>
        <w:tc>
          <w:tcPr>
            <w:tcW w:w="1710" w:type="dxa"/>
            <w:tcBorders>
              <w:bottom w:val="single" w:sz="4" w:space="0" w:color="auto"/>
            </w:tcBorders>
            <w:shd w:val="clear" w:color="auto" w:fill="156082" w:themeFill="accent1"/>
          </w:tcPr>
          <w:p w14:paraId="5BB2CD30" w14:textId="25E48BFC" w:rsidR="00EA1E6D" w:rsidRPr="008D20AD" w:rsidRDefault="00EA1E6D" w:rsidP="009B300B">
            <w:pPr>
              <w:pStyle w:val="ListParagraph"/>
              <w:ind w:left="0"/>
              <w:contextualSpacing w:val="0"/>
              <w:jc w:val="center"/>
              <w:rPr>
                <w:rFonts w:asciiTheme="minorHAnsi" w:hAnsiTheme="minorHAnsi" w:cstheme="majorHAnsi"/>
                <w:b/>
                <w:bCs/>
                <w:color w:val="FFFFFF" w:themeColor="background1"/>
                <w:sz w:val="20"/>
                <w:szCs w:val="20"/>
              </w:rPr>
            </w:pPr>
            <w:r w:rsidRPr="008D20AD">
              <w:rPr>
                <w:rFonts w:asciiTheme="minorHAnsi" w:hAnsiTheme="minorHAnsi" w:cstheme="majorHAnsi"/>
                <w:b/>
                <w:bCs/>
                <w:color w:val="FFFFFF" w:themeColor="background1"/>
                <w:sz w:val="20"/>
                <w:szCs w:val="20"/>
              </w:rPr>
              <w:t>Main Campus Only (</w:t>
            </w:r>
            <w:r w:rsidR="009529DC" w:rsidRPr="008D20AD">
              <w:rPr>
                <w:rFonts w:asciiTheme="minorHAnsi" w:hAnsiTheme="minorHAnsi" w:cstheme="majorHAnsi"/>
                <w:b/>
                <w:bCs/>
                <w:color w:val="FFFFFF" w:themeColor="background1"/>
                <w:sz w:val="20"/>
                <w:szCs w:val="20"/>
              </w:rPr>
              <w:t>%</w:t>
            </w:r>
            <w:r w:rsidRPr="008D20AD">
              <w:rPr>
                <w:rFonts w:asciiTheme="minorHAnsi" w:hAnsiTheme="minorHAnsi" w:cstheme="majorHAnsi"/>
                <w:b/>
                <w:bCs/>
                <w:color w:val="FFFFFF" w:themeColor="background1"/>
                <w:sz w:val="20"/>
                <w:szCs w:val="20"/>
              </w:rPr>
              <w:t>)</w:t>
            </w:r>
          </w:p>
        </w:tc>
      </w:tr>
      <w:tr w:rsidR="009411CB" w:rsidRPr="009F7193" w14:paraId="20A22F95" w14:textId="77777777" w:rsidTr="00E658BE">
        <w:trPr>
          <w:cantSplit/>
          <w:trHeight w:val="255"/>
        </w:trPr>
        <w:tc>
          <w:tcPr>
            <w:tcW w:w="4590" w:type="dxa"/>
          </w:tcPr>
          <w:p w14:paraId="5DF152A5"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Hyannis</w:t>
            </w:r>
          </w:p>
        </w:tc>
        <w:tc>
          <w:tcPr>
            <w:tcW w:w="1710" w:type="dxa"/>
            <w:tcBorders>
              <w:top w:val="single" w:sz="4" w:space="0" w:color="auto"/>
              <w:left w:val="single" w:sz="4" w:space="0" w:color="auto"/>
              <w:bottom w:val="single" w:sz="4" w:space="0" w:color="auto"/>
              <w:right w:val="single" w:sz="4" w:space="0" w:color="auto"/>
            </w:tcBorders>
            <w:vAlign w:val="center"/>
          </w:tcPr>
          <w:p w14:paraId="0DFC7576" w14:textId="1401A5B6"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1036</w:t>
            </w:r>
          </w:p>
        </w:tc>
        <w:tc>
          <w:tcPr>
            <w:tcW w:w="1620" w:type="dxa"/>
            <w:tcBorders>
              <w:top w:val="single" w:sz="4" w:space="0" w:color="auto"/>
              <w:left w:val="single" w:sz="4" w:space="0" w:color="auto"/>
              <w:bottom w:val="single" w:sz="4" w:space="0" w:color="auto"/>
              <w:right w:val="single" w:sz="4" w:space="0" w:color="auto"/>
            </w:tcBorders>
            <w:vAlign w:val="bottom"/>
          </w:tcPr>
          <w:p w14:paraId="2932EA76" w14:textId="7291AEA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8%</w:t>
            </w:r>
          </w:p>
        </w:tc>
        <w:tc>
          <w:tcPr>
            <w:tcW w:w="1620" w:type="dxa"/>
            <w:tcBorders>
              <w:top w:val="single" w:sz="4" w:space="0" w:color="auto"/>
              <w:left w:val="single" w:sz="4" w:space="0" w:color="auto"/>
              <w:bottom w:val="single" w:sz="4" w:space="0" w:color="auto"/>
              <w:right w:val="single" w:sz="4" w:space="0" w:color="auto"/>
            </w:tcBorders>
            <w:vAlign w:val="center"/>
          </w:tcPr>
          <w:p w14:paraId="21598C5B" w14:textId="77E9B5FD"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464</w:t>
            </w:r>
          </w:p>
        </w:tc>
        <w:tc>
          <w:tcPr>
            <w:tcW w:w="1710" w:type="dxa"/>
            <w:tcBorders>
              <w:top w:val="single" w:sz="4" w:space="0" w:color="auto"/>
              <w:left w:val="single" w:sz="4" w:space="0" w:color="auto"/>
              <w:bottom w:val="single" w:sz="4" w:space="0" w:color="auto"/>
              <w:right w:val="single" w:sz="4" w:space="0" w:color="auto"/>
            </w:tcBorders>
            <w:vAlign w:val="bottom"/>
          </w:tcPr>
          <w:p w14:paraId="036A5096" w14:textId="44168FC4"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9%</w:t>
            </w:r>
          </w:p>
        </w:tc>
      </w:tr>
      <w:tr w:rsidR="009411CB" w:rsidRPr="009F7193" w14:paraId="304F57AE" w14:textId="77777777" w:rsidTr="00E658BE">
        <w:trPr>
          <w:cantSplit/>
          <w:trHeight w:val="245"/>
        </w:trPr>
        <w:tc>
          <w:tcPr>
            <w:tcW w:w="4590" w:type="dxa"/>
          </w:tcPr>
          <w:p w14:paraId="09083D9A"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Harwich</w:t>
            </w:r>
          </w:p>
        </w:tc>
        <w:tc>
          <w:tcPr>
            <w:tcW w:w="1710" w:type="dxa"/>
            <w:tcBorders>
              <w:top w:val="single" w:sz="4" w:space="0" w:color="auto"/>
              <w:left w:val="single" w:sz="4" w:space="0" w:color="auto"/>
              <w:bottom w:val="single" w:sz="4" w:space="0" w:color="auto"/>
              <w:right w:val="single" w:sz="4" w:space="0" w:color="auto"/>
            </w:tcBorders>
            <w:vAlign w:val="center"/>
          </w:tcPr>
          <w:p w14:paraId="1C2FE196" w14:textId="0D9D02BB"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833</w:t>
            </w:r>
          </w:p>
        </w:tc>
        <w:tc>
          <w:tcPr>
            <w:tcW w:w="1620" w:type="dxa"/>
            <w:tcBorders>
              <w:top w:val="single" w:sz="4" w:space="0" w:color="auto"/>
              <w:left w:val="single" w:sz="4" w:space="0" w:color="auto"/>
              <w:bottom w:val="single" w:sz="4" w:space="0" w:color="auto"/>
              <w:right w:val="single" w:sz="4" w:space="0" w:color="auto"/>
            </w:tcBorders>
            <w:vAlign w:val="bottom"/>
          </w:tcPr>
          <w:p w14:paraId="73EE0A83" w14:textId="1CA2BA6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14:paraId="0E162753" w14:textId="67890BEE"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246</w:t>
            </w:r>
          </w:p>
        </w:tc>
        <w:tc>
          <w:tcPr>
            <w:tcW w:w="1710" w:type="dxa"/>
            <w:tcBorders>
              <w:top w:val="single" w:sz="4" w:space="0" w:color="auto"/>
              <w:left w:val="single" w:sz="4" w:space="0" w:color="auto"/>
              <w:bottom w:val="single" w:sz="4" w:space="0" w:color="auto"/>
              <w:right w:val="single" w:sz="4" w:space="0" w:color="auto"/>
            </w:tcBorders>
            <w:vAlign w:val="bottom"/>
          </w:tcPr>
          <w:p w14:paraId="02EF45A4" w14:textId="5F5EAC3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5%</w:t>
            </w:r>
          </w:p>
        </w:tc>
      </w:tr>
      <w:tr w:rsidR="009411CB" w:rsidRPr="009F7193" w14:paraId="51309724" w14:textId="77777777" w:rsidTr="00E658BE">
        <w:trPr>
          <w:cantSplit/>
          <w:trHeight w:val="255"/>
        </w:trPr>
        <w:tc>
          <w:tcPr>
            <w:tcW w:w="4590" w:type="dxa"/>
          </w:tcPr>
          <w:p w14:paraId="6EE38367"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Centerville</w:t>
            </w:r>
          </w:p>
        </w:tc>
        <w:tc>
          <w:tcPr>
            <w:tcW w:w="1710" w:type="dxa"/>
            <w:tcBorders>
              <w:top w:val="single" w:sz="4" w:space="0" w:color="auto"/>
              <w:left w:val="single" w:sz="4" w:space="0" w:color="auto"/>
              <w:bottom w:val="single" w:sz="4" w:space="0" w:color="auto"/>
              <w:right w:val="single" w:sz="4" w:space="0" w:color="auto"/>
            </w:tcBorders>
            <w:vAlign w:val="center"/>
          </w:tcPr>
          <w:p w14:paraId="29350B6B" w14:textId="4ACB0053"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749</w:t>
            </w:r>
          </w:p>
        </w:tc>
        <w:tc>
          <w:tcPr>
            <w:tcW w:w="1620" w:type="dxa"/>
            <w:tcBorders>
              <w:top w:val="single" w:sz="4" w:space="0" w:color="auto"/>
              <w:left w:val="single" w:sz="4" w:space="0" w:color="auto"/>
              <w:bottom w:val="single" w:sz="4" w:space="0" w:color="auto"/>
              <w:right w:val="single" w:sz="4" w:space="0" w:color="auto"/>
            </w:tcBorders>
            <w:vAlign w:val="bottom"/>
          </w:tcPr>
          <w:p w14:paraId="7303CB3B" w14:textId="4EBAAE8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14:paraId="73987B95" w14:textId="2FE653E3"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304</w:t>
            </w:r>
          </w:p>
        </w:tc>
        <w:tc>
          <w:tcPr>
            <w:tcW w:w="1710" w:type="dxa"/>
            <w:tcBorders>
              <w:top w:val="single" w:sz="4" w:space="0" w:color="auto"/>
              <w:left w:val="single" w:sz="4" w:space="0" w:color="auto"/>
              <w:bottom w:val="single" w:sz="4" w:space="0" w:color="auto"/>
              <w:right w:val="single" w:sz="4" w:space="0" w:color="auto"/>
            </w:tcBorders>
            <w:vAlign w:val="bottom"/>
          </w:tcPr>
          <w:p w14:paraId="3BCA0BB9" w14:textId="00154258"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6%</w:t>
            </w:r>
          </w:p>
        </w:tc>
      </w:tr>
      <w:tr w:rsidR="009411CB" w:rsidRPr="009F7193" w14:paraId="31FA15EC" w14:textId="77777777" w:rsidTr="00E658BE">
        <w:trPr>
          <w:cantSplit/>
          <w:trHeight w:val="245"/>
        </w:trPr>
        <w:tc>
          <w:tcPr>
            <w:tcW w:w="4590" w:type="dxa"/>
          </w:tcPr>
          <w:p w14:paraId="50231F3D"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South Yarmouth</w:t>
            </w:r>
          </w:p>
        </w:tc>
        <w:tc>
          <w:tcPr>
            <w:tcW w:w="1710" w:type="dxa"/>
            <w:tcBorders>
              <w:top w:val="single" w:sz="4" w:space="0" w:color="auto"/>
              <w:left w:val="single" w:sz="4" w:space="0" w:color="auto"/>
              <w:bottom w:val="single" w:sz="4" w:space="0" w:color="auto"/>
              <w:right w:val="single" w:sz="4" w:space="0" w:color="auto"/>
            </w:tcBorders>
            <w:vAlign w:val="center"/>
          </w:tcPr>
          <w:p w14:paraId="6E7234DC" w14:textId="4D629BE9"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591</w:t>
            </w:r>
          </w:p>
        </w:tc>
        <w:tc>
          <w:tcPr>
            <w:tcW w:w="1620" w:type="dxa"/>
            <w:tcBorders>
              <w:top w:val="single" w:sz="4" w:space="0" w:color="auto"/>
              <w:left w:val="single" w:sz="4" w:space="0" w:color="auto"/>
              <w:bottom w:val="single" w:sz="4" w:space="0" w:color="auto"/>
              <w:right w:val="single" w:sz="4" w:space="0" w:color="auto"/>
            </w:tcBorders>
            <w:vAlign w:val="bottom"/>
          </w:tcPr>
          <w:p w14:paraId="2E62C3A0" w14:textId="49CAA6E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14:paraId="1DF79397" w14:textId="091C79DB" w:rsidR="009411CB" w:rsidRPr="008D20AD" w:rsidRDefault="009411CB" w:rsidP="009411CB">
            <w:pPr>
              <w:pStyle w:val="ListParagraph"/>
              <w:ind w:left="0"/>
              <w:jc w:val="center"/>
              <w:rPr>
                <w:rFonts w:asciiTheme="minorHAnsi" w:hAnsiTheme="minorHAnsi" w:cstheme="majorHAnsi"/>
                <w:sz w:val="20"/>
                <w:szCs w:val="20"/>
              </w:rPr>
            </w:pPr>
            <w:r w:rsidRPr="008D20AD">
              <w:rPr>
                <w:rFonts w:ascii="Aptos" w:hAnsi="Aptos"/>
                <w:color w:val="000000"/>
                <w:sz w:val="20"/>
                <w:szCs w:val="20"/>
              </w:rPr>
              <w:t>302</w:t>
            </w:r>
          </w:p>
        </w:tc>
        <w:tc>
          <w:tcPr>
            <w:tcW w:w="1710" w:type="dxa"/>
            <w:tcBorders>
              <w:top w:val="single" w:sz="4" w:space="0" w:color="auto"/>
              <w:left w:val="single" w:sz="4" w:space="0" w:color="auto"/>
              <w:bottom w:val="single" w:sz="4" w:space="0" w:color="auto"/>
              <w:right w:val="single" w:sz="4" w:space="0" w:color="auto"/>
            </w:tcBorders>
            <w:vAlign w:val="bottom"/>
          </w:tcPr>
          <w:p w14:paraId="3DE5BFC1" w14:textId="308F76B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6%</w:t>
            </w:r>
          </w:p>
        </w:tc>
      </w:tr>
      <w:tr w:rsidR="009411CB" w:rsidRPr="009F7193" w14:paraId="66B4A0D7" w14:textId="77777777" w:rsidTr="00E658BE">
        <w:trPr>
          <w:cantSplit/>
          <w:trHeight w:val="245"/>
        </w:trPr>
        <w:tc>
          <w:tcPr>
            <w:tcW w:w="4590" w:type="dxa"/>
          </w:tcPr>
          <w:p w14:paraId="6227CB29"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Brewster</w:t>
            </w:r>
          </w:p>
        </w:tc>
        <w:tc>
          <w:tcPr>
            <w:tcW w:w="1710" w:type="dxa"/>
            <w:tcBorders>
              <w:top w:val="single" w:sz="4" w:space="0" w:color="auto"/>
              <w:left w:val="single" w:sz="4" w:space="0" w:color="auto"/>
              <w:bottom w:val="single" w:sz="4" w:space="0" w:color="auto"/>
              <w:right w:val="single" w:sz="4" w:space="0" w:color="auto"/>
            </w:tcBorders>
            <w:vAlign w:val="center"/>
          </w:tcPr>
          <w:p w14:paraId="2BA9C83A" w14:textId="23A7AF8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772</w:t>
            </w:r>
          </w:p>
        </w:tc>
        <w:tc>
          <w:tcPr>
            <w:tcW w:w="1620" w:type="dxa"/>
            <w:tcBorders>
              <w:top w:val="single" w:sz="4" w:space="0" w:color="auto"/>
              <w:left w:val="single" w:sz="4" w:space="0" w:color="auto"/>
              <w:bottom w:val="single" w:sz="4" w:space="0" w:color="auto"/>
              <w:right w:val="single" w:sz="4" w:space="0" w:color="auto"/>
            </w:tcBorders>
            <w:vAlign w:val="bottom"/>
          </w:tcPr>
          <w:p w14:paraId="2B7314DD" w14:textId="1F9516D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14:paraId="78F43A2C" w14:textId="7B30233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254</w:t>
            </w:r>
          </w:p>
        </w:tc>
        <w:tc>
          <w:tcPr>
            <w:tcW w:w="1710" w:type="dxa"/>
            <w:tcBorders>
              <w:top w:val="single" w:sz="4" w:space="0" w:color="auto"/>
              <w:left w:val="single" w:sz="4" w:space="0" w:color="auto"/>
              <w:bottom w:val="single" w:sz="4" w:space="0" w:color="auto"/>
              <w:right w:val="single" w:sz="4" w:space="0" w:color="auto"/>
            </w:tcBorders>
            <w:vAlign w:val="bottom"/>
          </w:tcPr>
          <w:p w14:paraId="4C68ACA9" w14:textId="54D03A5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5%</w:t>
            </w:r>
          </w:p>
        </w:tc>
      </w:tr>
      <w:tr w:rsidR="009411CB" w:rsidRPr="009F7193" w14:paraId="60103DCE" w14:textId="77777777" w:rsidTr="00E658BE">
        <w:trPr>
          <w:cantSplit/>
          <w:trHeight w:val="255"/>
        </w:trPr>
        <w:tc>
          <w:tcPr>
            <w:tcW w:w="4590" w:type="dxa"/>
          </w:tcPr>
          <w:p w14:paraId="3A8B42F4"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Yarmouth Port</w:t>
            </w:r>
          </w:p>
        </w:tc>
        <w:tc>
          <w:tcPr>
            <w:tcW w:w="1710" w:type="dxa"/>
            <w:tcBorders>
              <w:top w:val="single" w:sz="4" w:space="0" w:color="auto"/>
              <w:left w:val="single" w:sz="4" w:space="0" w:color="auto"/>
              <w:bottom w:val="single" w:sz="4" w:space="0" w:color="auto"/>
              <w:right w:val="single" w:sz="4" w:space="0" w:color="auto"/>
            </w:tcBorders>
            <w:vAlign w:val="center"/>
          </w:tcPr>
          <w:p w14:paraId="0B94653C" w14:textId="10A1CC0D"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505</w:t>
            </w:r>
          </w:p>
        </w:tc>
        <w:tc>
          <w:tcPr>
            <w:tcW w:w="1620" w:type="dxa"/>
            <w:tcBorders>
              <w:top w:val="single" w:sz="4" w:space="0" w:color="auto"/>
              <w:left w:val="single" w:sz="4" w:space="0" w:color="auto"/>
              <w:bottom w:val="single" w:sz="4" w:space="0" w:color="auto"/>
              <w:right w:val="single" w:sz="4" w:space="0" w:color="auto"/>
            </w:tcBorders>
            <w:vAlign w:val="bottom"/>
          </w:tcPr>
          <w:p w14:paraId="56FC5310" w14:textId="5436DE9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290B635B" w14:textId="1D0D7A2D"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218</w:t>
            </w:r>
          </w:p>
        </w:tc>
        <w:tc>
          <w:tcPr>
            <w:tcW w:w="1710" w:type="dxa"/>
            <w:tcBorders>
              <w:top w:val="single" w:sz="4" w:space="0" w:color="auto"/>
              <w:left w:val="single" w:sz="4" w:space="0" w:color="auto"/>
              <w:bottom w:val="single" w:sz="4" w:space="0" w:color="auto"/>
              <w:right w:val="single" w:sz="4" w:space="0" w:color="auto"/>
            </w:tcBorders>
            <w:vAlign w:val="bottom"/>
          </w:tcPr>
          <w:p w14:paraId="34EF6C08" w14:textId="1D83BD7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r>
      <w:tr w:rsidR="009411CB" w:rsidRPr="009F7193" w14:paraId="15ED9C39" w14:textId="77777777" w:rsidTr="00E658BE">
        <w:trPr>
          <w:cantSplit/>
          <w:trHeight w:val="245"/>
        </w:trPr>
        <w:tc>
          <w:tcPr>
            <w:tcW w:w="4590" w:type="dxa"/>
          </w:tcPr>
          <w:p w14:paraId="6A1FEBF0"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Marston Mills</w:t>
            </w:r>
          </w:p>
        </w:tc>
        <w:tc>
          <w:tcPr>
            <w:tcW w:w="1710" w:type="dxa"/>
            <w:tcBorders>
              <w:top w:val="single" w:sz="4" w:space="0" w:color="auto"/>
              <w:left w:val="single" w:sz="4" w:space="0" w:color="auto"/>
              <w:bottom w:val="single" w:sz="4" w:space="0" w:color="auto"/>
              <w:right w:val="single" w:sz="4" w:space="0" w:color="auto"/>
            </w:tcBorders>
            <w:vAlign w:val="center"/>
          </w:tcPr>
          <w:p w14:paraId="65AB49CD" w14:textId="2222B622"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462</w:t>
            </w:r>
          </w:p>
        </w:tc>
        <w:tc>
          <w:tcPr>
            <w:tcW w:w="1620" w:type="dxa"/>
            <w:tcBorders>
              <w:top w:val="single" w:sz="4" w:space="0" w:color="auto"/>
              <w:left w:val="single" w:sz="4" w:space="0" w:color="auto"/>
              <w:bottom w:val="single" w:sz="4" w:space="0" w:color="auto"/>
              <w:right w:val="single" w:sz="4" w:space="0" w:color="auto"/>
            </w:tcBorders>
            <w:vAlign w:val="bottom"/>
          </w:tcPr>
          <w:p w14:paraId="773B21B9" w14:textId="502A103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3289B7C2" w14:textId="1E39B0D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169</w:t>
            </w:r>
          </w:p>
        </w:tc>
        <w:tc>
          <w:tcPr>
            <w:tcW w:w="1710" w:type="dxa"/>
            <w:tcBorders>
              <w:top w:val="single" w:sz="4" w:space="0" w:color="auto"/>
              <w:left w:val="single" w:sz="4" w:space="0" w:color="auto"/>
              <w:bottom w:val="single" w:sz="4" w:space="0" w:color="auto"/>
              <w:right w:val="single" w:sz="4" w:space="0" w:color="auto"/>
            </w:tcBorders>
            <w:vAlign w:val="bottom"/>
          </w:tcPr>
          <w:p w14:paraId="685B6990" w14:textId="7A18EED5"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3%</w:t>
            </w:r>
          </w:p>
        </w:tc>
      </w:tr>
      <w:tr w:rsidR="009411CB" w:rsidRPr="009F7193" w14:paraId="0BA7E9BF" w14:textId="77777777" w:rsidTr="00E658BE">
        <w:trPr>
          <w:cantSplit/>
          <w:trHeight w:val="255"/>
        </w:trPr>
        <w:tc>
          <w:tcPr>
            <w:tcW w:w="4590" w:type="dxa"/>
          </w:tcPr>
          <w:p w14:paraId="578EE131"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Orleans</w:t>
            </w:r>
          </w:p>
        </w:tc>
        <w:tc>
          <w:tcPr>
            <w:tcW w:w="1710" w:type="dxa"/>
            <w:tcBorders>
              <w:top w:val="single" w:sz="4" w:space="0" w:color="auto"/>
              <w:left w:val="single" w:sz="4" w:space="0" w:color="auto"/>
              <w:bottom w:val="single" w:sz="4" w:space="0" w:color="auto"/>
              <w:right w:val="single" w:sz="4" w:space="0" w:color="auto"/>
            </w:tcBorders>
            <w:vAlign w:val="center"/>
          </w:tcPr>
          <w:p w14:paraId="1F61EE44" w14:textId="7A43BE08"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491</w:t>
            </w:r>
          </w:p>
        </w:tc>
        <w:tc>
          <w:tcPr>
            <w:tcW w:w="1620" w:type="dxa"/>
            <w:tcBorders>
              <w:top w:val="single" w:sz="4" w:space="0" w:color="auto"/>
              <w:left w:val="single" w:sz="4" w:space="0" w:color="auto"/>
              <w:bottom w:val="single" w:sz="4" w:space="0" w:color="auto"/>
              <w:right w:val="single" w:sz="4" w:space="0" w:color="auto"/>
            </w:tcBorders>
            <w:vAlign w:val="bottom"/>
          </w:tcPr>
          <w:p w14:paraId="0AFE7BE6" w14:textId="4DB22AD2"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5FE3EE2F" w14:textId="6DC6ACF6"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173</w:t>
            </w:r>
          </w:p>
        </w:tc>
        <w:tc>
          <w:tcPr>
            <w:tcW w:w="1710" w:type="dxa"/>
            <w:tcBorders>
              <w:top w:val="single" w:sz="4" w:space="0" w:color="auto"/>
              <w:left w:val="single" w:sz="4" w:space="0" w:color="auto"/>
              <w:bottom w:val="single" w:sz="4" w:space="0" w:color="auto"/>
              <w:right w:val="single" w:sz="4" w:space="0" w:color="auto"/>
            </w:tcBorders>
            <w:vAlign w:val="bottom"/>
          </w:tcPr>
          <w:p w14:paraId="463573CA" w14:textId="11890FE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3%</w:t>
            </w:r>
          </w:p>
        </w:tc>
      </w:tr>
      <w:tr w:rsidR="009411CB" w:rsidRPr="009F7193" w14:paraId="5AB31B12" w14:textId="77777777" w:rsidTr="00E658BE">
        <w:trPr>
          <w:cantSplit/>
          <w:trHeight w:val="245"/>
        </w:trPr>
        <w:tc>
          <w:tcPr>
            <w:tcW w:w="4590" w:type="dxa"/>
          </w:tcPr>
          <w:p w14:paraId="43BF044D"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Mashpee</w:t>
            </w:r>
          </w:p>
        </w:tc>
        <w:tc>
          <w:tcPr>
            <w:tcW w:w="1710" w:type="dxa"/>
            <w:tcBorders>
              <w:top w:val="single" w:sz="4" w:space="0" w:color="auto"/>
              <w:left w:val="single" w:sz="4" w:space="0" w:color="auto"/>
              <w:bottom w:val="single" w:sz="4" w:space="0" w:color="auto"/>
              <w:right w:val="single" w:sz="4" w:space="0" w:color="auto"/>
            </w:tcBorders>
            <w:vAlign w:val="center"/>
          </w:tcPr>
          <w:p w14:paraId="1214D57E" w14:textId="574A7C4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568</w:t>
            </w:r>
          </w:p>
        </w:tc>
        <w:tc>
          <w:tcPr>
            <w:tcW w:w="1620" w:type="dxa"/>
            <w:tcBorders>
              <w:top w:val="single" w:sz="4" w:space="0" w:color="auto"/>
              <w:left w:val="single" w:sz="4" w:space="0" w:color="auto"/>
              <w:bottom w:val="single" w:sz="4" w:space="0" w:color="auto"/>
              <w:right w:val="single" w:sz="4" w:space="0" w:color="auto"/>
            </w:tcBorders>
            <w:vAlign w:val="bottom"/>
          </w:tcPr>
          <w:p w14:paraId="444EFC3E" w14:textId="63B12177"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252FBC94" w14:textId="32D4C434"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203</w:t>
            </w:r>
          </w:p>
        </w:tc>
        <w:tc>
          <w:tcPr>
            <w:tcW w:w="1710" w:type="dxa"/>
            <w:tcBorders>
              <w:top w:val="single" w:sz="4" w:space="0" w:color="auto"/>
              <w:left w:val="single" w:sz="4" w:space="0" w:color="auto"/>
              <w:bottom w:val="single" w:sz="4" w:space="0" w:color="auto"/>
              <w:right w:val="single" w:sz="4" w:space="0" w:color="auto"/>
            </w:tcBorders>
            <w:vAlign w:val="bottom"/>
          </w:tcPr>
          <w:p w14:paraId="33623C61" w14:textId="3C97060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r>
      <w:tr w:rsidR="009411CB" w:rsidRPr="009F7193" w14:paraId="245277F6" w14:textId="77777777" w:rsidTr="00E658BE">
        <w:trPr>
          <w:cantSplit/>
          <w:trHeight w:val="255"/>
        </w:trPr>
        <w:tc>
          <w:tcPr>
            <w:tcW w:w="4590" w:type="dxa"/>
          </w:tcPr>
          <w:p w14:paraId="24226678"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West Yarmouth</w:t>
            </w:r>
          </w:p>
        </w:tc>
        <w:tc>
          <w:tcPr>
            <w:tcW w:w="1710" w:type="dxa"/>
            <w:tcBorders>
              <w:top w:val="single" w:sz="4" w:space="0" w:color="auto"/>
              <w:left w:val="single" w:sz="4" w:space="0" w:color="auto"/>
              <w:bottom w:val="single" w:sz="4" w:space="0" w:color="auto"/>
              <w:right w:val="single" w:sz="4" w:space="0" w:color="auto"/>
            </w:tcBorders>
            <w:vAlign w:val="center"/>
          </w:tcPr>
          <w:p w14:paraId="56C1D6C5" w14:textId="1706BE4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470</w:t>
            </w:r>
          </w:p>
        </w:tc>
        <w:tc>
          <w:tcPr>
            <w:tcW w:w="1620" w:type="dxa"/>
            <w:tcBorders>
              <w:top w:val="single" w:sz="4" w:space="0" w:color="auto"/>
              <w:left w:val="single" w:sz="4" w:space="0" w:color="auto"/>
              <w:bottom w:val="single" w:sz="4" w:space="0" w:color="auto"/>
              <w:right w:val="single" w:sz="4" w:space="0" w:color="auto"/>
            </w:tcBorders>
            <w:vAlign w:val="bottom"/>
          </w:tcPr>
          <w:p w14:paraId="655920DA" w14:textId="22224534"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274E2A82" w14:textId="15AEA60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253</w:t>
            </w:r>
          </w:p>
        </w:tc>
        <w:tc>
          <w:tcPr>
            <w:tcW w:w="1710" w:type="dxa"/>
            <w:tcBorders>
              <w:top w:val="single" w:sz="4" w:space="0" w:color="auto"/>
              <w:left w:val="single" w:sz="4" w:space="0" w:color="auto"/>
              <w:bottom w:val="single" w:sz="4" w:space="0" w:color="auto"/>
              <w:right w:val="single" w:sz="4" w:space="0" w:color="auto"/>
            </w:tcBorders>
            <w:vAlign w:val="bottom"/>
          </w:tcPr>
          <w:p w14:paraId="7CC1727F" w14:textId="79244B2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5%</w:t>
            </w:r>
          </w:p>
        </w:tc>
      </w:tr>
      <w:tr w:rsidR="009411CB" w:rsidRPr="009F7193" w14:paraId="0FDAB424" w14:textId="77777777" w:rsidTr="00E658BE">
        <w:trPr>
          <w:cantSplit/>
          <w:trHeight w:val="245"/>
        </w:trPr>
        <w:tc>
          <w:tcPr>
            <w:tcW w:w="4590" w:type="dxa"/>
          </w:tcPr>
          <w:p w14:paraId="0AD0DBBB"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South Dennis</w:t>
            </w:r>
          </w:p>
        </w:tc>
        <w:tc>
          <w:tcPr>
            <w:tcW w:w="1710" w:type="dxa"/>
            <w:tcBorders>
              <w:top w:val="single" w:sz="4" w:space="0" w:color="auto"/>
              <w:left w:val="single" w:sz="4" w:space="0" w:color="auto"/>
              <w:bottom w:val="single" w:sz="4" w:space="0" w:color="auto"/>
              <w:right w:val="single" w:sz="4" w:space="0" w:color="auto"/>
            </w:tcBorders>
            <w:vAlign w:val="center"/>
          </w:tcPr>
          <w:p w14:paraId="098A53BA" w14:textId="276958E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453</w:t>
            </w:r>
          </w:p>
        </w:tc>
        <w:tc>
          <w:tcPr>
            <w:tcW w:w="1620" w:type="dxa"/>
            <w:tcBorders>
              <w:top w:val="single" w:sz="4" w:space="0" w:color="auto"/>
              <w:left w:val="single" w:sz="4" w:space="0" w:color="auto"/>
              <w:bottom w:val="single" w:sz="4" w:space="0" w:color="auto"/>
              <w:right w:val="single" w:sz="4" w:space="0" w:color="auto"/>
            </w:tcBorders>
            <w:vAlign w:val="bottom"/>
          </w:tcPr>
          <w:p w14:paraId="1ABAC24A" w14:textId="10A50306"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09BC61CF" w14:textId="15FD49E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178</w:t>
            </w:r>
          </w:p>
        </w:tc>
        <w:tc>
          <w:tcPr>
            <w:tcW w:w="1710" w:type="dxa"/>
            <w:tcBorders>
              <w:top w:val="single" w:sz="4" w:space="0" w:color="auto"/>
              <w:left w:val="single" w:sz="4" w:space="0" w:color="auto"/>
              <w:bottom w:val="single" w:sz="4" w:space="0" w:color="auto"/>
              <w:right w:val="single" w:sz="4" w:space="0" w:color="auto"/>
            </w:tcBorders>
            <w:vAlign w:val="bottom"/>
          </w:tcPr>
          <w:p w14:paraId="1B00FC45" w14:textId="57E88662"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r>
      <w:tr w:rsidR="009411CB" w:rsidRPr="009F7193" w14:paraId="35B828D5" w14:textId="77777777" w:rsidTr="00E658BE">
        <w:trPr>
          <w:cantSplit/>
          <w:trHeight w:val="245"/>
        </w:trPr>
        <w:tc>
          <w:tcPr>
            <w:tcW w:w="4590" w:type="dxa"/>
          </w:tcPr>
          <w:p w14:paraId="543D9115"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Sandwich</w:t>
            </w:r>
          </w:p>
        </w:tc>
        <w:tc>
          <w:tcPr>
            <w:tcW w:w="1710" w:type="dxa"/>
            <w:tcBorders>
              <w:top w:val="single" w:sz="4" w:space="0" w:color="auto"/>
              <w:left w:val="single" w:sz="4" w:space="0" w:color="auto"/>
              <w:bottom w:val="single" w:sz="4" w:space="0" w:color="auto"/>
              <w:right w:val="single" w:sz="4" w:space="0" w:color="auto"/>
            </w:tcBorders>
            <w:vAlign w:val="center"/>
          </w:tcPr>
          <w:p w14:paraId="58F3C1D2" w14:textId="364F8C1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406</w:t>
            </w:r>
          </w:p>
        </w:tc>
        <w:tc>
          <w:tcPr>
            <w:tcW w:w="1620" w:type="dxa"/>
            <w:tcBorders>
              <w:top w:val="single" w:sz="4" w:space="0" w:color="auto"/>
              <w:left w:val="single" w:sz="4" w:space="0" w:color="auto"/>
              <w:bottom w:val="single" w:sz="4" w:space="0" w:color="auto"/>
              <w:right w:val="single" w:sz="4" w:space="0" w:color="auto"/>
            </w:tcBorders>
            <w:vAlign w:val="bottom"/>
          </w:tcPr>
          <w:p w14:paraId="1A5F8469" w14:textId="170B8158"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5D6771EE" w14:textId="2381E44D"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180</w:t>
            </w:r>
          </w:p>
        </w:tc>
        <w:tc>
          <w:tcPr>
            <w:tcW w:w="1710" w:type="dxa"/>
            <w:tcBorders>
              <w:top w:val="single" w:sz="4" w:space="0" w:color="auto"/>
              <w:left w:val="single" w:sz="4" w:space="0" w:color="auto"/>
              <w:bottom w:val="single" w:sz="4" w:space="0" w:color="auto"/>
              <w:right w:val="single" w:sz="4" w:space="0" w:color="auto"/>
            </w:tcBorders>
            <w:vAlign w:val="bottom"/>
          </w:tcPr>
          <w:p w14:paraId="648AA3BB" w14:textId="6ED1545E"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4%</w:t>
            </w:r>
          </w:p>
        </w:tc>
      </w:tr>
      <w:tr w:rsidR="009411CB" w:rsidRPr="009F7193" w14:paraId="7F4DA735" w14:textId="77777777" w:rsidTr="00E658BE">
        <w:trPr>
          <w:cantSplit/>
          <w:trHeight w:val="255"/>
        </w:trPr>
        <w:tc>
          <w:tcPr>
            <w:tcW w:w="4590" w:type="dxa"/>
          </w:tcPr>
          <w:p w14:paraId="75033C6E"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Eastham</w:t>
            </w:r>
          </w:p>
        </w:tc>
        <w:tc>
          <w:tcPr>
            <w:tcW w:w="1710" w:type="dxa"/>
            <w:tcBorders>
              <w:top w:val="single" w:sz="4" w:space="0" w:color="auto"/>
              <w:left w:val="single" w:sz="4" w:space="0" w:color="auto"/>
              <w:bottom w:val="single" w:sz="4" w:space="0" w:color="auto"/>
              <w:right w:val="single" w:sz="4" w:space="0" w:color="auto"/>
            </w:tcBorders>
            <w:vAlign w:val="center"/>
          </w:tcPr>
          <w:p w14:paraId="18324BFD" w14:textId="323B246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349</w:t>
            </w:r>
          </w:p>
        </w:tc>
        <w:tc>
          <w:tcPr>
            <w:tcW w:w="1620" w:type="dxa"/>
            <w:tcBorders>
              <w:top w:val="single" w:sz="4" w:space="0" w:color="auto"/>
              <w:left w:val="single" w:sz="4" w:space="0" w:color="auto"/>
              <w:bottom w:val="single" w:sz="4" w:space="0" w:color="auto"/>
              <w:right w:val="single" w:sz="4" w:space="0" w:color="auto"/>
            </w:tcBorders>
            <w:vAlign w:val="bottom"/>
          </w:tcPr>
          <w:p w14:paraId="5C99DE7C" w14:textId="76CFB8F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15F91005" w14:textId="2EA1288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99</w:t>
            </w:r>
          </w:p>
        </w:tc>
        <w:tc>
          <w:tcPr>
            <w:tcW w:w="1710" w:type="dxa"/>
            <w:tcBorders>
              <w:top w:val="single" w:sz="4" w:space="0" w:color="auto"/>
              <w:left w:val="single" w:sz="4" w:space="0" w:color="auto"/>
              <w:bottom w:val="single" w:sz="4" w:space="0" w:color="auto"/>
              <w:right w:val="single" w:sz="4" w:space="0" w:color="auto"/>
            </w:tcBorders>
            <w:vAlign w:val="bottom"/>
          </w:tcPr>
          <w:p w14:paraId="0EE8428C" w14:textId="2A5B58F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5CD2C17A" w14:textId="77777777" w:rsidTr="00E658BE">
        <w:trPr>
          <w:cantSplit/>
          <w:trHeight w:val="245"/>
        </w:trPr>
        <w:tc>
          <w:tcPr>
            <w:tcW w:w="4590" w:type="dxa"/>
            <w:vAlign w:val="center"/>
          </w:tcPr>
          <w:p w14:paraId="61149EDA"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 xml:space="preserve">East Falmouth, </w:t>
            </w:r>
            <w:proofErr w:type="spellStart"/>
            <w:r w:rsidRPr="008D20AD">
              <w:rPr>
                <w:rFonts w:asciiTheme="minorHAnsi" w:hAnsiTheme="minorHAnsi" w:cstheme="majorHAnsi"/>
                <w:sz w:val="20"/>
                <w:szCs w:val="20"/>
              </w:rPr>
              <w:t>Hatchville</w:t>
            </w:r>
            <w:proofErr w:type="spellEnd"/>
            <w:r w:rsidRPr="008D20AD">
              <w:rPr>
                <w:rFonts w:asciiTheme="minorHAnsi" w:hAnsiTheme="minorHAnsi" w:cstheme="majorHAnsi"/>
                <w:sz w:val="20"/>
                <w:szCs w:val="20"/>
              </w:rPr>
              <w:t xml:space="preserve">, </w:t>
            </w:r>
            <w:proofErr w:type="spellStart"/>
            <w:r w:rsidRPr="008D20AD">
              <w:rPr>
                <w:rFonts w:asciiTheme="minorHAnsi" w:hAnsiTheme="minorHAnsi" w:cstheme="majorHAnsi"/>
                <w:sz w:val="20"/>
                <w:szCs w:val="20"/>
              </w:rPr>
              <w:t>Teaticket</w:t>
            </w:r>
            <w:proofErr w:type="spellEnd"/>
            <w:r w:rsidRPr="008D20AD">
              <w:rPr>
                <w:rFonts w:asciiTheme="minorHAnsi" w:hAnsiTheme="minorHAnsi" w:cstheme="majorHAnsi"/>
                <w:sz w:val="20"/>
                <w:szCs w:val="20"/>
              </w:rPr>
              <w:t>, Waquoit</w:t>
            </w:r>
          </w:p>
        </w:tc>
        <w:tc>
          <w:tcPr>
            <w:tcW w:w="1710" w:type="dxa"/>
            <w:tcBorders>
              <w:top w:val="single" w:sz="4" w:space="0" w:color="auto"/>
              <w:left w:val="single" w:sz="4" w:space="0" w:color="auto"/>
              <w:bottom w:val="single" w:sz="4" w:space="0" w:color="auto"/>
              <w:right w:val="single" w:sz="4" w:space="0" w:color="auto"/>
            </w:tcBorders>
            <w:vAlign w:val="center"/>
          </w:tcPr>
          <w:p w14:paraId="6F1F021C" w14:textId="43A8C40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379</w:t>
            </w:r>
          </w:p>
        </w:tc>
        <w:tc>
          <w:tcPr>
            <w:tcW w:w="1620" w:type="dxa"/>
            <w:tcBorders>
              <w:top w:val="single" w:sz="4" w:space="0" w:color="auto"/>
              <w:left w:val="single" w:sz="4" w:space="0" w:color="auto"/>
              <w:bottom w:val="single" w:sz="4" w:space="0" w:color="auto"/>
              <w:right w:val="single" w:sz="4" w:space="0" w:color="auto"/>
            </w:tcBorders>
            <w:vAlign w:val="bottom"/>
          </w:tcPr>
          <w:p w14:paraId="13A0E21D" w14:textId="0F32745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1E0F226B" w14:textId="1CF5E38A"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108</w:t>
            </w:r>
          </w:p>
        </w:tc>
        <w:tc>
          <w:tcPr>
            <w:tcW w:w="1710" w:type="dxa"/>
            <w:tcBorders>
              <w:top w:val="single" w:sz="4" w:space="0" w:color="auto"/>
              <w:left w:val="single" w:sz="4" w:space="0" w:color="auto"/>
              <w:bottom w:val="single" w:sz="4" w:space="0" w:color="auto"/>
              <w:right w:val="single" w:sz="4" w:space="0" w:color="auto"/>
            </w:tcBorders>
            <w:vAlign w:val="bottom"/>
          </w:tcPr>
          <w:p w14:paraId="45A818F8" w14:textId="0ED1D904"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20441E04" w14:textId="77777777" w:rsidTr="00E658BE">
        <w:trPr>
          <w:cantSplit/>
          <w:trHeight w:val="255"/>
        </w:trPr>
        <w:tc>
          <w:tcPr>
            <w:tcW w:w="4590" w:type="dxa"/>
          </w:tcPr>
          <w:p w14:paraId="1C5547EE"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Chatham</w:t>
            </w:r>
          </w:p>
        </w:tc>
        <w:tc>
          <w:tcPr>
            <w:tcW w:w="1710" w:type="dxa"/>
            <w:tcBorders>
              <w:top w:val="single" w:sz="4" w:space="0" w:color="auto"/>
              <w:left w:val="single" w:sz="4" w:space="0" w:color="auto"/>
              <w:bottom w:val="single" w:sz="4" w:space="0" w:color="auto"/>
              <w:right w:val="single" w:sz="4" w:space="0" w:color="auto"/>
            </w:tcBorders>
            <w:vAlign w:val="center"/>
          </w:tcPr>
          <w:p w14:paraId="0EB52A70" w14:textId="62AF51D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318</w:t>
            </w:r>
          </w:p>
        </w:tc>
        <w:tc>
          <w:tcPr>
            <w:tcW w:w="1620" w:type="dxa"/>
            <w:tcBorders>
              <w:top w:val="single" w:sz="4" w:space="0" w:color="auto"/>
              <w:left w:val="single" w:sz="4" w:space="0" w:color="auto"/>
              <w:bottom w:val="single" w:sz="4" w:space="0" w:color="auto"/>
              <w:right w:val="single" w:sz="4" w:space="0" w:color="auto"/>
            </w:tcBorders>
            <w:vAlign w:val="bottom"/>
          </w:tcPr>
          <w:p w14:paraId="5729CE46" w14:textId="63F412E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79DB271F" w14:textId="0E2C99E7"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104</w:t>
            </w:r>
          </w:p>
        </w:tc>
        <w:tc>
          <w:tcPr>
            <w:tcW w:w="1710" w:type="dxa"/>
            <w:tcBorders>
              <w:top w:val="single" w:sz="4" w:space="0" w:color="auto"/>
              <w:left w:val="single" w:sz="4" w:space="0" w:color="auto"/>
              <w:bottom w:val="single" w:sz="4" w:space="0" w:color="auto"/>
              <w:right w:val="single" w:sz="4" w:space="0" w:color="auto"/>
            </w:tcBorders>
            <w:vAlign w:val="bottom"/>
          </w:tcPr>
          <w:p w14:paraId="6778CC57" w14:textId="3673C08E"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3AE2937E" w14:textId="77777777" w:rsidTr="00E658BE">
        <w:trPr>
          <w:cantSplit/>
          <w:trHeight w:val="245"/>
        </w:trPr>
        <w:tc>
          <w:tcPr>
            <w:tcW w:w="4590" w:type="dxa"/>
          </w:tcPr>
          <w:p w14:paraId="70405551"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East Sandwich</w:t>
            </w:r>
          </w:p>
        </w:tc>
        <w:tc>
          <w:tcPr>
            <w:tcW w:w="1710" w:type="dxa"/>
            <w:tcBorders>
              <w:top w:val="single" w:sz="4" w:space="0" w:color="auto"/>
              <w:left w:val="single" w:sz="4" w:space="0" w:color="auto"/>
              <w:bottom w:val="single" w:sz="4" w:space="0" w:color="auto"/>
              <w:right w:val="single" w:sz="4" w:space="0" w:color="auto"/>
            </w:tcBorders>
            <w:vAlign w:val="center"/>
          </w:tcPr>
          <w:p w14:paraId="6F160AC5" w14:textId="7A14066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280</w:t>
            </w:r>
          </w:p>
        </w:tc>
        <w:tc>
          <w:tcPr>
            <w:tcW w:w="1620" w:type="dxa"/>
            <w:tcBorders>
              <w:top w:val="single" w:sz="4" w:space="0" w:color="auto"/>
              <w:left w:val="single" w:sz="4" w:space="0" w:color="auto"/>
              <w:bottom w:val="single" w:sz="4" w:space="0" w:color="auto"/>
              <w:right w:val="single" w:sz="4" w:space="0" w:color="auto"/>
            </w:tcBorders>
            <w:vAlign w:val="bottom"/>
          </w:tcPr>
          <w:p w14:paraId="3BA81BA2" w14:textId="50D91546"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3B38D744" w14:textId="53B8FD60"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116</w:t>
            </w:r>
          </w:p>
        </w:tc>
        <w:tc>
          <w:tcPr>
            <w:tcW w:w="1710" w:type="dxa"/>
            <w:tcBorders>
              <w:top w:val="single" w:sz="4" w:space="0" w:color="auto"/>
              <w:left w:val="single" w:sz="4" w:space="0" w:color="auto"/>
              <w:bottom w:val="single" w:sz="4" w:space="0" w:color="auto"/>
              <w:right w:val="single" w:sz="4" w:space="0" w:color="auto"/>
            </w:tcBorders>
            <w:vAlign w:val="bottom"/>
          </w:tcPr>
          <w:p w14:paraId="0EA71523" w14:textId="121C223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745338A5" w14:textId="77777777" w:rsidTr="00E658BE">
        <w:trPr>
          <w:cantSplit/>
          <w:trHeight w:val="245"/>
        </w:trPr>
        <w:tc>
          <w:tcPr>
            <w:tcW w:w="4590" w:type="dxa"/>
          </w:tcPr>
          <w:p w14:paraId="21410FF5"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Osterville</w:t>
            </w:r>
          </w:p>
        </w:tc>
        <w:tc>
          <w:tcPr>
            <w:tcW w:w="1710" w:type="dxa"/>
            <w:tcBorders>
              <w:top w:val="single" w:sz="4" w:space="0" w:color="auto"/>
              <w:left w:val="single" w:sz="4" w:space="0" w:color="auto"/>
              <w:bottom w:val="single" w:sz="4" w:space="0" w:color="auto"/>
              <w:right w:val="single" w:sz="4" w:space="0" w:color="auto"/>
            </w:tcBorders>
            <w:vAlign w:val="center"/>
          </w:tcPr>
          <w:p w14:paraId="580DF2E8" w14:textId="75A00430"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265</w:t>
            </w:r>
          </w:p>
        </w:tc>
        <w:tc>
          <w:tcPr>
            <w:tcW w:w="1620" w:type="dxa"/>
            <w:tcBorders>
              <w:top w:val="single" w:sz="4" w:space="0" w:color="auto"/>
              <w:left w:val="single" w:sz="4" w:space="0" w:color="auto"/>
              <w:bottom w:val="single" w:sz="4" w:space="0" w:color="auto"/>
              <w:right w:val="single" w:sz="4" w:space="0" w:color="auto"/>
            </w:tcBorders>
            <w:vAlign w:val="bottom"/>
          </w:tcPr>
          <w:p w14:paraId="2A2CA45F" w14:textId="6BB7068B"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0DAA8E2E" w14:textId="286A3A6F"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107</w:t>
            </w:r>
          </w:p>
        </w:tc>
        <w:tc>
          <w:tcPr>
            <w:tcW w:w="1710" w:type="dxa"/>
            <w:tcBorders>
              <w:top w:val="single" w:sz="4" w:space="0" w:color="auto"/>
              <w:left w:val="single" w:sz="4" w:space="0" w:color="auto"/>
              <w:bottom w:val="single" w:sz="4" w:space="0" w:color="auto"/>
              <w:right w:val="single" w:sz="4" w:space="0" w:color="auto"/>
            </w:tcBorders>
            <w:vAlign w:val="bottom"/>
          </w:tcPr>
          <w:p w14:paraId="631D40FE" w14:textId="403777CA"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5CF4530A" w14:textId="77777777" w:rsidTr="00E658BE">
        <w:trPr>
          <w:cantSplit/>
          <w:trHeight w:val="255"/>
        </w:trPr>
        <w:tc>
          <w:tcPr>
            <w:tcW w:w="4590" w:type="dxa"/>
          </w:tcPr>
          <w:p w14:paraId="37B1131E"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Dennis</w:t>
            </w:r>
          </w:p>
        </w:tc>
        <w:tc>
          <w:tcPr>
            <w:tcW w:w="1710" w:type="dxa"/>
            <w:tcBorders>
              <w:top w:val="single" w:sz="4" w:space="0" w:color="auto"/>
              <w:left w:val="single" w:sz="4" w:space="0" w:color="auto"/>
              <w:bottom w:val="single" w:sz="4" w:space="0" w:color="auto"/>
              <w:right w:val="single" w:sz="4" w:space="0" w:color="auto"/>
            </w:tcBorders>
            <w:vAlign w:val="center"/>
          </w:tcPr>
          <w:p w14:paraId="1F37456F" w14:textId="057988A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249</w:t>
            </w:r>
          </w:p>
        </w:tc>
        <w:tc>
          <w:tcPr>
            <w:tcW w:w="1620" w:type="dxa"/>
            <w:tcBorders>
              <w:top w:val="single" w:sz="4" w:space="0" w:color="auto"/>
              <w:left w:val="single" w:sz="4" w:space="0" w:color="auto"/>
              <w:bottom w:val="single" w:sz="4" w:space="0" w:color="auto"/>
              <w:right w:val="single" w:sz="4" w:space="0" w:color="auto"/>
            </w:tcBorders>
            <w:vAlign w:val="bottom"/>
          </w:tcPr>
          <w:p w14:paraId="266F7D81" w14:textId="7709ED8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1E2E90F6" w14:textId="20F749C5"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112</w:t>
            </w:r>
          </w:p>
        </w:tc>
        <w:tc>
          <w:tcPr>
            <w:tcW w:w="1710" w:type="dxa"/>
            <w:tcBorders>
              <w:top w:val="single" w:sz="4" w:space="0" w:color="auto"/>
              <w:left w:val="single" w:sz="4" w:space="0" w:color="auto"/>
              <w:bottom w:val="single" w:sz="4" w:space="0" w:color="auto"/>
              <w:right w:val="single" w:sz="4" w:space="0" w:color="auto"/>
            </w:tcBorders>
            <w:vAlign w:val="bottom"/>
          </w:tcPr>
          <w:p w14:paraId="7B7BF1B3" w14:textId="29780BB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7AA985CD" w14:textId="77777777" w:rsidTr="00E658BE">
        <w:trPr>
          <w:cantSplit/>
          <w:trHeight w:val="245"/>
        </w:trPr>
        <w:tc>
          <w:tcPr>
            <w:tcW w:w="4590" w:type="dxa"/>
          </w:tcPr>
          <w:p w14:paraId="24229FF2"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Dennis Port</w:t>
            </w:r>
          </w:p>
        </w:tc>
        <w:tc>
          <w:tcPr>
            <w:tcW w:w="1710" w:type="dxa"/>
            <w:tcBorders>
              <w:top w:val="single" w:sz="4" w:space="0" w:color="auto"/>
              <w:left w:val="single" w:sz="4" w:space="0" w:color="auto"/>
              <w:bottom w:val="single" w:sz="4" w:space="0" w:color="auto"/>
              <w:right w:val="single" w:sz="4" w:space="0" w:color="auto"/>
            </w:tcBorders>
            <w:vAlign w:val="center"/>
          </w:tcPr>
          <w:p w14:paraId="5F5EBD4F" w14:textId="35531600"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197</w:t>
            </w:r>
          </w:p>
        </w:tc>
        <w:tc>
          <w:tcPr>
            <w:tcW w:w="1620" w:type="dxa"/>
            <w:tcBorders>
              <w:top w:val="single" w:sz="4" w:space="0" w:color="auto"/>
              <w:left w:val="single" w:sz="4" w:space="0" w:color="auto"/>
              <w:bottom w:val="single" w:sz="4" w:space="0" w:color="auto"/>
              <w:right w:val="single" w:sz="4" w:space="0" w:color="auto"/>
            </w:tcBorders>
            <w:vAlign w:val="bottom"/>
          </w:tcPr>
          <w:p w14:paraId="50917AF5" w14:textId="75D02D0D"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7826DB1F" w14:textId="6B6D5DE5"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98</w:t>
            </w:r>
          </w:p>
        </w:tc>
        <w:tc>
          <w:tcPr>
            <w:tcW w:w="1710" w:type="dxa"/>
            <w:tcBorders>
              <w:top w:val="single" w:sz="4" w:space="0" w:color="auto"/>
              <w:left w:val="single" w:sz="4" w:space="0" w:color="auto"/>
              <w:bottom w:val="single" w:sz="4" w:space="0" w:color="auto"/>
              <w:right w:val="single" w:sz="4" w:space="0" w:color="auto"/>
            </w:tcBorders>
            <w:vAlign w:val="bottom"/>
          </w:tcPr>
          <w:p w14:paraId="05B13777" w14:textId="79105AEC"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r>
      <w:tr w:rsidR="009411CB" w:rsidRPr="009F7193" w14:paraId="0DF3A7FD" w14:textId="77777777" w:rsidTr="00E658BE">
        <w:trPr>
          <w:cantSplit/>
          <w:trHeight w:val="255"/>
        </w:trPr>
        <w:tc>
          <w:tcPr>
            <w:tcW w:w="4590" w:type="dxa"/>
          </w:tcPr>
          <w:p w14:paraId="547F04CE"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Provincetown</w:t>
            </w:r>
          </w:p>
        </w:tc>
        <w:tc>
          <w:tcPr>
            <w:tcW w:w="1710" w:type="dxa"/>
            <w:tcBorders>
              <w:top w:val="single" w:sz="4" w:space="0" w:color="auto"/>
              <w:left w:val="single" w:sz="4" w:space="0" w:color="auto"/>
              <w:bottom w:val="single" w:sz="4" w:space="0" w:color="auto"/>
              <w:right w:val="single" w:sz="4" w:space="0" w:color="auto"/>
            </w:tcBorders>
            <w:vAlign w:val="center"/>
          </w:tcPr>
          <w:p w14:paraId="27E82C14" w14:textId="703DD77B"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233</w:t>
            </w:r>
          </w:p>
        </w:tc>
        <w:tc>
          <w:tcPr>
            <w:tcW w:w="1620" w:type="dxa"/>
            <w:tcBorders>
              <w:top w:val="single" w:sz="4" w:space="0" w:color="auto"/>
              <w:left w:val="single" w:sz="4" w:space="0" w:color="auto"/>
              <w:bottom w:val="single" w:sz="4" w:space="0" w:color="auto"/>
              <w:right w:val="single" w:sz="4" w:space="0" w:color="auto"/>
            </w:tcBorders>
            <w:vAlign w:val="bottom"/>
          </w:tcPr>
          <w:p w14:paraId="10EFBB8F" w14:textId="4EDDD65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57FB0A94" w14:textId="04C19E71"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71</w:t>
            </w:r>
          </w:p>
        </w:tc>
        <w:tc>
          <w:tcPr>
            <w:tcW w:w="1710" w:type="dxa"/>
            <w:tcBorders>
              <w:top w:val="single" w:sz="4" w:space="0" w:color="auto"/>
              <w:left w:val="single" w:sz="4" w:space="0" w:color="auto"/>
              <w:bottom w:val="single" w:sz="4" w:space="0" w:color="auto"/>
              <w:right w:val="single" w:sz="4" w:space="0" w:color="auto"/>
            </w:tcBorders>
            <w:vAlign w:val="bottom"/>
          </w:tcPr>
          <w:p w14:paraId="54D1C15B" w14:textId="69AD5F72"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1%</w:t>
            </w:r>
          </w:p>
        </w:tc>
      </w:tr>
      <w:tr w:rsidR="009411CB" w:rsidRPr="009F7193" w14:paraId="1565EC9E" w14:textId="77777777" w:rsidTr="00E658BE">
        <w:trPr>
          <w:cantSplit/>
          <w:trHeight w:val="245"/>
        </w:trPr>
        <w:tc>
          <w:tcPr>
            <w:tcW w:w="4590" w:type="dxa"/>
          </w:tcPr>
          <w:p w14:paraId="578045EA" w14:textId="77777777"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Cotuit</w:t>
            </w:r>
          </w:p>
        </w:tc>
        <w:tc>
          <w:tcPr>
            <w:tcW w:w="1710" w:type="dxa"/>
            <w:tcBorders>
              <w:top w:val="single" w:sz="4" w:space="0" w:color="auto"/>
              <w:left w:val="single" w:sz="4" w:space="0" w:color="auto"/>
              <w:bottom w:val="single" w:sz="4" w:space="0" w:color="auto"/>
              <w:right w:val="single" w:sz="4" w:space="0" w:color="auto"/>
            </w:tcBorders>
            <w:vAlign w:val="center"/>
          </w:tcPr>
          <w:p w14:paraId="6F06F3E7" w14:textId="44E5DD68"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190</w:t>
            </w:r>
          </w:p>
        </w:tc>
        <w:tc>
          <w:tcPr>
            <w:tcW w:w="1620" w:type="dxa"/>
            <w:tcBorders>
              <w:top w:val="single" w:sz="4" w:space="0" w:color="auto"/>
              <w:left w:val="single" w:sz="4" w:space="0" w:color="auto"/>
              <w:bottom w:val="single" w:sz="4" w:space="0" w:color="auto"/>
              <w:right w:val="single" w:sz="4" w:space="0" w:color="auto"/>
            </w:tcBorders>
            <w:vAlign w:val="bottom"/>
          </w:tcPr>
          <w:p w14:paraId="78C7D336" w14:textId="5E094CC0"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24FEA6D8" w14:textId="0E0578DE"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65</w:t>
            </w:r>
          </w:p>
        </w:tc>
        <w:tc>
          <w:tcPr>
            <w:tcW w:w="1710" w:type="dxa"/>
            <w:tcBorders>
              <w:top w:val="single" w:sz="4" w:space="0" w:color="auto"/>
              <w:left w:val="single" w:sz="4" w:space="0" w:color="auto"/>
              <w:bottom w:val="single" w:sz="4" w:space="0" w:color="auto"/>
              <w:right w:val="single" w:sz="4" w:space="0" w:color="auto"/>
            </w:tcBorders>
            <w:vAlign w:val="bottom"/>
          </w:tcPr>
          <w:p w14:paraId="5853796B" w14:textId="60445B22"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1%</w:t>
            </w:r>
          </w:p>
        </w:tc>
      </w:tr>
      <w:tr w:rsidR="009411CB" w:rsidRPr="009F7193" w14:paraId="683C4E54" w14:textId="77777777" w:rsidTr="00E658BE">
        <w:trPr>
          <w:cantSplit/>
          <w:trHeight w:val="255"/>
        </w:trPr>
        <w:tc>
          <w:tcPr>
            <w:tcW w:w="4590" w:type="dxa"/>
          </w:tcPr>
          <w:p w14:paraId="24EE08D8" w14:textId="755AAC83" w:rsidR="009411CB" w:rsidRPr="008D20AD" w:rsidRDefault="009411CB" w:rsidP="009411CB">
            <w:pPr>
              <w:pStyle w:val="ListParagraph"/>
              <w:ind w:left="0"/>
              <w:rPr>
                <w:rFonts w:asciiTheme="minorHAnsi" w:hAnsiTheme="minorHAnsi" w:cstheme="majorHAnsi"/>
                <w:sz w:val="20"/>
                <w:szCs w:val="20"/>
              </w:rPr>
            </w:pPr>
            <w:r w:rsidRPr="008D20AD">
              <w:rPr>
                <w:rFonts w:asciiTheme="minorHAnsi" w:hAnsiTheme="minorHAnsi" w:cstheme="majorHAnsi"/>
                <w:sz w:val="20"/>
                <w:szCs w:val="20"/>
              </w:rPr>
              <w:t xml:space="preserve">Other </w:t>
            </w:r>
          </w:p>
        </w:tc>
        <w:tc>
          <w:tcPr>
            <w:tcW w:w="1710" w:type="dxa"/>
            <w:tcBorders>
              <w:top w:val="single" w:sz="4" w:space="0" w:color="auto"/>
              <w:left w:val="single" w:sz="4" w:space="0" w:color="auto"/>
              <w:bottom w:val="single" w:sz="4" w:space="0" w:color="auto"/>
              <w:right w:val="single" w:sz="4" w:space="0" w:color="auto"/>
            </w:tcBorders>
            <w:vAlign w:val="center"/>
          </w:tcPr>
          <w:p w14:paraId="5AD608C7" w14:textId="396913B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3,126</w:t>
            </w:r>
          </w:p>
        </w:tc>
        <w:tc>
          <w:tcPr>
            <w:tcW w:w="1620" w:type="dxa"/>
            <w:tcBorders>
              <w:top w:val="single" w:sz="4" w:space="0" w:color="auto"/>
              <w:left w:val="single" w:sz="4" w:space="0" w:color="auto"/>
              <w:bottom w:val="single" w:sz="4" w:space="0" w:color="auto"/>
              <w:right w:val="single" w:sz="4" w:space="0" w:color="auto"/>
            </w:tcBorders>
            <w:vAlign w:val="bottom"/>
          </w:tcPr>
          <w:p w14:paraId="601BB0FA" w14:textId="0F259D89"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24%</w:t>
            </w:r>
          </w:p>
        </w:tc>
        <w:tc>
          <w:tcPr>
            <w:tcW w:w="1620" w:type="dxa"/>
            <w:tcBorders>
              <w:top w:val="single" w:sz="4" w:space="0" w:color="auto"/>
              <w:left w:val="single" w:sz="4" w:space="0" w:color="auto"/>
              <w:bottom w:val="single" w:sz="4" w:space="0" w:color="auto"/>
              <w:right w:val="single" w:sz="4" w:space="0" w:color="auto"/>
            </w:tcBorders>
            <w:vAlign w:val="center"/>
          </w:tcPr>
          <w:p w14:paraId="21615C3C" w14:textId="31194CA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w:hAnsi="Aptos"/>
                <w:color w:val="000000"/>
                <w:sz w:val="20"/>
                <w:szCs w:val="20"/>
              </w:rPr>
              <w:t>1,240</w:t>
            </w:r>
          </w:p>
        </w:tc>
        <w:tc>
          <w:tcPr>
            <w:tcW w:w="1710" w:type="dxa"/>
            <w:tcBorders>
              <w:top w:val="single" w:sz="4" w:space="0" w:color="auto"/>
              <w:left w:val="single" w:sz="4" w:space="0" w:color="auto"/>
              <w:bottom w:val="single" w:sz="4" w:space="0" w:color="auto"/>
              <w:right w:val="single" w:sz="4" w:space="0" w:color="auto"/>
            </w:tcBorders>
            <w:vAlign w:val="bottom"/>
          </w:tcPr>
          <w:p w14:paraId="2F1C357A" w14:textId="329DE813" w:rsidR="009411CB" w:rsidRPr="008D20AD" w:rsidRDefault="009411CB" w:rsidP="009411CB">
            <w:pPr>
              <w:pStyle w:val="ListParagraph"/>
              <w:ind w:left="0"/>
              <w:jc w:val="center"/>
              <w:rPr>
                <w:rFonts w:asciiTheme="minorHAnsi" w:hAnsiTheme="minorHAnsi" w:cstheme="majorHAnsi"/>
                <w:color w:val="000000"/>
                <w:sz w:val="20"/>
                <w:szCs w:val="20"/>
              </w:rPr>
            </w:pPr>
            <w:r w:rsidRPr="008D20AD">
              <w:rPr>
                <w:rFonts w:ascii="Aptos Narrow" w:hAnsi="Aptos Narrow"/>
                <w:color w:val="000000"/>
                <w:sz w:val="20"/>
                <w:szCs w:val="20"/>
              </w:rPr>
              <w:t>24%</w:t>
            </w:r>
          </w:p>
        </w:tc>
      </w:tr>
      <w:tr w:rsidR="009411CB" w:rsidRPr="009F7193" w14:paraId="7508A3BC" w14:textId="77777777" w:rsidTr="00E658BE">
        <w:trPr>
          <w:cantSplit/>
          <w:trHeight w:val="255"/>
        </w:trPr>
        <w:tc>
          <w:tcPr>
            <w:tcW w:w="4590" w:type="dxa"/>
          </w:tcPr>
          <w:p w14:paraId="02332EB6" w14:textId="77777777" w:rsidR="009411CB" w:rsidRPr="008D20AD" w:rsidRDefault="009411CB" w:rsidP="009411CB">
            <w:pPr>
              <w:pStyle w:val="ListParagraph"/>
              <w:ind w:left="0"/>
              <w:rPr>
                <w:rFonts w:asciiTheme="minorHAnsi" w:hAnsiTheme="minorHAnsi" w:cstheme="majorHAnsi"/>
                <w:b/>
                <w:bCs/>
                <w:sz w:val="20"/>
                <w:szCs w:val="20"/>
              </w:rPr>
            </w:pPr>
            <w:r w:rsidRPr="008D20AD">
              <w:rPr>
                <w:rFonts w:asciiTheme="minorHAnsi" w:hAnsiTheme="minorHAnsi" w:cstheme="majorHAnsi"/>
                <w:b/>
                <w:bCs/>
                <w:sz w:val="20"/>
                <w:szCs w:val="20"/>
              </w:rPr>
              <w:t>Total</w:t>
            </w:r>
          </w:p>
        </w:tc>
        <w:tc>
          <w:tcPr>
            <w:tcW w:w="1710" w:type="dxa"/>
            <w:tcBorders>
              <w:top w:val="single" w:sz="4" w:space="0" w:color="auto"/>
              <w:left w:val="single" w:sz="4" w:space="0" w:color="auto"/>
              <w:bottom w:val="single" w:sz="4" w:space="0" w:color="auto"/>
              <w:right w:val="single" w:sz="4" w:space="0" w:color="auto"/>
            </w:tcBorders>
            <w:vAlign w:val="center"/>
          </w:tcPr>
          <w:p w14:paraId="0093B045" w14:textId="2E4CDF8B" w:rsidR="009411CB" w:rsidRPr="008D20AD" w:rsidRDefault="009411CB" w:rsidP="009411CB">
            <w:pPr>
              <w:pStyle w:val="ListParagraph"/>
              <w:ind w:left="0"/>
              <w:jc w:val="center"/>
              <w:rPr>
                <w:rFonts w:asciiTheme="minorHAnsi" w:hAnsiTheme="minorHAnsi" w:cstheme="majorHAnsi"/>
                <w:b/>
                <w:bCs/>
                <w:color w:val="000000"/>
                <w:sz w:val="20"/>
                <w:szCs w:val="20"/>
              </w:rPr>
            </w:pPr>
            <w:r w:rsidRPr="008D20AD">
              <w:rPr>
                <w:rFonts w:ascii="Aptos" w:hAnsi="Aptos"/>
                <w:b/>
                <w:bCs/>
                <w:color w:val="000000"/>
                <w:sz w:val="20"/>
                <w:szCs w:val="20"/>
              </w:rPr>
              <w:t>12,922</w:t>
            </w:r>
          </w:p>
        </w:tc>
        <w:tc>
          <w:tcPr>
            <w:tcW w:w="1620" w:type="dxa"/>
            <w:tcBorders>
              <w:top w:val="single" w:sz="4" w:space="0" w:color="auto"/>
              <w:left w:val="single" w:sz="4" w:space="0" w:color="auto"/>
              <w:bottom w:val="single" w:sz="4" w:space="0" w:color="auto"/>
              <w:right w:val="single" w:sz="4" w:space="0" w:color="auto"/>
            </w:tcBorders>
            <w:vAlign w:val="bottom"/>
          </w:tcPr>
          <w:p w14:paraId="3CDE0ABB" w14:textId="6E6DACD9" w:rsidR="009411CB" w:rsidRPr="008D20AD" w:rsidRDefault="009411CB" w:rsidP="009411CB">
            <w:pPr>
              <w:pStyle w:val="ListParagraph"/>
              <w:ind w:left="0"/>
              <w:jc w:val="center"/>
              <w:rPr>
                <w:rFonts w:asciiTheme="minorHAnsi" w:hAnsiTheme="minorHAnsi" w:cstheme="majorHAnsi"/>
                <w:b/>
                <w:bCs/>
                <w:color w:val="000000"/>
                <w:sz w:val="20"/>
                <w:szCs w:val="20"/>
              </w:rPr>
            </w:pPr>
            <w:r w:rsidRPr="008D20AD">
              <w:rPr>
                <w:rFonts w:ascii="Aptos Narrow" w:hAnsi="Aptos Narrow"/>
                <w:b/>
                <w:bCs/>
                <w:color w:val="000000"/>
                <w:sz w:val="20"/>
                <w:szCs w:val="20"/>
              </w:rPr>
              <w:t>100%</w:t>
            </w:r>
          </w:p>
        </w:tc>
        <w:tc>
          <w:tcPr>
            <w:tcW w:w="1620" w:type="dxa"/>
            <w:tcBorders>
              <w:top w:val="single" w:sz="4" w:space="0" w:color="auto"/>
              <w:left w:val="single" w:sz="4" w:space="0" w:color="auto"/>
              <w:bottom w:val="single" w:sz="4" w:space="0" w:color="auto"/>
              <w:right w:val="single" w:sz="4" w:space="0" w:color="auto"/>
            </w:tcBorders>
            <w:vAlign w:val="center"/>
          </w:tcPr>
          <w:p w14:paraId="2D4E733B" w14:textId="3A6DDF09" w:rsidR="009411CB" w:rsidRPr="008D20AD" w:rsidRDefault="009411CB" w:rsidP="009411CB">
            <w:pPr>
              <w:pStyle w:val="ListParagraph"/>
              <w:ind w:left="0"/>
              <w:jc w:val="center"/>
              <w:rPr>
                <w:rFonts w:asciiTheme="minorHAnsi" w:hAnsiTheme="minorHAnsi" w:cstheme="majorHAnsi"/>
                <w:b/>
                <w:bCs/>
                <w:color w:val="000000"/>
                <w:sz w:val="20"/>
                <w:szCs w:val="20"/>
              </w:rPr>
            </w:pPr>
            <w:r w:rsidRPr="008D20AD">
              <w:rPr>
                <w:rFonts w:ascii="Aptos" w:hAnsi="Aptos"/>
                <w:b/>
                <w:bCs/>
                <w:color w:val="000000"/>
                <w:sz w:val="20"/>
                <w:szCs w:val="20"/>
              </w:rPr>
              <w:t>5,064</w:t>
            </w:r>
          </w:p>
        </w:tc>
        <w:tc>
          <w:tcPr>
            <w:tcW w:w="1710" w:type="dxa"/>
            <w:tcBorders>
              <w:top w:val="single" w:sz="4" w:space="0" w:color="auto"/>
              <w:left w:val="single" w:sz="4" w:space="0" w:color="auto"/>
              <w:bottom w:val="single" w:sz="4" w:space="0" w:color="auto"/>
              <w:right w:val="single" w:sz="4" w:space="0" w:color="auto"/>
            </w:tcBorders>
            <w:vAlign w:val="center"/>
          </w:tcPr>
          <w:p w14:paraId="35A77A39" w14:textId="6B5EFA09" w:rsidR="009411CB" w:rsidRPr="008D20AD" w:rsidRDefault="009411CB" w:rsidP="009411CB">
            <w:pPr>
              <w:pStyle w:val="ListParagraph"/>
              <w:ind w:left="0"/>
              <w:jc w:val="center"/>
              <w:rPr>
                <w:rFonts w:asciiTheme="minorHAnsi" w:hAnsiTheme="minorHAnsi" w:cstheme="majorHAnsi"/>
                <w:b/>
                <w:bCs/>
                <w:color w:val="000000"/>
                <w:sz w:val="20"/>
                <w:szCs w:val="20"/>
              </w:rPr>
            </w:pPr>
            <w:r w:rsidRPr="008D20AD">
              <w:rPr>
                <w:rFonts w:ascii="Aptos" w:hAnsi="Aptos"/>
                <w:b/>
                <w:bCs/>
                <w:color w:val="000000"/>
                <w:sz w:val="20"/>
                <w:szCs w:val="20"/>
              </w:rPr>
              <w:t>76%</w:t>
            </w:r>
          </w:p>
        </w:tc>
      </w:tr>
      <w:bookmarkEnd w:id="1"/>
    </w:tbl>
    <w:p w14:paraId="3C53F523" w14:textId="77777777" w:rsidR="006F6593" w:rsidRDefault="006F6593" w:rsidP="001E6649">
      <w:pPr>
        <w:rPr>
          <w:rFonts w:asciiTheme="minorHAnsi" w:hAnsiTheme="minorHAnsi" w:cs="Arial"/>
          <w:b/>
          <w:bCs/>
          <w:sz w:val="22"/>
          <w:szCs w:val="22"/>
        </w:rPr>
      </w:pPr>
    </w:p>
    <w:p w14:paraId="35E68D79" w14:textId="5BF76113" w:rsidR="001E6649" w:rsidRPr="009F7193" w:rsidRDefault="001E6649" w:rsidP="00AF4688">
      <w:pPr>
        <w:keepNext/>
        <w:keepLines/>
        <w:rPr>
          <w:rFonts w:asciiTheme="minorHAnsi" w:hAnsiTheme="minorHAnsi" w:cs="Arial"/>
          <w:b/>
          <w:bCs/>
          <w:sz w:val="22"/>
          <w:szCs w:val="22"/>
          <w:u w:val="single"/>
        </w:rPr>
      </w:pPr>
      <w:r w:rsidRPr="009F7193">
        <w:rPr>
          <w:rFonts w:asciiTheme="minorHAnsi" w:hAnsiTheme="minorHAnsi" w:cs="Arial"/>
          <w:b/>
          <w:bCs/>
          <w:sz w:val="22"/>
          <w:szCs w:val="22"/>
        </w:rPr>
        <w:lastRenderedPageBreak/>
        <w:t>F1.</w:t>
      </w:r>
      <w:proofErr w:type="gramStart"/>
      <w:r w:rsidRPr="009F7193">
        <w:rPr>
          <w:rFonts w:asciiTheme="minorHAnsi" w:hAnsiTheme="minorHAnsi" w:cs="Arial"/>
          <w:b/>
          <w:bCs/>
          <w:sz w:val="22"/>
          <w:szCs w:val="22"/>
        </w:rPr>
        <w:t>a.ii</w:t>
      </w:r>
      <w:proofErr w:type="gramEnd"/>
      <w:r w:rsidRPr="009F7193">
        <w:rPr>
          <w:rFonts w:asciiTheme="minorHAnsi" w:hAnsiTheme="minorHAnsi" w:cs="Arial"/>
          <w:b/>
          <w:bCs/>
          <w:sz w:val="22"/>
          <w:szCs w:val="22"/>
        </w:rPr>
        <w:tab/>
      </w:r>
      <w:r w:rsidRPr="009F7193">
        <w:rPr>
          <w:rFonts w:asciiTheme="minorHAnsi" w:hAnsiTheme="minorHAnsi" w:cs="Arial"/>
          <w:b/>
          <w:bCs/>
          <w:sz w:val="22"/>
          <w:szCs w:val="22"/>
        </w:rPr>
        <w:tab/>
      </w:r>
      <w:r w:rsidRPr="009F7193">
        <w:rPr>
          <w:rFonts w:asciiTheme="minorHAnsi" w:hAnsiTheme="minorHAnsi" w:cs="Arial"/>
          <w:b/>
          <w:bCs/>
          <w:sz w:val="22"/>
          <w:szCs w:val="22"/>
          <w:u w:val="single"/>
        </w:rPr>
        <w:t>Project Need:</w:t>
      </w:r>
    </w:p>
    <w:p w14:paraId="3477185B" w14:textId="762613B0" w:rsidR="001E6649" w:rsidRPr="009F7193" w:rsidRDefault="001E6649" w:rsidP="001E6649">
      <w:pPr>
        <w:spacing w:after="120"/>
        <w:ind w:left="1440"/>
        <w:jc w:val="both"/>
        <w:rPr>
          <w:rFonts w:ascii="Aptos" w:hAnsi="Aptos" w:cs="Arial"/>
          <w:b/>
          <w:sz w:val="22"/>
          <w:szCs w:val="22"/>
        </w:rPr>
      </w:pPr>
      <w:r w:rsidRPr="009F7193">
        <w:rPr>
          <w:rFonts w:ascii="Aptos" w:hAnsi="Aptos" w:cs="Arial"/>
          <w:b/>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68CE2A87" w14:textId="77777777" w:rsidR="001E6649" w:rsidRPr="009F7193" w:rsidRDefault="001E6649" w:rsidP="001E6649">
      <w:pPr>
        <w:rPr>
          <w:rFonts w:asciiTheme="minorHAnsi" w:hAnsiTheme="minorHAnsi" w:cs="Arial"/>
          <w:b/>
          <w:bCs/>
          <w:sz w:val="22"/>
          <w:szCs w:val="22"/>
          <w:u w:val="single"/>
        </w:rPr>
      </w:pPr>
    </w:p>
    <w:p w14:paraId="48427980" w14:textId="3C1CC7B2"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Cape Cod Hospital is the largest provider of inpatient, outpatient, and emergency care on Cape Cod. Each year, it serves more than 100,000 patients, </w:t>
      </w:r>
      <w:r w:rsidR="00EA1E6D" w:rsidRPr="009F7193">
        <w:rPr>
          <w:rFonts w:asciiTheme="minorHAnsi" w:hAnsiTheme="minorHAnsi" w:cs="Arial"/>
          <w:sz w:val="22"/>
          <w:szCs w:val="22"/>
        </w:rPr>
        <w:t>with</w:t>
      </w:r>
      <w:r w:rsidRPr="009F7193">
        <w:rPr>
          <w:rFonts w:asciiTheme="minorHAnsi" w:hAnsiTheme="minorHAnsi" w:cs="Arial"/>
          <w:sz w:val="22"/>
          <w:szCs w:val="22"/>
        </w:rPr>
        <w:t xml:space="preserve"> </w:t>
      </w:r>
      <w:r w:rsidR="00296B77">
        <w:rPr>
          <w:rFonts w:asciiTheme="minorHAnsi" w:hAnsiTheme="minorHAnsi" w:cs="Arial"/>
          <w:sz w:val="22"/>
          <w:szCs w:val="22"/>
        </w:rPr>
        <w:t>80,000</w:t>
      </w:r>
      <w:r w:rsidR="00296B77" w:rsidRPr="009F7193">
        <w:rPr>
          <w:rFonts w:asciiTheme="minorHAnsi" w:hAnsiTheme="minorHAnsi" w:cs="Arial"/>
          <w:sz w:val="22"/>
          <w:szCs w:val="22"/>
        </w:rPr>
        <w:t xml:space="preserve"> </w:t>
      </w:r>
      <w:r w:rsidRPr="009F7193">
        <w:rPr>
          <w:rFonts w:asciiTheme="minorHAnsi" w:hAnsiTheme="minorHAnsi" w:cs="Arial"/>
          <w:sz w:val="22"/>
          <w:szCs w:val="22"/>
        </w:rPr>
        <w:t xml:space="preserve">emergency visits, </w:t>
      </w:r>
      <w:r w:rsidR="00296B77">
        <w:rPr>
          <w:rFonts w:asciiTheme="minorHAnsi" w:hAnsiTheme="minorHAnsi" w:cs="Arial"/>
          <w:sz w:val="22"/>
          <w:szCs w:val="22"/>
        </w:rPr>
        <w:t xml:space="preserve">17,900 </w:t>
      </w:r>
      <w:r w:rsidRPr="009F7193">
        <w:rPr>
          <w:rFonts w:asciiTheme="minorHAnsi" w:hAnsiTheme="minorHAnsi" w:cs="Arial"/>
          <w:sz w:val="22"/>
          <w:szCs w:val="22"/>
        </w:rPr>
        <w:t xml:space="preserve">inpatient discharges, and more than </w:t>
      </w:r>
      <w:r w:rsidR="00FA376F">
        <w:rPr>
          <w:rFonts w:asciiTheme="minorHAnsi" w:hAnsiTheme="minorHAnsi" w:cs="Arial"/>
          <w:sz w:val="22"/>
          <w:szCs w:val="22"/>
        </w:rPr>
        <w:t>17,000</w:t>
      </w:r>
      <w:r w:rsidRPr="009F7193">
        <w:rPr>
          <w:rFonts w:asciiTheme="minorHAnsi" w:hAnsiTheme="minorHAnsi" w:cs="Arial"/>
          <w:sz w:val="22"/>
          <w:szCs w:val="22"/>
        </w:rPr>
        <w:t xml:space="preserve"> MRI scans across four of its locations. Each of the MRI machines licensed to the Hospital are currently operating above the Applicant’s target utilization of 80%, resulting in longer wait times and increased strain on the existing MRI machines, which will continue to be overburdened as demand for MRI increases with an aging population. </w:t>
      </w:r>
    </w:p>
    <w:p w14:paraId="393BF207" w14:textId="29043C2F"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In 2025, the Hospital replaced the only MRI on its main campus with a new machine in a newly constructed MRI suite. Upon licensing of the new machine by DPH, the previous MRI machine was deactivated, though it remains intact and in place. Given the main campus is limited to a single MRI machine, it is vulnerable to service disruptions during both scheduled and unscheduled downtime, and unable to accommodate emergency cases or overflow from satellite locations that are already at capacity. </w:t>
      </w:r>
      <w:r w:rsidR="00EA1E6D" w:rsidRPr="009F7193">
        <w:rPr>
          <w:rFonts w:asciiTheme="minorHAnsi" w:hAnsiTheme="minorHAnsi" w:cs="Arial"/>
          <w:sz w:val="22"/>
          <w:szCs w:val="22"/>
        </w:rPr>
        <w:t>Due to</w:t>
      </w:r>
      <w:r w:rsidRPr="009F7193">
        <w:rPr>
          <w:rFonts w:asciiTheme="minorHAnsi" w:hAnsiTheme="minorHAnsi" w:cs="Arial"/>
          <w:sz w:val="22"/>
          <w:szCs w:val="22"/>
        </w:rPr>
        <w:t xml:space="preserve"> the growing need for imaging, the Hospital cannot provide adequate access </w:t>
      </w:r>
      <w:r w:rsidR="00755A8A" w:rsidRPr="009F7193">
        <w:rPr>
          <w:rFonts w:asciiTheme="minorHAnsi" w:hAnsiTheme="minorHAnsi" w:cs="Arial"/>
          <w:sz w:val="22"/>
          <w:szCs w:val="22"/>
        </w:rPr>
        <w:t xml:space="preserve">for its Patient Panel </w:t>
      </w:r>
      <w:r w:rsidRPr="009F7193">
        <w:rPr>
          <w:rFonts w:asciiTheme="minorHAnsi" w:hAnsiTheme="minorHAnsi" w:cs="Arial"/>
          <w:sz w:val="22"/>
          <w:szCs w:val="22"/>
        </w:rPr>
        <w:t xml:space="preserve">to MRI with the existing machines. Moreover, with recent changes at the Hospital and state level as detailed below, the Hospital will not be able to </w:t>
      </w:r>
      <w:r w:rsidR="003E69AF" w:rsidRPr="009F7193">
        <w:rPr>
          <w:rFonts w:asciiTheme="minorHAnsi" w:hAnsiTheme="minorHAnsi" w:cs="Arial"/>
          <w:sz w:val="22"/>
          <w:szCs w:val="22"/>
        </w:rPr>
        <w:t>meet demand</w:t>
      </w:r>
      <w:r w:rsidRPr="009F7193">
        <w:rPr>
          <w:rFonts w:asciiTheme="minorHAnsi" w:hAnsiTheme="minorHAnsi" w:cs="Arial"/>
          <w:sz w:val="22"/>
          <w:szCs w:val="22"/>
        </w:rPr>
        <w:t xml:space="preserve"> for timely access to MRI at the main campus. </w:t>
      </w:r>
    </w:p>
    <w:p w14:paraId="4BC0B7CE" w14:textId="02178A13"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Therefore, the Applicant seeks to leverage the availability of the Hospital’s deactivated MRI machine to accommodate current and projected need for MRI service</w:t>
      </w:r>
      <w:r w:rsidR="00755A8A" w:rsidRPr="009F7193">
        <w:rPr>
          <w:rFonts w:asciiTheme="minorHAnsi" w:hAnsiTheme="minorHAnsi" w:cs="Arial"/>
          <w:sz w:val="22"/>
          <w:szCs w:val="22"/>
        </w:rPr>
        <w:t>s</w:t>
      </w:r>
      <w:r w:rsidRPr="009F7193">
        <w:rPr>
          <w:rFonts w:asciiTheme="minorHAnsi" w:hAnsiTheme="minorHAnsi" w:cs="Arial"/>
          <w:sz w:val="22"/>
          <w:szCs w:val="22"/>
        </w:rPr>
        <w:t xml:space="preserve"> and create necessary redundancy at the main campus, without </w:t>
      </w:r>
      <w:r w:rsidR="00755A8A" w:rsidRPr="009F7193">
        <w:rPr>
          <w:rFonts w:asciiTheme="minorHAnsi" w:hAnsiTheme="minorHAnsi" w:cs="Arial"/>
          <w:sz w:val="22"/>
          <w:szCs w:val="22"/>
        </w:rPr>
        <w:t>any</w:t>
      </w:r>
      <w:r w:rsidRPr="009F7193">
        <w:rPr>
          <w:rFonts w:asciiTheme="minorHAnsi" w:hAnsiTheme="minorHAnsi" w:cs="Arial"/>
          <w:sz w:val="22"/>
          <w:szCs w:val="22"/>
        </w:rPr>
        <w:t xml:space="preserve"> capital expenditure. By operating both MRI machines at the main campus, the Hospital can ensure continuous access to MRI while simultaneously optimizing utilization across its MRI locations, in turn reducing patient wait times for all MRI patients and ultimately extending the lifespan of each machine</w:t>
      </w:r>
      <w:r w:rsidR="00EC7F47" w:rsidRPr="009F7193">
        <w:rPr>
          <w:rFonts w:asciiTheme="minorHAnsi" w:hAnsiTheme="minorHAnsi" w:cs="Arial"/>
          <w:sz w:val="22"/>
          <w:szCs w:val="22"/>
        </w:rPr>
        <w:t xml:space="preserve"> </w:t>
      </w:r>
      <w:r w:rsidRPr="009F7193">
        <w:rPr>
          <w:rFonts w:asciiTheme="minorHAnsi" w:hAnsiTheme="minorHAnsi" w:cs="Arial"/>
          <w:sz w:val="22"/>
          <w:szCs w:val="22"/>
        </w:rPr>
        <w:t>supporting the long-term sustainability of the Hospital’s MRI infrastructure.</w:t>
      </w:r>
    </w:p>
    <w:p w14:paraId="3B583BB1" w14:textId="77777777" w:rsidR="001E6649" w:rsidRPr="009F7193" w:rsidRDefault="001E6649" w:rsidP="001E6649">
      <w:pPr>
        <w:spacing w:after="120"/>
        <w:rPr>
          <w:rFonts w:asciiTheme="minorHAnsi" w:hAnsiTheme="minorHAnsi" w:cs="Arial"/>
          <w:b/>
          <w:bCs/>
          <w:sz w:val="22"/>
          <w:szCs w:val="22"/>
        </w:rPr>
      </w:pPr>
      <w:r w:rsidRPr="009F7193">
        <w:rPr>
          <w:rFonts w:asciiTheme="minorHAnsi" w:hAnsiTheme="minorHAnsi" w:cs="Arial"/>
          <w:b/>
          <w:bCs/>
          <w:sz w:val="22"/>
          <w:szCs w:val="22"/>
        </w:rPr>
        <w:t xml:space="preserve">Historical Utilization  </w:t>
      </w:r>
    </w:p>
    <w:p w14:paraId="42F6D7AF" w14:textId="77777777" w:rsidR="001E6649" w:rsidRPr="009F7193" w:rsidRDefault="001E6649" w:rsidP="001E6649">
      <w:pPr>
        <w:pStyle w:val="ListParagraph"/>
        <w:numPr>
          <w:ilvl w:val="0"/>
          <w:numId w:val="12"/>
        </w:numPr>
        <w:spacing w:after="120"/>
        <w:contextualSpacing w:val="0"/>
        <w:rPr>
          <w:rFonts w:asciiTheme="minorHAnsi" w:hAnsiTheme="minorHAnsi" w:cs="Arial"/>
          <w:sz w:val="22"/>
          <w:szCs w:val="22"/>
        </w:rPr>
      </w:pPr>
      <w:r w:rsidRPr="009F7193">
        <w:rPr>
          <w:rFonts w:asciiTheme="minorHAnsi" w:hAnsiTheme="minorHAnsi" w:cs="Arial"/>
          <w:sz w:val="22"/>
          <w:szCs w:val="22"/>
          <w:u w:val="single"/>
        </w:rPr>
        <w:t>Cape Cod Hospital’s Satellite MRI Service</w:t>
      </w:r>
    </w:p>
    <w:p w14:paraId="12BD1B03" w14:textId="241108BD"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In addition to the MRI unit on the Hospital’s main campus, Cape Cod Hospital operates two (2) MRI units across three (3) satellites to meet the outpatient diagnostic </w:t>
      </w:r>
      <w:r w:rsidR="003E69AF" w:rsidRPr="009F7193">
        <w:rPr>
          <w:rFonts w:asciiTheme="minorHAnsi" w:hAnsiTheme="minorHAnsi" w:cs="Arial"/>
          <w:sz w:val="22"/>
          <w:szCs w:val="22"/>
        </w:rPr>
        <w:t>MRI</w:t>
      </w:r>
      <w:r w:rsidRPr="009F7193">
        <w:rPr>
          <w:rFonts w:asciiTheme="minorHAnsi" w:hAnsiTheme="minorHAnsi" w:cs="Arial"/>
          <w:sz w:val="22"/>
          <w:szCs w:val="22"/>
        </w:rPr>
        <w:t xml:space="preserve"> needs of its </w:t>
      </w:r>
      <w:r w:rsidR="003E69AF" w:rsidRPr="009F7193">
        <w:rPr>
          <w:rFonts w:asciiTheme="minorHAnsi" w:hAnsiTheme="minorHAnsi" w:cs="Arial"/>
          <w:sz w:val="22"/>
          <w:szCs w:val="22"/>
        </w:rPr>
        <w:t>Patient Panel</w:t>
      </w:r>
      <w:r w:rsidRPr="009F7193">
        <w:rPr>
          <w:rFonts w:asciiTheme="minorHAnsi" w:hAnsiTheme="minorHAnsi" w:cs="Arial"/>
          <w:sz w:val="22"/>
          <w:szCs w:val="22"/>
        </w:rPr>
        <w:t>. As illustrated in the table below, MRI utilization across the three satellite locations was consistently above 80%. The Wilkens Outpatient Medical Complex, located in Hyannis (“Wilkens”), operates the Applicant’s only 3T MRI.  In FY2025, it averaged 88% utilization despite extended hours of operation totaling over 100 operating hours per week. The Fontaine Outpatient Center in Harwich (“Fontaine”), and Stoneman Outpatient Center in Sandwich (“Stoneman”), share a mobile MRI</w:t>
      </w:r>
      <w:r w:rsidR="003E69AF" w:rsidRPr="009F7193">
        <w:rPr>
          <w:rFonts w:asciiTheme="minorHAnsi" w:hAnsiTheme="minorHAnsi" w:cs="Arial"/>
          <w:sz w:val="22"/>
          <w:szCs w:val="22"/>
        </w:rPr>
        <w:t xml:space="preserve"> unit</w:t>
      </w:r>
      <w:r w:rsidRPr="009F7193">
        <w:rPr>
          <w:rFonts w:asciiTheme="minorHAnsi" w:hAnsiTheme="minorHAnsi" w:cs="Arial"/>
          <w:sz w:val="22"/>
          <w:szCs w:val="22"/>
        </w:rPr>
        <w:t xml:space="preserve">. In FY2025, Fontaine operated at 91% utilization, while Stoneman’s MRI operated at 88% with </w:t>
      </w:r>
      <w:proofErr w:type="gramStart"/>
      <w:r w:rsidRPr="009F7193">
        <w:rPr>
          <w:rFonts w:asciiTheme="minorHAnsi" w:hAnsiTheme="minorHAnsi" w:cs="Arial"/>
          <w:sz w:val="22"/>
          <w:szCs w:val="22"/>
        </w:rPr>
        <w:t>wait</w:t>
      </w:r>
      <w:proofErr w:type="gramEnd"/>
      <w:r w:rsidRPr="009F7193">
        <w:rPr>
          <w:rFonts w:asciiTheme="minorHAnsi" w:hAnsiTheme="minorHAnsi" w:cs="Arial"/>
          <w:sz w:val="22"/>
          <w:szCs w:val="22"/>
        </w:rPr>
        <w:t xml:space="preserve"> times averaging 7 days. </w:t>
      </w:r>
      <w:r w:rsidR="003E69AF" w:rsidRPr="009F7193">
        <w:rPr>
          <w:rFonts w:asciiTheme="minorHAnsi" w:hAnsiTheme="minorHAnsi" w:cs="Arial"/>
          <w:sz w:val="22"/>
          <w:szCs w:val="22"/>
        </w:rPr>
        <w:t>This utilization</w:t>
      </w:r>
      <w:r w:rsidRPr="009F7193">
        <w:rPr>
          <w:rFonts w:asciiTheme="minorHAnsi" w:hAnsiTheme="minorHAnsi" w:cs="Arial"/>
          <w:sz w:val="22"/>
          <w:szCs w:val="22"/>
        </w:rPr>
        <w:t xml:space="preserve"> demonstrate</w:t>
      </w:r>
      <w:r w:rsidR="003E69AF" w:rsidRPr="009F7193">
        <w:rPr>
          <w:rFonts w:asciiTheme="minorHAnsi" w:hAnsiTheme="minorHAnsi" w:cs="Arial"/>
          <w:sz w:val="22"/>
          <w:szCs w:val="22"/>
        </w:rPr>
        <w:t>s</w:t>
      </w:r>
      <w:r w:rsidRPr="009F7193">
        <w:rPr>
          <w:rFonts w:asciiTheme="minorHAnsi" w:hAnsiTheme="minorHAnsi" w:cs="Arial"/>
          <w:sz w:val="22"/>
          <w:szCs w:val="22"/>
        </w:rPr>
        <w:t xml:space="preserve"> the significant need for </w:t>
      </w:r>
      <w:r w:rsidR="003E69AF" w:rsidRPr="009F7193">
        <w:rPr>
          <w:rFonts w:asciiTheme="minorHAnsi" w:hAnsiTheme="minorHAnsi" w:cs="Arial"/>
          <w:sz w:val="22"/>
          <w:szCs w:val="22"/>
        </w:rPr>
        <w:t xml:space="preserve">additional </w:t>
      </w:r>
      <w:r w:rsidRPr="009F7193">
        <w:rPr>
          <w:rFonts w:asciiTheme="minorHAnsi" w:hAnsiTheme="minorHAnsi" w:cs="Arial"/>
          <w:sz w:val="22"/>
          <w:szCs w:val="22"/>
        </w:rPr>
        <w:t xml:space="preserve">MRI </w:t>
      </w:r>
      <w:r w:rsidR="003E69AF" w:rsidRPr="009F7193">
        <w:rPr>
          <w:rFonts w:asciiTheme="minorHAnsi" w:hAnsiTheme="minorHAnsi" w:cs="Arial"/>
          <w:sz w:val="22"/>
          <w:szCs w:val="22"/>
        </w:rPr>
        <w:t>capacity.</w:t>
      </w:r>
    </w:p>
    <w:p w14:paraId="6F74803C" w14:textId="77777777" w:rsidR="003E69AF" w:rsidRPr="009F7193" w:rsidRDefault="003E69AF" w:rsidP="001E6649">
      <w:pPr>
        <w:spacing w:after="120"/>
        <w:jc w:val="both"/>
        <w:rPr>
          <w:rFonts w:asciiTheme="minorHAnsi" w:hAnsiTheme="minorHAnsi" w:cs="Arial"/>
          <w:sz w:val="22"/>
          <w:szCs w:val="22"/>
        </w:rPr>
      </w:pPr>
    </w:p>
    <w:p w14:paraId="36AEA61A" w14:textId="77777777" w:rsidR="003E69AF" w:rsidRPr="009F7193" w:rsidRDefault="003E69AF" w:rsidP="001E6649">
      <w:pPr>
        <w:spacing w:after="120"/>
        <w:jc w:val="both"/>
        <w:rPr>
          <w:rFonts w:asciiTheme="minorHAnsi" w:hAnsiTheme="minorHAnsi" w:cs="Arial"/>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780"/>
        <w:gridCol w:w="1890"/>
        <w:gridCol w:w="1170"/>
      </w:tblGrid>
      <w:tr w:rsidR="001E6649" w:rsidRPr="009F7193" w14:paraId="102D6DC2" w14:textId="77777777" w:rsidTr="002A0EC9">
        <w:trPr>
          <w:cantSplit/>
          <w:trHeight w:val="300"/>
          <w:tblHeader/>
        </w:trPr>
        <w:tc>
          <w:tcPr>
            <w:tcW w:w="2605" w:type="dxa"/>
            <w:tcBorders>
              <w:top w:val="single" w:sz="4" w:space="0" w:color="auto"/>
              <w:left w:val="single" w:sz="4" w:space="0" w:color="auto"/>
              <w:bottom w:val="single" w:sz="4" w:space="0" w:color="auto"/>
              <w:right w:val="single" w:sz="4" w:space="0" w:color="auto"/>
            </w:tcBorders>
            <w:noWrap/>
            <w:hideMark/>
          </w:tcPr>
          <w:p w14:paraId="597B1E6B" w14:textId="234DDECC" w:rsidR="001E6649" w:rsidRPr="009F7193" w:rsidRDefault="001E6649" w:rsidP="009B300B">
            <w:pPr>
              <w:rPr>
                <w:rFonts w:ascii="Aptos Narrow" w:hAnsi="Aptos Narrow" w:cs="Arial"/>
                <w:b/>
                <w:bCs/>
                <w:sz w:val="22"/>
                <w:szCs w:val="22"/>
              </w:rPr>
            </w:pPr>
            <w:r w:rsidRPr="009F7193">
              <w:rPr>
                <w:rFonts w:ascii="Aptos Narrow" w:hAnsi="Aptos Narrow" w:cs="Arial"/>
                <w:b/>
                <w:bCs/>
                <w:sz w:val="22"/>
                <w:szCs w:val="22"/>
              </w:rPr>
              <w:t xml:space="preserve">Table </w:t>
            </w:r>
            <w:r w:rsidR="003E69AF" w:rsidRPr="009F7193">
              <w:rPr>
                <w:rFonts w:ascii="Aptos Narrow" w:hAnsi="Aptos Narrow" w:cs="Arial"/>
                <w:b/>
                <w:bCs/>
                <w:sz w:val="22"/>
                <w:szCs w:val="22"/>
              </w:rPr>
              <w:t>10</w:t>
            </w:r>
            <w:r w:rsidRPr="009F7193">
              <w:rPr>
                <w:rFonts w:ascii="Aptos Narrow" w:hAnsi="Aptos Narrow" w:cs="Arial"/>
                <w:b/>
                <w:bCs/>
                <w:sz w:val="22"/>
                <w:szCs w:val="22"/>
              </w:rPr>
              <w:t>: Satellite Utilization</w:t>
            </w:r>
          </w:p>
        </w:tc>
        <w:tc>
          <w:tcPr>
            <w:tcW w:w="3780" w:type="dxa"/>
            <w:tcBorders>
              <w:top w:val="single" w:sz="4" w:space="0" w:color="auto"/>
              <w:left w:val="single" w:sz="4" w:space="0" w:color="auto"/>
              <w:bottom w:val="single" w:sz="4" w:space="0" w:color="auto"/>
              <w:right w:val="single" w:sz="4" w:space="0" w:color="auto"/>
            </w:tcBorders>
            <w:hideMark/>
          </w:tcPr>
          <w:p w14:paraId="634ACF4D" w14:textId="77777777" w:rsidR="001E6649" w:rsidRPr="009F7193" w:rsidRDefault="001E6649" w:rsidP="009B300B">
            <w:pPr>
              <w:rPr>
                <w:rFonts w:ascii="Aptos Narrow" w:hAnsi="Aptos Narrow" w:cs="Arial"/>
                <w:b/>
                <w:bCs/>
                <w:sz w:val="22"/>
                <w:szCs w:val="22"/>
              </w:rPr>
            </w:pPr>
            <w:r w:rsidRPr="009F7193">
              <w:rPr>
                <w:rFonts w:ascii="Aptos Narrow" w:hAnsi="Aptos Narrow" w:cs="Arial"/>
                <w:b/>
                <w:bCs/>
                <w:sz w:val="22"/>
                <w:szCs w:val="22"/>
              </w:rPr>
              <w:t xml:space="preserve">Days/Hours of Operation </w:t>
            </w:r>
          </w:p>
        </w:tc>
        <w:tc>
          <w:tcPr>
            <w:tcW w:w="1890" w:type="dxa"/>
            <w:tcBorders>
              <w:top w:val="single" w:sz="4" w:space="0" w:color="auto"/>
              <w:left w:val="single" w:sz="4" w:space="0" w:color="auto"/>
              <w:bottom w:val="single" w:sz="4" w:space="0" w:color="auto"/>
              <w:right w:val="single" w:sz="4" w:space="0" w:color="auto"/>
            </w:tcBorders>
            <w:hideMark/>
          </w:tcPr>
          <w:p w14:paraId="47FFB468" w14:textId="77777777" w:rsidR="001E6649" w:rsidRPr="009F7193" w:rsidRDefault="001E6649" w:rsidP="009B300B">
            <w:pPr>
              <w:jc w:val="center"/>
              <w:rPr>
                <w:rFonts w:ascii="Aptos Narrow" w:hAnsi="Aptos Narrow" w:cs="Arial"/>
                <w:b/>
                <w:bCs/>
                <w:sz w:val="22"/>
                <w:szCs w:val="22"/>
              </w:rPr>
            </w:pPr>
            <w:r w:rsidRPr="009F7193">
              <w:rPr>
                <w:rFonts w:ascii="Aptos Narrow" w:hAnsi="Aptos Narrow" w:cs="Arial"/>
                <w:b/>
                <w:bCs/>
                <w:sz w:val="22"/>
                <w:szCs w:val="22"/>
              </w:rPr>
              <w:t>Operating Hours</w:t>
            </w:r>
          </w:p>
          <w:p w14:paraId="37B8E827" w14:textId="77777777" w:rsidR="001E6649" w:rsidRPr="009F7193" w:rsidRDefault="001E6649" w:rsidP="009B300B">
            <w:pPr>
              <w:jc w:val="center"/>
              <w:rPr>
                <w:rFonts w:ascii="Aptos Narrow" w:hAnsi="Aptos Narrow" w:cs="Arial"/>
                <w:b/>
                <w:bCs/>
                <w:sz w:val="22"/>
                <w:szCs w:val="22"/>
              </w:rPr>
            </w:pPr>
            <w:r w:rsidRPr="009F7193">
              <w:rPr>
                <w:rFonts w:ascii="Aptos Narrow" w:hAnsi="Aptos Narrow" w:cs="Arial"/>
                <w:b/>
                <w:bCs/>
                <w:sz w:val="22"/>
                <w:szCs w:val="22"/>
              </w:rPr>
              <w:t>per week</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EE8FF" w14:textId="77777777" w:rsidR="001E6649" w:rsidRPr="009F7193" w:rsidRDefault="001E6649" w:rsidP="009B300B">
            <w:pPr>
              <w:jc w:val="center"/>
              <w:rPr>
                <w:rFonts w:ascii="Aptos Narrow" w:hAnsi="Aptos Narrow" w:cs="Arial"/>
                <w:b/>
                <w:bCs/>
                <w:sz w:val="22"/>
                <w:szCs w:val="22"/>
              </w:rPr>
            </w:pPr>
            <w:r w:rsidRPr="009F7193">
              <w:rPr>
                <w:rFonts w:ascii="Aptos Narrow" w:hAnsi="Aptos Narrow" w:cs="Arial"/>
                <w:b/>
                <w:bCs/>
                <w:sz w:val="22"/>
                <w:szCs w:val="22"/>
              </w:rPr>
              <w:t>FY25 Utilization</w:t>
            </w:r>
          </w:p>
        </w:tc>
      </w:tr>
      <w:tr w:rsidR="001E6649" w:rsidRPr="009F7193" w14:paraId="12AEAF62" w14:textId="77777777" w:rsidTr="002A0EC9">
        <w:trPr>
          <w:cantSplit/>
          <w:trHeight w:val="300"/>
        </w:trPr>
        <w:tc>
          <w:tcPr>
            <w:tcW w:w="2605" w:type="dxa"/>
            <w:tcBorders>
              <w:top w:val="single" w:sz="4" w:space="0" w:color="auto"/>
              <w:left w:val="single" w:sz="4" w:space="0" w:color="auto"/>
              <w:bottom w:val="single" w:sz="4" w:space="0" w:color="auto"/>
              <w:right w:val="single" w:sz="4" w:space="0" w:color="auto"/>
            </w:tcBorders>
            <w:noWrap/>
            <w:hideMark/>
          </w:tcPr>
          <w:p w14:paraId="39D86D44" w14:textId="77777777" w:rsidR="001E6649" w:rsidRPr="009F7193" w:rsidRDefault="001E6649" w:rsidP="009B300B">
            <w:pPr>
              <w:rPr>
                <w:rFonts w:ascii="Aptos Narrow" w:hAnsi="Aptos Narrow" w:cs="Arial"/>
                <w:sz w:val="22"/>
                <w:szCs w:val="22"/>
              </w:rPr>
            </w:pPr>
            <w:r w:rsidRPr="009F7193">
              <w:rPr>
                <w:rFonts w:ascii="Aptos Narrow" w:hAnsi="Aptos Narrow" w:cs="Arial"/>
                <w:sz w:val="22"/>
                <w:szCs w:val="22"/>
              </w:rPr>
              <w:t>CCH-Wilkens</w:t>
            </w:r>
          </w:p>
        </w:tc>
        <w:tc>
          <w:tcPr>
            <w:tcW w:w="3780" w:type="dxa"/>
            <w:tcBorders>
              <w:top w:val="single" w:sz="4" w:space="0" w:color="auto"/>
              <w:left w:val="single" w:sz="4" w:space="0" w:color="auto"/>
              <w:bottom w:val="single" w:sz="4" w:space="0" w:color="auto"/>
              <w:right w:val="single" w:sz="4" w:space="0" w:color="auto"/>
            </w:tcBorders>
            <w:hideMark/>
          </w:tcPr>
          <w:p w14:paraId="3EE48F9D" w14:textId="77777777" w:rsidR="001E6649" w:rsidRPr="009F7193" w:rsidRDefault="001E6649" w:rsidP="009B300B">
            <w:pPr>
              <w:rPr>
                <w:rFonts w:ascii="Aptos Narrow" w:hAnsi="Aptos Narrow" w:cs="Arial"/>
                <w:sz w:val="22"/>
                <w:szCs w:val="22"/>
              </w:rPr>
            </w:pPr>
            <w:r w:rsidRPr="009F7193">
              <w:rPr>
                <w:rFonts w:ascii="Aptos Narrow" w:hAnsi="Aptos Narrow" w:cs="Arial"/>
                <w:sz w:val="22"/>
                <w:szCs w:val="22"/>
              </w:rPr>
              <w:t xml:space="preserve">M-F: 7am to 11pm; </w:t>
            </w:r>
            <w:proofErr w:type="spellStart"/>
            <w:r w:rsidRPr="009F7193">
              <w:rPr>
                <w:rFonts w:ascii="Aptos Narrow" w:hAnsi="Aptos Narrow" w:cs="Arial"/>
                <w:sz w:val="22"/>
                <w:szCs w:val="22"/>
              </w:rPr>
              <w:t>SaSu</w:t>
            </w:r>
            <w:proofErr w:type="spellEnd"/>
            <w:r w:rsidRPr="009F7193">
              <w:rPr>
                <w:rFonts w:ascii="Aptos Narrow" w:hAnsi="Aptos Narrow" w:cs="Arial"/>
                <w:sz w:val="22"/>
                <w:szCs w:val="22"/>
              </w:rPr>
              <w:t xml:space="preserve">: 7am to 7pm </w:t>
            </w:r>
          </w:p>
        </w:tc>
        <w:tc>
          <w:tcPr>
            <w:tcW w:w="1890" w:type="dxa"/>
            <w:tcBorders>
              <w:top w:val="single" w:sz="4" w:space="0" w:color="auto"/>
              <w:left w:val="single" w:sz="4" w:space="0" w:color="auto"/>
              <w:bottom w:val="single" w:sz="4" w:space="0" w:color="auto"/>
              <w:right w:val="single" w:sz="4" w:space="0" w:color="auto"/>
            </w:tcBorders>
            <w:hideMark/>
          </w:tcPr>
          <w:p w14:paraId="61663F91" w14:textId="77777777" w:rsidR="001E6649" w:rsidRPr="009F7193" w:rsidRDefault="001E6649" w:rsidP="009B300B">
            <w:pPr>
              <w:jc w:val="center"/>
              <w:rPr>
                <w:rFonts w:ascii="Aptos Narrow" w:hAnsi="Aptos Narrow" w:cs="Arial"/>
                <w:sz w:val="22"/>
                <w:szCs w:val="22"/>
              </w:rPr>
            </w:pPr>
            <w:r w:rsidRPr="009F7193">
              <w:rPr>
                <w:rFonts w:ascii="Aptos Narrow" w:hAnsi="Aptos Narrow" w:cs="Arial"/>
                <w:sz w:val="22"/>
                <w:szCs w:val="22"/>
              </w:rPr>
              <w:t>104</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18D19" w14:textId="77777777" w:rsidR="001E6649" w:rsidRPr="009F7193" w:rsidRDefault="001E6649" w:rsidP="009B300B">
            <w:pPr>
              <w:jc w:val="center"/>
              <w:rPr>
                <w:rFonts w:ascii="Aptos Narrow" w:hAnsi="Aptos Narrow" w:cs="Arial"/>
                <w:sz w:val="22"/>
                <w:szCs w:val="22"/>
              </w:rPr>
            </w:pPr>
            <w:r w:rsidRPr="009F7193">
              <w:rPr>
                <w:rFonts w:ascii="Aptos Narrow" w:hAnsi="Aptos Narrow" w:cs="Arial"/>
                <w:sz w:val="22"/>
                <w:szCs w:val="22"/>
              </w:rPr>
              <w:t>88%</w:t>
            </w:r>
          </w:p>
        </w:tc>
      </w:tr>
      <w:tr w:rsidR="001E6649" w:rsidRPr="009F7193" w14:paraId="459F20C5" w14:textId="77777777" w:rsidTr="002A0EC9">
        <w:trPr>
          <w:cantSplit/>
          <w:trHeight w:val="300"/>
        </w:trPr>
        <w:tc>
          <w:tcPr>
            <w:tcW w:w="2605" w:type="dxa"/>
            <w:tcBorders>
              <w:top w:val="single" w:sz="4" w:space="0" w:color="auto"/>
              <w:left w:val="single" w:sz="4" w:space="0" w:color="auto"/>
              <w:bottom w:val="single" w:sz="4" w:space="0" w:color="auto"/>
              <w:right w:val="single" w:sz="4" w:space="0" w:color="auto"/>
            </w:tcBorders>
            <w:noWrap/>
            <w:hideMark/>
          </w:tcPr>
          <w:p w14:paraId="528AF806" w14:textId="77777777" w:rsidR="001E6649" w:rsidRPr="009F7193" w:rsidRDefault="001E6649" w:rsidP="009B300B">
            <w:pPr>
              <w:rPr>
                <w:rFonts w:ascii="Aptos Narrow" w:hAnsi="Aptos Narrow" w:cs="Arial"/>
                <w:sz w:val="22"/>
                <w:szCs w:val="22"/>
              </w:rPr>
            </w:pPr>
            <w:r w:rsidRPr="009F7193">
              <w:rPr>
                <w:rFonts w:ascii="Aptos Narrow" w:hAnsi="Aptos Narrow" w:cs="Arial"/>
                <w:sz w:val="22"/>
                <w:szCs w:val="22"/>
              </w:rPr>
              <w:t>CCH-Fontaine</w:t>
            </w:r>
          </w:p>
        </w:tc>
        <w:tc>
          <w:tcPr>
            <w:tcW w:w="3780" w:type="dxa"/>
            <w:tcBorders>
              <w:top w:val="single" w:sz="4" w:space="0" w:color="auto"/>
              <w:left w:val="single" w:sz="4" w:space="0" w:color="auto"/>
              <w:bottom w:val="single" w:sz="4" w:space="0" w:color="auto"/>
              <w:right w:val="single" w:sz="4" w:space="0" w:color="auto"/>
            </w:tcBorders>
            <w:hideMark/>
          </w:tcPr>
          <w:p w14:paraId="3859EB93" w14:textId="6A5CA88E" w:rsidR="001E6649" w:rsidRPr="009F7193" w:rsidRDefault="001E6649" w:rsidP="009B300B">
            <w:pPr>
              <w:rPr>
                <w:rFonts w:ascii="Aptos Narrow" w:hAnsi="Aptos Narrow" w:cs="Arial"/>
                <w:sz w:val="22"/>
                <w:szCs w:val="22"/>
              </w:rPr>
            </w:pPr>
            <w:r w:rsidRPr="009F7193">
              <w:rPr>
                <w:rFonts w:ascii="Aptos Narrow" w:hAnsi="Aptos Narrow" w:cs="Arial"/>
                <w:sz w:val="22"/>
                <w:szCs w:val="22"/>
              </w:rPr>
              <w:t>MWF: 7am to 7pm; Sa: 8:30am to 4pm</w:t>
            </w:r>
          </w:p>
        </w:tc>
        <w:tc>
          <w:tcPr>
            <w:tcW w:w="1890" w:type="dxa"/>
            <w:tcBorders>
              <w:top w:val="single" w:sz="4" w:space="0" w:color="auto"/>
              <w:left w:val="single" w:sz="4" w:space="0" w:color="auto"/>
              <w:bottom w:val="single" w:sz="4" w:space="0" w:color="auto"/>
              <w:right w:val="single" w:sz="4" w:space="0" w:color="auto"/>
            </w:tcBorders>
            <w:hideMark/>
          </w:tcPr>
          <w:p w14:paraId="6CAF47BB" w14:textId="366430EA" w:rsidR="001E6649" w:rsidRPr="009F7193" w:rsidRDefault="2FEA5EB4" w:rsidP="009B300B">
            <w:pPr>
              <w:jc w:val="center"/>
              <w:rPr>
                <w:rFonts w:ascii="Aptos Narrow" w:hAnsi="Aptos Narrow" w:cs="Arial"/>
                <w:sz w:val="22"/>
                <w:szCs w:val="22"/>
              </w:rPr>
            </w:pPr>
            <w:r w:rsidRPr="39E2F636">
              <w:rPr>
                <w:rFonts w:ascii="Aptos Narrow" w:hAnsi="Aptos Narrow" w:cs="Arial"/>
                <w:sz w:val="22"/>
                <w:szCs w:val="22"/>
              </w:rPr>
              <w:t>43.5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FCF44" w14:textId="3401F2D0" w:rsidR="001E6649" w:rsidRPr="009F7193" w:rsidRDefault="001E6649" w:rsidP="00651FE4">
            <w:pPr>
              <w:jc w:val="center"/>
              <w:rPr>
                <w:rFonts w:ascii="Aptos Narrow" w:hAnsi="Aptos Narrow" w:cs="Arial"/>
                <w:sz w:val="22"/>
                <w:szCs w:val="22"/>
              </w:rPr>
            </w:pPr>
            <w:r w:rsidRPr="39E2F636">
              <w:rPr>
                <w:rFonts w:ascii="Aptos Narrow" w:hAnsi="Aptos Narrow" w:cs="Arial"/>
                <w:sz w:val="22"/>
                <w:szCs w:val="22"/>
              </w:rPr>
              <w:t>91%</w:t>
            </w:r>
          </w:p>
        </w:tc>
      </w:tr>
      <w:tr w:rsidR="001E6649" w:rsidRPr="009F7193" w14:paraId="490FA69D" w14:textId="77777777" w:rsidTr="002A0EC9">
        <w:trPr>
          <w:cantSplit/>
          <w:trHeight w:val="296"/>
        </w:trPr>
        <w:tc>
          <w:tcPr>
            <w:tcW w:w="2605" w:type="dxa"/>
            <w:tcBorders>
              <w:top w:val="single" w:sz="4" w:space="0" w:color="auto"/>
              <w:left w:val="single" w:sz="4" w:space="0" w:color="auto"/>
              <w:bottom w:val="single" w:sz="4" w:space="0" w:color="auto"/>
              <w:right w:val="single" w:sz="4" w:space="0" w:color="auto"/>
            </w:tcBorders>
            <w:noWrap/>
            <w:hideMark/>
          </w:tcPr>
          <w:p w14:paraId="04B900D5" w14:textId="77777777" w:rsidR="001E6649" w:rsidRPr="009F7193" w:rsidRDefault="001E6649" w:rsidP="009B300B">
            <w:pPr>
              <w:rPr>
                <w:rFonts w:ascii="Aptos Narrow" w:hAnsi="Aptos Narrow" w:cs="Arial"/>
                <w:sz w:val="22"/>
                <w:szCs w:val="22"/>
              </w:rPr>
            </w:pPr>
            <w:r w:rsidRPr="009F7193">
              <w:rPr>
                <w:rFonts w:ascii="Aptos Narrow" w:hAnsi="Aptos Narrow" w:cs="Arial"/>
                <w:sz w:val="22"/>
                <w:szCs w:val="22"/>
              </w:rPr>
              <w:t>CCH-Stoneman</w:t>
            </w:r>
          </w:p>
        </w:tc>
        <w:tc>
          <w:tcPr>
            <w:tcW w:w="3780" w:type="dxa"/>
            <w:tcBorders>
              <w:top w:val="single" w:sz="4" w:space="0" w:color="auto"/>
              <w:left w:val="single" w:sz="4" w:space="0" w:color="auto"/>
              <w:bottom w:val="single" w:sz="4" w:space="0" w:color="auto"/>
              <w:right w:val="single" w:sz="4" w:space="0" w:color="auto"/>
            </w:tcBorders>
            <w:hideMark/>
          </w:tcPr>
          <w:p w14:paraId="4861A7FF" w14:textId="77777777" w:rsidR="001E6649" w:rsidRPr="009F7193" w:rsidRDefault="001E6649" w:rsidP="009B300B">
            <w:pPr>
              <w:rPr>
                <w:rFonts w:ascii="Aptos Narrow" w:hAnsi="Aptos Narrow" w:cs="Arial"/>
                <w:sz w:val="22"/>
                <w:szCs w:val="22"/>
              </w:rPr>
            </w:pPr>
            <w:proofErr w:type="spellStart"/>
            <w:r w:rsidRPr="009F7193">
              <w:rPr>
                <w:rFonts w:ascii="Aptos Narrow" w:hAnsi="Aptos Narrow" w:cs="Arial"/>
                <w:sz w:val="22"/>
                <w:szCs w:val="22"/>
              </w:rPr>
              <w:t>TTh</w:t>
            </w:r>
            <w:proofErr w:type="spellEnd"/>
            <w:r w:rsidRPr="009F7193">
              <w:rPr>
                <w:rFonts w:ascii="Aptos Narrow" w:hAnsi="Aptos Narrow" w:cs="Arial"/>
                <w:sz w:val="22"/>
                <w:szCs w:val="22"/>
              </w:rPr>
              <w:t>: 7:30am to 5:30pm</w:t>
            </w:r>
          </w:p>
        </w:tc>
        <w:tc>
          <w:tcPr>
            <w:tcW w:w="1890" w:type="dxa"/>
            <w:tcBorders>
              <w:top w:val="single" w:sz="4" w:space="0" w:color="auto"/>
              <w:left w:val="single" w:sz="4" w:space="0" w:color="auto"/>
              <w:bottom w:val="single" w:sz="4" w:space="0" w:color="auto"/>
              <w:right w:val="single" w:sz="4" w:space="0" w:color="auto"/>
            </w:tcBorders>
            <w:hideMark/>
          </w:tcPr>
          <w:p w14:paraId="6576B973" w14:textId="77777777" w:rsidR="001E6649" w:rsidRPr="009F7193" w:rsidRDefault="001E6649" w:rsidP="009B300B">
            <w:pPr>
              <w:jc w:val="center"/>
              <w:rPr>
                <w:rFonts w:ascii="Aptos Narrow" w:hAnsi="Aptos Narrow" w:cs="Arial"/>
                <w:sz w:val="22"/>
                <w:szCs w:val="22"/>
              </w:rPr>
            </w:pPr>
            <w:r w:rsidRPr="009F7193">
              <w:rPr>
                <w:rFonts w:ascii="Aptos Narrow" w:hAnsi="Aptos Narrow" w:cs="Arial"/>
                <w:sz w:val="22"/>
                <w:szCs w:val="22"/>
              </w:rPr>
              <w:t>20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56C7D" w14:textId="77777777" w:rsidR="001E6649" w:rsidRPr="009F7193" w:rsidRDefault="001E6649" w:rsidP="009B300B">
            <w:pPr>
              <w:jc w:val="center"/>
              <w:rPr>
                <w:rFonts w:ascii="Aptos Narrow" w:hAnsi="Aptos Narrow" w:cs="Arial"/>
                <w:sz w:val="22"/>
                <w:szCs w:val="22"/>
              </w:rPr>
            </w:pPr>
            <w:r w:rsidRPr="009F7193">
              <w:rPr>
                <w:rFonts w:ascii="Aptos Narrow" w:hAnsi="Aptos Narrow" w:cs="Arial"/>
                <w:sz w:val="22"/>
                <w:szCs w:val="22"/>
              </w:rPr>
              <w:t>88%</w:t>
            </w:r>
          </w:p>
        </w:tc>
      </w:tr>
    </w:tbl>
    <w:p w14:paraId="7877BF81" w14:textId="77777777" w:rsidR="001E6649" w:rsidRPr="009F7193" w:rsidRDefault="001E6649" w:rsidP="001E6649">
      <w:pPr>
        <w:rPr>
          <w:rFonts w:asciiTheme="minorHAnsi" w:hAnsiTheme="minorHAnsi" w:cs="Arial"/>
          <w:sz w:val="22"/>
          <w:szCs w:val="22"/>
        </w:rPr>
      </w:pPr>
    </w:p>
    <w:p w14:paraId="24FABC57" w14:textId="1276DF02" w:rsidR="001E6649" w:rsidRPr="009F7193" w:rsidRDefault="001E6649" w:rsidP="00D610D9">
      <w:pPr>
        <w:jc w:val="both"/>
        <w:rPr>
          <w:rFonts w:asciiTheme="minorHAnsi" w:hAnsiTheme="minorHAnsi" w:cs="Arial"/>
          <w:sz w:val="22"/>
          <w:szCs w:val="22"/>
        </w:rPr>
      </w:pPr>
      <w:r w:rsidRPr="009F7193">
        <w:rPr>
          <w:rFonts w:asciiTheme="minorHAnsi" w:hAnsiTheme="minorHAnsi" w:cs="Arial"/>
          <w:sz w:val="22"/>
          <w:szCs w:val="22"/>
        </w:rPr>
        <w:t>In FY</w:t>
      </w:r>
      <w:r w:rsidR="003E69AF" w:rsidRPr="009F7193">
        <w:rPr>
          <w:rFonts w:asciiTheme="minorHAnsi" w:hAnsiTheme="minorHAnsi" w:cs="Arial"/>
          <w:sz w:val="22"/>
          <w:szCs w:val="22"/>
        </w:rPr>
        <w:t>20</w:t>
      </w:r>
      <w:r w:rsidRPr="009F7193">
        <w:rPr>
          <w:rFonts w:asciiTheme="minorHAnsi" w:hAnsiTheme="minorHAnsi" w:cs="Arial"/>
          <w:sz w:val="22"/>
          <w:szCs w:val="22"/>
        </w:rPr>
        <w:t xml:space="preserve">25, the Hospital’s satellite MRI locations </w:t>
      </w:r>
      <w:r w:rsidR="003E69AF" w:rsidRPr="009F7193">
        <w:rPr>
          <w:rFonts w:asciiTheme="minorHAnsi" w:hAnsiTheme="minorHAnsi" w:cs="Arial"/>
          <w:sz w:val="22"/>
          <w:szCs w:val="22"/>
        </w:rPr>
        <w:t>performed</w:t>
      </w:r>
      <w:r w:rsidRPr="009F7193">
        <w:rPr>
          <w:rFonts w:asciiTheme="minorHAnsi" w:hAnsiTheme="minorHAnsi" w:cs="Arial"/>
          <w:sz w:val="22"/>
          <w:szCs w:val="22"/>
        </w:rPr>
        <w:t xml:space="preserve"> 11,</w:t>
      </w:r>
      <w:r w:rsidR="00064F36">
        <w:rPr>
          <w:rFonts w:asciiTheme="minorHAnsi" w:hAnsiTheme="minorHAnsi" w:cs="Arial"/>
          <w:sz w:val="22"/>
          <w:szCs w:val="22"/>
        </w:rPr>
        <w:t>277</w:t>
      </w:r>
      <w:r w:rsidR="00064F36" w:rsidRPr="009F7193">
        <w:rPr>
          <w:rFonts w:asciiTheme="minorHAnsi" w:hAnsiTheme="minorHAnsi" w:cs="Arial"/>
          <w:sz w:val="22"/>
          <w:szCs w:val="22"/>
        </w:rPr>
        <w:t xml:space="preserve"> </w:t>
      </w:r>
      <w:r w:rsidRPr="009F7193">
        <w:rPr>
          <w:rFonts w:asciiTheme="minorHAnsi" w:hAnsiTheme="minorHAnsi" w:cs="Arial"/>
          <w:sz w:val="22"/>
          <w:szCs w:val="22"/>
        </w:rPr>
        <w:t xml:space="preserve">outpatient </w:t>
      </w:r>
      <w:r w:rsidR="003E69AF" w:rsidRPr="009F7193">
        <w:rPr>
          <w:rFonts w:asciiTheme="minorHAnsi" w:hAnsiTheme="minorHAnsi" w:cs="Arial"/>
          <w:sz w:val="22"/>
          <w:szCs w:val="22"/>
        </w:rPr>
        <w:t>scans</w:t>
      </w:r>
      <w:r w:rsidRPr="009F7193">
        <w:rPr>
          <w:rFonts w:asciiTheme="minorHAnsi" w:hAnsiTheme="minorHAnsi" w:cs="Arial"/>
          <w:sz w:val="22"/>
          <w:szCs w:val="22"/>
        </w:rPr>
        <w:t>. This represents a 1</w:t>
      </w:r>
      <w:r w:rsidR="00FA3E3B">
        <w:rPr>
          <w:rFonts w:asciiTheme="minorHAnsi" w:hAnsiTheme="minorHAnsi" w:cs="Arial"/>
          <w:sz w:val="22"/>
          <w:szCs w:val="22"/>
        </w:rPr>
        <w:t>4</w:t>
      </w:r>
      <w:r w:rsidRPr="009F7193">
        <w:rPr>
          <w:rFonts w:asciiTheme="minorHAnsi" w:hAnsiTheme="minorHAnsi" w:cs="Arial"/>
          <w:sz w:val="22"/>
          <w:szCs w:val="22"/>
        </w:rPr>
        <w:t xml:space="preserve">% increase in outpatient MRI volume at the satellite locations since FY2022, including a </w:t>
      </w:r>
      <w:r w:rsidR="00FA3E3B">
        <w:rPr>
          <w:rFonts w:asciiTheme="minorHAnsi" w:hAnsiTheme="minorHAnsi" w:cs="Arial"/>
          <w:sz w:val="22"/>
          <w:szCs w:val="22"/>
        </w:rPr>
        <w:t>39</w:t>
      </w:r>
      <w:r w:rsidRPr="009F7193">
        <w:rPr>
          <w:rFonts w:asciiTheme="minorHAnsi" w:hAnsiTheme="minorHAnsi" w:cs="Arial"/>
          <w:sz w:val="22"/>
          <w:szCs w:val="22"/>
        </w:rPr>
        <w:t xml:space="preserve">% increase at Fontaine. The table below illustrates historical scan volume at each of the satellite locations. </w:t>
      </w:r>
    </w:p>
    <w:p w14:paraId="42180E7A" w14:textId="77777777" w:rsidR="001E6649" w:rsidRPr="009F7193" w:rsidRDefault="001E6649" w:rsidP="001E6649">
      <w:pPr>
        <w:rPr>
          <w:rFonts w:asciiTheme="minorHAnsi" w:hAnsiTheme="minorHAnsi" w:cs="Arial"/>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481"/>
        <w:gridCol w:w="1340"/>
        <w:gridCol w:w="1339"/>
        <w:gridCol w:w="1340"/>
        <w:gridCol w:w="1340"/>
      </w:tblGrid>
      <w:tr w:rsidR="001E6649" w:rsidRPr="009F7193" w14:paraId="349F0998" w14:textId="77777777" w:rsidTr="00571246">
        <w:trPr>
          <w:cantSplit/>
          <w:trHeight w:val="300"/>
          <w:tblHeader/>
        </w:trPr>
        <w:tc>
          <w:tcPr>
            <w:tcW w:w="2605" w:type="dxa"/>
            <w:noWrap/>
            <w:hideMark/>
          </w:tcPr>
          <w:p w14:paraId="2FF032FE" w14:textId="78584073" w:rsidR="001E6649" w:rsidRPr="009F7193" w:rsidRDefault="001E6649" w:rsidP="009B300B">
            <w:pP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 xml:space="preserve">Table </w:t>
            </w:r>
            <w:r w:rsidR="003E69AF" w:rsidRPr="009F7193">
              <w:rPr>
                <w:rFonts w:ascii="Aptos Narrow" w:hAnsi="Aptos Narrow"/>
                <w:b/>
                <w:bCs/>
                <w:color w:val="000000"/>
                <w:kern w:val="0"/>
                <w:sz w:val="22"/>
                <w:szCs w:val="22"/>
                <w14:ligatures w14:val="none"/>
              </w:rPr>
              <w:t>11</w:t>
            </w:r>
            <w:r w:rsidRPr="009F7193">
              <w:rPr>
                <w:rFonts w:ascii="Aptos Narrow" w:hAnsi="Aptos Narrow"/>
                <w:b/>
                <w:bCs/>
                <w:color w:val="000000"/>
                <w:kern w:val="0"/>
                <w:sz w:val="22"/>
                <w:szCs w:val="22"/>
                <w14:ligatures w14:val="none"/>
              </w:rPr>
              <w:t>: Satellite Volume</w:t>
            </w:r>
          </w:p>
        </w:tc>
        <w:tc>
          <w:tcPr>
            <w:tcW w:w="1481" w:type="dxa"/>
            <w:shd w:val="clear" w:color="auto" w:fill="FFFFFF" w:themeFill="background1"/>
            <w:noWrap/>
            <w:vAlign w:val="center"/>
            <w:hideMark/>
          </w:tcPr>
          <w:p w14:paraId="2CE0F77E" w14:textId="1D70174B" w:rsidR="001E6649" w:rsidRPr="009F7193" w:rsidRDefault="003E69AF" w:rsidP="009B300B">
            <w:pPr>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w:t>
            </w:r>
            <w:r w:rsidR="001E6649" w:rsidRPr="009F7193">
              <w:rPr>
                <w:rFonts w:ascii="Aptos Narrow" w:hAnsi="Aptos Narrow"/>
                <w:b/>
                <w:bCs/>
                <w:color w:val="000000"/>
                <w:kern w:val="0"/>
                <w:sz w:val="22"/>
                <w:szCs w:val="22"/>
                <w14:ligatures w14:val="none"/>
              </w:rPr>
              <w:t>22</w:t>
            </w:r>
          </w:p>
        </w:tc>
        <w:tc>
          <w:tcPr>
            <w:tcW w:w="1340" w:type="dxa"/>
            <w:shd w:val="clear" w:color="auto" w:fill="FFFFFF" w:themeFill="background1"/>
            <w:noWrap/>
            <w:vAlign w:val="center"/>
            <w:hideMark/>
          </w:tcPr>
          <w:p w14:paraId="4D835F9C" w14:textId="2BF6F1B6" w:rsidR="001E6649" w:rsidRPr="009F7193" w:rsidRDefault="003E69AF" w:rsidP="009B300B">
            <w:pPr>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w:t>
            </w:r>
            <w:r w:rsidR="001E6649" w:rsidRPr="009F7193">
              <w:rPr>
                <w:rFonts w:ascii="Aptos Narrow" w:hAnsi="Aptos Narrow"/>
                <w:b/>
                <w:bCs/>
                <w:color w:val="000000"/>
                <w:kern w:val="0"/>
                <w:sz w:val="22"/>
                <w:szCs w:val="22"/>
                <w14:ligatures w14:val="none"/>
              </w:rPr>
              <w:t>23</w:t>
            </w:r>
          </w:p>
        </w:tc>
        <w:tc>
          <w:tcPr>
            <w:tcW w:w="1339" w:type="dxa"/>
            <w:shd w:val="clear" w:color="auto" w:fill="FFFFFF" w:themeFill="background1"/>
            <w:noWrap/>
            <w:vAlign w:val="center"/>
            <w:hideMark/>
          </w:tcPr>
          <w:p w14:paraId="43F7BE69" w14:textId="2BBAB9C5" w:rsidR="001E6649" w:rsidRPr="009F7193" w:rsidRDefault="003E69AF" w:rsidP="009B300B">
            <w:pPr>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w:t>
            </w:r>
            <w:r w:rsidR="001E6649" w:rsidRPr="009F7193">
              <w:rPr>
                <w:rFonts w:ascii="Aptos Narrow" w:hAnsi="Aptos Narrow"/>
                <w:b/>
                <w:bCs/>
                <w:color w:val="000000"/>
                <w:kern w:val="0"/>
                <w:sz w:val="22"/>
                <w:szCs w:val="22"/>
                <w14:ligatures w14:val="none"/>
              </w:rPr>
              <w:t>24</w:t>
            </w:r>
          </w:p>
        </w:tc>
        <w:tc>
          <w:tcPr>
            <w:tcW w:w="1340" w:type="dxa"/>
            <w:shd w:val="clear" w:color="auto" w:fill="FFFFFF" w:themeFill="background1"/>
            <w:noWrap/>
            <w:vAlign w:val="center"/>
            <w:hideMark/>
          </w:tcPr>
          <w:p w14:paraId="12509AB6" w14:textId="11B464E1" w:rsidR="001E6649" w:rsidRPr="009F7193" w:rsidRDefault="003E69AF" w:rsidP="009B300B">
            <w:pPr>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w:t>
            </w:r>
            <w:r w:rsidR="001E6649" w:rsidRPr="009F7193">
              <w:rPr>
                <w:rFonts w:ascii="Aptos Narrow" w:hAnsi="Aptos Narrow"/>
                <w:b/>
                <w:bCs/>
                <w:color w:val="000000"/>
                <w:kern w:val="0"/>
                <w:sz w:val="22"/>
                <w:szCs w:val="22"/>
                <w14:ligatures w14:val="none"/>
              </w:rPr>
              <w:t>25</w:t>
            </w:r>
          </w:p>
        </w:tc>
        <w:tc>
          <w:tcPr>
            <w:tcW w:w="1340" w:type="dxa"/>
            <w:vAlign w:val="center"/>
          </w:tcPr>
          <w:p w14:paraId="394C066B" w14:textId="77777777" w:rsidR="001E6649" w:rsidRPr="009F7193" w:rsidRDefault="001E6649" w:rsidP="009B300B">
            <w:pPr>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FY22-FY</w:t>
            </w:r>
            <w:r w:rsidRPr="0EF00B20" w:rsidDel="001E6649">
              <w:rPr>
                <w:rFonts w:ascii="Aptos Narrow" w:hAnsi="Aptos Narrow"/>
                <w:b/>
                <w:bCs/>
                <w:color w:val="000000" w:themeColor="text1"/>
                <w:sz w:val="22"/>
                <w:szCs w:val="22"/>
              </w:rPr>
              <w:t>25</w:t>
            </w:r>
            <w:r w:rsidRPr="009F7193">
              <w:rPr>
                <w:rFonts w:ascii="Aptos Narrow" w:hAnsi="Aptos Narrow"/>
                <w:b/>
                <w:bCs/>
                <w:color w:val="000000"/>
                <w:kern w:val="0"/>
                <w:sz w:val="22"/>
                <w:szCs w:val="22"/>
                <w14:ligatures w14:val="none"/>
              </w:rPr>
              <w:t xml:space="preserve"> Change</w:t>
            </w:r>
          </w:p>
        </w:tc>
      </w:tr>
      <w:tr w:rsidR="00FA376F" w:rsidRPr="009F7193" w14:paraId="67538AA3" w14:textId="77777777" w:rsidTr="00571246">
        <w:trPr>
          <w:cantSplit/>
          <w:trHeight w:val="300"/>
        </w:trPr>
        <w:tc>
          <w:tcPr>
            <w:tcW w:w="2605" w:type="dxa"/>
            <w:tcBorders>
              <w:top w:val="single" w:sz="4" w:space="0" w:color="auto"/>
              <w:left w:val="single" w:sz="4" w:space="0" w:color="auto"/>
              <w:bottom w:val="single" w:sz="4" w:space="0" w:color="auto"/>
              <w:right w:val="single" w:sz="4" w:space="0" w:color="auto"/>
            </w:tcBorders>
            <w:noWrap/>
            <w:vAlign w:val="bottom"/>
          </w:tcPr>
          <w:p w14:paraId="543FD413" w14:textId="77777777" w:rsidR="00FA376F" w:rsidRPr="009F7193" w:rsidRDefault="00FA376F" w:rsidP="00FA376F">
            <w:pP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 xml:space="preserve">CCH-Wilkens </w:t>
            </w: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B7BE29" w14:textId="75561D46"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1,867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06FBE5" w14:textId="463E66CD"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2,116 </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FA413B" w14:textId="46887058"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2,372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8A54163" w14:textId="7B4E7CCF"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2,594 </w:t>
            </w:r>
          </w:p>
        </w:tc>
        <w:tc>
          <w:tcPr>
            <w:tcW w:w="1340" w:type="dxa"/>
            <w:tcBorders>
              <w:top w:val="single" w:sz="4" w:space="0" w:color="auto"/>
              <w:left w:val="single" w:sz="4" w:space="0" w:color="auto"/>
              <w:bottom w:val="single" w:sz="4" w:space="0" w:color="auto"/>
              <w:right w:val="single" w:sz="4" w:space="0" w:color="auto"/>
            </w:tcBorders>
            <w:vAlign w:val="bottom"/>
          </w:tcPr>
          <w:p w14:paraId="16CA3B59" w14:textId="3FC4D24E"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9%</w:t>
            </w:r>
          </w:p>
        </w:tc>
      </w:tr>
      <w:tr w:rsidR="00FA376F" w:rsidRPr="009F7193" w14:paraId="6D23BB15" w14:textId="77777777" w:rsidTr="00571246">
        <w:trPr>
          <w:cantSplit/>
          <w:trHeight w:val="300"/>
        </w:trPr>
        <w:tc>
          <w:tcPr>
            <w:tcW w:w="2605" w:type="dxa"/>
            <w:tcBorders>
              <w:top w:val="single" w:sz="4" w:space="0" w:color="auto"/>
              <w:left w:val="single" w:sz="4" w:space="0" w:color="auto"/>
              <w:bottom w:val="single" w:sz="4" w:space="0" w:color="auto"/>
              <w:right w:val="single" w:sz="4" w:space="0" w:color="auto"/>
            </w:tcBorders>
            <w:noWrap/>
            <w:vAlign w:val="bottom"/>
          </w:tcPr>
          <w:p w14:paraId="0AFA9018" w14:textId="77777777" w:rsidR="00FA376F" w:rsidRPr="009F7193" w:rsidRDefault="00FA376F" w:rsidP="00FA376F">
            <w:pP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CCH-Fontaine</w:t>
            </w: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76AC61" w14:textId="0D1713CD"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6,891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BFDFE6" w14:textId="6C735E1D"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6,944 </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FD7284" w14:textId="77F130DF"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7,470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1F0460" w14:textId="68FF1D0B"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7,513 </w:t>
            </w:r>
          </w:p>
        </w:tc>
        <w:tc>
          <w:tcPr>
            <w:tcW w:w="1340" w:type="dxa"/>
            <w:tcBorders>
              <w:top w:val="single" w:sz="4" w:space="0" w:color="auto"/>
              <w:left w:val="single" w:sz="4" w:space="0" w:color="auto"/>
              <w:bottom w:val="single" w:sz="4" w:space="0" w:color="auto"/>
              <w:right w:val="single" w:sz="4" w:space="0" w:color="auto"/>
            </w:tcBorders>
            <w:vAlign w:val="bottom"/>
          </w:tcPr>
          <w:p w14:paraId="39F7A939" w14:textId="2DF82B06"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39%</w:t>
            </w:r>
          </w:p>
        </w:tc>
      </w:tr>
      <w:tr w:rsidR="00FA376F" w:rsidRPr="009F7193" w14:paraId="3CA6CEA3" w14:textId="77777777" w:rsidTr="00571246">
        <w:trPr>
          <w:cantSplit/>
          <w:trHeight w:val="300"/>
        </w:trPr>
        <w:tc>
          <w:tcPr>
            <w:tcW w:w="2605" w:type="dxa"/>
            <w:tcBorders>
              <w:top w:val="single" w:sz="4" w:space="0" w:color="auto"/>
              <w:left w:val="single" w:sz="4" w:space="0" w:color="auto"/>
              <w:bottom w:val="single" w:sz="4" w:space="0" w:color="auto"/>
              <w:right w:val="single" w:sz="4" w:space="0" w:color="auto"/>
            </w:tcBorders>
            <w:noWrap/>
            <w:vAlign w:val="bottom"/>
            <w:hideMark/>
          </w:tcPr>
          <w:p w14:paraId="0ECD0A7F" w14:textId="77777777" w:rsidR="00FA376F" w:rsidRPr="009F7193" w:rsidRDefault="00FA376F" w:rsidP="00FA376F">
            <w:pP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CCH-Stoneman</w:t>
            </w: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1852F8" w14:textId="1E0A11D4"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1,123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33F413" w14:textId="035ABBE6"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1,168 </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2739AC" w14:textId="4AE71DC7"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1,102 </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DC3AE0" w14:textId="613893B0"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 xml:space="preserve"> 1,170 </w:t>
            </w:r>
          </w:p>
        </w:tc>
        <w:tc>
          <w:tcPr>
            <w:tcW w:w="1340" w:type="dxa"/>
            <w:tcBorders>
              <w:top w:val="single" w:sz="4" w:space="0" w:color="auto"/>
              <w:left w:val="single" w:sz="4" w:space="0" w:color="auto"/>
              <w:bottom w:val="single" w:sz="4" w:space="0" w:color="auto"/>
              <w:right w:val="single" w:sz="4" w:space="0" w:color="auto"/>
            </w:tcBorders>
            <w:vAlign w:val="bottom"/>
          </w:tcPr>
          <w:p w14:paraId="69CB7079" w14:textId="5286A7E5" w:rsidR="00FA376F" w:rsidRPr="00D610D9" w:rsidRDefault="00FA376F" w:rsidP="00FA376F">
            <w:pPr>
              <w:jc w:val="center"/>
              <w:rPr>
                <w:rFonts w:ascii="Aptos Narrow" w:hAnsi="Aptos Narrow" w:cs="Arial"/>
                <w:sz w:val="22"/>
                <w:szCs w:val="22"/>
              </w:rPr>
            </w:pPr>
            <w:r w:rsidRPr="00D610D9">
              <w:rPr>
                <w:rFonts w:ascii="Aptos Narrow" w:hAnsi="Aptos Narrow" w:cs="Arial"/>
                <w:sz w:val="22"/>
                <w:szCs w:val="22"/>
              </w:rPr>
              <w:t>4%</w:t>
            </w:r>
          </w:p>
        </w:tc>
      </w:tr>
      <w:tr w:rsidR="00FA376F" w:rsidRPr="009F7193" w14:paraId="2F65A2AA" w14:textId="77777777" w:rsidTr="00571246">
        <w:trPr>
          <w:cantSplit/>
          <w:trHeight w:val="206"/>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5226A5" w14:textId="77777777" w:rsidR="00FA376F" w:rsidRPr="00D610D9" w:rsidRDefault="00FA376F" w:rsidP="00FA376F">
            <w:pPr>
              <w:jc w:val="right"/>
              <w:rPr>
                <w:rFonts w:ascii="Aptos Narrow" w:hAnsi="Aptos Narrow"/>
                <w:b/>
                <w:bCs/>
                <w:color w:val="000000"/>
                <w:kern w:val="0"/>
                <w:sz w:val="22"/>
                <w:szCs w:val="22"/>
                <w14:ligatures w14:val="none"/>
              </w:rPr>
            </w:pPr>
            <w:r w:rsidRPr="00D610D9">
              <w:rPr>
                <w:rFonts w:ascii="Aptos Narrow" w:hAnsi="Aptos Narrow"/>
                <w:b/>
                <w:bCs/>
                <w:color w:val="000000"/>
                <w:kern w:val="0"/>
                <w:sz w:val="22"/>
                <w:szCs w:val="22"/>
                <w14:ligatures w14:val="none"/>
              </w:rPr>
              <w:t>Total Volume</w:t>
            </w:r>
          </w:p>
        </w:tc>
        <w:tc>
          <w:tcPr>
            <w:tcW w:w="1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A16333" w14:textId="12E3D7AF" w:rsidR="00FA376F" w:rsidRPr="00D610D9" w:rsidRDefault="00FA376F" w:rsidP="00FA376F">
            <w:pPr>
              <w:jc w:val="center"/>
              <w:rPr>
                <w:rFonts w:ascii="Aptos Narrow" w:hAnsi="Aptos Narrow" w:cs="Arial"/>
                <w:b/>
                <w:bCs/>
                <w:sz w:val="22"/>
                <w:szCs w:val="22"/>
              </w:rPr>
            </w:pPr>
            <w:r w:rsidRPr="00D610D9">
              <w:rPr>
                <w:rFonts w:ascii="Aptos Narrow" w:hAnsi="Aptos Narrow" w:cs="Arial"/>
                <w:b/>
                <w:bCs/>
                <w:sz w:val="22"/>
                <w:szCs w:val="22"/>
              </w:rPr>
              <w:t xml:space="preserve"> 9,881 </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67A4DE" w14:textId="31C09AC0" w:rsidR="00FA376F" w:rsidRPr="00D610D9" w:rsidRDefault="00FA376F" w:rsidP="00FA376F">
            <w:pPr>
              <w:jc w:val="center"/>
              <w:rPr>
                <w:rFonts w:ascii="Aptos Narrow" w:hAnsi="Aptos Narrow" w:cs="Arial"/>
                <w:b/>
                <w:bCs/>
                <w:sz w:val="22"/>
                <w:szCs w:val="22"/>
              </w:rPr>
            </w:pPr>
            <w:r w:rsidRPr="00D610D9">
              <w:rPr>
                <w:rFonts w:ascii="Aptos Narrow" w:hAnsi="Aptos Narrow" w:cs="Arial"/>
                <w:b/>
                <w:bCs/>
                <w:sz w:val="22"/>
                <w:szCs w:val="22"/>
              </w:rPr>
              <w:t xml:space="preserve"> 10,228 </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2CD6E7" w14:textId="4E45C559" w:rsidR="00FA376F" w:rsidRPr="00D610D9" w:rsidRDefault="00FA376F" w:rsidP="00FA376F">
            <w:pPr>
              <w:jc w:val="center"/>
              <w:rPr>
                <w:rFonts w:ascii="Aptos Narrow" w:hAnsi="Aptos Narrow" w:cs="Arial"/>
                <w:b/>
                <w:bCs/>
                <w:sz w:val="22"/>
                <w:szCs w:val="22"/>
              </w:rPr>
            </w:pPr>
            <w:r w:rsidRPr="00D610D9">
              <w:rPr>
                <w:rFonts w:ascii="Aptos Narrow" w:hAnsi="Aptos Narrow" w:cs="Arial"/>
                <w:b/>
                <w:bCs/>
                <w:sz w:val="22"/>
                <w:szCs w:val="22"/>
              </w:rPr>
              <w:t xml:space="preserve"> 10,944 </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C3D383A" w14:textId="47E9F26D" w:rsidR="00FA376F" w:rsidRPr="00D610D9" w:rsidRDefault="00FA376F" w:rsidP="00FA376F">
            <w:pPr>
              <w:jc w:val="center"/>
              <w:rPr>
                <w:rFonts w:ascii="Aptos Narrow" w:hAnsi="Aptos Narrow" w:cs="Arial"/>
                <w:b/>
                <w:bCs/>
                <w:sz w:val="22"/>
                <w:szCs w:val="22"/>
              </w:rPr>
            </w:pPr>
            <w:r w:rsidRPr="00D610D9">
              <w:rPr>
                <w:rFonts w:ascii="Aptos Narrow" w:hAnsi="Aptos Narrow" w:cs="Arial"/>
                <w:b/>
                <w:bCs/>
                <w:sz w:val="22"/>
                <w:szCs w:val="22"/>
              </w:rPr>
              <w:t xml:space="preserve"> 11,277 </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00E1" w14:textId="275FFC1D" w:rsidR="00FA376F" w:rsidRPr="00D610D9" w:rsidRDefault="00FA376F" w:rsidP="00FA376F">
            <w:pPr>
              <w:jc w:val="center"/>
              <w:rPr>
                <w:rFonts w:ascii="Aptos Narrow" w:hAnsi="Aptos Narrow" w:cs="Arial"/>
                <w:b/>
                <w:bCs/>
                <w:sz w:val="22"/>
                <w:szCs w:val="22"/>
              </w:rPr>
            </w:pPr>
            <w:r w:rsidRPr="00D610D9">
              <w:rPr>
                <w:rFonts w:ascii="Aptos Narrow" w:hAnsi="Aptos Narrow" w:cs="Arial"/>
                <w:b/>
                <w:bCs/>
                <w:sz w:val="22"/>
                <w:szCs w:val="22"/>
              </w:rPr>
              <w:t>14%</w:t>
            </w:r>
          </w:p>
        </w:tc>
      </w:tr>
    </w:tbl>
    <w:p w14:paraId="41306D26" w14:textId="0D4261EA" w:rsidR="001E6649" w:rsidRPr="009F7193" w:rsidRDefault="003E69AF" w:rsidP="00F3038E">
      <w:pPr>
        <w:spacing w:before="120" w:after="120"/>
        <w:jc w:val="both"/>
        <w:rPr>
          <w:rFonts w:asciiTheme="minorHAnsi" w:hAnsiTheme="minorHAnsi" w:cs="Arial"/>
          <w:sz w:val="22"/>
          <w:szCs w:val="22"/>
        </w:rPr>
      </w:pPr>
      <w:r w:rsidRPr="009F7193">
        <w:rPr>
          <w:rFonts w:asciiTheme="minorHAnsi" w:hAnsiTheme="minorHAnsi" w:cs="Arial"/>
          <w:sz w:val="22"/>
          <w:szCs w:val="22"/>
        </w:rPr>
        <w:t xml:space="preserve">With the satellite units operating </w:t>
      </w:r>
      <w:proofErr w:type="gramStart"/>
      <w:r w:rsidRPr="009F7193">
        <w:rPr>
          <w:rFonts w:asciiTheme="minorHAnsi" w:hAnsiTheme="minorHAnsi" w:cs="Arial"/>
          <w:sz w:val="22"/>
          <w:szCs w:val="22"/>
        </w:rPr>
        <w:t>in excess of</w:t>
      </w:r>
      <w:proofErr w:type="gramEnd"/>
      <w:r w:rsidRPr="009F7193">
        <w:rPr>
          <w:rFonts w:asciiTheme="minorHAnsi" w:hAnsiTheme="minorHAnsi" w:cs="Arial"/>
          <w:sz w:val="22"/>
          <w:szCs w:val="22"/>
        </w:rPr>
        <w:t xml:space="preserve"> 85% capacity and the historical trend of increasing utilization, the Hospital cannot accommodate more outpatient volume at its satellites. </w:t>
      </w:r>
    </w:p>
    <w:p w14:paraId="79D821B8" w14:textId="77777777" w:rsidR="001E6649" w:rsidRPr="009F7193" w:rsidRDefault="001E6649" w:rsidP="001E6649">
      <w:pPr>
        <w:pStyle w:val="ListParagraph"/>
        <w:numPr>
          <w:ilvl w:val="0"/>
          <w:numId w:val="12"/>
        </w:numPr>
        <w:spacing w:after="120"/>
        <w:contextualSpacing w:val="0"/>
        <w:rPr>
          <w:rFonts w:asciiTheme="minorHAnsi" w:hAnsiTheme="minorHAnsi" w:cs="Arial"/>
          <w:sz w:val="22"/>
          <w:szCs w:val="22"/>
          <w:u w:val="single"/>
        </w:rPr>
      </w:pPr>
      <w:r w:rsidRPr="009F7193">
        <w:rPr>
          <w:rFonts w:asciiTheme="minorHAnsi" w:hAnsiTheme="minorHAnsi" w:cs="Arial"/>
          <w:sz w:val="22"/>
          <w:szCs w:val="22"/>
          <w:u w:val="single"/>
        </w:rPr>
        <w:t>Cape Cod Hospital’s Main Campus MRI Service</w:t>
      </w:r>
    </w:p>
    <w:p w14:paraId="5664B98A" w14:textId="6446EADF" w:rsidR="00F3038E"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As noted above, Cape Cod Hospital currently only has one MRI in operation at the main campus for inpatients, outpatients, and emergency patients. </w:t>
      </w:r>
      <w:bookmarkStart w:id="2" w:name="_Hlk212471332"/>
      <w:r w:rsidRPr="009F7193">
        <w:rPr>
          <w:rFonts w:asciiTheme="minorHAnsi" w:hAnsiTheme="minorHAnsi" w:cs="Arial"/>
          <w:sz w:val="22"/>
          <w:szCs w:val="22"/>
        </w:rPr>
        <w:t>It offers extended hours of operation from 6:30 a.m. to 11:00 p.m. on weekdays, 7:00 a.m. to 7:00 p.m. on weekends</w:t>
      </w:r>
      <w:bookmarkEnd w:id="2"/>
      <w:r w:rsidRPr="009F7193">
        <w:rPr>
          <w:rFonts w:asciiTheme="minorHAnsi" w:hAnsiTheme="minorHAnsi" w:cs="Arial"/>
          <w:sz w:val="22"/>
          <w:szCs w:val="22"/>
        </w:rPr>
        <w:t>, and is available 24/7 for emergencies. Utilization</w:t>
      </w:r>
      <w:r w:rsidR="002615CC">
        <w:rPr>
          <w:rStyle w:val="FootnoteReference"/>
          <w:rFonts w:asciiTheme="minorHAnsi" w:hAnsiTheme="minorHAnsi" w:cs="Arial"/>
          <w:sz w:val="22"/>
          <w:szCs w:val="22"/>
        </w:rPr>
        <w:footnoteReference w:id="2"/>
      </w:r>
      <w:r w:rsidRPr="009F7193">
        <w:rPr>
          <w:rFonts w:asciiTheme="minorHAnsi" w:hAnsiTheme="minorHAnsi" w:cs="Arial"/>
          <w:sz w:val="22"/>
          <w:szCs w:val="22"/>
        </w:rPr>
        <w:t xml:space="preserve"> at this site has steadily increased from 83% in 2022 to 8</w:t>
      </w:r>
      <w:r w:rsidR="00805840">
        <w:rPr>
          <w:rFonts w:asciiTheme="minorHAnsi" w:hAnsiTheme="minorHAnsi" w:cs="Arial"/>
          <w:sz w:val="22"/>
          <w:szCs w:val="22"/>
        </w:rPr>
        <w:t>9</w:t>
      </w:r>
      <w:r w:rsidRPr="009F7193">
        <w:rPr>
          <w:rFonts w:asciiTheme="minorHAnsi" w:hAnsiTheme="minorHAnsi" w:cs="Arial"/>
          <w:sz w:val="22"/>
          <w:szCs w:val="22"/>
        </w:rPr>
        <w:t xml:space="preserve">% in FY2025, reflecting a </w:t>
      </w:r>
      <w:r w:rsidR="00C00170">
        <w:rPr>
          <w:rFonts w:asciiTheme="minorHAnsi" w:hAnsiTheme="minorHAnsi" w:cs="Arial"/>
          <w:sz w:val="22"/>
          <w:szCs w:val="22"/>
        </w:rPr>
        <w:t>6</w:t>
      </w:r>
      <w:r w:rsidRPr="009F7193">
        <w:rPr>
          <w:rFonts w:asciiTheme="minorHAnsi" w:hAnsiTheme="minorHAnsi" w:cs="Arial"/>
          <w:sz w:val="22"/>
          <w:szCs w:val="22"/>
        </w:rPr>
        <w:t xml:space="preserve">% increase in </w:t>
      </w:r>
      <w:r w:rsidR="003E69AF" w:rsidRPr="009F7193">
        <w:rPr>
          <w:rFonts w:asciiTheme="minorHAnsi" w:hAnsiTheme="minorHAnsi" w:cs="Arial"/>
          <w:sz w:val="22"/>
          <w:szCs w:val="22"/>
        </w:rPr>
        <w:t>utilization</w:t>
      </w:r>
      <w:r w:rsidRPr="009F7193">
        <w:rPr>
          <w:rFonts w:asciiTheme="minorHAnsi" w:hAnsiTheme="minorHAnsi" w:cs="Arial"/>
          <w:sz w:val="22"/>
          <w:szCs w:val="22"/>
        </w:rPr>
        <w:t>. Moreover, total volume increased from 6,132 in FY2022 to 6,537 in FY2025, a growth of 6.6</w:t>
      </w:r>
      <w:r w:rsidR="003E69AF" w:rsidRPr="009F7193">
        <w:rPr>
          <w:rFonts w:asciiTheme="minorHAnsi" w:hAnsiTheme="minorHAnsi" w:cs="Arial"/>
          <w:sz w:val="22"/>
          <w:szCs w:val="22"/>
        </w:rPr>
        <w:t>%</w:t>
      </w:r>
      <w:r w:rsidRPr="006F6593">
        <w:rPr>
          <w:rFonts w:asciiTheme="minorHAnsi" w:hAnsiTheme="minorHAnsi" w:cs="Arial"/>
          <w:sz w:val="22"/>
          <w:szCs w:val="22"/>
        </w:rPr>
        <w:t>.</w:t>
      </w:r>
      <w:r w:rsidR="003E69AF" w:rsidRPr="006F6593">
        <w:rPr>
          <w:rFonts w:asciiTheme="minorHAnsi" w:hAnsiTheme="minorHAnsi" w:cs="Arial"/>
          <w:sz w:val="22"/>
          <w:szCs w:val="22"/>
        </w:rPr>
        <w:t xml:space="preserve"> </w:t>
      </w:r>
      <w:r w:rsidR="003D5CBE" w:rsidRPr="006F6593">
        <w:rPr>
          <w:rFonts w:asciiTheme="minorHAnsi" w:hAnsiTheme="minorHAnsi" w:cs="Arial"/>
          <w:sz w:val="22"/>
          <w:szCs w:val="22"/>
        </w:rPr>
        <w:t xml:space="preserve">As a result of high utilization, wait times have increased for all patients. In FY25, inpatient and observation patients waited an average of 22 hours for MRI, a 13% increase from FY24. Similarly, </w:t>
      </w:r>
      <w:r w:rsidR="006A70DC" w:rsidRPr="006F6593">
        <w:rPr>
          <w:rFonts w:asciiTheme="minorHAnsi" w:hAnsiTheme="minorHAnsi" w:cs="Arial"/>
          <w:sz w:val="22"/>
          <w:szCs w:val="22"/>
        </w:rPr>
        <w:t>emergency department (ED)</w:t>
      </w:r>
      <w:r w:rsidR="003D5CBE" w:rsidRPr="006F6593">
        <w:rPr>
          <w:rFonts w:asciiTheme="minorHAnsi" w:hAnsiTheme="minorHAnsi" w:cs="Arial"/>
          <w:sz w:val="22"/>
          <w:szCs w:val="22"/>
        </w:rPr>
        <w:t xml:space="preserve"> patients waited 15.5 hours in FY25 for MRI, a 15% increase from FY24. </w:t>
      </w:r>
      <w:r w:rsidR="006A70DC" w:rsidRPr="006F6593">
        <w:rPr>
          <w:rFonts w:asciiTheme="minorHAnsi" w:hAnsiTheme="minorHAnsi" w:cs="Arial"/>
          <w:sz w:val="22"/>
          <w:szCs w:val="22"/>
        </w:rPr>
        <w:t xml:space="preserve">These delays </w:t>
      </w:r>
      <w:r w:rsidR="000A1F09" w:rsidRPr="006F6593">
        <w:rPr>
          <w:rFonts w:asciiTheme="minorHAnsi" w:hAnsiTheme="minorHAnsi" w:cs="Arial"/>
          <w:sz w:val="22"/>
          <w:szCs w:val="22"/>
        </w:rPr>
        <w:t>in receiving</w:t>
      </w:r>
      <w:r w:rsidR="006A70DC" w:rsidRPr="006F6593">
        <w:rPr>
          <w:rFonts w:asciiTheme="minorHAnsi" w:hAnsiTheme="minorHAnsi" w:cs="Arial"/>
          <w:sz w:val="22"/>
          <w:szCs w:val="22"/>
        </w:rPr>
        <w:t xml:space="preserve"> MRI negatively impact hospital throughput, including longer inpatient stays and increased ED boarding. </w:t>
      </w:r>
      <w:r w:rsidR="003E69AF" w:rsidRPr="006F6593">
        <w:rPr>
          <w:rFonts w:asciiTheme="minorHAnsi" w:hAnsiTheme="minorHAnsi" w:cs="Arial"/>
          <w:sz w:val="22"/>
          <w:szCs w:val="22"/>
        </w:rPr>
        <w:t xml:space="preserve">Accordingly, the Hospital requires additional capacity at the main campus to ensure </w:t>
      </w:r>
      <w:r w:rsidR="003D5CBE" w:rsidRPr="006F6593">
        <w:rPr>
          <w:rFonts w:asciiTheme="minorHAnsi" w:hAnsiTheme="minorHAnsi" w:cs="Arial"/>
          <w:sz w:val="22"/>
          <w:szCs w:val="22"/>
        </w:rPr>
        <w:t xml:space="preserve">timely </w:t>
      </w:r>
      <w:r w:rsidR="003E69AF" w:rsidRPr="006F6593">
        <w:rPr>
          <w:rFonts w:asciiTheme="minorHAnsi" w:hAnsiTheme="minorHAnsi" w:cs="Arial"/>
          <w:sz w:val="22"/>
          <w:szCs w:val="22"/>
        </w:rPr>
        <w:t xml:space="preserve">access for </w:t>
      </w:r>
      <w:proofErr w:type="gramStart"/>
      <w:r w:rsidR="003E69AF" w:rsidRPr="006F6593">
        <w:rPr>
          <w:rFonts w:asciiTheme="minorHAnsi" w:hAnsiTheme="minorHAnsi" w:cs="Arial"/>
          <w:sz w:val="22"/>
          <w:szCs w:val="22"/>
        </w:rPr>
        <w:t>emergency</w:t>
      </w:r>
      <w:proofErr w:type="gramEnd"/>
      <w:r w:rsidR="003E69AF" w:rsidRPr="006F6593">
        <w:rPr>
          <w:rFonts w:asciiTheme="minorHAnsi" w:hAnsiTheme="minorHAnsi" w:cs="Arial"/>
          <w:sz w:val="22"/>
          <w:szCs w:val="22"/>
        </w:rPr>
        <w:t xml:space="preserve"> and inpatients.</w:t>
      </w:r>
      <w:r w:rsidR="003E69AF" w:rsidRPr="009F7193">
        <w:rPr>
          <w:rFonts w:asciiTheme="minorHAnsi" w:hAnsiTheme="minorHAnsi" w:cs="Arial"/>
          <w:sz w:val="22"/>
          <w:szCs w:val="22"/>
        </w:rPr>
        <w:t xml:space="preserve"> </w:t>
      </w:r>
    </w:p>
    <w:tbl>
      <w:tblPr>
        <w:tblW w:w="9445" w:type="dxa"/>
        <w:tblLayout w:type="fixed"/>
        <w:tblLook w:val="04A0" w:firstRow="1" w:lastRow="0" w:firstColumn="1" w:lastColumn="0" w:noHBand="0" w:noVBand="1"/>
      </w:tblPr>
      <w:tblGrid>
        <w:gridCol w:w="3685"/>
        <w:gridCol w:w="1440"/>
        <w:gridCol w:w="1440"/>
        <w:gridCol w:w="1440"/>
        <w:gridCol w:w="1440"/>
      </w:tblGrid>
      <w:tr w:rsidR="001E6649" w:rsidRPr="009F7193" w14:paraId="2B1DDC38" w14:textId="77777777" w:rsidTr="001B2437">
        <w:trPr>
          <w:cantSplit/>
          <w:trHeight w:val="290"/>
          <w:tblHeader/>
        </w:trPr>
        <w:tc>
          <w:tcPr>
            <w:tcW w:w="3685" w:type="dxa"/>
            <w:tcBorders>
              <w:top w:val="single" w:sz="4" w:space="0" w:color="auto"/>
              <w:left w:val="single" w:sz="4" w:space="0" w:color="auto"/>
              <w:bottom w:val="single" w:sz="4" w:space="0" w:color="auto"/>
              <w:right w:val="single" w:sz="4" w:space="0" w:color="auto"/>
            </w:tcBorders>
            <w:noWrap/>
            <w:vAlign w:val="bottom"/>
            <w:hideMark/>
          </w:tcPr>
          <w:p w14:paraId="0F3BF60C" w14:textId="77777777" w:rsidR="003D5CBE" w:rsidRDefault="003E69AF" w:rsidP="009B300B">
            <w:pPr>
              <w:suppressAutoHyphens w:val="0"/>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 xml:space="preserve">Table 12: </w:t>
            </w:r>
            <w:r w:rsidR="001E6649" w:rsidRPr="009F7193">
              <w:rPr>
                <w:rFonts w:ascii="Aptos Narrow" w:hAnsi="Aptos Narrow"/>
                <w:b/>
                <w:bCs/>
                <w:color w:val="000000"/>
                <w:kern w:val="0"/>
                <w:sz w:val="22"/>
                <w:szCs w:val="22"/>
                <w14:ligatures w14:val="none"/>
              </w:rPr>
              <w:t xml:space="preserve">Main Campus MRI </w:t>
            </w:r>
          </w:p>
          <w:p w14:paraId="56F801C3" w14:textId="334F960B" w:rsidR="001E6649" w:rsidRPr="009F7193" w:rsidRDefault="001E6649" w:rsidP="009B300B">
            <w:pPr>
              <w:suppressAutoHyphens w:val="0"/>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Historical Utilization</w:t>
            </w:r>
          </w:p>
        </w:tc>
        <w:tc>
          <w:tcPr>
            <w:tcW w:w="1440" w:type="dxa"/>
            <w:tcBorders>
              <w:top w:val="single" w:sz="4" w:space="0" w:color="auto"/>
              <w:left w:val="nil"/>
              <w:bottom w:val="single" w:sz="4" w:space="0" w:color="auto"/>
              <w:right w:val="single" w:sz="4" w:space="0" w:color="auto"/>
            </w:tcBorders>
            <w:noWrap/>
            <w:vAlign w:val="bottom"/>
            <w:hideMark/>
          </w:tcPr>
          <w:p w14:paraId="036882DD" w14:textId="77777777" w:rsidR="001E6649" w:rsidRPr="009F7193" w:rsidRDefault="001E6649" w:rsidP="009B300B">
            <w:pPr>
              <w:suppressAutoHyphens w:val="0"/>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FY22</w:t>
            </w:r>
          </w:p>
        </w:tc>
        <w:tc>
          <w:tcPr>
            <w:tcW w:w="1440" w:type="dxa"/>
            <w:tcBorders>
              <w:top w:val="single" w:sz="4" w:space="0" w:color="auto"/>
              <w:left w:val="nil"/>
              <w:bottom w:val="single" w:sz="4" w:space="0" w:color="auto"/>
              <w:right w:val="single" w:sz="4" w:space="0" w:color="auto"/>
            </w:tcBorders>
            <w:noWrap/>
            <w:vAlign w:val="bottom"/>
            <w:hideMark/>
          </w:tcPr>
          <w:p w14:paraId="5B7116C6" w14:textId="77777777" w:rsidR="001E6649" w:rsidRPr="009F7193" w:rsidRDefault="001E6649" w:rsidP="009B300B">
            <w:pPr>
              <w:suppressAutoHyphens w:val="0"/>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FY23</w:t>
            </w:r>
          </w:p>
        </w:tc>
        <w:tc>
          <w:tcPr>
            <w:tcW w:w="1440" w:type="dxa"/>
            <w:tcBorders>
              <w:top w:val="single" w:sz="4" w:space="0" w:color="auto"/>
              <w:left w:val="nil"/>
              <w:bottom w:val="single" w:sz="4" w:space="0" w:color="auto"/>
              <w:right w:val="single" w:sz="4" w:space="0" w:color="auto"/>
            </w:tcBorders>
            <w:noWrap/>
            <w:vAlign w:val="bottom"/>
            <w:hideMark/>
          </w:tcPr>
          <w:p w14:paraId="1C839681" w14:textId="77777777" w:rsidR="001E6649" w:rsidRPr="009F7193" w:rsidRDefault="001E6649" w:rsidP="009B300B">
            <w:pPr>
              <w:suppressAutoHyphens w:val="0"/>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FY24</w:t>
            </w:r>
          </w:p>
        </w:tc>
        <w:tc>
          <w:tcPr>
            <w:tcW w:w="1440" w:type="dxa"/>
            <w:tcBorders>
              <w:top w:val="single" w:sz="4" w:space="0" w:color="auto"/>
              <w:left w:val="nil"/>
              <w:bottom w:val="single" w:sz="4" w:space="0" w:color="auto"/>
              <w:right w:val="single" w:sz="4" w:space="0" w:color="auto"/>
            </w:tcBorders>
            <w:noWrap/>
            <w:vAlign w:val="bottom"/>
            <w:hideMark/>
          </w:tcPr>
          <w:p w14:paraId="7F318DE7" w14:textId="77777777" w:rsidR="001E6649" w:rsidRPr="009F7193" w:rsidRDefault="001E6649" w:rsidP="009B300B">
            <w:pPr>
              <w:suppressAutoHyphens w:val="0"/>
              <w:jc w:val="center"/>
              <w:rPr>
                <w:rFonts w:ascii="Aptos Narrow" w:hAnsi="Aptos Narrow"/>
                <w:b/>
                <w:bCs/>
                <w:color w:val="000000"/>
                <w:kern w:val="0"/>
                <w:sz w:val="22"/>
                <w:szCs w:val="22"/>
                <w14:ligatures w14:val="none"/>
              </w:rPr>
            </w:pPr>
            <w:r w:rsidRPr="009F7193">
              <w:rPr>
                <w:rFonts w:ascii="Aptos Narrow" w:hAnsi="Aptos Narrow"/>
                <w:b/>
                <w:bCs/>
                <w:color w:val="000000"/>
                <w:kern w:val="0"/>
                <w:sz w:val="22"/>
                <w:szCs w:val="22"/>
                <w14:ligatures w14:val="none"/>
              </w:rPr>
              <w:t>FY25</w:t>
            </w:r>
          </w:p>
        </w:tc>
      </w:tr>
      <w:tr w:rsidR="001E6649" w:rsidRPr="009F7193" w14:paraId="118A87C3" w14:textId="77777777" w:rsidTr="001B2437">
        <w:trPr>
          <w:cantSplit/>
          <w:trHeight w:val="290"/>
        </w:trPr>
        <w:tc>
          <w:tcPr>
            <w:tcW w:w="3685" w:type="dxa"/>
            <w:tcBorders>
              <w:top w:val="nil"/>
              <w:left w:val="single" w:sz="4" w:space="0" w:color="auto"/>
              <w:bottom w:val="single" w:sz="4" w:space="0" w:color="auto"/>
              <w:right w:val="single" w:sz="4" w:space="0" w:color="auto"/>
            </w:tcBorders>
            <w:noWrap/>
            <w:vAlign w:val="bottom"/>
            <w:hideMark/>
          </w:tcPr>
          <w:p w14:paraId="33960937" w14:textId="77777777" w:rsidR="001E6649" w:rsidRPr="009F7193" w:rsidRDefault="001E6649" w:rsidP="009B300B">
            <w:pPr>
              <w:suppressAutoHyphens w:val="0"/>
              <w:ind w:firstLineChars="100" w:firstLine="220"/>
              <w:jc w:val="right"/>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Emergency</w:t>
            </w:r>
          </w:p>
        </w:tc>
        <w:tc>
          <w:tcPr>
            <w:tcW w:w="1440" w:type="dxa"/>
            <w:tcBorders>
              <w:top w:val="nil"/>
              <w:left w:val="nil"/>
              <w:bottom w:val="single" w:sz="4" w:space="0" w:color="auto"/>
              <w:right w:val="single" w:sz="4" w:space="0" w:color="auto"/>
            </w:tcBorders>
            <w:noWrap/>
            <w:vAlign w:val="bottom"/>
            <w:hideMark/>
          </w:tcPr>
          <w:p w14:paraId="1DEC57A7"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741</w:t>
            </w:r>
          </w:p>
        </w:tc>
        <w:tc>
          <w:tcPr>
            <w:tcW w:w="1440" w:type="dxa"/>
            <w:tcBorders>
              <w:top w:val="nil"/>
              <w:left w:val="nil"/>
              <w:bottom w:val="single" w:sz="4" w:space="0" w:color="auto"/>
              <w:right w:val="single" w:sz="4" w:space="0" w:color="auto"/>
            </w:tcBorders>
            <w:noWrap/>
            <w:vAlign w:val="bottom"/>
            <w:hideMark/>
          </w:tcPr>
          <w:p w14:paraId="0EEB5EE3"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609</w:t>
            </w:r>
          </w:p>
        </w:tc>
        <w:tc>
          <w:tcPr>
            <w:tcW w:w="1440" w:type="dxa"/>
            <w:tcBorders>
              <w:top w:val="nil"/>
              <w:left w:val="nil"/>
              <w:bottom w:val="single" w:sz="4" w:space="0" w:color="auto"/>
              <w:right w:val="single" w:sz="4" w:space="0" w:color="auto"/>
            </w:tcBorders>
            <w:noWrap/>
            <w:vAlign w:val="bottom"/>
            <w:hideMark/>
          </w:tcPr>
          <w:p w14:paraId="76A3ED4C"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541</w:t>
            </w:r>
          </w:p>
        </w:tc>
        <w:tc>
          <w:tcPr>
            <w:tcW w:w="1440" w:type="dxa"/>
            <w:tcBorders>
              <w:top w:val="nil"/>
              <w:left w:val="nil"/>
              <w:bottom w:val="single" w:sz="4" w:space="0" w:color="auto"/>
              <w:right w:val="single" w:sz="4" w:space="0" w:color="auto"/>
            </w:tcBorders>
            <w:noWrap/>
            <w:vAlign w:val="bottom"/>
            <w:hideMark/>
          </w:tcPr>
          <w:p w14:paraId="09D37DB7"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602</w:t>
            </w:r>
          </w:p>
        </w:tc>
      </w:tr>
      <w:tr w:rsidR="001E6649" w:rsidRPr="009F7193" w14:paraId="239E75B4" w14:textId="77777777" w:rsidTr="001B2437">
        <w:trPr>
          <w:cantSplit/>
          <w:trHeight w:val="290"/>
        </w:trPr>
        <w:tc>
          <w:tcPr>
            <w:tcW w:w="3685" w:type="dxa"/>
            <w:tcBorders>
              <w:top w:val="nil"/>
              <w:left w:val="single" w:sz="4" w:space="0" w:color="auto"/>
              <w:bottom w:val="single" w:sz="4" w:space="0" w:color="auto"/>
              <w:right w:val="single" w:sz="4" w:space="0" w:color="auto"/>
            </w:tcBorders>
            <w:noWrap/>
            <w:vAlign w:val="bottom"/>
            <w:hideMark/>
          </w:tcPr>
          <w:p w14:paraId="0A86F2C0" w14:textId="77777777" w:rsidR="001E6649" w:rsidRPr="009F7193" w:rsidRDefault="001E6649" w:rsidP="009B300B">
            <w:pPr>
              <w:suppressAutoHyphens w:val="0"/>
              <w:ind w:firstLineChars="100" w:firstLine="220"/>
              <w:jc w:val="right"/>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Inpatient</w:t>
            </w:r>
          </w:p>
        </w:tc>
        <w:tc>
          <w:tcPr>
            <w:tcW w:w="1440" w:type="dxa"/>
            <w:tcBorders>
              <w:top w:val="nil"/>
              <w:left w:val="nil"/>
              <w:bottom w:val="single" w:sz="4" w:space="0" w:color="auto"/>
              <w:right w:val="single" w:sz="4" w:space="0" w:color="auto"/>
            </w:tcBorders>
            <w:noWrap/>
            <w:vAlign w:val="bottom"/>
            <w:hideMark/>
          </w:tcPr>
          <w:p w14:paraId="761B57FC"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2,171</w:t>
            </w:r>
          </w:p>
        </w:tc>
        <w:tc>
          <w:tcPr>
            <w:tcW w:w="1440" w:type="dxa"/>
            <w:tcBorders>
              <w:top w:val="nil"/>
              <w:left w:val="nil"/>
              <w:bottom w:val="single" w:sz="4" w:space="0" w:color="auto"/>
              <w:right w:val="single" w:sz="4" w:space="0" w:color="auto"/>
            </w:tcBorders>
            <w:noWrap/>
            <w:vAlign w:val="bottom"/>
            <w:hideMark/>
          </w:tcPr>
          <w:p w14:paraId="120B4D25"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2,348</w:t>
            </w:r>
          </w:p>
        </w:tc>
        <w:tc>
          <w:tcPr>
            <w:tcW w:w="1440" w:type="dxa"/>
            <w:tcBorders>
              <w:top w:val="nil"/>
              <w:left w:val="nil"/>
              <w:bottom w:val="single" w:sz="4" w:space="0" w:color="auto"/>
              <w:right w:val="single" w:sz="4" w:space="0" w:color="auto"/>
            </w:tcBorders>
            <w:noWrap/>
            <w:vAlign w:val="bottom"/>
            <w:hideMark/>
          </w:tcPr>
          <w:p w14:paraId="569B3BD0"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2,672</w:t>
            </w:r>
          </w:p>
        </w:tc>
        <w:tc>
          <w:tcPr>
            <w:tcW w:w="1440" w:type="dxa"/>
            <w:tcBorders>
              <w:top w:val="nil"/>
              <w:left w:val="nil"/>
              <w:bottom w:val="single" w:sz="4" w:space="0" w:color="auto"/>
              <w:right w:val="single" w:sz="4" w:space="0" w:color="auto"/>
            </w:tcBorders>
            <w:noWrap/>
            <w:vAlign w:val="bottom"/>
            <w:hideMark/>
          </w:tcPr>
          <w:p w14:paraId="1C527D52"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2,635</w:t>
            </w:r>
          </w:p>
        </w:tc>
      </w:tr>
      <w:tr w:rsidR="001E6649" w:rsidRPr="009F7193" w14:paraId="3568E4B5" w14:textId="77777777" w:rsidTr="001B2437">
        <w:trPr>
          <w:cantSplit/>
          <w:trHeight w:val="290"/>
        </w:trPr>
        <w:tc>
          <w:tcPr>
            <w:tcW w:w="3685" w:type="dxa"/>
            <w:tcBorders>
              <w:top w:val="single" w:sz="4" w:space="0" w:color="auto"/>
              <w:left w:val="single" w:sz="4" w:space="0" w:color="auto"/>
              <w:bottom w:val="single" w:sz="4" w:space="0" w:color="auto"/>
              <w:right w:val="single" w:sz="4" w:space="0" w:color="auto"/>
            </w:tcBorders>
            <w:noWrap/>
            <w:vAlign w:val="bottom"/>
            <w:hideMark/>
          </w:tcPr>
          <w:p w14:paraId="111635BD" w14:textId="77777777" w:rsidR="001E6649" w:rsidRPr="009F7193" w:rsidRDefault="001E6649" w:rsidP="009B300B">
            <w:pPr>
              <w:suppressAutoHyphens w:val="0"/>
              <w:ind w:firstLineChars="100" w:firstLine="220"/>
              <w:jc w:val="right"/>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Outpatient</w:t>
            </w:r>
          </w:p>
        </w:tc>
        <w:tc>
          <w:tcPr>
            <w:tcW w:w="1440" w:type="dxa"/>
            <w:tcBorders>
              <w:top w:val="single" w:sz="4" w:space="0" w:color="auto"/>
              <w:left w:val="nil"/>
              <w:bottom w:val="single" w:sz="4" w:space="0" w:color="auto"/>
              <w:right w:val="single" w:sz="4" w:space="0" w:color="auto"/>
            </w:tcBorders>
            <w:noWrap/>
            <w:vAlign w:val="bottom"/>
            <w:hideMark/>
          </w:tcPr>
          <w:p w14:paraId="1C1841BE"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3,220</w:t>
            </w:r>
          </w:p>
        </w:tc>
        <w:tc>
          <w:tcPr>
            <w:tcW w:w="1440" w:type="dxa"/>
            <w:tcBorders>
              <w:top w:val="single" w:sz="4" w:space="0" w:color="auto"/>
              <w:left w:val="nil"/>
              <w:bottom w:val="single" w:sz="4" w:space="0" w:color="auto"/>
              <w:right w:val="single" w:sz="4" w:space="0" w:color="auto"/>
            </w:tcBorders>
            <w:noWrap/>
            <w:vAlign w:val="bottom"/>
            <w:hideMark/>
          </w:tcPr>
          <w:p w14:paraId="699EE4B2"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3,014</w:t>
            </w:r>
          </w:p>
        </w:tc>
        <w:tc>
          <w:tcPr>
            <w:tcW w:w="1440" w:type="dxa"/>
            <w:tcBorders>
              <w:top w:val="single" w:sz="4" w:space="0" w:color="auto"/>
              <w:left w:val="nil"/>
              <w:bottom w:val="single" w:sz="4" w:space="0" w:color="auto"/>
              <w:right w:val="single" w:sz="4" w:space="0" w:color="auto"/>
            </w:tcBorders>
            <w:noWrap/>
            <w:vAlign w:val="bottom"/>
            <w:hideMark/>
          </w:tcPr>
          <w:p w14:paraId="0FB8763B"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3,019</w:t>
            </w:r>
          </w:p>
        </w:tc>
        <w:tc>
          <w:tcPr>
            <w:tcW w:w="1440" w:type="dxa"/>
            <w:tcBorders>
              <w:top w:val="single" w:sz="4" w:space="0" w:color="auto"/>
              <w:left w:val="nil"/>
              <w:bottom w:val="single" w:sz="4" w:space="0" w:color="auto"/>
              <w:right w:val="single" w:sz="4" w:space="0" w:color="auto"/>
            </w:tcBorders>
            <w:noWrap/>
            <w:vAlign w:val="bottom"/>
            <w:hideMark/>
          </w:tcPr>
          <w:p w14:paraId="329C68B0" w14:textId="77777777" w:rsidR="001E6649" w:rsidRPr="009F7193" w:rsidRDefault="001E6649" w:rsidP="009B300B">
            <w:pPr>
              <w:suppressAutoHyphens w:val="0"/>
              <w:jc w:val="center"/>
              <w:rPr>
                <w:rFonts w:ascii="Aptos Narrow" w:hAnsi="Aptos Narrow"/>
                <w:color w:val="000000"/>
                <w:kern w:val="0"/>
                <w:sz w:val="22"/>
                <w:szCs w:val="22"/>
                <w14:ligatures w14:val="none"/>
              </w:rPr>
            </w:pPr>
            <w:r w:rsidRPr="009F7193">
              <w:rPr>
                <w:rFonts w:ascii="Aptos Narrow" w:hAnsi="Aptos Narrow"/>
                <w:color w:val="000000"/>
                <w:kern w:val="0"/>
                <w:sz w:val="22"/>
                <w:szCs w:val="22"/>
                <w14:ligatures w14:val="none"/>
              </w:rPr>
              <w:t>3,300</w:t>
            </w:r>
          </w:p>
        </w:tc>
      </w:tr>
      <w:tr w:rsidR="001E6649" w:rsidRPr="009F7193" w14:paraId="2975A8C0" w14:textId="77777777" w:rsidTr="001B2437">
        <w:trPr>
          <w:cantSplit/>
          <w:trHeight w:val="290"/>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1AB325" w14:textId="28F9BF58" w:rsidR="001E6649" w:rsidRPr="00E84D68" w:rsidRDefault="001E6649" w:rsidP="009B300B">
            <w:pPr>
              <w:suppressAutoHyphens w:val="0"/>
              <w:ind w:firstLineChars="100" w:firstLine="221"/>
              <w:jc w:val="right"/>
              <w:rPr>
                <w:rFonts w:ascii="Aptos Narrow" w:hAnsi="Aptos Narrow"/>
                <w:b/>
                <w:bCs/>
                <w:color w:val="000000"/>
                <w:kern w:val="0"/>
                <w:sz w:val="22"/>
                <w:szCs w:val="22"/>
                <w14:ligatures w14:val="none"/>
              </w:rPr>
            </w:pPr>
            <w:r w:rsidRPr="00E84D68">
              <w:rPr>
                <w:rFonts w:ascii="Aptos Narrow" w:hAnsi="Aptos Narrow"/>
                <w:b/>
                <w:bCs/>
                <w:color w:val="000000"/>
                <w:kern w:val="0"/>
                <w:sz w:val="22"/>
                <w:szCs w:val="22"/>
                <w14:ligatures w14:val="none"/>
              </w:rPr>
              <w:t>Total</w:t>
            </w:r>
            <w:r w:rsidR="00E84D68">
              <w:rPr>
                <w:rFonts w:ascii="Aptos Narrow" w:hAnsi="Aptos Narrow"/>
                <w:b/>
                <w:bCs/>
                <w:color w:val="000000"/>
                <w:kern w:val="0"/>
                <w:sz w:val="22"/>
                <w:szCs w:val="22"/>
                <w14:ligatures w14:val="none"/>
              </w:rPr>
              <w:t xml:space="preserve"> Volume</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F575F8B" w14:textId="77777777" w:rsidR="001E6649" w:rsidRPr="00E84D68" w:rsidRDefault="001E6649" w:rsidP="009B300B">
            <w:pPr>
              <w:suppressAutoHyphens w:val="0"/>
              <w:jc w:val="center"/>
              <w:rPr>
                <w:rFonts w:ascii="Aptos Narrow" w:hAnsi="Aptos Narrow"/>
                <w:b/>
                <w:bCs/>
                <w:color w:val="000000"/>
                <w:kern w:val="0"/>
                <w:sz w:val="22"/>
                <w:szCs w:val="22"/>
                <w14:ligatures w14:val="none"/>
              </w:rPr>
            </w:pPr>
            <w:r w:rsidRPr="00E84D68">
              <w:rPr>
                <w:rFonts w:ascii="Aptos Narrow" w:hAnsi="Aptos Narrow"/>
                <w:b/>
                <w:bCs/>
                <w:color w:val="000000"/>
                <w:kern w:val="0"/>
                <w:sz w:val="22"/>
                <w:szCs w:val="22"/>
                <w14:ligatures w14:val="none"/>
              </w:rPr>
              <w:t>6,132</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5F92DD0" w14:textId="77777777" w:rsidR="001E6649" w:rsidRPr="00E84D68" w:rsidRDefault="001E6649" w:rsidP="009B300B">
            <w:pPr>
              <w:suppressAutoHyphens w:val="0"/>
              <w:jc w:val="center"/>
              <w:rPr>
                <w:rFonts w:ascii="Aptos Narrow" w:hAnsi="Aptos Narrow"/>
                <w:b/>
                <w:bCs/>
                <w:color w:val="000000"/>
                <w:kern w:val="0"/>
                <w:sz w:val="22"/>
                <w:szCs w:val="22"/>
                <w14:ligatures w14:val="none"/>
              </w:rPr>
            </w:pPr>
            <w:r w:rsidRPr="00E84D68">
              <w:rPr>
                <w:rFonts w:ascii="Aptos Narrow" w:hAnsi="Aptos Narrow"/>
                <w:b/>
                <w:bCs/>
                <w:color w:val="000000"/>
                <w:kern w:val="0"/>
                <w:sz w:val="22"/>
                <w:szCs w:val="22"/>
                <w14:ligatures w14:val="none"/>
              </w:rPr>
              <w:t>5,971</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35F67FE" w14:textId="77777777" w:rsidR="001E6649" w:rsidRPr="00E84D68" w:rsidRDefault="001E6649" w:rsidP="009B300B">
            <w:pPr>
              <w:suppressAutoHyphens w:val="0"/>
              <w:jc w:val="center"/>
              <w:rPr>
                <w:rFonts w:ascii="Aptos Narrow" w:hAnsi="Aptos Narrow"/>
                <w:b/>
                <w:bCs/>
                <w:color w:val="000000"/>
                <w:kern w:val="0"/>
                <w:sz w:val="22"/>
                <w:szCs w:val="22"/>
                <w14:ligatures w14:val="none"/>
              </w:rPr>
            </w:pPr>
            <w:r w:rsidRPr="00E84D68">
              <w:rPr>
                <w:rFonts w:ascii="Aptos Narrow" w:hAnsi="Aptos Narrow"/>
                <w:b/>
                <w:bCs/>
                <w:color w:val="000000"/>
                <w:kern w:val="0"/>
                <w:sz w:val="22"/>
                <w:szCs w:val="22"/>
                <w14:ligatures w14:val="none"/>
              </w:rPr>
              <w:t>6,232</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E255689" w14:textId="77777777" w:rsidR="001E6649" w:rsidRPr="00E84D68" w:rsidRDefault="001E6649" w:rsidP="009B300B">
            <w:pPr>
              <w:suppressAutoHyphens w:val="0"/>
              <w:jc w:val="center"/>
              <w:rPr>
                <w:rFonts w:ascii="Aptos Narrow" w:hAnsi="Aptos Narrow"/>
                <w:b/>
                <w:bCs/>
                <w:color w:val="000000"/>
                <w:kern w:val="0"/>
                <w:sz w:val="22"/>
                <w:szCs w:val="22"/>
                <w14:ligatures w14:val="none"/>
              </w:rPr>
            </w:pPr>
            <w:r w:rsidRPr="00E84D68">
              <w:rPr>
                <w:rFonts w:ascii="Aptos Narrow" w:hAnsi="Aptos Narrow"/>
                <w:b/>
                <w:bCs/>
                <w:color w:val="000000"/>
                <w:kern w:val="0"/>
                <w:sz w:val="22"/>
                <w:szCs w:val="22"/>
                <w14:ligatures w14:val="none"/>
              </w:rPr>
              <w:t>6,537</w:t>
            </w:r>
          </w:p>
        </w:tc>
      </w:tr>
      <w:tr w:rsidR="001E6649" w:rsidRPr="009F7193" w14:paraId="7654343A" w14:textId="77777777" w:rsidTr="001B2437">
        <w:trPr>
          <w:cantSplit/>
          <w:trHeight w:val="290"/>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D7A5A5" w14:textId="77777777" w:rsidR="001E6649" w:rsidRPr="00820D40" w:rsidRDefault="001E6649" w:rsidP="009B300B">
            <w:pPr>
              <w:suppressAutoHyphens w:val="0"/>
              <w:ind w:firstLineChars="100" w:firstLine="221"/>
              <w:jc w:val="right"/>
              <w:rPr>
                <w:rFonts w:ascii="Aptos Narrow" w:hAnsi="Aptos Narrow"/>
                <w:b/>
                <w:bCs/>
                <w:color w:val="000000"/>
                <w:kern w:val="0"/>
                <w:sz w:val="22"/>
                <w:szCs w:val="22"/>
                <w14:ligatures w14:val="none"/>
              </w:rPr>
            </w:pPr>
            <w:r w:rsidRPr="00820D40">
              <w:rPr>
                <w:rFonts w:ascii="Aptos Narrow" w:hAnsi="Aptos Narrow"/>
                <w:b/>
                <w:bCs/>
                <w:color w:val="000000"/>
                <w:kern w:val="0"/>
                <w:sz w:val="22"/>
                <w:szCs w:val="22"/>
                <w14:ligatures w14:val="none"/>
              </w:rPr>
              <w:t>Utilization</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8FA60E3" w14:textId="77777777" w:rsidR="001E6649" w:rsidRPr="00820D40" w:rsidRDefault="001E6649" w:rsidP="009B300B">
            <w:pPr>
              <w:suppressAutoHyphens w:val="0"/>
              <w:jc w:val="center"/>
              <w:rPr>
                <w:rFonts w:ascii="Aptos Narrow" w:hAnsi="Aptos Narrow"/>
                <w:b/>
                <w:bCs/>
                <w:color w:val="000000"/>
                <w:kern w:val="0"/>
                <w:sz w:val="22"/>
                <w:szCs w:val="22"/>
                <w14:ligatures w14:val="none"/>
              </w:rPr>
            </w:pPr>
            <w:r w:rsidRPr="00820D40">
              <w:rPr>
                <w:rFonts w:ascii="Aptos Narrow" w:hAnsi="Aptos Narrow"/>
                <w:b/>
                <w:bCs/>
                <w:color w:val="000000"/>
                <w:sz w:val="22"/>
                <w:szCs w:val="22"/>
              </w:rPr>
              <w:t>83%</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863DC46" w14:textId="77777777" w:rsidR="001E6649" w:rsidRPr="00820D40" w:rsidRDefault="001E6649" w:rsidP="009B300B">
            <w:pPr>
              <w:suppressAutoHyphens w:val="0"/>
              <w:jc w:val="center"/>
              <w:rPr>
                <w:rFonts w:ascii="Aptos Narrow" w:hAnsi="Aptos Narrow"/>
                <w:b/>
                <w:bCs/>
                <w:color w:val="000000"/>
                <w:kern w:val="0"/>
                <w:sz w:val="22"/>
                <w:szCs w:val="22"/>
                <w14:ligatures w14:val="none"/>
              </w:rPr>
            </w:pPr>
            <w:r w:rsidRPr="00820D40">
              <w:rPr>
                <w:rFonts w:ascii="Aptos Narrow" w:hAnsi="Aptos Narrow"/>
                <w:b/>
                <w:bCs/>
                <w:color w:val="000000"/>
                <w:sz w:val="22"/>
                <w:szCs w:val="22"/>
              </w:rPr>
              <w:t>81%</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A065447" w14:textId="2857A2F4" w:rsidR="001E6649" w:rsidRPr="00820D40" w:rsidRDefault="001E6649" w:rsidP="009B300B">
            <w:pPr>
              <w:suppressAutoHyphens w:val="0"/>
              <w:jc w:val="center"/>
              <w:rPr>
                <w:rFonts w:ascii="Aptos Narrow" w:hAnsi="Aptos Narrow"/>
                <w:b/>
                <w:bCs/>
                <w:color w:val="000000"/>
                <w:kern w:val="0"/>
                <w:sz w:val="22"/>
                <w:szCs w:val="22"/>
                <w14:ligatures w14:val="none"/>
              </w:rPr>
            </w:pPr>
            <w:r w:rsidRPr="00820D40">
              <w:rPr>
                <w:rFonts w:ascii="Aptos Narrow" w:hAnsi="Aptos Narrow"/>
                <w:b/>
                <w:bCs/>
                <w:color w:val="000000"/>
                <w:sz w:val="22"/>
                <w:szCs w:val="22"/>
              </w:rPr>
              <w:t>8</w:t>
            </w:r>
            <w:r w:rsidR="007C3C94" w:rsidRPr="00820D40">
              <w:rPr>
                <w:rFonts w:ascii="Aptos Narrow" w:hAnsi="Aptos Narrow"/>
                <w:b/>
                <w:bCs/>
                <w:color w:val="000000"/>
                <w:sz w:val="22"/>
                <w:szCs w:val="22"/>
              </w:rPr>
              <w:t>4</w:t>
            </w:r>
            <w:r w:rsidRPr="00820D40">
              <w:rPr>
                <w:rFonts w:ascii="Aptos Narrow" w:hAnsi="Aptos Narrow"/>
                <w:b/>
                <w:bCs/>
                <w:color w:val="000000"/>
                <w:sz w:val="22"/>
                <w:szCs w:val="22"/>
              </w:rPr>
              <w:t>%</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FDC0262" w14:textId="451329E1" w:rsidR="001E6649" w:rsidRPr="00820D40" w:rsidRDefault="007C3C94" w:rsidP="009B300B">
            <w:pPr>
              <w:suppressAutoHyphens w:val="0"/>
              <w:jc w:val="center"/>
              <w:rPr>
                <w:rFonts w:ascii="Aptos Narrow" w:hAnsi="Aptos Narrow"/>
                <w:b/>
                <w:bCs/>
                <w:color w:val="000000"/>
                <w:kern w:val="0"/>
                <w:sz w:val="22"/>
                <w:szCs w:val="22"/>
                <w14:ligatures w14:val="none"/>
              </w:rPr>
            </w:pPr>
            <w:r w:rsidRPr="00820D40">
              <w:rPr>
                <w:rFonts w:ascii="Aptos Narrow" w:hAnsi="Aptos Narrow"/>
                <w:b/>
                <w:bCs/>
                <w:color w:val="000000"/>
                <w:sz w:val="22"/>
                <w:szCs w:val="22"/>
              </w:rPr>
              <w:t>89%</w:t>
            </w:r>
          </w:p>
        </w:tc>
      </w:tr>
    </w:tbl>
    <w:p w14:paraId="6F58B646" w14:textId="77777777" w:rsidR="006F6593" w:rsidRDefault="006F6593" w:rsidP="006F6593">
      <w:pPr>
        <w:pStyle w:val="ListParagraph"/>
        <w:spacing w:after="120"/>
        <w:contextualSpacing w:val="0"/>
        <w:jc w:val="both"/>
        <w:rPr>
          <w:rFonts w:asciiTheme="minorHAnsi" w:hAnsiTheme="minorHAnsi" w:cs="Arial"/>
          <w:sz w:val="22"/>
          <w:szCs w:val="22"/>
        </w:rPr>
      </w:pPr>
    </w:p>
    <w:p w14:paraId="31474912" w14:textId="77777777" w:rsidR="00F12784" w:rsidRPr="006F6593" w:rsidRDefault="00F12784" w:rsidP="006F6593">
      <w:pPr>
        <w:pStyle w:val="ListParagraph"/>
        <w:spacing w:after="120"/>
        <w:contextualSpacing w:val="0"/>
        <w:jc w:val="both"/>
        <w:rPr>
          <w:rFonts w:asciiTheme="minorHAnsi" w:hAnsiTheme="minorHAnsi" w:cs="Arial"/>
          <w:sz w:val="22"/>
          <w:szCs w:val="22"/>
        </w:rPr>
      </w:pPr>
    </w:p>
    <w:p w14:paraId="0840F5DF" w14:textId="01608847" w:rsidR="001E6649" w:rsidRPr="009F7193" w:rsidRDefault="001E6649" w:rsidP="001E6649">
      <w:pPr>
        <w:pStyle w:val="ListParagraph"/>
        <w:numPr>
          <w:ilvl w:val="0"/>
          <w:numId w:val="12"/>
        </w:numPr>
        <w:spacing w:after="120"/>
        <w:contextualSpacing w:val="0"/>
        <w:jc w:val="both"/>
        <w:rPr>
          <w:rFonts w:asciiTheme="minorHAnsi" w:hAnsiTheme="minorHAnsi" w:cs="Arial"/>
          <w:sz w:val="22"/>
          <w:szCs w:val="22"/>
        </w:rPr>
      </w:pPr>
      <w:r w:rsidRPr="009F7193">
        <w:rPr>
          <w:rFonts w:asciiTheme="minorHAnsi" w:hAnsiTheme="minorHAnsi" w:cs="Arial"/>
          <w:sz w:val="22"/>
          <w:szCs w:val="22"/>
          <w:u w:val="single"/>
        </w:rPr>
        <w:t>Current and Future Need for MRI</w:t>
      </w:r>
    </w:p>
    <w:p w14:paraId="3F251B84" w14:textId="28F04A6E"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Cape Cod Hospital is experiencing unprecedented demand for MRI services, driven by </w:t>
      </w:r>
      <w:r w:rsidR="002D33E8" w:rsidRPr="009F7193">
        <w:rPr>
          <w:rFonts w:asciiTheme="minorHAnsi" w:hAnsiTheme="minorHAnsi" w:cs="Arial"/>
          <w:sz w:val="22"/>
          <w:szCs w:val="22"/>
        </w:rPr>
        <w:t xml:space="preserve">the Hospital’s recent </w:t>
      </w:r>
      <w:r w:rsidRPr="009F7193">
        <w:rPr>
          <w:rFonts w:asciiTheme="minorHAnsi" w:hAnsiTheme="minorHAnsi" w:cs="Arial"/>
          <w:sz w:val="22"/>
          <w:szCs w:val="22"/>
        </w:rPr>
        <w:t xml:space="preserve">designation as a Level III Trauma </w:t>
      </w:r>
      <w:r w:rsidR="002D33E8" w:rsidRPr="009F7193">
        <w:rPr>
          <w:rFonts w:asciiTheme="minorHAnsi" w:hAnsiTheme="minorHAnsi" w:cs="Arial"/>
          <w:sz w:val="22"/>
          <w:szCs w:val="22"/>
        </w:rPr>
        <w:t>Center</w:t>
      </w:r>
      <w:r w:rsidRPr="009F7193">
        <w:rPr>
          <w:rFonts w:asciiTheme="minorHAnsi" w:hAnsiTheme="minorHAnsi" w:cs="Arial"/>
          <w:sz w:val="22"/>
          <w:szCs w:val="22"/>
        </w:rPr>
        <w:t xml:space="preserve">, the addition of new inpatient </w:t>
      </w:r>
      <w:r w:rsidR="002D33E8" w:rsidRPr="009F7193">
        <w:rPr>
          <w:rFonts w:asciiTheme="minorHAnsi" w:hAnsiTheme="minorHAnsi" w:cs="Arial"/>
          <w:sz w:val="22"/>
          <w:szCs w:val="22"/>
        </w:rPr>
        <w:t>beds</w:t>
      </w:r>
      <w:r w:rsidRPr="009F7193">
        <w:rPr>
          <w:rFonts w:asciiTheme="minorHAnsi" w:hAnsiTheme="minorHAnsi" w:cs="Arial"/>
          <w:sz w:val="22"/>
          <w:szCs w:val="22"/>
        </w:rPr>
        <w:t xml:space="preserve">, evolving state regulations, and the region’s rapidly aging population. With MRI utilization already exceeding </w:t>
      </w:r>
      <w:r w:rsidR="002D33E8" w:rsidRPr="009F7193">
        <w:rPr>
          <w:rFonts w:asciiTheme="minorHAnsi" w:hAnsiTheme="minorHAnsi" w:cs="Arial"/>
          <w:sz w:val="22"/>
          <w:szCs w:val="22"/>
        </w:rPr>
        <w:t>85%</w:t>
      </w:r>
      <w:r w:rsidRPr="009F7193">
        <w:rPr>
          <w:rFonts w:asciiTheme="minorHAnsi" w:hAnsiTheme="minorHAnsi" w:cs="Arial"/>
          <w:sz w:val="22"/>
          <w:szCs w:val="22"/>
        </w:rPr>
        <w:t xml:space="preserve"> across each of the Hospital’s MRI </w:t>
      </w:r>
      <w:proofErr w:type="gramStart"/>
      <w:r w:rsidRPr="009F7193">
        <w:rPr>
          <w:rFonts w:asciiTheme="minorHAnsi" w:hAnsiTheme="minorHAnsi" w:cs="Arial"/>
          <w:sz w:val="22"/>
          <w:szCs w:val="22"/>
        </w:rPr>
        <w:t>locations, and</w:t>
      </w:r>
      <w:proofErr w:type="gramEnd"/>
      <w:r w:rsidRPr="009F7193">
        <w:rPr>
          <w:rFonts w:asciiTheme="minorHAnsi" w:hAnsiTheme="minorHAnsi" w:cs="Arial"/>
          <w:sz w:val="22"/>
          <w:szCs w:val="22"/>
        </w:rPr>
        <w:t xml:space="preserve"> further increases in </w:t>
      </w:r>
      <w:r w:rsidR="002D33E8" w:rsidRPr="009F7193">
        <w:rPr>
          <w:rFonts w:asciiTheme="minorHAnsi" w:hAnsiTheme="minorHAnsi" w:cs="Arial"/>
          <w:sz w:val="22"/>
          <w:szCs w:val="22"/>
        </w:rPr>
        <w:t>demand</w:t>
      </w:r>
      <w:r w:rsidRPr="009F7193">
        <w:rPr>
          <w:rFonts w:asciiTheme="minorHAnsi" w:hAnsiTheme="minorHAnsi" w:cs="Arial"/>
          <w:sz w:val="22"/>
          <w:szCs w:val="22"/>
        </w:rPr>
        <w:t xml:space="preserve"> projected in the coming years, the need for expanded MRI capacity and system redundancy has become critical. The Proposed Project will ensure </w:t>
      </w:r>
      <w:r w:rsidR="003D5CBE">
        <w:rPr>
          <w:rFonts w:asciiTheme="minorHAnsi" w:hAnsiTheme="minorHAnsi" w:cs="Arial"/>
          <w:sz w:val="22"/>
          <w:szCs w:val="22"/>
        </w:rPr>
        <w:t xml:space="preserve">timely </w:t>
      </w:r>
      <w:r w:rsidRPr="009F7193">
        <w:rPr>
          <w:rFonts w:asciiTheme="minorHAnsi" w:hAnsiTheme="minorHAnsi" w:cs="Arial"/>
          <w:sz w:val="22"/>
          <w:szCs w:val="22"/>
        </w:rPr>
        <w:t>access to MRI for emergency and inpatient care, help decompress overburdened satellite sites, and reduce patient wait times. By proactively addressing the increasing MRI needs</w:t>
      </w:r>
      <w:r w:rsidR="002D33E8" w:rsidRPr="009F7193">
        <w:rPr>
          <w:rFonts w:asciiTheme="minorHAnsi" w:hAnsiTheme="minorHAnsi" w:cs="Arial"/>
          <w:sz w:val="22"/>
          <w:szCs w:val="22"/>
        </w:rPr>
        <w:t xml:space="preserve"> of its Patient Panel</w:t>
      </w:r>
      <w:r w:rsidRPr="009F7193">
        <w:rPr>
          <w:rFonts w:asciiTheme="minorHAnsi" w:hAnsiTheme="minorHAnsi" w:cs="Arial"/>
          <w:sz w:val="22"/>
          <w:szCs w:val="22"/>
        </w:rPr>
        <w:t xml:space="preserve">, the Hospital will be </w:t>
      </w:r>
      <w:r w:rsidR="002D33E8" w:rsidRPr="009F7193">
        <w:rPr>
          <w:rFonts w:asciiTheme="minorHAnsi" w:hAnsiTheme="minorHAnsi" w:cs="Arial"/>
          <w:sz w:val="22"/>
          <w:szCs w:val="22"/>
        </w:rPr>
        <w:t>able</w:t>
      </w:r>
      <w:r w:rsidRPr="009F7193">
        <w:rPr>
          <w:rFonts w:asciiTheme="minorHAnsi" w:hAnsiTheme="minorHAnsi" w:cs="Arial"/>
          <w:sz w:val="22"/>
          <w:szCs w:val="22"/>
        </w:rPr>
        <w:t xml:space="preserve"> to maintain high-quality, timely imaging services for its growing and complex patient population.</w:t>
      </w:r>
    </w:p>
    <w:p w14:paraId="0D9D76F1" w14:textId="10CBBC04"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In January 2025, Cape Cod Hospital was designated a Level III Trauma </w:t>
      </w:r>
      <w:r w:rsidR="002D33E8" w:rsidRPr="009F7193">
        <w:rPr>
          <w:rFonts w:asciiTheme="minorHAnsi" w:hAnsiTheme="minorHAnsi" w:cs="Arial"/>
          <w:sz w:val="22"/>
          <w:szCs w:val="22"/>
        </w:rPr>
        <w:t>Center</w:t>
      </w:r>
      <w:r w:rsidRPr="009F7193">
        <w:rPr>
          <w:rFonts w:asciiTheme="minorHAnsi" w:hAnsiTheme="minorHAnsi" w:cs="Arial"/>
          <w:sz w:val="22"/>
          <w:szCs w:val="22"/>
        </w:rPr>
        <w:t xml:space="preserve">, the only hospital </w:t>
      </w:r>
      <w:r w:rsidR="002D33E8" w:rsidRPr="009F7193">
        <w:rPr>
          <w:rFonts w:asciiTheme="minorHAnsi" w:hAnsiTheme="minorHAnsi" w:cs="Arial"/>
          <w:sz w:val="22"/>
          <w:szCs w:val="22"/>
        </w:rPr>
        <w:t>on the Cape and Island</w:t>
      </w:r>
      <w:r w:rsidR="00296B77">
        <w:rPr>
          <w:rFonts w:asciiTheme="minorHAnsi" w:hAnsiTheme="minorHAnsi" w:cs="Arial"/>
          <w:sz w:val="22"/>
          <w:szCs w:val="22"/>
        </w:rPr>
        <w:t>s</w:t>
      </w:r>
      <w:r w:rsidR="002D33E8" w:rsidRPr="009F7193">
        <w:rPr>
          <w:rFonts w:asciiTheme="minorHAnsi" w:hAnsiTheme="minorHAnsi" w:cs="Arial"/>
          <w:sz w:val="22"/>
          <w:szCs w:val="22"/>
        </w:rPr>
        <w:t xml:space="preserve"> </w:t>
      </w:r>
      <w:r w:rsidRPr="009F7193">
        <w:rPr>
          <w:rFonts w:asciiTheme="minorHAnsi" w:hAnsiTheme="minorHAnsi" w:cs="Arial"/>
          <w:sz w:val="22"/>
          <w:szCs w:val="22"/>
        </w:rPr>
        <w:t>to hold a trauma designation. The Hospital attributes the 11.3% increase in emergency MRI</w:t>
      </w:r>
      <w:r w:rsidR="002D33E8" w:rsidRPr="009F7193">
        <w:rPr>
          <w:rFonts w:asciiTheme="minorHAnsi" w:hAnsiTheme="minorHAnsi" w:cs="Arial"/>
          <w:sz w:val="22"/>
          <w:szCs w:val="22"/>
        </w:rPr>
        <w:t xml:space="preserve"> volume</w:t>
      </w:r>
      <w:r w:rsidRPr="009F7193">
        <w:rPr>
          <w:rFonts w:asciiTheme="minorHAnsi" w:hAnsiTheme="minorHAnsi" w:cs="Arial"/>
          <w:sz w:val="22"/>
          <w:szCs w:val="22"/>
        </w:rPr>
        <w:t xml:space="preserve"> from FY2024 to FY2025 in part to the Hospital’s </w:t>
      </w:r>
      <w:r w:rsidR="002D33E8" w:rsidRPr="009F7193">
        <w:rPr>
          <w:rFonts w:asciiTheme="minorHAnsi" w:hAnsiTheme="minorHAnsi" w:cs="Arial"/>
          <w:sz w:val="22"/>
          <w:szCs w:val="22"/>
        </w:rPr>
        <w:t xml:space="preserve">new </w:t>
      </w:r>
      <w:r w:rsidRPr="009F7193">
        <w:rPr>
          <w:rFonts w:asciiTheme="minorHAnsi" w:hAnsiTheme="minorHAnsi" w:cs="Arial"/>
          <w:sz w:val="22"/>
          <w:szCs w:val="22"/>
        </w:rPr>
        <w:t xml:space="preserve">trauma designation. Moreover, while MRI volume in FY2025 </w:t>
      </w:r>
      <w:r w:rsidR="002D33E8" w:rsidRPr="009F7193">
        <w:rPr>
          <w:rFonts w:asciiTheme="minorHAnsi" w:hAnsiTheme="minorHAnsi" w:cs="Arial"/>
          <w:sz w:val="22"/>
          <w:szCs w:val="22"/>
        </w:rPr>
        <w:t>increased</w:t>
      </w:r>
      <w:r w:rsidRPr="009F7193">
        <w:rPr>
          <w:rFonts w:asciiTheme="minorHAnsi" w:hAnsiTheme="minorHAnsi" w:cs="Arial"/>
          <w:sz w:val="22"/>
          <w:szCs w:val="22"/>
        </w:rPr>
        <w:t xml:space="preserve"> to the Hospital’s highest level over the last four years, the Hospital anticipates several recent changes will significantly impact its patients’ need for MRI beginning in FY2026. </w:t>
      </w:r>
    </w:p>
    <w:p w14:paraId="6CE8A2D0" w14:textId="0B3A8245" w:rsidR="001E6649" w:rsidRPr="009F7193" w:rsidRDefault="002D33E8" w:rsidP="001E6649">
      <w:pPr>
        <w:spacing w:after="120"/>
        <w:jc w:val="both"/>
        <w:rPr>
          <w:rFonts w:asciiTheme="minorHAnsi" w:hAnsiTheme="minorHAnsi" w:cs="Arial"/>
          <w:sz w:val="22"/>
          <w:szCs w:val="22"/>
        </w:rPr>
      </w:pPr>
      <w:r w:rsidRPr="009F7193">
        <w:rPr>
          <w:rFonts w:asciiTheme="minorHAnsi" w:hAnsiTheme="minorHAnsi" w:cs="Arial"/>
          <w:sz w:val="22"/>
          <w:szCs w:val="22"/>
        </w:rPr>
        <w:t>In addition</w:t>
      </w:r>
      <w:r w:rsidR="001E6649" w:rsidRPr="009F7193">
        <w:rPr>
          <w:rFonts w:asciiTheme="minorHAnsi" w:hAnsiTheme="minorHAnsi" w:cs="Arial"/>
          <w:sz w:val="22"/>
          <w:szCs w:val="22"/>
        </w:rPr>
        <w:t>, the Hospital is in the process of opening a new inpatient floor with 32 private medical/surgical beds in the first quarter of FY2026.</w:t>
      </w:r>
      <w:r w:rsidR="001E6649" w:rsidRPr="009F7193">
        <w:rPr>
          <w:rStyle w:val="FootnoteReference"/>
          <w:rFonts w:asciiTheme="minorHAnsi" w:hAnsiTheme="minorHAnsi" w:cs="Arial"/>
          <w:sz w:val="22"/>
          <w:szCs w:val="22"/>
        </w:rPr>
        <w:footnoteReference w:id="3"/>
      </w:r>
      <w:r w:rsidR="001E6649" w:rsidRPr="009F7193">
        <w:rPr>
          <w:rFonts w:asciiTheme="minorHAnsi" w:hAnsiTheme="minorHAnsi" w:cs="Arial"/>
          <w:sz w:val="22"/>
          <w:szCs w:val="22"/>
        </w:rPr>
        <w:t xml:space="preserve"> With the opening of the new medical/surgical unit, the Hospital’s licensed bed count will increase from </w:t>
      </w:r>
      <w:r w:rsidR="001604C7" w:rsidRPr="009F7193">
        <w:rPr>
          <w:rFonts w:asciiTheme="minorHAnsi" w:hAnsiTheme="minorHAnsi" w:cs="Arial"/>
          <w:sz w:val="22"/>
          <w:szCs w:val="22"/>
        </w:rPr>
        <w:t>197</w:t>
      </w:r>
      <w:r w:rsidR="001E6649" w:rsidRPr="009F7193">
        <w:rPr>
          <w:rFonts w:asciiTheme="minorHAnsi" w:hAnsiTheme="minorHAnsi" w:cs="Arial"/>
          <w:sz w:val="22"/>
          <w:szCs w:val="22"/>
        </w:rPr>
        <w:t xml:space="preserve"> to </w:t>
      </w:r>
      <w:r w:rsidR="001604C7" w:rsidRPr="009F7193">
        <w:rPr>
          <w:rFonts w:asciiTheme="minorHAnsi" w:hAnsiTheme="minorHAnsi" w:cs="Arial"/>
          <w:sz w:val="22"/>
          <w:szCs w:val="22"/>
        </w:rPr>
        <w:t>229</w:t>
      </w:r>
      <w:r w:rsidR="001E6649" w:rsidRPr="009F7193">
        <w:rPr>
          <w:rFonts w:asciiTheme="minorHAnsi" w:hAnsiTheme="minorHAnsi" w:cs="Arial"/>
          <w:sz w:val="22"/>
          <w:szCs w:val="22"/>
        </w:rPr>
        <w:t xml:space="preserve">. Based on historical inpatient MRI volume, the Hospital projects the new beds will increase MRI volume by </w:t>
      </w:r>
      <w:r w:rsidR="00903E3C">
        <w:rPr>
          <w:rFonts w:asciiTheme="minorHAnsi" w:hAnsiTheme="minorHAnsi" w:cs="Arial"/>
          <w:sz w:val="22"/>
          <w:szCs w:val="22"/>
        </w:rPr>
        <w:t>42</w:t>
      </w:r>
      <w:r w:rsidR="007C3C94">
        <w:rPr>
          <w:rFonts w:asciiTheme="minorHAnsi" w:hAnsiTheme="minorHAnsi" w:cs="Arial"/>
          <w:sz w:val="22"/>
          <w:szCs w:val="22"/>
        </w:rPr>
        <w:t>9</w:t>
      </w:r>
      <w:r w:rsidR="00903E3C">
        <w:rPr>
          <w:rFonts w:asciiTheme="minorHAnsi" w:hAnsiTheme="minorHAnsi" w:cs="Arial"/>
          <w:sz w:val="22"/>
          <w:szCs w:val="22"/>
        </w:rPr>
        <w:t xml:space="preserve"> scans</w:t>
      </w:r>
      <w:r w:rsidR="001E6649" w:rsidRPr="009F7193">
        <w:rPr>
          <w:rFonts w:asciiTheme="minorHAnsi" w:hAnsiTheme="minorHAnsi" w:cs="Arial"/>
          <w:sz w:val="22"/>
          <w:szCs w:val="22"/>
        </w:rPr>
        <w:t xml:space="preserve"> beginning in FY2026. Furthermore, the need for MRI by inpatients at the Hospital is expected to increase by 7% each year, </w:t>
      </w:r>
      <w:r w:rsidR="001604C7" w:rsidRPr="009F7193">
        <w:rPr>
          <w:rFonts w:asciiTheme="minorHAnsi" w:hAnsiTheme="minorHAnsi" w:cs="Arial"/>
          <w:sz w:val="22"/>
          <w:szCs w:val="22"/>
        </w:rPr>
        <w:t>consistent</w:t>
      </w:r>
      <w:r w:rsidR="001E6649" w:rsidRPr="009F7193">
        <w:rPr>
          <w:rFonts w:asciiTheme="minorHAnsi" w:hAnsiTheme="minorHAnsi" w:cs="Arial"/>
          <w:sz w:val="22"/>
          <w:szCs w:val="22"/>
        </w:rPr>
        <w:t xml:space="preserve"> with historical </w:t>
      </w:r>
      <w:r w:rsidR="001604C7" w:rsidRPr="009F7193">
        <w:rPr>
          <w:rFonts w:asciiTheme="minorHAnsi" w:hAnsiTheme="minorHAnsi" w:cs="Arial"/>
          <w:sz w:val="22"/>
          <w:szCs w:val="22"/>
        </w:rPr>
        <w:t>year-over-year volume increases</w:t>
      </w:r>
      <w:r w:rsidR="001E6649" w:rsidRPr="009F7193">
        <w:rPr>
          <w:rFonts w:asciiTheme="minorHAnsi" w:hAnsiTheme="minorHAnsi" w:cs="Arial"/>
          <w:sz w:val="22"/>
          <w:szCs w:val="22"/>
        </w:rPr>
        <w:t>. Lastly, DPH recently adopted updated stroke care regulations which go into effect on January 1, 2026. As a result of the change in stroke care requirements for acute care hospitals, the Hospital anticipates emergency MRI volume will increase 15% in FY2026 and will continue to drive increased need for emergency MRIs across the Proposed Project’s projection years.</w:t>
      </w:r>
    </w:p>
    <w:p w14:paraId="33BAE64C" w14:textId="728489A0" w:rsidR="001E6649" w:rsidRPr="009F7193" w:rsidRDefault="001604C7" w:rsidP="001E6649">
      <w:pPr>
        <w:spacing w:after="120"/>
        <w:jc w:val="both"/>
        <w:rPr>
          <w:rFonts w:asciiTheme="minorHAnsi" w:hAnsiTheme="minorHAnsi" w:cs="Arial"/>
          <w:sz w:val="22"/>
          <w:szCs w:val="22"/>
        </w:rPr>
      </w:pPr>
      <w:r w:rsidRPr="009F7193">
        <w:rPr>
          <w:rFonts w:asciiTheme="minorHAnsi" w:hAnsiTheme="minorHAnsi" w:cs="Arial"/>
          <w:sz w:val="22"/>
          <w:szCs w:val="22"/>
        </w:rPr>
        <w:t>Moreover</w:t>
      </w:r>
      <w:r w:rsidR="001E6649" w:rsidRPr="009F7193">
        <w:rPr>
          <w:rFonts w:asciiTheme="minorHAnsi" w:hAnsiTheme="minorHAnsi" w:cs="Arial"/>
          <w:sz w:val="22"/>
          <w:szCs w:val="22"/>
        </w:rPr>
        <w:t xml:space="preserve">, the need </w:t>
      </w:r>
      <w:r w:rsidRPr="009F7193">
        <w:rPr>
          <w:rFonts w:asciiTheme="minorHAnsi" w:hAnsiTheme="minorHAnsi" w:cs="Arial"/>
          <w:sz w:val="22"/>
          <w:szCs w:val="22"/>
        </w:rPr>
        <w:t xml:space="preserve">to reactivate the Hospital’s dormant MRI unit </w:t>
      </w:r>
      <w:r w:rsidR="001E6649" w:rsidRPr="009F7193">
        <w:rPr>
          <w:rFonts w:asciiTheme="minorHAnsi" w:hAnsiTheme="minorHAnsi" w:cs="Arial"/>
          <w:sz w:val="22"/>
          <w:szCs w:val="22"/>
        </w:rPr>
        <w:t xml:space="preserve">is underscored by the Cape’s unique demographic profile. As of 2022, Barnstable County </w:t>
      </w:r>
      <w:r w:rsidRPr="009F7193">
        <w:rPr>
          <w:rFonts w:asciiTheme="minorHAnsi" w:hAnsiTheme="minorHAnsi" w:cs="Arial"/>
          <w:sz w:val="22"/>
          <w:szCs w:val="22"/>
        </w:rPr>
        <w:t xml:space="preserve">residents </w:t>
      </w:r>
      <w:r w:rsidR="001E6649" w:rsidRPr="009F7193">
        <w:rPr>
          <w:rFonts w:asciiTheme="minorHAnsi" w:hAnsiTheme="minorHAnsi" w:cs="Arial"/>
          <w:sz w:val="22"/>
          <w:szCs w:val="22"/>
        </w:rPr>
        <w:t>had a median age of 55.6 years, the highest in Massachusetts and well above the state median of 40.1 years and the national median of 38.9 years.</w:t>
      </w:r>
      <w:r w:rsidR="001E6649" w:rsidRPr="009F7193">
        <w:rPr>
          <w:rStyle w:val="FootnoteReference"/>
          <w:rFonts w:ascii="Aptos" w:hAnsi="Aptos"/>
          <w:sz w:val="22"/>
          <w:szCs w:val="22"/>
        </w:rPr>
        <w:footnoteReference w:id="4"/>
      </w:r>
      <w:r w:rsidR="001E6649" w:rsidRPr="009F7193">
        <w:rPr>
          <w:rFonts w:asciiTheme="minorHAnsi" w:hAnsiTheme="minorHAnsi" w:cs="Arial"/>
          <w:sz w:val="22"/>
          <w:szCs w:val="22"/>
        </w:rPr>
        <w:t xml:space="preserve"> Notably, 23.7% of Cape Cod residents are aged 70 or older, compared to 12.2% statewide and 11.8% nationally.</w:t>
      </w:r>
      <w:r w:rsidR="001E6649" w:rsidRPr="009F7193">
        <w:rPr>
          <w:rStyle w:val="FootnoteReference"/>
          <w:rFonts w:ascii="Aptos" w:hAnsi="Aptos"/>
          <w:sz w:val="22"/>
          <w:szCs w:val="22"/>
        </w:rPr>
        <w:footnoteReference w:id="5"/>
      </w:r>
      <w:r w:rsidR="001E6649" w:rsidRPr="009F7193">
        <w:rPr>
          <w:rFonts w:asciiTheme="minorHAnsi" w:hAnsiTheme="minorHAnsi" w:cs="Arial"/>
          <w:sz w:val="22"/>
          <w:szCs w:val="22"/>
        </w:rPr>
        <w:t xml:space="preserve"> Projections indicate that by 2035, nearly 40% of Barnstable County’s population will be 65 years or older.</w:t>
      </w:r>
      <w:r w:rsidR="001E6649" w:rsidRPr="009F7193">
        <w:rPr>
          <w:rStyle w:val="FootnoteReference"/>
          <w:rFonts w:ascii="Aptos" w:hAnsi="Aptos"/>
          <w:sz w:val="22"/>
          <w:szCs w:val="22"/>
        </w:rPr>
        <w:footnoteReference w:id="6"/>
      </w:r>
      <w:r w:rsidR="001E6649" w:rsidRPr="009F7193">
        <w:rPr>
          <w:rFonts w:asciiTheme="minorHAnsi" w:hAnsiTheme="minorHAnsi" w:cs="Arial"/>
          <w:sz w:val="22"/>
          <w:szCs w:val="22"/>
        </w:rPr>
        <w:t xml:space="preserve"> This aging population is expected to drive increased demand for imaging services, including those tied to inpatient admissions. By leveraging an existing resource with no project costs, the Hospital will be better positioned to meet the community’s growing imaging needs, improve patient outcomes, and extend the lifespan of its MRI equipment.</w:t>
      </w:r>
    </w:p>
    <w:p w14:paraId="2421B845" w14:textId="5EA44943" w:rsidR="001E6649" w:rsidRPr="009F7193" w:rsidRDefault="001604C7" w:rsidP="001E6649">
      <w:pPr>
        <w:spacing w:after="120"/>
        <w:jc w:val="both"/>
        <w:rPr>
          <w:rFonts w:asciiTheme="minorHAnsi" w:hAnsiTheme="minorHAnsi" w:cs="Arial"/>
          <w:sz w:val="22"/>
          <w:szCs w:val="22"/>
        </w:rPr>
      </w:pPr>
      <w:r w:rsidRPr="009F7193">
        <w:rPr>
          <w:rFonts w:asciiTheme="minorHAnsi" w:hAnsiTheme="minorHAnsi" w:cs="Arial"/>
          <w:sz w:val="22"/>
          <w:szCs w:val="22"/>
        </w:rPr>
        <w:t>As noted earlier</w:t>
      </w:r>
      <w:r w:rsidR="001E6649" w:rsidRPr="009F7193">
        <w:rPr>
          <w:rFonts w:asciiTheme="minorHAnsi" w:hAnsiTheme="minorHAnsi" w:cs="Arial"/>
          <w:sz w:val="22"/>
          <w:szCs w:val="22"/>
        </w:rPr>
        <w:t xml:space="preserve">, the Hospital’s three satellite locations are operating </w:t>
      </w:r>
      <w:proofErr w:type="gramStart"/>
      <w:r w:rsidRPr="009F7193">
        <w:rPr>
          <w:rFonts w:asciiTheme="minorHAnsi" w:hAnsiTheme="minorHAnsi" w:cs="Arial"/>
          <w:sz w:val="22"/>
          <w:szCs w:val="22"/>
        </w:rPr>
        <w:t>in excess of</w:t>
      </w:r>
      <w:proofErr w:type="gramEnd"/>
      <w:r w:rsidRPr="009F7193">
        <w:rPr>
          <w:rFonts w:asciiTheme="minorHAnsi" w:hAnsiTheme="minorHAnsi" w:cs="Arial"/>
          <w:sz w:val="22"/>
          <w:szCs w:val="22"/>
        </w:rPr>
        <w:t xml:space="preserve"> 85% capacity, with an average utilization of 89% in FY 2025</w:t>
      </w:r>
      <w:r w:rsidR="001E6649" w:rsidRPr="009F7193">
        <w:rPr>
          <w:rFonts w:asciiTheme="minorHAnsi" w:hAnsiTheme="minorHAnsi" w:cs="Arial"/>
          <w:sz w:val="22"/>
          <w:szCs w:val="22"/>
        </w:rPr>
        <w:t xml:space="preserve">. </w:t>
      </w:r>
      <w:proofErr w:type="gramStart"/>
      <w:r w:rsidR="001E6649" w:rsidRPr="009F7193">
        <w:rPr>
          <w:rFonts w:asciiTheme="minorHAnsi" w:hAnsiTheme="minorHAnsi" w:cs="Arial"/>
          <w:sz w:val="22"/>
          <w:szCs w:val="22"/>
        </w:rPr>
        <w:t>In order to</w:t>
      </w:r>
      <w:proofErr w:type="gramEnd"/>
      <w:r w:rsidR="001E6649" w:rsidRPr="009F7193">
        <w:rPr>
          <w:rFonts w:asciiTheme="minorHAnsi" w:hAnsiTheme="minorHAnsi" w:cs="Arial"/>
          <w:sz w:val="22"/>
          <w:szCs w:val="22"/>
        </w:rPr>
        <w:t xml:space="preserve"> </w:t>
      </w:r>
      <w:r w:rsidRPr="009F7193">
        <w:rPr>
          <w:rFonts w:asciiTheme="minorHAnsi" w:hAnsiTheme="minorHAnsi" w:cs="Arial"/>
          <w:sz w:val="22"/>
          <w:szCs w:val="22"/>
        </w:rPr>
        <w:t>evenly distribute utilization across units and improve access to the convenient satellite locations</w:t>
      </w:r>
      <w:r w:rsidR="001E6649" w:rsidRPr="009F7193">
        <w:rPr>
          <w:rFonts w:asciiTheme="minorHAnsi" w:hAnsiTheme="minorHAnsi" w:cs="Arial"/>
          <w:sz w:val="22"/>
          <w:szCs w:val="22"/>
        </w:rPr>
        <w:t xml:space="preserve">, the Hospital will shift volume from its satellites </w:t>
      </w:r>
      <w:r w:rsidR="001E6649" w:rsidRPr="009F7193">
        <w:rPr>
          <w:rFonts w:asciiTheme="minorHAnsi" w:hAnsiTheme="minorHAnsi" w:cs="Arial"/>
          <w:sz w:val="22"/>
          <w:szCs w:val="22"/>
        </w:rPr>
        <w:lastRenderedPageBreak/>
        <w:t xml:space="preserve">to the main campus. This will not only improve utilization and </w:t>
      </w:r>
      <w:proofErr w:type="gramStart"/>
      <w:r w:rsidR="001E6649" w:rsidRPr="009F7193">
        <w:rPr>
          <w:rFonts w:asciiTheme="minorHAnsi" w:hAnsiTheme="minorHAnsi" w:cs="Arial"/>
          <w:sz w:val="22"/>
          <w:szCs w:val="22"/>
        </w:rPr>
        <w:t>wait</w:t>
      </w:r>
      <w:proofErr w:type="gramEnd"/>
      <w:r w:rsidR="001E6649" w:rsidRPr="009F7193">
        <w:rPr>
          <w:rFonts w:asciiTheme="minorHAnsi" w:hAnsiTheme="minorHAnsi" w:cs="Arial"/>
          <w:sz w:val="22"/>
          <w:szCs w:val="22"/>
        </w:rPr>
        <w:t xml:space="preserve"> times</w:t>
      </w:r>
      <w:r w:rsidR="009F7193" w:rsidRPr="009F7193">
        <w:rPr>
          <w:rFonts w:asciiTheme="minorHAnsi" w:hAnsiTheme="minorHAnsi" w:cs="Arial"/>
          <w:sz w:val="22"/>
          <w:szCs w:val="22"/>
        </w:rPr>
        <w:t xml:space="preserve"> </w:t>
      </w:r>
      <w:r w:rsidR="001E6649" w:rsidRPr="009F7193">
        <w:rPr>
          <w:rFonts w:asciiTheme="minorHAnsi" w:hAnsiTheme="minorHAnsi" w:cs="Arial"/>
          <w:sz w:val="22"/>
          <w:szCs w:val="22"/>
        </w:rPr>
        <w:t>but will prolong the useful life of the machines by ensuring they do not operate a</w:t>
      </w:r>
      <w:r w:rsidRPr="009F7193">
        <w:rPr>
          <w:rFonts w:asciiTheme="minorHAnsi" w:hAnsiTheme="minorHAnsi" w:cs="Arial"/>
          <w:sz w:val="22"/>
          <w:szCs w:val="22"/>
        </w:rPr>
        <w:t>t</w:t>
      </w:r>
      <w:r w:rsidR="001E6649" w:rsidRPr="009F7193">
        <w:rPr>
          <w:rFonts w:asciiTheme="minorHAnsi" w:hAnsiTheme="minorHAnsi" w:cs="Arial"/>
          <w:sz w:val="22"/>
          <w:szCs w:val="22"/>
        </w:rPr>
        <w:t xml:space="preserve"> maximum capacity.</w:t>
      </w:r>
    </w:p>
    <w:p w14:paraId="3CA6ED8F" w14:textId="44011337" w:rsidR="001E6649" w:rsidRPr="009F7193" w:rsidRDefault="001E6649" w:rsidP="001E6649">
      <w:pPr>
        <w:spacing w:after="120"/>
        <w:jc w:val="both"/>
        <w:rPr>
          <w:rFonts w:asciiTheme="minorHAnsi" w:hAnsiTheme="minorHAnsi" w:cs="Arial"/>
          <w:sz w:val="22"/>
          <w:szCs w:val="22"/>
        </w:rPr>
      </w:pPr>
      <w:r w:rsidRPr="009F7193">
        <w:rPr>
          <w:rFonts w:asciiTheme="minorHAnsi" w:hAnsiTheme="minorHAnsi" w:cs="Arial"/>
          <w:sz w:val="22"/>
          <w:szCs w:val="22"/>
        </w:rPr>
        <w:t xml:space="preserve">For the reasons detailed above, the Hospital </w:t>
      </w:r>
      <w:r w:rsidR="00947D51" w:rsidRPr="009F7193">
        <w:rPr>
          <w:rFonts w:asciiTheme="minorHAnsi" w:hAnsiTheme="minorHAnsi" w:cs="Arial"/>
          <w:sz w:val="22"/>
          <w:szCs w:val="22"/>
        </w:rPr>
        <w:t>projects</w:t>
      </w:r>
      <w:r w:rsidRPr="009F7193">
        <w:rPr>
          <w:rFonts w:asciiTheme="minorHAnsi" w:hAnsiTheme="minorHAnsi" w:cs="Arial"/>
          <w:sz w:val="22"/>
          <w:szCs w:val="22"/>
        </w:rPr>
        <w:t xml:space="preserve"> an additional </w:t>
      </w:r>
      <w:r w:rsidR="003A516B">
        <w:rPr>
          <w:rFonts w:asciiTheme="minorHAnsi" w:hAnsiTheme="minorHAnsi" w:cs="Arial"/>
          <w:sz w:val="22"/>
          <w:szCs w:val="22"/>
        </w:rPr>
        <w:t>776</w:t>
      </w:r>
      <w:r w:rsidR="003A516B" w:rsidRPr="009F7193">
        <w:rPr>
          <w:rFonts w:asciiTheme="minorHAnsi" w:hAnsiTheme="minorHAnsi" w:cs="Arial"/>
          <w:sz w:val="22"/>
          <w:szCs w:val="22"/>
        </w:rPr>
        <w:t xml:space="preserve"> </w:t>
      </w:r>
      <w:r w:rsidRPr="009F7193">
        <w:rPr>
          <w:rFonts w:asciiTheme="minorHAnsi" w:hAnsiTheme="minorHAnsi" w:cs="Arial"/>
          <w:sz w:val="22"/>
          <w:szCs w:val="22"/>
        </w:rPr>
        <w:t>scans in FY2026,</w:t>
      </w:r>
      <w:r w:rsidR="00947D51" w:rsidRPr="009F7193">
        <w:rPr>
          <w:rFonts w:asciiTheme="minorHAnsi" w:hAnsiTheme="minorHAnsi" w:cs="Arial"/>
          <w:sz w:val="22"/>
          <w:szCs w:val="22"/>
        </w:rPr>
        <w:t xml:space="preserve"> </w:t>
      </w:r>
      <w:r w:rsidRPr="009F7193">
        <w:rPr>
          <w:rFonts w:asciiTheme="minorHAnsi" w:hAnsiTheme="minorHAnsi" w:cs="Arial"/>
          <w:sz w:val="22"/>
          <w:szCs w:val="22"/>
        </w:rPr>
        <w:t xml:space="preserve">primarily driven by a greater need for inpatient and emergency MRI scans by trauma and stroke patients, as well as the </w:t>
      </w:r>
      <w:r w:rsidR="00947D51" w:rsidRPr="009F7193">
        <w:rPr>
          <w:rFonts w:asciiTheme="minorHAnsi" w:hAnsiTheme="minorHAnsi" w:cs="Arial"/>
          <w:sz w:val="22"/>
          <w:szCs w:val="22"/>
        </w:rPr>
        <w:t xml:space="preserve">increased volume of the </w:t>
      </w:r>
      <w:r w:rsidRPr="009F7193">
        <w:rPr>
          <w:rFonts w:asciiTheme="minorHAnsi" w:hAnsiTheme="minorHAnsi" w:cs="Arial"/>
          <w:sz w:val="22"/>
          <w:szCs w:val="22"/>
        </w:rPr>
        <w:t xml:space="preserve">Hospital’s </w:t>
      </w:r>
      <w:r w:rsidR="00947D51" w:rsidRPr="009F7193">
        <w:rPr>
          <w:rFonts w:asciiTheme="minorHAnsi" w:hAnsiTheme="minorHAnsi" w:cs="Arial"/>
          <w:sz w:val="22"/>
          <w:szCs w:val="22"/>
        </w:rPr>
        <w:t>in</w:t>
      </w:r>
      <w:r w:rsidRPr="009F7193">
        <w:rPr>
          <w:rFonts w:asciiTheme="minorHAnsi" w:hAnsiTheme="minorHAnsi" w:cs="Arial"/>
          <w:sz w:val="22"/>
          <w:szCs w:val="22"/>
        </w:rPr>
        <w:t xml:space="preserve">patients. </w:t>
      </w:r>
      <w:r w:rsidR="00947D51" w:rsidRPr="009F7193">
        <w:rPr>
          <w:rFonts w:asciiTheme="minorHAnsi" w:hAnsiTheme="minorHAnsi" w:cs="Arial"/>
          <w:sz w:val="22"/>
          <w:szCs w:val="22"/>
        </w:rPr>
        <w:t>Without the ability to use the dormant MRI unit, u</w:t>
      </w:r>
      <w:r w:rsidRPr="009F7193">
        <w:rPr>
          <w:rFonts w:asciiTheme="minorHAnsi" w:hAnsiTheme="minorHAnsi" w:cs="Arial"/>
          <w:sz w:val="22"/>
          <w:szCs w:val="22"/>
        </w:rPr>
        <w:t xml:space="preserve">tilization </w:t>
      </w:r>
      <w:r w:rsidR="00947D51" w:rsidRPr="009F7193">
        <w:rPr>
          <w:rFonts w:asciiTheme="minorHAnsi" w:hAnsiTheme="minorHAnsi" w:cs="Arial"/>
          <w:sz w:val="22"/>
          <w:szCs w:val="22"/>
        </w:rPr>
        <w:t xml:space="preserve">at the main campus </w:t>
      </w:r>
      <w:r w:rsidRPr="009F7193">
        <w:rPr>
          <w:rFonts w:asciiTheme="minorHAnsi" w:hAnsiTheme="minorHAnsi" w:cs="Arial"/>
          <w:sz w:val="22"/>
          <w:szCs w:val="22"/>
        </w:rPr>
        <w:t>will be 97%, climbing to 10</w:t>
      </w:r>
      <w:r w:rsidR="003A516B">
        <w:rPr>
          <w:rFonts w:asciiTheme="minorHAnsi" w:hAnsiTheme="minorHAnsi" w:cs="Arial"/>
          <w:sz w:val="22"/>
          <w:szCs w:val="22"/>
        </w:rPr>
        <w:t>8</w:t>
      </w:r>
      <w:r w:rsidRPr="009F7193">
        <w:rPr>
          <w:rFonts w:asciiTheme="minorHAnsi" w:hAnsiTheme="minorHAnsi" w:cs="Arial"/>
          <w:sz w:val="22"/>
          <w:szCs w:val="22"/>
        </w:rPr>
        <w:t>% in FY2027</w:t>
      </w:r>
      <w:r w:rsidR="009F7193" w:rsidRPr="009F7193">
        <w:rPr>
          <w:rFonts w:asciiTheme="minorHAnsi" w:hAnsiTheme="minorHAnsi" w:cs="Arial"/>
          <w:sz w:val="22"/>
          <w:szCs w:val="22"/>
        </w:rPr>
        <w:t>,</w:t>
      </w:r>
      <w:r w:rsidRPr="009F7193">
        <w:rPr>
          <w:rFonts w:asciiTheme="minorHAnsi" w:hAnsiTheme="minorHAnsi" w:cs="Arial"/>
          <w:sz w:val="22"/>
          <w:szCs w:val="22"/>
        </w:rPr>
        <w:t xml:space="preserve"> at which point significant delays will impact care delivery. The Hospital’s </w:t>
      </w:r>
      <w:r w:rsidR="00947D51" w:rsidRPr="009F7193">
        <w:rPr>
          <w:rFonts w:asciiTheme="minorHAnsi" w:hAnsiTheme="minorHAnsi" w:cs="Arial"/>
          <w:sz w:val="22"/>
          <w:szCs w:val="22"/>
        </w:rPr>
        <w:t xml:space="preserve">main campus </w:t>
      </w:r>
      <w:r w:rsidRPr="009F7193">
        <w:rPr>
          <w:rFonts w:asciiTheme="minorHAnsi" w:hAnsiTheme="minorHAnsi" w:cs="Arial"/>
          <w:sz w:val="22"/>
          <w:szCs w:val="22"/>
        </w:rPr>
        <w:t xml:space="preserve">projections based on these factors are detailed in the table below.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050"/>
        <w:gridCol w:w="1050"/>
        <w:gridCol w:w="1050"/>
        <w:gridCol w:w="1050"/>
        <w:gridCol w:w="1050"/>
        <w:gridCol w:w="1050"/>
      </w:tblGrid>
      <w:tr w:rsidR="001E6649" w:rsidRPr="009F7193" w14:paraId="76CF7A1F" w14:textId="77777777" w:rsidTr="00DF68F1">
        <w:trPr>
          <w:cantSplit/>
          <w:trHeight w:val="290"/>
          <w:tblHeader/>
        </w:trPr>
        <w:tc>
          <w:tcPr>
            <w:tcW w:w="3055" w:type="dxa"/>
          </w:tcPr>
          <w:p w14:paraId="6AF44D28" w14:textId="32EBB73F" w:rsidR="001E6649" w:rsidRPr="00F12784" w:rsidRDefault="001E6649" w:rsidP="009B300B">
            <w:pPr>
              <w:suppressAutoHyphens w:val="0"/>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 xml:space="preserve">Table </w:t>
            </w:r>
            <w:r w:rsidR="00947D51" w:rsidRPr="00F12784">
              <w:rPr>
                <w:rFonts w:ascii="Aptos Narrow" w:hAnsi="Aptos Narrow"/>
                <w:b/>
                <w:bCs/>
                <w:color w:val="000000"/>
                <w:kern w:val="0"/>
                <w:sz w:val="20"/>
                <w:szCs w:val="20"/>
                <w14:ligatures w14:val="none"/>
              </w:rPr>
              <w:t>13</w:t>
            </w:r>
            <w:r w:rsidRPr="00F12784">
              <w:rPr>
                <w:rFonts w:ascii="Aptos Narrow" w:hAnsi="Aptos Narrow"/>
                <w:b/>
                <w:bCs/>
                <w:color w:val="000000"/>
                <w:kern w:val="0"/>
                <w:sz w:val="20"/>
                <w:szCs w:val="20"/>
                <w14:ligatures w14:val="none"/>
              </w:rPr>
              <w:t>: Projected Utilization</w:t>
            </w:r>
          </w:p>
        </w:tc>
        <w:tc>
          <w:tcPr>
            <w:tcW w:w="1050" w:type="dxa"/>
            <w:noWrap/>
            <w:vAlign w:val="bottom"/>
            <w:hideMark/>
          </w:tcPr>
          <w:p w14:paraId="3940D8F0"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FY26</w:t>
            </w:r>
          </w:p>
        </w:tc>
        <w:tc>
          <w:tcPr>
            <w:tcW w:w="1050" w:type="dxa"/>
            <w:noWrap/>
            <w:vAlign w:val="bottom"/>
            <w:hideMark/>
          </w:tcPr>
          <w:p w14:paraId="07CF4E20"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FY27</w:t>
            </w:r>
          </w:p>
        </w:tc>
        <w:tc>
          <w:tcPr>
            <w:tcW w:w="1050" w:type="dxa"/>
            <w:noWrap/>
            <w:vAlign w:val="bottom"/>
            <w:hideMark/>
          </w:tcPr>
          <w:p w14:paraId="36F4DA6C"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FY28</w:t>
            </w:r>
          </w:p>
        </w:tc>
        <w:tc>
          <w:tcPr>
            <w:tcW w:w="1050" w:type="dxa"/>
            <w:noWrap/>
            <w:vAlign w:val="bottom"/>
            <w:hideMark/>
          </w:tcPr>
          <w:p w14:paraId="6A6C2EEF"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FY29</w:t>
            </w:r>
          </w:p>
        </w:tc>
        <w:tc>
          <w:tcPr>
            <w:tcW w:w="1050" w:type="dxa"/>
            <w:noWrap/>
            <w:vAlign w:val="bottom"/>
            <w:hideMark/>
          </w:tcPr>
          <w:p w14:paraId="53516E86"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FY30</w:t>
            </w:r>
          </w:p>
        </w:tc>
        <w:tc>
          <w:tcPr>
            <w:tcW w:w="1050" w:type="dxa"/>
            <w:noWrap/>
            <w:vAlign w:val="bottom"/>
            <w:hideMark/>
          </w:tcPr>
          <w:p w14:paraId="7609F380" w14:textId="77777777" w:rsidR="001E6649" w:rsidRPr="00F12784" w:rsidRDefault="001E6649" w:rsidP="009B300B">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FY31</w:t>
            </w:r>
          </w:p>
        </w:tc>
      </w:tr>
      <w:tr w:rsidR="00FA376F" w:rsidRPr="009F7193" w14:paraId="1804BAB4" w14:textId="77777777" w:rsidTr="00DF68F1">
        <w:trPr>
          <w:cantSplit/>
          <w:trHeight w:val="290"/>
        </w:trPr>
        <w:tc>
          <w:tcPr>
            <w:tcW w:w="3055" w:type="dxa"/>
            <w:vAlign w:val="center"/>
          </w:tcPr>
          <w:p w14:paraId="108CE496" w14:textId="77777777" w:rsidR="00FA376F" w:rsidRPr="00F12784" w:rsidRDefault="00FA376F" w:rsidP="00FA376F">
            <w:pPr>
              <w:suppressAutoHyphens w:val="0"/>
              <w:rPr>
                <w:rFonts w:asciiTheme="minorHAnsi" w:hAnsiTheme="minorHAnsi"/>
                <w:color w:val="000000"/>
                <w:kern w:val="0"/>
                <w:sz w:val="20"/>
                <w:szCs w:val="20"/>
                <w14:ligatures w14:val="none"/>
              </w:rPr>
            </w:pPr>
            <w:r w:rsidRPr="00F12784">
              <w:rPr>
                <w:rFonts w:asciiTheme="minorHAnsi" w:hAnsiTheme="minorHAnsi"/>
                <w:color w:val="000000"/>
                <w:kern w:val="0"/>
                <w:sz w:val="20"/>
                <w:szCs w:val="20"/>
                <w14:ligatures w14:val="none"/>
              </w:rPr>
              <w:t>Emergency – Trauma, Stroke</w:t>
            </w:r>
          </w:p>
        </w:tc>
        <w:tc>
          <w:tcPr>
            <w:tcW w:w="1050" w:type="dxa"/>
            <w:noWrap/>
            <w:vAlign w:val="center"/>
            <w:hideMark/>
          </w:tcPr>
          <w:p w14:paraId="082A0292" w14:textId="784B0A21"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751 </w:t>
            </w:r>
          </w:p>
        </w:tc>
        <w:tc>
          <w:tcPr>
            <w:tcW w:w="1050" w:type="dxa"/>
            <w:noWrap/>
            <w:vAlign w:val="center"/>
            <w:hideMark/>
          </w:tcPr>
          <w:p w14:paraId="4EB157BB" w14:textId="71D09C6E"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938 </w:t>
            </w:r>
          </w:p>
        </w:tc>
        <w:tc>
          <w:tcPr>
            <w:tcW w:w="1050" w:type="dxa"/>
            <w:noWrap/>
            <w:vAlign w:val="center"/>
            <w:hideMark/>
          </w:tcPr>
          <w:p w14:paraId="047F7FB9" w14:textId="6B0E1F52"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1,076 </w:t>
            </w:r>
          </w:p>
        </w:tc>
        <w:tc>
          <w:tcPr>
            <w:tcW w:w="1050" w:type="dxa"/>
            <w:noWrap/>
            <w:vAlign w:val="center"/>
            <w:hideMark/>
          </w:tcPr>
          <w:p w14:paraId="2A538711" w14:textId="17D47445"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1,214 </w:t>
            </w:r>
          </w:p>
        </w:tc>
        <w:tc>
          <w:tcPr>
            <w:tcW w:w="1050" w:type="dxa"/>
            <w:noWrap/>
            <w:vAlign w:val="center"/>
            <w:hideMark/>
          </w:tcPr>
          <w:p w14:paraId="61716D1E" w14:textId="4C7D28B3"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1,370 </w:t>
            </w:r>
          </w:p>
        </w:tc>
        <w:tc>
          <w:tcPr>
            <w:tcW w:w="1050" w:type="dxa"/>
            <w:noWrap/>
            <w:vAlign w:val="center"/>
            <w:hideMark/>
          </w:tcPr>
          <w:p w14:paraId="5773FED9" w14:textId="788F2641"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1,545 </w:t>
            </w:r>
          </w:p>
        </w:tc>
      </w:tr>
      <w:tr w:rsidR="00FA376F" w:rsidRPr="009F7193" w14:paraId="4E160854" w14:textId="77777777" w:rsidTr="00DF68F1">
        <w:trPr>
          <w:cantSplit/>
          <w:trHeight w:val="290"/>
        </w:trPr>
        <w:tc>
          <w:tcPr>
            <w:tcW w:w="3055" w:type="dxa"/>
            <w:vAlign w:val="center"/>
          </w:tcPr>
          <w:p w14:paraId="087B4623" w14:textId="77777777" w:rsidR="00FA376F" w:rsidRPr="00F12784" w:rsidRDefault="00FA376F" w:rsidP="00FA376F">
            <w:pPr>
              <w:suppressAutoHyphens w:val="0"/>
              <w:rPr>
                <w:rFonts w:asciiTheme="minorHAnsi" w:hAnsiTheme="minorHAnsi"/>
                <w:color w:val="000000"/>
                <w:kern w:val="0"/>
                <w:sz w:val="20"/>
                <w:szCs w:val="20"/>
                <w14:ligatures w14:val="none"/>
              </w:rPr>
            </w:pPr>
            <w:r w:rsidRPr="00F12784">
              <w:rPr>
                <w:rFonts w:asciiTheme="minorHAnsi" w:hAnsiTheme="minorHAnsi"/>
                <w:color w:val="000000"/>
                <w:kern w:val="0"/>
                <w:sz w:val="20"/>
                <w:szCs w:val="20"/>
                <w14:ligatures w14:val="none"/>
              </w:rPr>
              <w:t xml:space="preserve">Inpatient – New beds </w:t>
            </w:r>
          </w:p>
        </w:tc>
        <w:tc>
          <w:tcPr>
            <w:tcW w:w="1050" w:type="dxa"/>
            <w:noWrap/>
            <w:vAlign w:val="center"/>
            <w:hideMark/>
          </w:tcPr>
          <w:p w14:paraId="7C3E6FC6" w14:textId="26BB738A"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3,064 </w:t>
            </w:r>
          </w:p>
        </w:tc>
        <w:tc>
          <w:tcPr>
            <w:tcW w:w="1050" w:type="dxa"/>
            <w:noWrap/>
            <w:vAlign w:val="center"/>
            <w:hideMark/>
          </w:tcPr>
          <w:p w14:paraId="0252EE94" w14:textId="004C4C94"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3,360 </w:t>
            </w:r>
          </w:p>
        </w:tc>
        <w:tc>
          <w:tcPr>
            <w:tcW w:w="1050" w:type="dxa"/>
            <w:noWrap/>
            <w:vAlign w:val="center"/>
            <w:hideMark/>
          </w:tcPr>
          <w:p w14:paraId="429749C1" w14:textId="0A227C45"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3,595 </w:t>
            </w:r>
          </w:p>
        </w:tc>
        <w:tc>
          <w:tcPr>
            <w:tcW w:w="1050" w:type="dxa"/>
            <w:noWrap/>
            <w:vAlign w:val="center"/>
            <w:hideMark/>
          </w:tcPr>
          <w:p w14:paraId="40F54E7A" w14:textId="680626E0"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3,847 </w:t>
            </w:r>
          </w:p>
        </w:tc>
        <w:tc>
          <w:tcPr>
            <w:tcW w:w="1050" w:type="dxa"/>
            <w:noWrap/>
            <w:vAlign w:val="center"/>
            <w:hideMark/>
          </w:tcPr>
          <w:p w14:paraId="1DD0753D" w14:textId="4F0E565A"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4,116 </w:t>
            </w:r>
          </w:p>
        </w:tc>
        <w:tc>
          <w:tcPr>
            <w:tcW w:w="1050" w:type="dxa"/>
            <w:noWrap/>
            <w:vAlign w:val="center"/>
            <w:hideMark/>
          </w:tcPr>
          <w:p w14:paraId="612E739C" w14:textId="74139654"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4,404 </w:t>
            </w:r>
          </w:p>
        </w:tc>
      </w:tr>
      <w:tr w:rsidR="00FA376F" w:rsidRPr="009F7193" w14:paraId="27B8EF6A" w14:textId="77777777" w:rsidTr="00DF68F1">
        <w:trPr>
          <w:cantSplit/>
          <w:trHeight w:val="290"/>
        </w:trPr>
        <w:tc>
          <w:tcPr>
            <w:tcW w:w="3055" w:type="dxa"/>
            <w:vAlign w:val="center"/>
          </w:tcPr>
          <w:p w14:paraId="3E4A647E" w14:textId="77777777" w:rsidR="00FA376F" w:rsidRPr="00F12784" w:rsidRDefault="00FA376F" w:rsidP="00FA376F">
            <w:pPr>
              <w:suppressAutoHyphens w:val="0"/>
              <w:rPr>
                <w:rFonts w:asciiTheme="minorHAnsi" w:hAnsiTheme="minorHAnsi"/>
                <w:color w:val="000000"/>
                <w:kern w:val="0"/>
                <w:sz w:val="20"/>
                <w:szCs w:val="20"/>
                <w14:ligatures w14:val="none"/>
              </w:rPr>
            </w:pPr>
            <w:r w:rsidRPr="00F12784">
              <w:rPr>
                <w:rFonts w:asciiTheme="minorHAnsi" w:hAnsiTheme="minorHAnsi"/>
                <w:color w:val="000000"/>
                <w:kern w:val="0"/>
                <w:sz w:val="20"/>
                <w:szCs w:val="20"/>
                <w14:ligatures w14:val="none"/>
              </w:rPr>
              <w:t>Outpatient – 5% growth</w:t>
            </w:r>
          </w:p>
        </w:tc>
        <w:tc>
          <w:tcPr>
            <w:tcW w:w="1050" w:type="dxa"/>
            <w:noWrap/>
            <w:vAlign w:val="bottom"/>
            <w:hideMark/>
          </w:tcPr>
          <w:p w14:paraId="46FE17C8" w14:textId="2E7B1A57"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3,498 </w:t>
            </w:r>
          </w:p>
        </w:tc>
        <w:tc>
          <w:tcPr>
            <w:tcW w:w="1050" w:type="dxa"/>
            <w:noWrap/>
            <w:vAlign w:val="bottom"/>
            <w:hideMark/>
          </w:tcPr>
          <w:p w14:paraId="1CE31D9D" w14:textId="43AE3EF7"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3,707 </w:t>
            </w:r>
          </w:p>
        </w:tc>
        <w:tc>
          <w:tcPr>
            <w:tcW w:w="1050" w:type="dxa"/>
            <w:noWrap/>
            <w:vAlign w:val="bottom"/>
            <w:hideMark/>
          </w:tcPr>
          <w:p w14:paraId="4FF3CE3A" w14:textId="0EB26EE3"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3,929 </w:t>
            </w:r>
          </w:p>
        </w:tc>
        <w:tc>
          <w:tcPr>
            <w:tcW w:w="1050" w:type="dxa"/>
            <w:noWrap/>
            <w:vAlign w:val="bottom"/>
            <w:hideMark/>
          </w:tcPr>
          <w:p w14:paraId="573B57C4" w14:textId="6E54B62E"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4,165 </w:t>
            </w:r>
          </w:p>
        </w:tc>
        <w:tc>
          <w:tcPr>
            <w:tcW w:w="1050" w:type="dxa"/>
            <w:noWrap/>
            <w:vAlign w:val="bottom"/>
            <w:hideMark/>
          </w:tcPr>
          <w:p w14:paraId="1AA2EC19" w14:textId="42DDF9FF"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4,415 </w:t>
            </w:r>
          </w:p>
        </w:tc>
        <w:tc>
          <w:tcPr>
            <w:tcW w:w="1050" w:type="dxa"/>
            <w:noWrap/>
            <w:vAlign w:val="bottom"/>
            <w:hideMark/>
          </w:tcPr>
          <w:p w14:paraId="77483227" w14:textId="58CC8C11"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4,680 </w:t>
            </w:r>
          </w:p>
        </w:tc>
      </w:tr>
      <w:tr w:rsidR="00FA376F" w:rsidRPr="009F7193" w14:paraId="6A892EFA" w14:textId="77777777" w:rsidTr="00DF68F1">
        <w:trPr>
          <w:cantSplit/>
          <w:trHeight w:val="290"/>
        </w:trPr>
        <w:tc>
          <w:tcPr>
            <w:tcW w:w="3055" w:type="dxa"/>
            <w:vAlign w:val="center"/>
          </w:tcPr>
          <w:p w14:paraId="7CC5890D" w14:textId="77777777" w:rsidR="00FA376F" w:rsidRPr="00F12784" w:rsidRDefault="00FA376F" w:rsidP="00FA376F">
            <w:pPr>
              <w:suppressAutoHyphens w:val="0"/>
              <w:jc w:val="right"/>
              <w:rPr>
                <w:rFonts w:asciiTheme="minorHAnsi" w:hAnsiTheme="minorHAnsi"/>
                <w:b/>
                <w:bCs/>
                <w:color w:val="000000"/>
                <w:kern w:val="0"/>
                <w:sz w:val="20"/>
                <w:szCs w:val="20"/>
                <w14:ligatures w14:val="none"/>
              </w:rPr>
            </w:pPr>
            <w:r w:rsidRPr="00F12784">
              <w:rPr>
                <w:rFonts w:asciiTheme="minorHAnsi" w:hAnsiTheme="minorHAnsi"/>
                <w:b/>
                <w:bCs/>
                <w:color w:val="000000"/>
                <w:kern w:val="0"/>
                <w:sz w:val="20"/>
                <w:szCs w:val="20"/>
                <w14:ligatures w14:val="none"/>
              </w:rPr>
              <w:t>Total</w:t>
            </w:r>
          </w:p>
        </w:tc>
        <w:tc>
          <w:tcPr>
            <w:tcW w:w="1050" w:type="dxa"/>
            <w:noWrap/>
            <w:vAlign w:val="center"/>
            <w:hideMark/>
          </w:tcPr>
          <w:p w14:paraId="4127A5DE" w14:textId="3A265F9D"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7,313 </w:t>
            </w:r>
          </w:p>
        </w:tc>
        <w:tc>
          <w:tcPr>
            <w:tcW w:w="1050" w:type="dxa"/>
            <w:noWrap/>
            <w:vAlign w:val="center"/>
            <w:hideMark/>
          </w:tcPr>
          <w:p w14:paraId="29131017" w14:textId="6D2ED20A"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8,004 </w:t>
            </w:r>
          </w:p>
        </w:tc>
        <w:tc>
          <w:tcPr>
            <w:tcW w:w="1050" w:type="dxa"/>
            <w:noWrap/>
            <w:vAlign w:val="center"/>
            <w:hideMark/>
          </w:tcPr>
          <w:p w14:paraId="5B5CFF0C" w14:textId="383CB8D4"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8,601 </w:t>
            </w:r>
          </w:p>
        </w:tc>
        <w:tc>
          <w:tcPr>
            <w:tcW w:w="1050" w:type="dxa"/>
            <w:noWrap/>
            <w:vAlign w:val="center"/>
            <w:hideMark/>
          </w:tcPr>
          <w:p w14:paraId="19B14E25" w14:textId="0C8B65C6"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9,226 </w:t>
            </w:r>
          </w:p>
        </w:tc>
        <w:tc>
          <w:tcPr>
            <w:tcW w:w="1050" w:type="dxa"/>
            <w:noWrap/>
            <w:vAlign w:val="center"/>
            <w:hideMark/>
          </w:tcPr>
          <w:p w14:paraId="420FB2AA" w14:textId="5ACC1EB7"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9,901 </w:t>
            </w:r>
          </w:p>
        </w:tc>
        <w:tc>
          <w:tcPr>
            <w:tcW w:w="1050" w:type="dxa"/>
            <w:noWrap/>
            <w:vAlign w:val="center"/>
            <w:hideMark/>
          </w:tcPr>
          <w:p w14:paraId="6F45F9B3" w14:textId="63C33EC0" w:rsidR="00FA376F" w:rsidRPr="00F12784" w:rsidRDefault="00FA376F" w:rsidP="00FA376F">
            <w:pPr>
              <w:suppressAutoHyphens w:val="0"/>
              <w:jc w:val="center"/>
              <w:rPr>
                <w:rFonts w:asciiTheme="minorHAnsi" w:hAnsiTheme="minorHAnsi"/>
                <w:color w:val="000000"/>
                <w:kern w:val="0"/>
                <w:sz w:val="20"/>
                <w:szCs w:val="20"/>
                <w14:ligatures w14:val="none"/>
              </w:rPr>
            </w:pPr>
            <w:r w:rsidRPr="00F12784">
              <w:rPr>
                <w:rFonts w:asciiTheme="minorHAnsi" w:hAnsiTheme="minorHAnsi"/>
                <w:sz w:val="20"/>
                <w:szCs w:val="20"/>
              </w:rPr>
              <w:t xml:space="preserve"> 10,629 </w:t>
            </w:r>
          </w:p>
        </w:tc>
      </w:tr>
      <w:tr w:rsidR="00FA376F" w:rsidRPr="009F7193" w14:paraId="08AAD183" w14:textId="77777777" w:rsidTr="00DF68F1">
        <w:trPr>
          <w:cantSplit/>
          <w:trHeight w:val="290"/>
        </w:trPr>
        <w:tc>
          <w:tcPr>
            <w:tcW w:w="3055" w:type="dxa"/>
            <w:shd w:val="clear" w:color="auto" w:fill="D9D9D9" w:themeFill="background1" w:themeFillShade="D9"/>
            <w:vAlign w:val="center"/>
          </w:tcPr>
          <w:p w14:paraId="2BDC1CD7" w14:textId="77777777" w:rsidR="00FA376F" w:rsidRPr="00F12784" w:rsidRDefault="00FA376F" w:rsidP="00FA376F">
            <w:pPr>
              <w:suppressAutoHyphens w:val="0"/>
              <w:rPr>
                <w:rFonts w:asciiTheme="minorHAnsi" w:hAnsiTheme="minorHAnsi"/>
                <w:b/>
                <w:bCs/>
                <w:color w:val="000000"/>
                <w:kern w:val="0"/>
                <w:sz w:val="20"/>
                <w:szCs w:val="20"/>
                <w14:ligatures w14:val="none"/>
              </w:rPr>
            </w:pPr>
            <w:r w:rsidRPr="00F12784">
              <w:rPr>
                <w:rFonts w:asciiTheme="minorHAnsi" w:hAnsiTheme="minorHAnsi"/>
                <w:b/>
                <w:bCs/>
                <w:color w:val="000000"/>
                <w:kern w:val="0"/>
                <w:sz w:val="20"/>
                <w:szCs w:val="20"/>
                <w14:ligatures w14:val="none"/>
              </w:rPr>
              <w:t>Utilization with Existing Capacity</w:t>
            </w:r>
          </w:p>
        </w:tc>
        <w:tc>
          <w:tcPr>
            <w:tcW w:w="1050" w:type="dxa"/>
            <w:shd w:val="clear" w:color="auto" w:fill="D9D9D9" w:themeFill="background1" w:themeFillShade="D9"/>
            <w:noWrap/>
            <w:vAlign w:val="center"/>
          </w:tcPr>
          <w:p w14:paraId="364B2CC9" w14:textId="544B37A5"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99%</w:t>
            </w:r>
          </w:p>
        </w:tc>
        <w:tc>
          <w:tcPr>
            <w:tcW w:w="1050" w:type="dxa"/>
            <w:shd w:val="clear" w:color="auto" w:fill="D9D9D9" w:themeFill="background1" w:themeFillShade="D9"/>
            <w:noWrap/>
            <w:vAlign w:val="center"/>
          </w:tcPr>
          <w:p w14:paraId="7D01FC33" w14:textId="64A2A45C"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108%</w:t>
            </w:r>
          </w:p>
        </w:tc>
        <w:tc>
          <w:tcPr>
            <w:tcW w:w="1050" w:type="dxa"/>
            <w:shd w:val="clear" w:color="auto" w:fill="D9D9D9" w:themeFill="background1" w:themeFillShade="D9"/>
            <w:noWrap/>
            <w:vAlign w:val="center"/>
          </w:tcPr>
          <w:p w14:paraId="503520EB" w14:textId="4E883B15"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116%</w:t>
            </w:r>
          </w:p>
        </w:tc>
        <w:tc>
          <w:tcPr>
            <w:tcW w:w="1050" w:type="dxa"/>
            <w:shd w:val="clear" w:color="auto" w:fill="D9D9D9" w:themeFill="background1" w:themeFillShade="D9"/>
            <w:noWrap/>
            <w:vAlign w:val="center"/>
          </w:tcPr>
          <w:p w14:paraId="213CC2E5" w14:textId="5B4F706A"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125%</w:t>
            </w:r>
          </w:p>
        </w:tc>
        <w:tc>
          <w:tcPr>
            <w:tcW w:w="1050" w:type="dxa"/>
            <w:shd w:val="clear" w:color="auto" w:fill="D9D9D9" w:themeFill="background1" w:themeFillShade="D9"/>
            <w:noWrap/>
            <w:vAlign w:val="center"/>
          </w:tcPr>
          <w:p w14:paraId="330D97C5" w14:textId="11987FE8"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134%</w:t>
            </w:r>
          </w:p>
        </w:tc>
        <w:tc>
          <w:tcPr>
            <w:tcW w:w="1050" w:type="dxa"/>
            <w:shd w:val="clear" w:color="auto" w:fill="D9D9D9" w:themeFill="background1" w:themeFillShade="D9"/>
            <w:noWrap/>
            <w:vAlign w:val="center"/>
          </w:tcPr>
          <w:p w14:paraId="2B842C78" w14:textId="226FA240" w:rsidR="00FA376F" w:rsidRPr="00F12784" w:rsidRDefault="00FA376F" w:rsidP="00FA376F">
            <w:pPr>
              <w:suppressAutoHyphens w:val="0"/>
              <w:jc w:val="center"/>
              <w:rPr>
                <w:rFonts w:asciiTheme="minorHAnsi" w:hAnsiTheme="minorHAnsi"/>
                <w:b/>
                <w:bCs/>
                <w:color w:val="000000"/>
                <w:kern w:val="0"/>
                <w:sz w:val="20"/>
                <w:szCs w:val="20"/>
                <w14:ligatures w14:val="none"/>
              </w:rPr>
            </w:pPr>
            <w:r w:rsidRPr="00F12784">
              <w:rPr>
                <w:rFonts w:asciiTheme="minorHAnsi" w:hAnsiTheme="minorHAnsi"/>
                <w:b/>
                <w:bCs/>
                <w:sz w:val="20"/>
                <w:szCs w:val="20"/>
              </w:rPr>
              <w:t>144%</w:t>
            </w:r>
          </w:p>
        </w:tc>
      </w:tr>
    </w:tbl>
    <w:p w14:paraId="7B520641" w14:textId="7F08235A" w:rsidR="00BD18EA" w:rsidRPr="009F7193" w:rsidRDefault="001E6649" w:rsidP="00947D51">
      <w:pPr>
        <w:spacing w:before="120" w:after="240"/>
        <w:jc w:val="both"/>
        <w:rPr>
          <w:rFonts w:asciiTheme="minorHAnsi" w:hAnsiTheme="minorHAnsi" w:cs="Arial"/>
          <w:sz w:val="22"/>
          <w:szCs w:val="22"/>
        </w:rPr>
      </w:pPr>
      <w:r w:rsidRPr="009F7193">
        <w:rPr>
          <w:rFonts w:asciiTheme="minorHAnsi" w:hAnsiTheme="minorHAnsi" w:cs="Arial"/>
          <w:sz w:val="22"/>
          <w:szCs w:val="22"/>
        </w:rPr>
        <w:t xml:space="preserve">Alternatively, with the Proposed Project, the Hospital will be able to accommodate the increased need for </w:t>
      </w:r>
      <w:r w:rsidR="006F6593" w:rsidRPr="009F7193">
        <w:rPr>
          <w:rFonts w:asciiTheme="minorHAnsi" w:hAnsiTheme="minorHAnsi" w:cs="Arial"/>
          <w:sz w:val="22"/>
          <w:szCs w:val="22"/>
        </w:rPr>
        <w:t>MRI and</w:t>
      </w:r>
      <w:r w:rsidRPr="009F7193">
        <w:rPr>
          <w:rFonts w:asciiTheme="minorHAnsi" w:hAnsiTheme="minorHAnsi" w:cs="Arial"/>
          <w:sz w:val="22"/>
          <w:szCs w:val="22"/>
        </w:rPr>
        <w:t xml:space="preserve"> decompress its satellite MRIs so that each of the Hospital’s machines is able to run </w:t>
      </w:r>
      <w:r w:rsidR="00C11EA4">
        <w:rPr>
          <w:rFonts w:asciiTheme="minorHAnsi" w:hAnsiTheme="minorHAnsi" w:cs="Arial"/>
          <w:sz w:val="22"/>
          <w:szCs w:val="22"/>
        </w:rPr>
        <w:t xml:space="preserve">at a lower </w:t>
      </w:r>
      <w:r w:rsidRPr="009F7193">
        <w:rPr>
          <w:rFonts w:asciiTheme="minorHAnsi" w:hAnsiTheme="minorHAnsi" w:cs="Arial"/>
          <w:sz w:val="22"/>
          <w:szCs w:val="22"/>
        </w:rPr>
        <w:t xml:space="preserve">utilization.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050"/>
        <w:gridCol w:w="1050"/>
        <w:gridCol w:w="1050"/>
        <w:gridCol w:w="1050"/>
        <w:gridCol w:w="1050"/>
        <w:gridCol w:w="1050"/>
      </w:tblGrid>
      <w:tr w:rsidR="001E6649" w:rsidRPr="009F7193" w14:paraId="76AAF6B5" w14:textId="77777777" w:rsidTr="00DF68F1">
        <w:trPr>
          <w:cantSplit/>
          <w:trHeight w:val="290"/>
          <w:tblHeader/>
        </w:trPr>
        <w:tc>
          <w:tcPr>
            <w:tcW w:w="3055" w:type="dxa"/>
          </w:tcPr>
          <w:p w14:paraId="420DCAB0" w14:textId="4B36E31C" w:rsidR="001E6649" w:rsidRPr="00F12784" w:rsidRDefault="001E6649" w:rsidP="009B300B">
            <w:pPr>
              <w:suppressAutoHyphens w:val="0"/>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 xml:space="preserve">Table </w:t>
            </w:r>
            <w:r w:rsidR="00947D51" w:rsidRPr="00F12784">
              <w:rPr>
                <w:rFonts w:ascii="Aptos Narrow" w:hAnsi="Aptos Narrow"/>
                <w:b/>
                <w:bCs/>
                <w:color w:val="000000"/>
                <w:kern w:val="0"/>
                <w:sz w:val="20"/>
                <w:szCs w:val="20"/>
                <w14:ligatures w14:val="none"/>
              </w:rPr>
              <w:t>14</w:t>
            </w:r>
            <w:r w:rsidRPr="00F12784">
              <w:rPr>
                <w:rFonts w:ascii="Aptos Narrow" w:hAnsi="Aptos Narrow"/>
                <w:b/>
                <w:bCs/>
                <w:color w:val="000000"/>
                <w:kern w:val="0"/>
                <w:sz w:val="20"/>
                <w:szCs w:val="20"/>
                <w14:ligatures w14:val="none"/>
              </w:rPr>
              <w:t>: Projected Utilization</w:t>
            </w:r>
          </w:p>
        </w:tc>
        <w:tc>
          <w:tcPr>
            <w:tcW w:w="1050" w:type="dxa"/>
            <w:noWrap/>
            <w:vAlign w:val="bottom"/>
          </w:tcPr>
          <w:p w14:paraId="26259FAD" w14:textId="77777777" w:rsidR="001E6649" w:rsidRPr="00F12784" w:rsidRDefault="001E6649" w:rsidP="009B300B">
            <w:pPr>
              <w:suppressAutoHyphens w:val="0"/>
              <w:jc w:val="center"/>
              <w:rPr>
                <w:rFonts w:ascii="Aptos Narrow" w:hAnsi="Aptos Narrow"/>
                <w:i/>
                <w:iCs/>
                <w:color w:val="000000"/>
                <w:kern w:val="0"/>
                <w:sz w:val="20"/>
                <w:szCs w:val="20"/>
                <w14:ligatures w14:val="none"/>
              </w:rPr>
            </w:pPr>
            <w:r w:rsidRPr="00F12784">
              <w:rPr>
                <w:rFonts w:ascii="Aptos Narrow" w:hAnsi="Aptos Narrow"/>
                <w:i/>
                <w:iCs/>
                <w:color w:val="000000"/>
                <w:kern w:val="0"/>
                <w:sz w:val="20"/>
                <w:szCs w:val="20"/>
                <w14:ligatures w14:val="none"/>
              </w:rPr>
              <w:t>FY26</w:t>
            </w:r>
          </w:p>
        </w:tc>
        <w:tc>
          <w:tcPr>
            <w:tcW w:w="1050" w:type="dxa"/>
            <w:noWrap/>
            <w:vAlign w:val="bottom"/>
          </w:tcPr>
          <w:p w14:paraId="0C6B6C3E" w14:textId="77777777" w:rsidR="001E6649" w:rsidRPr="00F12784" w:rsidRDefault="001E6649" w:rsidP="009B300B">
            <w:pPr>
              <w:suppressAutoHyphens w:val="0"/>
              <w:jc w:val="center"/>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FY27</w:t>
            </w:r>
            <w:r w:rsidRPr="00F12784">
              <w:rPr>
                <w:rStyle w:val="FootnoteReference"/>
                <w:rFonts w:ascii="Aptos Narrow" w:hAnsi="Aptos Narrow"/>
                <w:b/>
                <w:bCs/>
                <w:color w:val="000000"/>
                <w:kern w:val="0"/>
                <w:sz w:val="20"/>
                <w:szCs w:val="20"/>
                <w14:ligatures w14:val="none"/>
              </w:rPr>
              <w:footnoteReference w:id="7"/>
            </w:r>
          </w:p>
        </w:tc>
        <w:tc>
          <w:tcPr>
            <w:tcW w:w="1050" w:type="dxa"/>
            <w:noWrap/>
            <w:vAlign w:val="bottom"/>
          </w:tcPr>
          <w:p w14:paraId="10244970" w14:textId="77777777" w:rsidR="001E6649" w:rsidRPr="00F12784" w:rsidRDefault="001E6649" w:rsidP="009B300B">
            <w:pPr>
              <w:suppressAutoHyphens w:val="0"/>
              <w:jc w:val="center"/>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FY28</w:t>
            </w:r>
          </w:p>
        </w:tc>
        <w:tc>
          <w:tcPr>
            <w:tcW w:w="1050" w:type="dxa"/>
            <w:noWrap/>
            <w:vAlign w:val="bottom"/>
          </w:tcPr>
          <w:p w14:paraId="5B220908" w14:textId="77777777" w:rsidR="001E6649" w:rsidRPr="00F12784" w:rsidRDefault="001E6649" w:rsidP="009B300B">
            <w:pPr>
              <w:suppressAutoHyphens w:val="0"/>
              <w:jc w:val="center"/>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FY29</w:t>
            </w:r>
          </w:p>
        </w:tc>
        <w:tc>
          <w:tcPr>
            <w:tcW w:w="1050" w:type="dxa"/>
            <w:noWrap/>
            <w:vAlign w:val="bottom"/>
          </w:tcPr>
          <w:p w14:paraId="43C14C5A" w14:textId="77777777" w:rsidR="001E6649" w:rsidRPr="00F12784" w:rsidRDefault="001E6649" w:rsidP="009B300B">
            <w:pPr>
              <w:suppressAutoHyphens w:val="0"/>
              <w:jc w:val="center"/>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FY30</w:t>
            </w:r>
          </w:p>
        </w:tc>
        <w:tc>
          <w:tcPr>
            <w:tcW w:w="1050" w:type="dxa"/>
            <w:noWrap/>
            <w:vAlign w:val="bottom"/>
          </w:tcPr>
          <w:p w14:paraId="699AE75E" w14:textId="77777777" w:rsidR="001E6649" w:rsidRPr="00F12784" w:rsidRDefault="001E6649" w:rsidP="009B300B">
            <w:pPr>
              <w:suppressAutoHyphens w:val="0"/>
              <w:jc w:val="center"/>
              <w:rPr>
                <w:rFonts w:ascii="Aptos Narrow" w:hAnsi="Aptos Narrow"/>
                <w:color w:val="000000"/>
                <w:kern w:val="0"/>
                <w:sz w:val="20"/>
                <w:szCs w:val="20"/>
                <w14:ligatures w14:val="none"/>
              </w:rPr>
            </w:pPr>
            <w:r w:rsidRPr="00F12784">
              <w:rPr>
                <w:rFonts w:ascii="Aptos Narrow" w:hAnsi="Aptos Narrow"/>
                <w:b/>
                <w:bCs/>
                <w:color w:val="000000"/>
                <w:kern w:val="0"/>
                <w:sz w:val="20"/>
                <w:szCs w:val="20"/>
                <w14:ligatures w14:val="none"/>
              </w:rPr>
              <w:t>FY31</w:t>
            </w:r>
          </w:p>
        </w:tc>
      </w:tr>
      <w:tr w:rsidR="00BE00FF" w:rsidRPr="009F7193" w14:paraId="337FF69B" w14:textId="77777777" w:rsidTr="00DF68F1">
        <w:trPr>
          <w:cantSplit/>
          <w:trHeight w:val="290"/>
        </w:trPr>
        <w:tc>
          <w:tcPr>
            <w:tcW w:w="3055" w:type="dxa"/>
            <w:vAlign w:val="center"/>
          </w:tcPr>
          <w:p w14:paraId="17C77DBC" w14:textId="564618A1" w:rsidR="00BE00FF" w:rsidRPr="00F12784" w:rsidRDefault="00BE00FF" w:rsidP="00BE00FF">
            <w:pPr>
              <w:suppressAutoHyphens w:val="0"/>
              <w:rPr>
                <w:rFonts w:ascii="Aptos Narrow" w:hAnsi="Aptos Narrow"/>
                <w:color w:val="000000"/>
                <w:kern w:val="0"/>
                <w:sz w:val="20"/>
                <w:szCs w:val="20"/>
                <w14:ligatures w14:val="none"/>
              </w:rPr>
            </w:pPr>
            <w:r w:rsidRPr="00F12784">
              <w:rPr>
                <w:rFonts w:ascii="Aptos Narrow" w:hAnsi="Aptos Narrow"/>
                <w:color w:val="000000"/>
                <w:kern w:val="0"/>
                <w:sz w:val="20"/>
                <w:szCs w:val="20"/>
                <w14:ligatures w14:val="none"/>
              </w:rPr>
              <w:t>Emergency – Trauma, Stroke</w:t>
            </w:r>
          </w:p>
        </w:tc>
        <w:tc>
          <w:tcPr>
            <w:tcW w:w="1050" w:type="dxa"/>
            <w:noWrap/>
            <w:vAlign w:val="center"/>
          </w:tcPr>
          <w:p w14:paraId="5B2F5210" w14:textId="664798A7" w:rsidR="00BE00FF" w:rsidRPr="00F12784" w:rsidRDefault="00BE00FF" w:rsidP="00BE00FF">
            <w:pPr>
              <w:suppressAutoHyphens w:val="0"/>
              <w:jc w:val="center"/>
              <w:rPr>
                <w:rFonts w:ascii="Aptos Narrow" w:hAnsi="Aptos Narrow"/>
                <w:i/>
                <w:iCs/>
                <w:color w:val="000000"/>
                <w:sz w:val="20"/>
                <w:szCs w:val="20"/>
              </w:rPr>
            </w:pPr>
            <w:r w:rsidRPr="00F12784">
              <w:rPr>
                <w:rFonts w:ascii="Aptos Narrow" w:hAnsi="Aptos Narrow"/>
                <w:i/>
                <w:iCs/>
                <w:color w:val="000000"/>
                <w:sz w:val="20"/>
                <w:szCs w:val="20"/>
              </w:rPr>
              <w:t>751</w:t>
            </w:r>
          </w:p>
        </w:tc>
        <w:tc>
          <w:tcPr>
            <w:tcW w:w="1050" w:type="dxa"/>
            <w:noWrap/>
            <w:vAlign w:val="center"/>
          </w:tcPr>
          <w:p w14:paraId="416C1591" w14:textId="63B83355"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938</w:t>
            </w:r>
          </w:p>
        </w:tc>
        <w:tc>
          <w:tcPr>
            <w:tcW w:w="1050" w:type="dxa"/>
            <w:noWrap/>
            <w:vAlign w:val="center"/>
          </w:tcPr>
          <w:p w14:paraId="6A8428C6" w14:textId="2C9624FD"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1,076</w:t>
            </w:r>
          </w:p>
        </w:tc>
        <w:tc>
          <w:tcPr>
            <w:tcW w:w="1050" w:type="dxa"/>
            <w:noWrap/>
            <w:vAlign w:val="center"/>
          </w:tcPr>
          <w:p w14:paraId="6B1D309C" w14:textId="1715C0F9"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1,214</w:t>
            </w:r>
          </w:p>
        </w:tc>
        <w:tc>
          <w:tcPr>
            <w:tcW w:w="1050" w:type="dxa"/>
            <w:noWrap/>
            <w:vAlign w:val="center"/>
          </w:tcPr>
          <w:p w14:paraId="59DEB41A" w14:textId="3898D9BD"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1,370</w:t>
            </w:r>
          </w:p>
        </w:tc>
        <w:tc>
          <w:tcPr>
            <w:tcW w:w="1050" w:type="dxa"/>
            <w:noWrap/>
            <w:vAlign w:val="center"/>
          </w:tcPr>
          <w:p w14:paraId="4FB024C8" w14:textId="5AE5F3DC"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1,545</w:t>
            </w:r>
          </w:p>
        </w:tc>
      </w:tr>
      <w:tr w:rsidR="00BE00FF" w:rsidRPr="009F7193" w14:paraId="3BBA814F" w14:textId="77777777" w:rsidTr="00DF68F1">
        <w:trPr>
          <w:cantSplit/>
          <w:trHeight w:val="290"/>
        </w:trPr>
        <w:tc>
          <w:tcPr>
            <w:tcW w:w="3055" w:type="dxa"/>
            <w:vAlign w:val="center"/>
          </w:tcPr>
          <w:p w14:paraId="4F246C01" w14:textId="77777777" w:rsidR="00BE00FF" w:rsidRPr="00F12784" w:rsidRDefault="00BE00FF" w:rsidP="00BE00FF">
            <w:pPr>
              <w:suppressAutoHyphens w:val="0"/>
              <w:rPr>
                <w:rFonts w:ascii="Aptos Narrow" w:hAnsi="Aptos Narrow"/>
                <w:color w:val="000000"/>
                <w:kern w:val="0"/>
                <w:sz w:val="20"/>
                <w:szCs w:val="20"/>
                <w14:ligatures w14:val="none"/>
              </w:rPr>
            </w:pPr>
            <w:r w:rsidRPr="00F12784">
              <w:rPr>
                <w:rFonts w:ascii="Aptos Narrow" w:hAnsi="Aptos Narrow"/>
                <w:color w:val="000000"/>
                <w:kern w:val="0"/>
                <w:sz w:val="20"/>
                <w:szCs w:val="20"/>
                <w14:ligatures w14:val="none"/>
              </w:rPr>
              <w:t xml:space="preserve">Inpatient – New beds </w:t>
            </w:r>
          </w:p>
        </w:tc>
        <w:tc>
          <w:tcPr>
            <w:tcW w:w="1050" w:type="dxa"/>
            <w:noWrap/>
            <w:vAlign w:val="center"/>
          </w:tcPr>
          <w:p w14:paraId="43503815" w14:textId="42C934B6" w:rsidR="00BE00FF" w:rsidRPr="00F12784" w:rsidRDefault="00BE00FF" w:rsidP="00BE00FF">
            <w:pPr>
              <w:suppressAutoHyphens w:val="0"/>
              <w:jc w:val="center"/>
              <w:rPr>
                <w:rFonts w:ascii="Aptos Narrow" w:hAnsi="Aptos Narrow"/>
                <w:i/>
                <w:iCs/>
                <w:color w:val="000000"/>
                <w:sz w:val="20"/>
                <w:szCs w:val="20"/>
              </w:rPr>
            </w:pPr>
            <w:r w:rsidRPr="00F12784">
              <w:rPr>
                <w:rFonts w:ascii="Aptos Narrow" w:hAnsi="Aptos Narrow"/>
                <w:i/>
                <w:iCs/>
                <w:color w:val="000000"/>
                <w:sz w:val="20"/>
                <w:szCs w:val="20"/>
              </w:rPr>
              <w:t>3,064</w:t>
            </w:r>
          </w:p>
        </w:tc>
        <w:tc>
          <w:tcPr>
            <w:tcW w:w="1050" w:type="dxa"/>
            <w:noWrap/>
            <w:vAlign w:val="center"/>
          </w:tcPr>
          <w:p w14:paraId="77844FAC" w14:textId="3BF7F246"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3,360</w:t>
            </w:r>
          </w:p>
        </w:tc>
        <w:tc>
          <w:tcPr>
            <w:tcW w:w="1050" w:type="dxa"/>
            <w:noWrap/>
            <w:vAlign w:val="center"/>
          </w:tcPr>
          <w:p w14:paraId="29F175B8" w14:textId="32163E33"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3,595</w:t>
            </w:r>
          </w:p>
        </w:tc>
        <w:tc>
          <w:tcPr>
            <w:tcW w:w="1050" w:type="dxa"/>
            <w:noWrap/>
            <w:vAlign w:val="center"/>
          </w:tcPr>
          <w:p w14:paraId="2F3DCD9D" w14:textId="1A5CEB0B"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3,847</w:t>
            </w:r>
          </w:p>
        </w:tc>
        <w:tc>
          <w:tcPr>
            <w:tcW w:w="1050" w:type="dxa"/>
            <w:noWrap/>
            <w:vAlign w:val="center"/>
          </w:tcPr>
          <w:p w14:paraId="7105DB98" w14:textId="79B1C787"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4,116</w:t>
            </w:r>
          </w:p>
        </w:tc>
        <w:tc>
          <w:tcPr>
            <w:tcW w:w="1050" w:type="dxa"/>
            <w:noWrap/>
            <w:vAlign w:val="center"/>
          </w:tcPr>
          <w:p w14:paraId="08C65513" w14:textId="344091A3"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4,404</w:t>
            </w:r>
          </w:p>
        </w:tc>
      </w:tr>
      <w:tr w:rsidR="00BE00FF" w:rsidRPr="009F7193" w14:paraId="2FDA46ED" w14:textId="77777777" w:rsidTr="00DF68F1">
        <w:trPr>
          <w:cantSplit/>
          <w:trHeight w:val="290"/>
        </w:trPr>
        <w:tc>
          <w:tcPr>
            <w:tcW w:w="3055" w:type="dxa"/>
            <w:vAlign w:val="center"/>
          </w:tcPr>
          <w:p w14:paraId="7CFF9182" w14:textId="77777777" w:rsidR="00BE00FF" w:rsidRPr="00F12784" w:rsidRDefault="00BE00FF" w:rsidP="00BE00FF">
            <w:pPr>
              <w:suppressAutoHyphens w:val="0"/>
              <w:rPr>
                <w:rFonts w:ascii="Aptos Narrow" w:hAnsi="Aptos Narrow"/>
                <w:color w:val="000000"/>
                <w:kern w:val="0"/>
                <w:sz w:val="20"/>
                <w:szCs w:val="20"/>
                <w14:ligatures w14:val="none"/>
              </w:rPr>
            </w:pPr>
            <w:r w:rsidRPr="00F12784">
              <w:rPr>
                <w:rFonts w:ascii="Aptos Narrow" w:hAnsi="Aptos Narrow"/>
                <w:color w:val="000000"/>
                <w:kern w:val="0"/>
                <w:sz w:val="20"/>
                <w:szCs w:val="20"/>
                <w14:ligatures w14:val="none"/>
              </w:rPr>
              <w:t xml:space="preserve">Outpatient – 5% Growth </w:t>
            </w:r>
            <w:r w:rsidRPr="00F12784">
              <w:rPr>
                <w:rFonts w:ascii="Aptos Narrow" w:hAnsi="Aptos Narrow"/>
                <w:b/>
                <w:bCs/>
                <w:color w:val="000000"/>
                <w:kern w:val="0"/>
                <w:sz w:val="20"/>
                <w:szCs w:val="20"/>
                <w14:ligatures w14:val="none"/>
              </w:rPr>
              <w:t>and Satellite Decompression</w:t>
            </w:r>
          </w:p>
        </w:tc>
        <w:tc>
          <w:tcPr>
            <w:tcW w:w="1050" w:type="dxa"/>
            <w:noWrap/>
            <w:vAlign w:val="center"/>
          </w:tcPr>
          <w:p w14:paraId="737E11F3" w14:textId="2C1FDCFA" w:rsidR="00BE00FF" w:rsidRPr="00F12784" w:rsidRDefault="00BE00FF" w:rsidP="00BE00FF">
            <w:pPr>
              <w:suppressAutoHyphens w:val="0"/>
              <w:jc w:val="center"/>
              <w:rPr>
                <w:rFonts w:ascii="Aptos Narrow" w:hAnsi="Aptos Narrow"/>
                <w:i/>
                <w:iCs/>
                <w:color w:val="000000"/>
                <w:sz w:val="20"/>
                <w:szCs w:val="20"/>
              </w:rPr>
            </w:pPr>
            <w:r w:rsidRPr="00F12784">
              <w:rPr>
                <w:rFonts w:ascii="Aptos Narrow" w:hAnsi="Aptos Narrow"/>
                <w:i/>
                <w:iCs/>
                <w:color w:val="000000"/>
                <w:sz w:val="20"/>
                <w:szCs w:val="20"/>
              </w:rPr>
              <w:t>3,498</w:t>
            </w:r>
          </w:p>
        </w:tc>
        <w:tc>
          <w:tcPr>
            <w:tcW w:w="1050" w:type="dxa"/>
            <w:noWrap/>
            <w:vAlign w:val="center"/>
          </w:tcPr>
          <w:p w14:paraId="46837C81" w14:textId="5D6D3697"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5,306</w:t>
            </w:r>
          </w:p>
        </w:tc>
        <w:tc>
          <w:tcPr>
            <w:tcW w:w="1050" w:type="dxa"/>
            <w:noWrap/>
            <w:vAlign w:val="center"/>
          </w:tcPr>
          <w:p w14:paraId="3D4C49FD" w14:textId="41D41B8B"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5,624</w:t>
            </w:r>
          </w:p>
        </w:tc>
        <w:tc>
          <w:tcPr>
            <w:tcW w:w="1050" w:type="dxa"/>
            <w:noWrap/>
            <w:vAlign w:val="center"/>
          </w:tcPr>
          <w:p w14:paraId="32BF42AE" w14:textId="0131716D"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5,962</w:t>
            </w:r>
          </w:p>
        </w:tc>
        <w:tc>
          <w:tcPr>
            <w:tcW w:w="1050" w:type="dxa"/>
            <w:noWrap/>
            <w:vAlign w:val="center"/>
          </w:tcPr>
          <w:p w14:paraId="6E6DE9E5" w14:textId="60D9127A"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6,319</w:t>
            </w:r>
          </w:p>
        </w:tc>
        <w:tc>
          <w:tcPr>
            <w:tcW w:w="1050" w:type="dxa"/>
            <w:noWrap/>
            <w:vAlign w:val="center"/>
          </w:tcPr>
          <w:p w14:paraId="09B2EA7C" w14:textId="02A6AEC9"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6,699</w:t>
            </w:r>
          </w:p>
        </w:tc>
      </w:tr>
      <w:tr w:rsidR="00BE00FF" w:rsidRPr="009F7193" w14:paraId="22EC702F" w14:textId="77777777" w:rsidTr="00DF68F1">
        <w:trPr>
          <w:cantSplit/>
          <w:trHeight w:val="290"/>
        </w:trPr>
        <w:tc>
          <w:tcPr>
            <w:tcW w:w="3055" w:type="dxa"/>
            <w:vAlign w:val="center"/>
          </w:tcPr>
          <w:p w14:paraId="63DFCE8F" w14:textId="77777777" w:rsidR="00BE00FF" w:rsidRPr="00F12784" w:rsidRDefault="00BE00FF" w:rsidP="00BE00FF">
            <w:pPr>
              <w:suppressAutoHyphens w:val="0"/>
              <w:jc w:val="right"/>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Total</w:t>
            </w:r>
          </w:p>
        </w:tc>
        <w:tc>
          <w:tcPr>
            <w:tcW w:w="1050" w:type="dxa"/>
            <w:noWrap/>
            <w:vAlign w:val="center"/>
          </w:tcPr>
          <w:p w14:paraId="1C042356" w14:textId="4F8C1981" w:rsidR="00BE00FF" w:rsidRPr="00F12784" w:rsidRDefault="00BE00FF" w:rsidP="00BE00FF">
            <w:pPr>
              <w:suppressAutoHyphens w:val="0"/>
              <w:jc w:val="center"/>
              <w:rPr>
                <w:rFonts w:ascii="Aptos Narrow" w:hAnsi="Aptos Narrow"/>
                <w:i/>
                <w:iCs/>
                <w:color w:val="000000"/>
                <w:sz w:val="20"/>
                <w:szCs w:val="20"/>
              </w:rPr>
            </w:pPr>
            <w:r w:rsidRPr="00F12784">
              <w:rPr>
                <w:rFonts w:ascii="Aptos Narrow" w:hAnsi="Aptos Narrow"/>
                <w:i/>
                <w:iCs/>
                <w:color w:val="000000"/>
                <w:sz w:val="20"/>
                <w:szCs w:val="20"/>
              </w:rPr>
              <w:t>7,313</w:t>
            </w:r>
          </w:p>
        </w:tc>
        <w:tc>
          <w:tcPr>
            <w:tcW w:w="1050" w:type="dxa"/>
            <w:noWrap/>
            <w:vAlign w:val="center"/>
          </w:tcPr>
          <w:p w14:paraId="65CC567C" w14:textId="4CBB4474"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9,603</w:t>
            </w:r>
          </w:p>
        </w:tc>
        <w:tc>
          <w:tcPr>
            <w:tcW w:w="1050" w:type="dxa"/>
            <w:noWrap/>
            <w:vAlign w:val="center"/>
          </w:tcPr>
          <w:p w14:paraId="6B1EAE62" w14:textId="473DF7C6"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10,296</w:t>
            </w:r>
          </w:p>
        </w:tc>
        <w:tc>
          <w:tcPr>
            <w:tcW w:w="1050" w:type="dxa"/>
            <w:noWrap/>
            <w:vAlign w:val="center"/>
          </w:tcPr>
          <w:p w14:paraId="1314CF8E" w14:textId="2F573468"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11,023</w:t>
            </w:r>
          </w:p>
        </w:tc>
        <w:tc>
          <w:tcPr>
            <w:tcW w:w="1050" w:type="dxa"/>
            <w:noWrap/>
            <w:vAlign w:val="center"/>
          </w:tcPr>
          <w:p w14:paraId="206B2812" w14:textId="3F824C94"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11,805</w:t>
            </w:r>
          </w:p>
        </w:tc>
        <w:tc>
          <w:tcPr>
            <w:tcW w:w="1050" w:type="dxa"/>
            <w:noWrap/>
            <w:vAlign w:val="center"/>
          </w:tcPr>
          <w:p w14:paraId="49ECF7D5" w14:textId="04C09898" w:rsidR="00BE00FF" w:rsidRPr="00F12784" w:rsidRDefault="00BE00FF" w:rsidP="00BE00FF">
            <w:pPr>
              <w:suppressAutoHyphens w:val="0"/>
              <w:jc w:val="center"/>
              <w:rPr>
                <w:rFonts w:ascii="Aptos Narrow" w:hAnsi="Aptos Narrow"/>
                <w:color w:val="000000"/>
                <w:sz w:val="20"/>
                <w:szCs w:val="20"/>
              </w:rPr>
            </w:pPr>
            <w:r w:rsidRPr="00F12784">
              <w:rPr>
                <w:rFonts w:ascii="Aptos Narrow" w:hAnsi="Aptos Narrow"/>
                <w:color w:val="000000"/>
                <w:sz w:val="20"/>
                <w:szCs w:val="20"/>
              </w:rPr>
              <w:t>12,648</w:t>
            </w:r>
          </w:p>
        </w:tc>
      </w:tr>
      <w:tr w:rsidR="00BE00FF" w:rsidRPr="009F7193" w14:paraId="7C083DA4" w14:textId="77777777" w:rsidTr="00DF68F1">
        <w:trPr>
          <w:cantSplit/>
          <w:trHeight w:val="290"/>
        </w:trPr>
        <w:tc>
          <w:tcPr>
            <w:tcW w:w="3055" w:type="dxa"/>
            <w:shd w:val="clear" w:color="auto" w:fill="D1D1D1" w:themeFill="background2" w:themeFillShade="E6"/>
            <w:vAlign w:val="center"/>
          </w:tcPr>
          <w:p w14:paraId="639891B1" w14:textId="77777777" w:rsidR="00BE00FF" w:rsidRPr="00F12784" w:rsidRDefault="00BE00FF" w:rsidP="00BE00FF">
            <w:pPr>
              <w:suppressAutoHyphens w:val="0"/>
              <w:rPr>
                <w:rFonts w:ascii="Aptos Narrow" w:hAnsi="Aptos Narrow"/>
                <w:b/>
                <w:bCs/>
                <w:color w:val="000000"/>
                <w:kern w:val="0"/>
                <w:sz w:val="20"/>
                <w:szCs w:val="20"/>
                <w14:ligatures w14:val="none"/>
              </w:rPr>
            </w:pPr>
            <w:r w:rsidRPr="00F12784">
              <w:rPr>
                <w:rFonts w:ascii="Aptos Narrow" w:hAnsi="Aptos Narrow"/>
                <w:b/>
                <w:bCs/>
                <w:color w:val="000000"/>
                <w:kern w:val="0"/>
                <w:sz w:val="20"/>
                <w:szCs w:val="20"/>
                <w14:ligatures w14:val="none"/>
              </w:rPr>
              <w:t>Utilization with Proposed Project</w:t>
            </w:r>
          </w:p>
        </w:tc>
        <w:tc>
          <w:tcPr>
            <w:tcW w:w="1050" w:type="dxa"/>
            <w:shd w:val="clear" w:color="auto" w:fill="D1D1D1" w:themeFill="background2" w:themeFillShade="E6"/>
            <w:noWrap/>
            <w:vAlign w:val="center"/>
          </w:tcPr>
          <w:p w14:paraId="6F1A0C3D" w14:textId="73C7728E" w:rsidR="00BE00FF" w:rsidRPr="00F12784" w:rsidRDefault="00C11EA4" w:rsidP="00BE00FF">
            <w:pPr>
              <w:suppressAutoHyphens w:val="0"/>
              <w:jc w:val="center"/>
              <w:rPr>
                <w:rFonts w:ascii="Aptos Narrow" w:hAnsi="Aptos Narrow"/>
                <w:i/>
                <w:iCs/>
                <w:color w:val="000000"/>
                <w:kern w:val="0"/>
                <w:sz w:val="20"/>
                <w:szCs w:val="20"/>
                <w14:ligatures w14:val="none"/>
              </w:rPr>
            </w:pPr>
            <w:r w:rsidRPr="00F12784">
              <w:rPr>
                <w:rFonts w:ascii="Aptos Narrow" w:hAnsi="Aptos Narrow"/>
                <w:i/>
                <w:iCs/>
                <w:color w:val="000000"/>
                <w:sz w:val="20"/>
                <w:szCs w:val="20"/>
              </w:rPr>
              <w:t>99</w:t>
            </w:r>
            <w:r w:rsidR="00BE00FF" w:rsidRPr="00F12784">
              <w:rPr>
                <w:rFonts w:ascii="Aptos Narrow" w:hAnsi="Aptos Narrow"/>
                <w:i/>
                <w:iCs/>
                <w:color w:val="000000"/>
                <w:sz w:val="20"/>
                <w:szCs w:val="20"/>
              </w:rPr>
              <w:t>%</w:t>
            </w:r>
          </w:p>
        </w:tc>
        <w:tc>
          <w:tcPr>
            <w:tcW w:w="1050" w:type="dxa"/>
            <w:shd w:val="clear" w:color="auto" w:fill="D1D1D1" w:themeFill="background2" w:themeFillShade="E6"/>
            <w:noWrap/>
            <w:vAlign w:val="center"/>
          </w:tcPr>
          <w:p w14:paraId="5554714D" w14:textId="0F14A2A6" w:rsidR="00BE00FF" w:rsidRPr="00F12784" w:rsidRDefault="00BE00FF" w:rsidP="00BE00FF">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sz w:val="20"/>
                <w:szCs w:val="20"/>
              </w:rPr>
              <w:t>65%</w:t>
            </w:r>
          </w:p>
        </w:tc>
        <w:tc>
          <w:tcPr>
            <w:tcW w:w="1050" w:type="dxa"/>
            <w:shd w:val="clear" w:color="auto" w:fill="D9D9D9" w:themeFill="background1" w:themeFillShade="D9"/>
            <w:noWrap/>
            <w:vAlign w:val="center"/>
          </w:tcPr>
          <w:p w14:paraId="238B7B9A" w14:textId="25B077F9" w:rsidR="00BE00FF" w:rsidRPr="00F12784" w:rsidRDefault="00BE00FF" w:rsidP="00BE00FF">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sz w:val="20"/>
                <w:szCs w:val="20"/>
              </w:rPr>
              <w:t>70%</w:t>
            </w:r>
          </w:p>
        </w:tc>
        <w:tc>
          <w:tcPr>
            <w:tcW w:w="1050" w:type="dxa"/>
            <w:shd w:val="clear" w:color="auto" w:fill="D9D9D9" w:themeFill="background1" w:themeFillShade="D9"/>
            <w:noWrap/>
            <w:vAlign w:val="center"/>
          </w:tcPr>
          <w:p w14:paraId="39119A9D" w14:textId="7DF751BC" w:rsidR="00BE00FF" w:rsidRPr="00F12784" w:rsidRDefault="00BE00FF" w:rsidP="00BE00FF">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sz w:val="20"/>
                <w:szCs w:val="20"/>
              </w:rPr>
              <w:t>75%</w:t>
            </w:r>
          </w:p>
        </w:tc>
        <w:tc>
          <w:tcPr>
            <w:tcW w:w="1050" w:type="dxa"/>
            <w:shd w:val="clear" w:color="auto" w:fill="D9D9D9" w:themeFill="background1" w:themeFillShade="D9"/>
            <w:noWrap/>
            <w:vAlign w:val="center"/>
          </w:tcPr>
          <w:p w14:paraId="73654070" w14:textId="1407A80A" w:rsidR="00BE00FF" w:rsidRPr="00F12784" w:rsidRDefault="00BE00FF" w:rsidP="00BE00FF">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sz w:val="20"/>
                <w:szCs w:val="20"/>
              </w:rPr>
              <w:t>80%</w:t>
            </w:r>
          </w:p>
        </w:tc>
        <w:tc>
          <w:tcPr>
            <w:tcW w:w="1050" w:type="dxa"/>
            <w:shd w:val="clear" w:color="auto" w:fill="D9D9D9" w:themeFill="background1" w:themeFillShade="D9"/>
            <w:noWrap/>
            <w:vAlign w:val="center"/>
          </w:tcPr>
          <w:p w14:paraId="0E660CDD" w14:textId="04C63C29" w:rsidR="00BE00FF" w:rsidRPr="00F12784" w:rsidRDefault="00BE00FF" w:rsidP="00BE00FF">
            <w:pPr>
              <w:suppressAutoHyphens w:val="0"/>
              <w:jc w:val="center"/>
              <w:rPr>
                <w:rFonts w:ascii="Aptos Narrow" w:hAnsi="Aptos Narrow"/>
                <w:b/>
                <w:bCs/>
                <w:color w:val="000000"/>
                <w:kern w:val="0"/>
                <w:sz w:val="20"/>
                <w:szCs w:val="20"/>
                <w14:ligatures w14:val="none"/>
              </w:rPr>
            </w:pPr>
            <w:r w:rsidRPr="00F12784">
              <w:rPr>
                <w:rFonts w:ascii="Aptos Narrow" w:hAnsi="Aptos Narrow"/>
                <w:b/>
                <w:bCs/>
                <w:color w:val="000000"/>
                <w:sz w:val="20"/>
                <w:szCs w:val="20"/>
              </w:rPr>
              <w:t>86%</w:t>
            </w:r>
          </w:p>
        </w:tc>
      </w:tr>
    </w:tbl>
    <w:p w14:paraId="6331C818" w14:textId="1BA5BC83" w:rsidR="001E6649" w:rsidRPr="009F7193" w:rsidRDefault="001E6649" w:rsidP="00947D51">
      <w:pPr>
        <w:widowControl w:val="0"/>
        <w:spacing w:before="240"/>
        <w:jc w:val="both"/>
        <w:rPr>
          <w:rFonts w:asciiTheme="minorHAnsi" w:eastAsia="Calibri" w:hAnsiTheme="minorHAnsi" w:cs="Arial"/>
          <w:sz w:val="22"/>
          <w:szCs w:val="22"/>
        </w:rPr>
      </w:pPr>
      <w:r w:rsidRPr="009F7193">
        <w:rPr>
          <w:rFonts w:asciiTheme="minorHAnsi" w:eastAsia="Calibri" w:hAnsiTheme="minorHAnsi" w:cs="Arial"/>
          <w:sz w:val="22"/>
          <w:szCs w:val="22"/>
        </w:rPr>
        <w:t xml:space="preserve">Lastly, as the existing MRI unit will be taxed by increased utilization based on the Hospital’s projections, it is expected that the amount of downtime will increase each year, above and beyond the </w:t>
      </w:r>
      <w:r w:rsidRPr="00FD3A0A">
        <w:rPr>
          <w:rFonts w:asciiTheme="minorHAnsi" w:eastAsia="Calibri" w:hAnsiTheme="minorHAnsi" w:cs="Arial"/>
          <w:sz w:val="22"/>
          <w:szCs w:val="22"/>
        </w:rPr>
        <w:t xml:space="preserve">minimum of </w:t>
      </w:r>
      <w:r w:rsidR="009C2E77" w:rsidRPr="00FD3A0A">
        <w:rPr>
          <w:rFonts w:asciiTheme="minorHAnsi" w:eastAsia="Calibri" w:hAnsiTheme="minorHAnsi" w:cs="Arial"/>
          <w:sz w:val="22"/>
          <w:szCs w:val="22"/>
        </w:rPr>
        <w:t>12</w:t>
      </w:r>
      <w:r w:rsidRPr="00820D40">
        <w:rPr>
          <w:rFonts w:asciiTheme="minorHAnsi" w:eastAsia="Calibri" w:hAnsiTheme="minorHAnsi" w:cs="Arial"/>
          <w:sz w:val="22"/>
          <w:szCs w:val="22"/>
        </w:rPr>
        <w:t xml:space="preserve"> hours of preventative maintenance required</w:t>
      </w:r>
      <w:r w:rsidRPr="00FD3A0A">
        <w:rPr>
          <w:rFonts w:asciiTheme="minorHAnsi" w:eastAsia="Calibri" w:hAnsiTheme="minorHAnsi" w:cs="Arial"/>
          <w:sz w:val="22"/>
          <w:szCs w:val="22"/>
        </w:rPr>
        <w:t>.</w:t>
      </w:r>
      <w:r w:rsidRPr="009F7193">
        <w:rPr>
          <w:rFonts w:asciiTheme="minorHAnsi" w:eastAsia="Calibri" w:hAnsiTheme="minorHAnsi" w:cs="Arial"/>
          <w:sz w:val="22"/>
          <w:szCs w:val="22"/>
        </w:rPr>
        <w:t xml:space="preserve">  A second MRI </w:t>
      </w:r>
      <w:r w:rsidR="00947D51" w:rsidRPr="009F7193">
        <w:rPr>
          <w:rFonts w:asciiTheme="minorHAnsi" w:eastAsia="Calibri" w:hAnsiTheme="minorHAnsi" w:cs="Arial"/>
          <w:sz w:val="22"/>
          <w:szCs w:val="22"/>
        </w:rPr>
        <w:t xml:space="preserve">unit </w:t>
      </w:r>
      <w:r w:rsidRPr="009F7193">
        <w:rPr>
          <w:rFonts w:asciiTheme="minorHAnsi" w:eastAsia="Calibri" w:hAnsiTheme="minorHAnsi" w:cs="Arial"/>
          <w:sz w:val="22"/>
          <w:szCs w:val="22"/>
        </w:rPr>
        <w:t>is necessary to not only mitigate planned downtime on the existing unit by shifting scans to a second MRI unit, but to account for unplanned disruptions or multiple emergency patients. This is especially critical as the Cape and Islands only trauma hospital. Further, by reducing over-utilization of the current unit, the Hospital will be able to extend its useful life, delaying the need for replacement and significant disruption for patients. By planning for projected need, the Hospital can create redundancy in its MRI service, thereby mitigating planned and unplanned disruptions and ensuring timely access to diagnostic imaging</w:t>
      </w:r>
      <w:r w:rsidR="00947D51" w:rsidRPr="009F7193">
        <w:rPr>
          <w:rFonts w:asciiTheme="minorHAnsi" w:eastAsia="Calibri" w:hAnsiTheme="minorHAnsi" w:cs="Arial"/>
          <w:sz w:val="22"/>
          <w:szCs w:val="22"/>
        </w:rPr>
        <w:t xml:space="preserve"> for </w:t>
      </w:r>
      <w:proofErr w:type="gramStart"/>
      <w:r w:rsidR="00947D51" w:rsidRPr="009F7193">
        <w:rPr>
          <w:rFonts w:asciiTheme="minorHAnsi" w:eastAsia="Calibri" w:hAnsiTheme="minorHAnsi" w:cs="Arial"/>
          <w:sz w:val="22"/>
          <w:szCs w:val="22"/>
        </w:rPr>
        <w:t>emergency</w:t>
      </w:r>
      <w:proofErr w:type="gramEnd"/>
      <w:r w:rsidR="00947D51" w:rsidRPr="009F7193">
        <w:rPr>
          <w:rFonts w:asciiTheme="minorHAnsi" w:eastAsia="Calibri" w:hAnsiTheme="minorHAnsi" w:cs="Arial"/>
          <w:sz w:val="22"/>
          <w:szCs w:val="22"/>
        </w:rPr>
        <w:t xml:space="preserve"> and inpatients, including patients presenting with stroke symptoms</w:t>
      </w:r>
      <w:r w:rsidRPr="009F7193">
        <w:rPr>
          <w:rFonts w:asciiTheme="minorHAnsi" w:eastAsia="Calibri" w:hAnsiTheme="minorHAnsi" w:cs="Arial"/>
          <w:sz w:val="22"/>
          <w:szCs w:val="22"/>
        </w:rPr>
        <w:t>.</w:t>
      </w:r>
    </w:p>
    <w:p w14:paraId="07D622F4" w14:textId="41613F57" w:rsidR="001E6649" w:rsidRPr="009F7193" w:rsidRDefault="001E6649" w:rsidP="001E6649">
      <w:pPr>
        <w:spacing w:before="120"/>
        <w:jc w:val="both"/>
        <w:rPr>
          <w:rFonts w:asciiTheme="minorHAnsi" w:eastAsia="Calibri" w:hAnsiTheme="minorHAnsi" w:cs="Arial"/>
          <w:sz w:val="22"/>
          <w:szCs w:val="22"/>
        </w:rPr>
      </w:pPr>
      <w:r w:rsidRPr="009F7193">
        <w:rPr>
          <w:rFonts w:asciiTheme="minorHAnsi" w:eastAsia="Calibri" w:hAnsiTheme="minorHAnsi" w:cs="Arial"/>
          <w:sz w:val="22"/>
          <w:szCs w:val="22"/>
        </w:rPr>
        <w:t xml:space="preserve">In summary, the Proposed Project represents a strategic and timely solution to the Hospital’s escalating MRI utilization. With demand for MRI services already </w:t>
      </w:r>
      <w:r w:rsidR="00947D51" w:rsidRPr="009F7193">
        <w:rPr>
          <w:rFonts w:asciiTheme="minorHAnsi" w:eastAsia="Calibri" w:hAnsiTheme="minorHAnsi" w:cs="Arial"/>
          <w:sz w:val="22"/>
          <w:szCs w:val="22"/>
        </w:rPr>
        <w:t xml:space="preserve">averaging 89% </w:t>
      </w:r>
      <w:r w:rsidRPr="009F7193">
        <w:rPr>
          <w:rFonts w:asciiTheme="minorHAnsi" w:eastAsia="Calibri" w:hAnsiTheme="minorHAnsi" w:cs="Arial"/>
          <w:sz w:val="22"/>
          <w:szCs w:val="22"/>
        </w:rPr>
        <w:t xml:space="preserve">across both the main campus and satellite locations, and with further growth expected due to the Hospital’s recent trauma designation, expanded inpatient capacity, </w:t>
      </w:r>
      <w:r w:rsidR="00947D51" w:rsidRPr="009F7193">
        <w:rPr>
          <w:rFonts w:asciiTheme="minorHAnsi" w:eastAsia="Calibri" w:hAnsiTheme="minorHAnsi" w:cs="Arial"/>
          <w:sz w:val="22"/>
          <w:szCs w:val="22"/>
        </w:rPr>
        <w:t>changes to stroke care state regulations</w:t>
      </w:r>
      <w:r w:rsidRPr="009F7193">
        <w:rPr>
          <w:rFonts w:asciiTheme="minorHAnsi" w:eastAsia="Calibri" w:hAnsiTheme="minorHAnsi" w:cs="Arial"/>
          <w:sz w:val="22"/>
          <w:szCs w:val="22"/>
        </w:rPr>
        <w:t xml:space="preserve">, and the region’s aging population, the Hospital faces growing pressure to ensure high-quality, timely access to </w:t>
      </w:r>
      <w:r w:rsidRPr="009F7193">
        <w:rPr>
          <w:rFonts w:asciiTheme="minorHAnsi" w:eastAsia="Calibri" w:hAnsiTheme="minorHAnsi" w:cs="Arial"/>
          <w:sz w:val="22"/>
          <w:szCs w:val="22"/>
        </w:rPr>
        <w:lastRenderedPageBreak/>
        <w:t>diagnostic imaging. By reactivating an existing MRI unit at the main campus</w:t>
      </w:r>
      <w:r w:rsidR="00947D51" w:rsidRPr="009F7193">
        <w:rPr>
          <w:rFonts w:asciiTheme="minorHAnsi" w:eastAsia="Calibri" w:hAnsiTheme="minorHAnsi" w:cs="Arial"/>
          <w:sz w:val="22"/>
          <w:szCs w:val="22"/>
        </w:rPr>
        <w:t xml:space="preserve"> at no cost</w:t>
      </w:r>
      <w:r w:rsidRPr="009F7193">
        <w:rPr>
          <w:rFonts w:asciiTheme="minorHAnsi" w:eastAsia="Calibri" w:hAnsiTheme="minorHAnsi" w:cs="Arial"/>
          <w:sz w:val="22"/>
          <w:szCs w:val="22"/>
        </w:rPr>
        <w:t>, the Hospital can immediately reduce wait times</w:t>
      </w:r>
      <w:r w:rsidR="003D5CBE">
        <w:rPr>
          <w:rFonts w:asciiTheme="minorHAnsi" w:eastAsia="Calibri" w:hAnsiTheme="minorHAnsi" w:cs="Arial"/>
          <w:sz w:val="22"/>
          <w:szCs w:val="22"/>
        </w:rPr>
        <w:t xml:space="preserve"> for ED patients and inpatients, </w:t>
      </w:r>
      <w:r w:rsidR="003D5CBE" w:rsidRPr="009F7193">
        <w:rPr>
          <w:rFonts w:asciiTheme="minorHAnsi" w:eastAsia="Calibri" w:hAnsiTheme="minorHAnsi" w:cs="Arial"/>
          <w:sz w:val="22"/>
          <w:szCs w:val="22"/>
        </w:rPr>
        <w:t>alleviate overburdened sites</w:t>
      </w:r>
      <w:r w:rsidRPr="009F7193">
        <w:rPr>
          <w:rFonts w:asciiTheme="minorHAnsi" w:eastAsia="Calibri" w:hAnsiTheme="minorHAnsi" w:cs="Arial"/>
          <w:sz w:val="22"/>
          <w:szCs w:val="22"/>
        </w:rPr>
        <w:t xml:space="preserve">, and provide essential system redundancy. This proactive approach will not only address current capacity challenges but also ensure high-quality care for the </w:t>
      </w:r>
      <w:r w:rsidR="00746241" w:rsidRPr="009F7193">
        <w:rPr>
          <w:rFonts w:asciiTheme="minorHAnsi" w:eastAsia="Calibri" w:hAnsiTheme="minorHAnsi" w:cs="Arial"/>
          <w:sz w:val="22"/>
          <w:szCs w:val="22"/>
        </w:rPr>
        <w:t>region</w:t>
      </w:r>
      <w:r w:rsidRPr="009F7193">
        <w:rPr>
          <w:rFonts w:asciiTheme="minorHAnsi" w:eastAsia="Calibri" w:hAnsiTheme="minorHAnsi" w:cs="Arial"/>
          <w:sz w:val="22"/>
          <w:szCs w:val="22"/>
        </w:rPr>
        <w:t>, allowing the Hospital to meet both present and future MRI imaging needs without additional capital investment.</w:t>
      </w:r>
    </w:p>
    <w:p w14:paraId="29ABCB57" w14:textId="77777777" w:rsidR="00307867" w:rsidRPr="009F7193" w:rsidRDefault="00307867">
      <w:pPr>
        <w:rPr>
          <w:rFonts w:asciiTheme="minorHAnsi" w:hAnsiTheme="minorHAnsi" w:cs="Arial"/>
          <w:sz w:val="22"/>
          <w:szCs w:val="22"/>
        </w:rPr>
      </w:pPr>
    </w:p>
    <w:p w14:paraId="22613A5A" w14:textId="77777777" w:rsidR="00307867" w:rsidRPr="009F7193" w:rsidRDefault="00307867" w:rsidP="00307867">
      <w:pPr>
        <w:jc w:val="both"/>
        <w:rPr>
          <w:rFonts w:asciiTheme="minorHAnsi" w:eastAsia="Arial" w:hAnsiTheme="minorHAnsi" w:cs="Arial"/>
          <w:sz w:val="22"/>
          <w:szCs w:val="22"/>
        </w:rPr>
      </w:pPr>
      <w:r w:rsidRPr="009F7193">
        <w:rPr>
          <w:rFonts w:asciiTheme="minorHAnsi" w:hAnsiTheme="minorHAnsi" w:cs="Arial"/>
          <w:b/>
          <w:sz w:val="22"/>
          <w:szCs w:val="22"/>
        </w:rPr>
        <w:t>F1.a.iii</w:t>
      </w:r>
      <w:r w:rsidRPr="009F7193">
        <w:rPr>
          <w:rFonts w:asciiTheme="minorHAnsi" w:hAnsiTheme="minorHAnsi" w:cs="Arial"/>
          <w:b/>
          <w:sz w:val="22"/>
          <w:szCs w:val="22"/>
        </w:rPr>
        <w:tab/>
      </w:r>
      <w:r w:rsidRPr="009F7193">
        <w:rPr>
          <w:rFonts w:asciiTheme="minorHAnsi" w:hAnsiTheme="minorHAnsi" w:cs="Arial"/>
          <w:sz w:val="22"/>
          <w:szCs w:val="22"/>
        </w:rPr>
        <w:tab/>
      </w:r>
      <w:r w:rsidRPr="009F7193">
        <w:rPr>
          <w:rFonts w:asciiTheme="minorHAnsi" w:hAnsiTheme="minorHAnsi" w:cs="Arial"/>
          <w:b/>
          <w:sz w:val="22"/>
          <w:szCs w:val="22"/>
          <w:u w:val="single"/>
        </w:rPr>
        <w:t>Competition:</w:t>
      </w:r>
    </w:p>
    <w:p w14:paraId="07084B2B" w14:textId="77777777" w:rsidR="00307867" w:rsidRPr="009F7193" w:rsidRDefault="00307867" w:rsidP="00307867">
      <w:pPr>
        <w:pStyle w:val="BodyText"/>
        <w:widowControl/>
        <w:spacing w:before="0"/>
        <w:ind w:left="1440"/>
        <w:jc w:val="both"/>
        <w:rPr>
          <w:rFonts w:asciiTheme="minorHAnsi" w:hAnsiTheme="minorHAnsi" w:cs="Arial"/>
          <w:b/>
          <w:kern w:val="2"/>
          <w:sz w:val="22"/>
          <w:szCs w:val="22"/>
        </w:rPr>
      </w:pPr>
      <w:bookmarkStart w:id="3" w:name="_Hlk484602333"/>
      <w:r w:rsidRPr="009F7193">
        <w:rPr>
          <w:rFonts w:asciiTheme="minorHAnsi" w:hAnsiTheme="minorHAnsi" w:cs="Arial"/>
          <w:b/>
          <w:kern w:val="2"/>
          <w:sz w:val="22"/>
          <w:szCs w:val="22"/>
        </w:rPr>
        <w:t xml:space="preserve">Provide evidence that the Proposed Project will compete </w:t>
      </w:r>
      <w:proofErr w:type="gramStart"/>
      <w:r w:rsidRPr="009F7193">
        <w:rPr>
          <w:rFonts w:asciiTheme="minorHAnsi" w:hAnsiTheme="minorHAnsi" w:cs="Arial"/>
          <w:b/>
          <w:kern w:val="2"/>
          <w:sz w:val="22"/>
          <w:szCs w:val="22"/>
        </w:rPr>
        <w:t>on the basis of</w:t>
      </w:r>
      <w:proofErr w:type="gramEnd"/>
      <w:r w:rsidRPr="009F7193">
        <w:rPr>
          <w:rFonts w:asciiTheme="minorHAnsi" w:hAnsiTheme="minorHAnsi" w:cs="Arial"/>
          <w:b/>
          <w:kern w:val="2"/>
          <w:sz w:val="22"/>
          <w:szCs w:val="22"/>
        </w:rPr>
        <w:t xml:space="preserve"> price, total medical expenses, provider costs, and other recognized measures of health care spending. </w:t>
      </w:r>
      <w:bookmarkEnd w:id="3"/>
      <w:r w:rsidRPr="009F7193">
        <w:rPr>
          <w:rFonts w:asciiTheme="minorHAnsi" w:hAnsiTheme="minorHAnsi" w:cs="Arial"/>
          <w:b/>
          <w:kern w:val="2"/>
          <w:sz w:val="22"/>
          <w:szCs w:val="22"/>
        </w:rPr>
        <w:t>When responding to this question, please consider Factor 4, Financial Feasibility and Reasonableness of Costs.</w:t>
      </w:r>
    </w:p>
    <w:p w14:paraId="64385423" w14:textId="77777777" w:rsidR="00307867" w:rsidRPr="009F7193" w:rsidRDefault="00307867" w:rsidP="00307867">
      <w:pPr>
        <w:jc w:val="both"/>
        <w:rPr>
          <w:rFonts w:asciiTheme="minorHAnsi" w:hAnsiTheme="minorHAnsi" w:cs="Arial"/>
          <w:sz w:val="22"/>
          <w:szCs w:val="22"/>
          <w:u w:val="single"/>
        </w:rPr>
      </w:pPr>
    </w:p>
    <w:p w14:paraId="13127ECB" w14:textId="6BEB5502" w:rsidR="00307867" w:rsidRPr="009F7193" w:rsidRDefault="00307867" w:rsidP="00227B01">
      <w:pPr>
        <w:widowControl w:val="0"/>
        <w:spacing w:after="120"/>
        <w:jc w:val="both"/>
        <w:rPr>
          <w:rFonts w:asciiTheme="minorHAnsi" w:hAnsiTheme="minorHAnsi" w:cs="Arial"/>
          <w:sz w:val="22"/>
          <w:szCs w:val="22"/>
        </w:rPr>
      </w:pPr>
      <w:r w:rsidRPr="009F7193">
        <w:rPr>
          <w:rFonts w:asciiTheme="minorHAnsi" w:eastAsia="Calibri" w:hAnsiTheme="minorHAnsi" w:cs="Arial"/>
          <w:sz w:val="22"/>
          <w:szCs w:val="22"/>
        </w:rPr>
        <w:t xml:space="preserve">The Proposed Project will compete </w:t>
      </w:r>
      <w:proofErr w:type="gramStart"/>
      <w:r w:rsidRPr="009F7193">
        <w:rPr>
          <w:rFonts w:asciiTheme="minorHAnsi" w:eastAsia="Calibri" w:hAnsiTheme="minorHAnsi" w:cs="Arial"/>
          <w:sz w:val="22"/>
          <w:szCs w:val="22"/>
        </w:rPr>
        <w:t xml:space="preserve">on the basis </w:t>
      </w:r>
      <w:r w:rsidR="00C00170">
        <w:rPr>
          <w:rFonts w:asciiTheme="minorHAnsi" w:eastAsia="Calibri" w:hAnsiTheme="minorHAnsi" w:cs="Arial"/>
          <w:sz w:val="22"/>
          <w:szCs w:val="22"/>
        </w:rPr>
        <w:t>of</w:t>
      </w:r>
      <w:proofErr w:type="gramEnd"/>
      <w:r w:rsidR="00C00170">
        <w:rPr>
          <w:rFonts w:asciiTheme="minorHAnsi" w:eastAsia="Calibri" w:hAnsiTheme="minorHAnsi" w:cs="Arial"/>
          <w:sz w:val="22"/>
          <w:szCs w:val="22"/>
        </w:rPr>
        <w:t xml:space="preserve"> </w:t>
      </w:r>
      <w:r w:rsidRPr="009F7193">
        <w:rPr>
          <w:rFonts w:asciiTheme="minorHAnsi" w:eastAsia="Calibri" w:hAnsiTheme="minorHAnsi" w:cs="Arial"/>
          <w:sz w:val="22"/>
          <w:szCs w:val="22"/>
        </w:rPr>
        <w:t xml:space="preserve">price, total medical expenses, </w:t>
      </w:r>
      <w:r w:rsidR="00032A90" w:rsidRPr="009F7193">
        <w:rPr>
          <w:rFonts w:asciiTheme="minorHAnsi" w:eastAsia="Calibri" w:hAnsiTheme="minorHAnsi" w:cs="Arial"/>
          <w:sz w:val="22"/>
          <w:szCs w:val="22"/>
        </w:rPr>
        <w:t xml:space="preserve">and </w:t>
      </w:r>
      <w:r w:rsidRPr="009F7193">
        <w:rPr>
          <w:rFonts w:asciiTheme="minorHAnsi" w:eastAsia="Calibri" w:hAnsiTheme="minorHAnsi" w:cs="Arial"/>
          <w:sz w:val="22"/>
          <w:szCs w:val="22"/>
        </w:rPr>
        <w:t xml:space="preserve">provider costs </w:t>
      </w:r>
      <w:r w:rsidR="00032A90" w:rsidRPr="009F7193">
        <w:rPr>
          <w:rFonts w:asciiTheme="minorHAnsi" w:eastAsia="Calibri" w:hAnsiTheme="minorHAnsi" w:cs="Arial"/>
          <w:sz w:val="22"/>
          <w:szCs w:val="22"/>
        </w:rPr>
        <w:t xml:space="preserve">because it </w:t>
      </w:r>
      <w:r w:rsidR="005E1C49" w:rsidRPr="009F7193">
        <w:rPr>
          <w:rFonts w:asciiTheme="minorHAnsi" w:eastAsia="Calibri" w:hAnsiTheme="minorHAnsi" w:cs="Arial"/>
          <w:sz w:val="22"/>
          <w:szCs w:val="22"/>
        </w:rPr>
        <w:t xml:space="preserve">will promote better health outcomes, </w:t>
      </w:r>
      <w:r w:rsidR="00032A90" w:rsidRPr="009F7193">
        <w:rPr>
          <w:rFonts w:asciiTheme="minorHAnsi" w:eastAsia="Calibri" w:hAnsiTheme="minorHAnsi" w:cs="Arial"/>
          <w:sz w:val="22"/>
          <w:szCs w:val="22"/>
        </w:rPr>
        <w:t>does not require a capital expenditure and will not increase total medical expenses or provider costs</w:t>
      </w:r>
      <w:r w:rsidRPr="009F7193">
        <w:rPr>
          <w:rFonts w:asciiTheme="minorHAnsi" w:eastAsia="Calibri" w:hAnsiTheme="minorHAnsi" w:cs="Arial"/>
          <w:sz w:val="22"/>
          <w:szCs w:val="22"/>
        </w:rPr>
        <w:t xml:space="preserve">. </w:t>
      </w:r>
      <w:r w:rsidR="005E1C49" w:rsidRPr="009F7193">
        <w:rPr>
          <w:rFonts w:asciiTheme="minorHAnsi" w:eastAsia="Calibri" w:hAnsiTheme="minorHAnsi" w:cs="Arial"/>
          <w:sz w:val="22"/>
          <w:szCs w:val="22"/>
        </w:rPr>
        <w:t xml:space="preserve">Moreover, the main objective of the Proposed Project is to meet the Hospital’s patients’ existing and projected need for MRI, rather than expanding an existing service line.  </w:t>
      </w:r>
      <w:r w:rsidRPr="009F7193">
        <w:rPr>
          <w:rFonts w:asciiTheme="minorHAnsi" w:eastAsia="Calibri" w:hAnsiTheme="minorHAnsi" w:cs="Arial"/>
          <w:sz w:val="22"/>
          <w:szCs w:val="22"/>
        </w:rPr>
        <w:t xml:space="preserve">Hospitals require timely access to MRI </w:t>
      </w:r>
      <w:proofErr w:type="gramStart"/>
      <w:r w:rsidRPr="009F7193">
        <w:rPr>
          <w:rFonts w:asciiTheme="minorHAnsi" w:eastAsia="Calibri" w:hAnsiTheme="minorHAnsi" w:cs="Arial"/>
          <w:sz w:val="22"/>
          <w:szCs w:val="22"/>
        </w:rPr>
        <w:t>in order to</w:t>
      </w:r>
      <w:proofErr w:type="gramEnd"/>
      <w:r w:rsidRPr="009F7193">
        <w:rPr>
          <w:rFonts w:asciiTheme="minorHAnsi" w:eastAsia="Calibri" w:hAnsiTheme="minorHAnsi" w:cs="Arial"/>
          <w:sz w:val="22"/>
          <w:szCs w:val="22"/>
        </w:rPr>
        <w:t xml:space="preserve"> deliver timely care, improve health outcomes, and contain overall medical costs. As discussed throughout the Application, </w:t>
      </w:r>
      <w:r w:rsidR="005E1C49" w:rsidRPr="009F7193">
        <w:rPr>
          <w:rFonts w:asciiTheme="minorHAnsi" w:eastAsia="Calibri" w:hAnsiTheme="minorHAnsi" w:cs="Arial"/>
          <w:sz w:val="22"/>
          <w:szCs w:val="22"/>
        </w:rPr>
        <w:t xml:space="preserve">the Hospital’s </w:t>
      </w:r>
      <w:r w:rsidRPr="009F7193">
        <w:rPr>
          <w:rFonts w:asciiTheme="minorHAnsi" w:eastAsia="Calibri" w:hAnsiTheme="minorHAnsi" w:cs="Arial"/>
          <w:sz w:val="22"/>
          <w:szCs w:val="22"/>
        </w:rPr>
        <w:t>existing MRI service</w:t>
      </w:r>
      <w:r w:rsidR="008D4792" w:rsidRPr="009F7193">
        <w:rPr>
          <w:rFonts w:asciiTheme="minorHAnsi" w:eastAsia="Calibri" w:hAnsiTheme="minorHAnsi" w:cs="Arial"/>
          <w:sz w:val="22"/>
          <w:szCs w:val="22"/>
        </w:rPr>
        <w:t>, inclusive of all locations,</w:t>
      </w:r>
      <w:r w:rsidRPr="009F7193">
        <w:rPr>
          <w:rFonts w:asciiTheme="minorHAnsi" w:eastAsia="Calibri" w:hAnsiTheme="minorHAnsi" w:cs="Arial"/>
          <w:sz w:val="22"/>
          <w:szCs w:val="22"/>
        </w:rPr>
        <w:t xml:space="preserve"> </w:t>
      </w:r>
      <w:proofErr w:type="gramStart"/>
      <w:r w:rsidRPr="009F7193">
        <w:rPr>
          <w:rFonts w:asciiTheme="minorHAnsi" w:eastAsia="Calibri" w:hAnsiTheme="minorHAnsi" w:cs="Arial"/>
          <w:sz w:val="22"/>
          <w:szCs w:val="22"/>
        </w:rPr>
        <w:t>is operating</w:t>
      </w:r>
      <w:proofErr w:type="gramEnd"/>
      <w:r w:rsidRPr="009F7193">
        <w:rPr>
          <w:rFonts w:asciiTheme="minorHAnsi" w:eastAsia="Calibri" w:hAnsiTheme="minorHAnsi" w:cs="Arial"/>
          <w:sz w:val="22"/>
          <w:szCs w:val="22"/>
        </w:rPr>
        <w:t xml:space="preserve"> </w:t>
      </w:r>
      <w:r w:rsidR="008D4792" w:rsidRPr="009F7193">
        <w:rPr>
          <w:rFonts w:asciiTheme="minorHAnsi" w:eastAsia="Calibri" w:hAnsiTheme="minorHAnsi" w:cs="Arial"/>
          <w:sz w:val="22"/>
          <w:szCs w:val="22"/>
        </w:rPr>
        <w:t>at 89</w:t>
      </w:r>
      <w:r w:rsidR="00DB7291" w:rsidRPr="009F7193">
        <w:rPr>
          <w:rFonts w:asciiTheme="minorHAnsi" w:eastAsia="Calibri" w:hAnsiTheme="minorHAnsi" w:cs="Arial"/>
          <w:sz w:val="22"/>
          <w:szCs w:val="22"/>
        </w:rPr>
        <w:t>% utilization</w:t>
      </w:r>
      <w:r w:rsidRPr="009F7193">
        <w:rPr>
          <w:rFonts w:asciiTheme="minorHAnsi" w:eastAsia="Calibri" w:hAnsiTheme="minorHAnsi" w:cs="Arial"/>
          <w:sz w:val="22"/>
          <w:szCs w:val="22"/>
        </w:rPr>
        <w:t xml:space="preserve">, which is causing delays for accessing MRI, particularly for outpatients. </w:t>
      </w:r>
      <w:r w:rsidRPr="009F7193">
        <w:rPr>
          <w:rFonts w:asciiTheme="minorHAnsi" w:hAnsiTheme="minorHAnsi" w:cs="Arial"/>
          <w:sz w:val="22"/>
          <w:szCs w:val="22"/>
        </w:rPr>
        <w:t xml:space="preserve">Operating a second MRI unit </w:t>
      </w:r>
      <w:r w:rsidR="008D4792" w:rsidRPr="009F7193">
        <w:rPr>
          <w:rFonts w:asciiTheme="minorHAnsi" w:hAnsiTheme="minorHAnsi" w:cs="Arial"/>
          <w:sz w:val="22"/>
          <w:szCs w:val="22"/>
        </w:rPr>
        <w:t xml:space="preserve">at the main campus </w:t>
      </w:r>
      <w:r w:rsidRPr="009F7193">
        <w:rPr>
          <w:rFonts w:asciiTheme="minorHAnsi" w:hAnsiTheme="minorHAnsi" w:cs="Arial"/>
          <w:sz w:val="22"/>
          <w:szCs w:val="22"/>
        </w:rPr>
        <w:t xml:space="preserve">will allow </w:t>
      </w:r>
      <w:r w:rsidR="00227B01" w:rsidRPr="009F7193">
        <w:rPr>
          <w:rFonts w:asciiTheme="minorHAnsi" w:hAnsiTheme="minorHAnsi" w:cs="Arial"/>
          <w:sz w:val="22"/>
          <w:szCs w:val="22"/>
        </w:rPr>
        <w:t>the Hospital</w:t>
      </w:r>
      <w:r w:rsidRPr="009F7193">
        <w:rPr>
          <w:rFonts w:asciiTheme="minorHAnsi" w:hAnsiTheme="minorHAnsi" w:cs="Arial"/>
          <w:sz w:val="22"/>
          <w:szCs w:val="22"/>
        </w:rPr>
        <w:t xml:space="preserve"> to </w:t>
      </w:r>
      <w:r w:rsidR="008D4792" w:rsidRPr="009F7193">
        <w:rPr>
          <w:rFonts w:asciiTheme="minorHAnsi" w:hAnsiTheme="minorHAnsi" w:cs="Arial"/>
          <w:sz w:val="22"/>
          <w:szCs w:val="22"/>
        </w:rPr>
        <w:t>ensure</w:t>
      </w:r>
      <w:r w:rsidRPr="009F7193">
        <w:rPr>
          <w:rFonts w:asciiTheme="minorHAnsi" w:hAnsiTheme="minorHAnsi" w:cs="Arial"/>
          <w:sz w:val="22"/>
          <w:szCs w:val="22"/>
        </w:rPr>
        <w:t xml:space="preserve"> access to MRI imaging that expedites diagnosis and treatment, thereby initiating care when the acuity of a patient’s medical condition is less costly to trea</w:t>
      </w:r>
      <w:r w:rsidR="008D4792" w:rsidRPr="009F7193">
        <w:rPr>
          <w:rFonts w:asciiTheme="minorHAnsi" w:hAnsiTheme="minorHAnsi" w:cs="Arial"/>
          <w:sz w:val="22"/>
          <w:szCs w:val="22"/>
        </w:rPr>
        <w:t>t, positively impacting TME</w:t>
      </w:r>
      <w:r w:rsidRPr="009F7193">
        <w:rPr>
          <w:rFonts w:asciiTheme="minorHAnsi" w:hAnsiTheme="minorHAnsi" w:cs="Arial"/>
          <w:sz w:val="22"/>
          <w:szCs w:val="22"/>
        </w:rPr>
        <w:t xml:space="preserve">. </w:t>
      </w:r>
    </w:p>
    <w:p w14:paraId="58F44B35" w14:textId="7B676C5F" w:rsidR="005E1C49" w:rsidRPr="009F7193" w:rsidRDefault="00307867" w:rsidP="00307867">
      <w:pPr>
        <w:pStyle w:val="BodyText2"/>
        <w:spacing w:after="160"/>
        <w:rPr>
          <w:rFonts w:asciiTheme="minorHAnsi" w:eastAsiaTheme="minorHAnsi" w:hAnsiTheme="minorHAnsi"/>
          <w:kern w:val="0"/>
          <w:sz w:val="22"/>
          <w:szCs w:val="22"/>
        </w:rPr>
      </w:pPr>
      <w:r w:rsidRPr="009F7193">
        <w:rPr>
          <w:rFonts w:asciiTheme="minorHAnsi" w:eastAsiaTheme="minorHAnsi" w:hAnsiTheme="minorHAnsi"/>
          <w:kern w:val="0"/>
          <w:sz w:val="22"/>
          <w:szCs w:val="22"/>
        </w:rPr>
        <w:t xml:space="preserve">Importantly, the Proposed Project does not require a capital expenditure to implement. The proposed second MRI unit was taken offline in 2025 </w:t>
      </w:r>
      <w:r w:rsidR="00074CBA" w:rsidRPr="009F7193">
        <w:rPr>
          <w:rFonts w:asciiTheme="minorHAnsi" w:eastAsiaTheme="minorHAnsi" w:hAnsiTheme="minorHAnsi"/>
          <w:kern w:val="0"/>
          <w:sz w:val="22"/>
          <w:szCs w:val="22"/>
        </w:rPr>
        <w:t>and a new machine licensed in its place</w:t>
      </w:r>
      <w:r w:rsidRPr="009F7193">
        <w:rPr>
          <w:rFonts w:asciiTheme="minorHAnsi" w:eastAsiaTheme="minorHAnsi" w:hAnsiTheme="minorHAnsi"/>
          <w:kern w:val="0"/>
          <w:sz w:val="22"/>
          <w:szCs w:val="22"/>
        </w:rPr>
        <w:t xml:space="preserve">.  As a result, </w:t>
      </w:r>
      <w:r w:rsidR="008D4792" w:rsidRPr="009F7193">
        <w:rPr>
          <w:rFonts w:asciiTheme="minorHAnsi" w:eastAsiaTheme="minorHAnsi" w:hAnsiTheme="minorHAnsi"/>
          <w:kern w:val="0"/>
          <w:sz w:val="22"/>
          <w:szCs w:val="22"/>
        </w:rPr>
        <w:t>there is no</w:t>
      </w:r>
      <w:r w:rsidR="005E1C49" w:rsidRPr="009F7193">
        <w:rPr>
          <w:rFonts w:asciiTheme="minorHAnsi" w:eastAsiaTheme="minorHAnsi" w:hAnsiTheme="minorHAnsi"/>
          <w:kern w:val="0"/>
          <w:sz w:val="22"/>
          <w:szCs w:val="22"/>
        </w:rPr>
        <w:t xml:space="preserve"> capital expenditure to reactivate the second MRI</w:t>
      </w:r>
      <w:r w:rsidRPr="009F7193">
        <w:rPr>
          <w:rFonts w:asciiTheme="minorHAnsi" w:eastAsiaTheme="minorHAnsi" w:hAnsiTheme="minorHAnsi"/>
          <w:kern w:val="0"/>
          <w:sz w:val="22"/>
          <w:szCs w:val="22"/>
        </w:rPr>
        <w:t xml:space="preserve">. </w:t>
      </w:r>
      <w:r w:rsidR="00074CBA" w:rsidRPr="009F7193">
        <w:rPr>
          <w:rFonts w:asciiTheme="minorHAnsi" w:eastAsiaTheme="minorHAnsi" w:hAnsiTheme="minorHAnsi"/>
          <w:kern w:val="0"/>
          <w:sz w:val="22"/>
          <w:szCs w:val="22"/>
        </w:rPr>
        <w:t>Furthe</w:t>
      </w:r>
      <w:r w:rsidR="008D4792" w:rsidRPr="009F7193">
        <w:rPr>
          <w:rFonts w:asciiTheme="minorHAnsi" w:eastAsiaTheme="minorHAnsi" w:hAnsiTheme="minorHAnsi"/>
          <w:kern w:val="0"/>
          <w:sz w:val="22"/>
          <w:szCs w:val="22"/>
        </w:rPr>
        <w:t>rmore, the price of MRI services will not be impacted by the addition of a second MRI unit at the main campus</w:t>
      </w:r>
      <w:r w:rsidR="005E1C49" w:rsidRPr="009F7193">
        <w:rPr>
          <w:rFonts w:asciiTheme="minorHAnsi" w:eastAsiaTheme="minorHAnsi" w:hAnsiTheme="minorHAnsi"/>
          <w:kern w:val="0"/>
          <w:sz w:val="22"/>
          <w:szCs w:val="22"/>
        </w:rPr>
        <w:t xml:space="preserve">. </w:t>
      </w:r>
    </w:p>
    <w:p w14:paraId="4796FCE6" w14:textId="6DEB6633" w:rsidR="00307867" w:rsidRPr="009F7193" w:rsidRDefault="005E1C49" w:rsidP="00307867">
      <w:pPr>
        <w:pStyle w:val="BodyText2"/>
        <w:spacing w:after="160"/>
        <w:rPr>
          <w:rFonts w:asciiTheme="minorHAnsi" w:eastAsiaTheme="minorHAnsi" w:hAnsiTheme="minorHAnsi"/>
          <w:kern w:val="0"/>
          <w:sz w:val="22"/>
          <w:szCs w:val="22"/>
        </w:rPr>
      </w:pPr>
      <w:r w:rsidRPr="009F7193">
        <w:rPr>
          <w:rFonts w:asciiTheme="minorHAnsi" w:eastAsiaTheme="minorHAnsi" w:hAnsiTheme="minorHAnsi"/>
          <w:kern w:val="0"/>
          <w:sz w:val="22"/>
          <w:szCs w:val="22"/>
        </w:rPr>
        <w:t xml:space="preserve">Next, </w:t>
      </w:r>
      <w:r w:rsidR="00307867" w:rsidRPr="009F7193">
        <w:rPr>
          <w:rFonts w:asciiTheme="minorHAnsi" w:eastAsiaTheme="minorHAnsi" w:hAnsiTheme="minorHAnsi"/>
          <w:kern w:val="0"/>
          <w:sz w:val="22"/>
          <w:szCs w:val="22"/>
        </w:rPr>
        <w:t xml:space="preserve">the Proposed Project will improve access to an existing service line. The addition of a second machine will </w:t>
      </w:r>
      <w:r w:rsidR="00032A90" w:rsidRPr="009F7193">
        <w:rPr>
          <w:rFonts w:asciiTheme="minorHAnsi" w:eastAsiaTheme="minorHAnsi" w:hAnsiTheme="minorHAnsi"/>
          <w:kern w:val="0"/>
          <w:sz w:val="22"/>
          <w:szCs w:val="22"/>
        </w:rPr>
        <w:t xml:space="preserve">primarily decompress the existing units which will </w:t>
      </w:r>
      <w:r w:rsidR="00307867" w:rsidRPr="009F7193">
        <w:rPr>
          <w:rFonts w:asciiTheme="minorHAnsi" w:eastAsiaTheme="minorHAnsi" w:hAnsiTheme="minorHAnsi"/>
          <w:kern w:val="0"/>
          <w:sz w:val="22"/>
          <w:szCs w:val="22"/>
        </w:rPr>
        <w:t xml:space="preserve">not only decrease </w:t>
      </w:r>
      <w:proofErr w:type="gramStart"/>
      <w:r w:rsidR="00307867" w:rsidRPr="009F7193">
        <w:rPr>
          <w:rFonts w:asciiTheme="minorHAnsi" w:eastAsiaTheme="minorHAnsi" w:hAnsiTheme="minorHAnsi"/>
          <w:kern w:val="0"/>
          <w:sz w:val="22"/>
          <w:szCs w:val="22"/>
        </w:rPr>
        <w:t>wait</w:t>
      </w:r>
      <w:proofErr w:type="gramEnd"/>
      <w:r w:rsidR="00307867" w:rsidRPr="009F7193">
        <w:rPr>
          <w:rFonts w:asciiTheme="minorHAnsi" w:eastAsiaTheme="minorHAnsi" w:hAnsiTheme="minorHAnsi"/>
          <w:kern w:val="0"/>
          <w:sz w:val="22"/>
          <w:szCs w:val="22"/>
        </w:rPr>
        <w:t xml:space="preserve"> </w:t>
      </w:r>
      <w:proofErr w:type="gramStart"/>
      <w:r w:rsidR="00307867" w:rsidRPr="009F7193">
        <w:rPr>
          <w:rFonts w:asciiTheme="minorHAnsi" w:eastAsiaTheme="minorHAnsi" w:hAnsiTheme="minorHAnsi"/>
          <w:kern w:val="0"/>
          <w:sz w:val="22"/>
          <w:szCs w:val="22"/>
        </w:rPr>
        <w:t>times, but</w:t>
      </w:r>
      <w:proofErr w:type="gramEnd"/>
      <w:r w:rsidR="00307867" w:rsidRPr="009F7193">
        <w:rPr>
          <w:rFonts w:asciiTheme="minorHAnsi" w:eastAsiaTheme="minorHAnsi" w:hAnsiTheme="minorHAnsi"/>
          <w:kern w:val="0"/>
          <w:sz w:val="22"/>
          <w:szCs w:val="22"/>
        </w:rPr>
        <w:t xml:space="preserve"> provide necessary redundancy so that any downtime of one machine can be offset by the availability of the other machine. </w:t>
      </w:r>
      <w:r w:rsidRPr="009F7193">
        <w:rPr>
          <w:rFonts w:asciiTheme="minorHAnsi" w:eastAsiaTheme="minorHAnsi" w:hAnsiTheme="minorHAnsi"/>
          <w:kern w:val="0"/>
          <w:sz w:val="22"/>
          <w:szCs w:val="22"/>
        </w:rPr>
        <w:t>Lastly</w:t>
      </w:r>
      <w:r w:rsidR="00032A90" w:rsidRPr="009F7193">
        <w:rPr>
          <w:rFonts w:asciiTheme="minorHAnsi" w:eastAsiaTheme="minorHAnsi" w:hAnsiTheme="minorHAnsi"/>
          <w:kern w:val="0"/>
          <w:sz w:val="22"/>
          <w:szCs w:val="22"/>
        </w:rPr>
        <w:t xml:space="preserve">, the use of a second machine on the Hospital’s main campus will lengthen the life expectancy of the new machine since it will be able to operate at a more manageable capacity. </w:t>
      </w:r>
      <w:r w:rsidR="00307867" w:rsidRPr="009F7193">
        <w:rPr>
          <w:rFonts w:asciiTheme="minorHAnsi" w:eastAsiaTheme="minorHAnsi" w:hAnsiTheme="minorHAnsi"/>
          <w:kern w:val="0"/>
          <w:sz w:val="22"/>
          <w:szCs w:val="22"/>
        </w:rPr>
        <w:t xml:space="preserve">Based on these considerations, the Proposed Project is a cost-effective measure to improve access to imaging services for </w:t>
      </w:r>
      <w:proofErr w:type="gramStart"/>
      <w:r w:rsidR="00307867" w:rsidRPr="009F7193">
        <w:rPr>
          <w:rFonts w:asciiTheme="minorHAnsi" w:eastAsiaTheme="minorHAnsi" w:hAnsiTheme="minorHAnsi"/>
          <w:kern w:val="0"/>
          <w:sz w:val="22"/>
          <w:szCs w:val="22"/>
        </w:rPr>
        <w:t>inpatient</w:t>
      </w:r>
      <w:proofErr w:type="gramEnd"/>
      <w:r w:rsidR="00307867" w:rsidRPr="009F7193">
        <w:rPr>
          <w:rFonts w:asciiTheme="minorHAnsi" w:eastAsiaTheme="minorHAnsi" w:hAnsiTheme="minorHAnsi"/>
          <w:kern w:val="0"/>
          <w:sz w:val="22"/>
          <w:szCs w:val="22"/>
        </w:rPr>
        <w:t xml:space="preserve">, outpatients, and emergency patients.   </w:t>
      </w:r>
    </w:p>
    <w:p w14:paraId="0BF87B48" w14:textId="77777777" w:rsidR="00307867" w:rsidRPr="009F7193" w:rsidRDefault="00307867" w:rsidP="00307867">
      <w:pPr>
        <w:jc w:val="both"/>
        <w:rPr>
          <w:rFonts w:asciiTheme="minorHAnsi" w:hAnsiTheme="minorHAnsi" w:cs="Arial"/>
          <w:b/>
          <w:bCs/>
          <w:sz w:val="22"/>
          <w:szCs w:val="22"/>
        </w:rPr>
      </w:pPr>
      <w:r w:rsidRPr="009F7193">
        <w:rPr>
          <w:rFonts w:asciiTheme="minorHAnsi" w:hAnsiTheme="minorHAnsi" w:cs="Arial"/>
          <w:b/>
          <w:bCs/>
          <w:sz w:val="22"/>
          <w:szCs w:val="22"/>
        </w:rPr>
        <w:t>F</w:t>
      </w:r>
      <w:proofErr w:type="gramStart"/>
      <w:r w:rsidRPr="009F7193">
        <w:rPr>
          <w:rFonts w:asciiTheme="minorHAnsi" w:hAnsiTheme="minorHAnsi" w:cs="Arial"/>
          <w:b/>
          <w:bCs/>
          <w:sz w:val="22"/>
          <w:szCs w:val="22"/>
        </w:rPr>
        <w:t>1.b.i.</w:t>
      </w:r>
      <w:proofErr w:type="gramEnd"/>
      <w:r w:rsidRPr="009F7193">
        <w:rPr>
          <w:rFonts w:asciiTheme="minorHAnsi" w:hAnsiTheme="minorHAnsi" w:cs="Arial"/>
          <w:b/>
          <w:bCs/>
          <w:sz w:val="22"/>
          <w:szCs w:val="22"/>
        </w:rPr>
        <w:tab/>
      </w:r>
      <w:r w:rsidRPr="009F7193">
        <w:rPr>
          <w:rFonts w:asciiTheme="minorHAnsi" w:hAnsiTheme="minorHAnsi" w:cs="Arial"/>
          <w:b/>
          <w:bCs/>
          <w:sz w:val="22"/>
          <w:szCs w:val="22"/>
        </w:rPr>
        <w:tab/>
        <w:t>Public Health Value/Evidence-Based:</w:t>
      </w:r>
    </w:p>
    <w:p w14:paraId="569E425C" w14:textId="77777777" w:rsidR="00307867" w:rsidRPr="009F7193" w:rsidRDefault="00307867" w:rsidP="00307867">
      <w:pPr>
        <w:ind w:left="1440"/>
        <w:jc w:val="both"/>
        <w:rPr>
          <w:rFonts w:asciiTheme="minorHAnsi" w:hAnsiTheme="minorHAnsi" w:cs="Arial"/>
          <w:b/>
          <w:bCs/>
          <w:i/>
          <w:iCs/>
          <w:sz w:val="22"/>
          <w:szCs w:val="22"/>
        </w:rPr>
      </w:pPr>
      <w:r w:rsidRPr="009F7193">
        <w:rPr>
          <w:rFonts w:asciiTheme="minorHAnsi" w:hAnsiTheme="minorHAnsi" w:cs="Arial"/>
          <w:b/>
          <w:bCs/>
          <w:i/>
          <w:iCs/>
          <w:sz w:val="22"/>
          <w:szCs w:val="22"/>
        </w:rPr>
        <w:t>Provide information on the evidence-base for the Proposed Project. That is, how does the Proposed Project address the Need that Applicant has identified.</w:t>
      </w:r>
    </w:p>
    <w:p w14:paraId="1064AF06" w14:textId="77777777" w:rsidR="00307867" w:rsidRPr="009F7193" w:rsidRDefault="00307867" w:rsidP="00307867">
      <w:pPr>
        <w:ind w:left="1440"/>
        <w:jc w:val="both"/>
        <w:rPr>
          <w:rFonts w:asciiTheme="minorHAnsi" w:hAnsiTheme="minorHAnsi" w:cs="Arial"/>
          <w:b/>
          <w:bCs/>
          <w:sz w:val="22"/>
          <w:szCs w:val="22"/>
        </w:rPr>
      </w:pPr>
    </w:p>
    <w:p w14:paraId="381B8591" w14:textId="1EF79B57" w:rsidR="00307867" w:rsidRPr="00903E3C" w:rsidRDefault="00307867" w:rsidP="00903E3C">
      <w:pPr>
        <w:pStyle w:val="ListParagraph"/>
        <w:numPr>
          <w:ilvl w:val="0"/>
          <w:numId w:val="5"/>
        </w:numPr>
        <w:spacing w:after="120"/>
        <w:contextualSpacing w:val="0"/>
        <w:jc w:val="both"/>
        <w:rPr>
          <w:rFonts w:asciiTheme="minorHAnsi" w:hAnsiTheme="minorHAnsi" w:cs="Arial"/>
          <w:sz w:val="22"/>
          <w:szCs w:val="22"/>
          <w:u w:val="single"/>
        </w:rPr>
      </w:pPr>
      <w:r w:rsidRPr="009F7193">
        <w:rPr>
          <w:rFonts w:asciiTheme="minorHAnsi" w:hAnsiTheme="minorHAnsi" w:cs="Arial"/>
          <w:sz w:val="22"/>
          <w:szCs w:val="22"/>
          <w:u w:val="single"/>
        </w:rPr>
        <w:t>Clinical Application of MRI in Emergencies.</w:t>
      </w:r>
    </w:p>
    <w:p w14:paraId="32861550" w14:textId="0F209BE1" w:rsidR="00307867" w:rsidRPr="009F7193" w:rsidRDefault="00032A90" w:rsidP="009954A5">
      <w:pPr>
        <w:spacing w:after="120"/>
        <w:jc w:val="both"/>
        <w:rPr>
          <w:rFonts w:asciiTheme="minorHAnsi" w:hAnsiTheme="minorHAnsi" w:cs="Arial"/>
          <w:sz w:val="22"/>
          <w:szCs w:val="22"/>
        </w:rPr>
      </w:pPr>
      <w:r w:rsidRPr="009F7193">
        <w:rPr>
          <w:rFonts w:asciiTheme="minorHAnsi" w:hAnsiTheme="minorHAnsi" w:cs="Arial"/>
          <w:sz w:val="22"/>
          <w:szCs w:val="22"/>
        </w:rPr>
        <w:t xml:space="preserve">Timely </w:t>
      </w:r>
      <w:r w:rsidR="00307867" w:rsidRPr="009F7193">
        <w:rPr>
          <w:rFonts w:asciiTheme="minorHAnsi" w:hAnsiTheme="minorHAnsi" w:cs="Arial"/>
          <w:sz w:val="22"/>
          <w:szCs w:val="22"/>
        </w:rPr>
        <w:t>access to MRI is important for correct assessment of patients presenting to the ED with acute neurological symptoms,</w:t>
      </w:r>
      <w:r w:rsidR="00307867" w:rsidRPr="009F7193">
        <w:rPr>
          <w:rStyle w:val="FootnoteReference"/>
          <w:rFonts w:asciiTheme="minorHAnsi" w:hAnsiTheme="minorHAnsi" w:cs="Arial"/>
          <w:sz w:val="22"/>
          <w:szCs w:val="22"/>
        </w:rPr>
        <w:footnoteReference w:id="8"/>
      </w:r>
      <w:r w:rsidR="00307867" w:rsidRPr="009F7193">
        <w:rPr>
          <w:rFonts w:asciiTheme="minorHAnsi" w:hAnsiTheme="minorHAnsi" w:cs="Arial"/>
          <w:sz w:val="22"/>
          <w:szCs w:val="22"/>
        </w:rPr>
        <w:t xml:space="preserve"> including new or worsening neurological deficits, rapidly progressive headache, and suspicion of intracranial infection.</w:t>
      </w:r>
      <w:r w:rsidR="00307867" w:rsidRPr="009F7193">
        <w:rPr>
          <w:rStyle w:val="FootnoteReference"/>
          <w:rFonts w:asciiTheme="minorHAnsi" w:hAnsiTheme="minorHAnsi" w:cs="Arial"/>
          <w:sz w:val="22"/>
          <w:szCs w:val="22"/>
        </w:rPr>
        <w:footnoteReference w:id="9"/>
      </w:r>
      <w:r w:rsidR="00307867" w:rsidRPr="009F7193">
        <w:rPr>
          <w:rFonts w:asciiTheme="minorHAnsi" w:hAnsiTheme="minorHAnsi" w:cs="Arial"/>
          <w:sz w:val="22"/>
          <w:szCs w:val="22"/>
        </w:rPr>
        <w:t xml:space="preserve"> While CT scans are often used for acute </w:t>
      </w:r>
      <w:r w:rsidR="00307867" w:rsidRPr="009F7193">
        <w:rPr>
          <w:rFonts w:asciiTheme="minorHAnsi" w:hAnsiTheme="minorHAnsi" w:cs="Arial"/>
          <w:sz w:val="22"/>
          <w:szCs w:val="22"/>
        </w:rPr>
        <w:lastRenderedPageBreak/>
        <w:t>neurologic evaluations, MRI provides a more comprehensive analysis due to its exceptional soft-tissue contrast and lack of ionizing radiation.</w:t>
      </w:r>
      <w:r w:rsidR="00307867" w:rsidRPr="009F7193">
        <w:rPr>
          <w:rStyle w:val="FootnoteReference"/>
          <w:rFonts w:asciiTheme="minorHAnsi" w:hAnsiTheme="minorHAnsi" w:cs="Arial"/>
          <w:sz w:val="22"/>
          <w:szCs w:val="22"/>
        </w:rPr>
        <w:footnoteReference w:id="10"/>
      </w:r>
      <w:r w:rsidR="00307867" w:rsidRPr="009F7193">
        <w:rPr>
          <w:rFonts w:asciiTheme="minorHAnsi" w:hAnsiTheme="minorHAnsi" w:cs="Arial"/>
          <w:sz w:val="22"/>
          <w:szCs w:val="22"/>
        </w:rPr>
        <w:t xml:space="preserve"> </w:t>
      </w:r>
    </w:p>
    <w:p w14:paraId="778701AA" w14:textId="7108B378" w:rsidR="00307867" w:rsidRPr="009F7193" w:rsidRDefault="00307867" w:rsidP="009954A5">
      <w:pPr>
        <w:spacing w:after="120"/>
        <w:jc w:val="both"/>
        <w:rPr>
          <w:rFonts w:asciiTheme="minorHAnsi" w:hAnsiTheme="minorHAnsi" w:cs="Arial"/>
          <w:sz w:val="22"/>
          <w:szCs w:val="22"/>
        </w:rPr>
      </w:pPr>
      <w:r w:rsidRPr="009F7193">
        <w:rPr>
          <w:rFonts w:asciiTheme="minorHAnsi" w:hAnsiTheme="minorHAnsi" w:cs="Arial"/>
          <w:sz w:val="22"/>
          <w:szCs w:val="22"/>
        </w:rPr>
        <w:t xml:space="preserve">Emergent MRI is specifically indicated for patients with new or worsening neurologic </w:t>
      </w:r>
      <w:r w:rsidR="008E6348" w:rsidRPr="009F7193">
        <w:rPr>
          <w:rFonts w:asciiTheme="minorHAnsi" w:hAnsiTheme="minorHAnsi" w:cs="Arial"/>
          <w:sz w:val="22"/>
          <w:szCs w:val="22"/>
        </w:rPr>
        <w:t xml:space="preserve">concerns </w:t>
      </w:r>
      <w:r w:rsidRPr="009F7193">
        <w:rPr>
          <w:rFonts w:asciiTheme="minorHAnsi" w:hAnsiTheme="minorHAnsi" w:cs="Arial"/>
          <w:sz w:val="22"/>
          <w:szCs w:val="22"/>
        </w:rPr>
        <w:t>and clinical suspicion for infection, neoplasm, or other spinal emergencies, since delayed imaging can result in progression of deficits, irreversible injury, and missed opportunities for timely intervention.</w:t>
      </w:r>
      <w:r w:rsidRPr="009F7193">
        <w:rPr>
          <w:rStyle w:val="FootnoteReference"/>
          <w:rFonts w:asciiTheme="minorHAnsi" w:hAnsiTheme="minorHAnsi" w:cs="Arial"/>
          <w:sz w:val="22"/>
          <w:szCs w:val="22"/>
        </w:rPr>
        <w:footnoteReference w:id="11"/>
      </w:r>
      <w:r w:rsidRPr="009F7193">
        <w:rPr>
          <w:rFonts w:asciiTheme="minorHAnsi" w:hAnsiTheme="minorHAnsi" w:cs="Arial"/>
          <w:sz w:val="22"/>
          <w:szCs w:val="22"/>
        </w:rPr>
        <w:t xml:space="preserve"> According to the American College of Radiology's Appropriateness Criteria, MRI is the preferred method for most neurologic symptoms, including red flag signs or symptoms, such as suspected infection, immunosuppression, chronic steroid use, suspicion for cancer, persistent or progressive symptoms following conservative therapy, and spinal cord emergencies.</w:t>
      </w:r>
      <w:r w:rsidRPr="009F7193">
        <w:rPr>
          <w:rStyle w:val="FootnoteReference"/>
          <w:rFonts w:asciiTheme="minorHAnsi" w:hAnsiTheme="minorHAnsi" w:cs="Arial"/>
          <w:sz w:val="22"/>
          <w:szCs w:val="22"/>
        </w:rPr>
        <w:footnoteReference w:id="12"/>
      </w:r>
      <w:r w:rsidRPr="009F7193">
        <w:rPr>
          <w:rFonts w:asciiTheme="minorHAnsi" w:hAnsiTheme="minorHAnsi" w:cs="Arial"/>
          <w:sz w:val="22"/>
          <w:szCs w:val="22"/>
        </w:rPr>
        <w:t xml:space="preserve"> MRI is the most sensitive and specific diagnostic tool used to evaluate the following spinal traumas: spinal cord injury, extra-axial lesions, ligament injury, and spinal fractures.</w:t>
      </w:r>
      <w:r w:rsidRPr="009F7193">
        <w:rPr>
          <w:rStyle w:val="FootnoteReference"/>
          <w:rFonts w:asciiTheme="minorHAnsi" w:hAnsiTheme="minorHAnsi" w:cs="Arial"/>
          <w:sz w:val="22"/>
          <w:szCs w:val="22"/>
        </w:rPr>
        <w:footnoteReference w:id="13"/>
      </w:r>
      <w:r w:rsidRPr="009F7193">
        <w:rPr>
          <w:rFonts w:asciiTheme="minorHAnsi" w:hAnsiTheme="minorHAnsi" w:cs="Arial"/>
          <w:sz w:val="22"/>
          <w:szCs w:val="22"/>
        </w:rPr>
        <w:t xml:space="preserve"> </w:t>
      </w:r>
      <w:r w:rsidR="008E6348" w:rsidRPr="009F7193">
        <w:rPr>
          <w:rFonts w:asciiTheme="minorHAnsi" w:hAnsiTheme="minorHAnsi" w:cs="Arial"/>
          <w:sz w:val="22"/>
          <w:szCs w:val="22"/>
        </w:rPr>
        <w:t>MRI is the superior option to</w:t>
      </w:r>
      <w:r w:rsidRPr="009F7193">
        <w:rPr>
          <w:rFonts w:asciiTheme="minorHAnsi" w:hAnsiTheme="minorHAnsi" w:cs="Arial"/>
          <w:sz w:val="22"/>
          <w:szCs w:val="22"/>
        </w:rPr>
        <w:t xml:space="preserve"> reliably identify compressive spinal cord pathologies that, if not diagnosed and treated in a timely manner, can pose an immediate risk of significant morbidity or mortality.</w:t>
      </w:r>
      <w:r w:rsidRPr="009F7193">
        <w:rPr>
          <w:rStyle w:val="FootnoteReference"/>
          <w:rFonts w:asciiTheme="minorHAnsi" w:hAnsiTheme="minorHAnsi" w:cs="Arial"/>
          <w:sz w:val="22"/>
          <w:szCs w:val="22"/>
        </w:rPr>
        <w:t xml:space="preserve"> </w:t>
      </w:r>
      <w:r w:rsidRPr="009F7193">
        <w:rPr>
          <w:rStyle w:val="FootnoteReference"/>
          <w:rFonts w:asciiTheme="minorHAnsi" w:hAnsiTheme="minorHAnsi" w:cs="Arial"/>
          <w:sz w:val="22"/>
          <w:szCs w:val="22"/>
        </w:rPr>
        <w:footnoteReference w:id="14"/>
      </w:r>
      <w:r w:rsidRPr="009F7193">
        <w:rPr>
          <w:rFonts w:asciiTheme="minorHAnsi" w:hAnsiTheme="minorHAnsi" w:cs="Arial"/>
          <w:sz w:val="22"/>
          <w:szCs w:val="22"/>
        </w:rPr>
        <w:t xml:space="preserve"> </w:t>
      </w:r>
      <w:r w:rsidR="008E6348" w:rsidRPr="009F7193">
        <w:rPr>
          <w:rFonts w:asciiTheme="minorHAnsi" w:hAnsiTheme="minorHAnsi" w:cs="Arial"/>
          <w:sz w:val="22"/>
          <w:szCs w:val="22"/>
        </w:rPr>
        <w:t xml:space="preserve">Limited </w:t>
      </w:r>
      <w:r w:rsidRPr="009F7193">
        <w:rPr>
          <w:rFonts w:asciiTheme="minorHAnsi" w:hAnsiTheme="minorHAnsi" w:cs="Arial"/>
          <w:sz w:val="22"/>
          <w:szCs w:val="22"/>
        </w:rPr>
        <w:t xml:space="preserve">MRI availability </w:t>
      </w:r>
      <w:r w:rsidR="008E6348" w:rsidRPr="009F7193">
        <w:rPr>
          <w:rFonts w:asciiTheme="minorHAnsi" w:hAnsiTheme="minorHAnsi" w:cs="Arial"/>
          <w:sz w:val="22"/>
          <w:szCs w:val="22"/>
        </w:rPr>
        <w:t xml:space="preserve">in the ED </w:t>
      </w:r>
      <w:r w:rsidRPr="009F7193">
        <w:rPr>
          <w:rFonts w:asciiTheme="minorHAnsi" w:hAnsiTheme="minorHAnsi" w:cs="Arial"/>
          <w:sz w:val="22"/>
          <w:szCs w:val="22"/>
        </w:rPr>
        <w:t xml:space="preserve">is the main </w:t>
      </w:r>
      <w:r w:rsidR="008E6348" w:rsidRPr="009F7193">
        <w:rPr>
          <w:rFonts w:asciiTheme="minorHAnsi" w:hAnsiTheme="minorHAnsi" w:cs="Arial"/>
          <w:sz w:val="22"/>
          <w:szCs w:val="22"/>
        </w:rPr>
        <w:t>reason it’s not</w:t>
      </w:r>
      <w:r w:rsidRPr="009F7193">
        <w:rPr>
          <w:rFonts w:asciiTheme="minorHAnsi" w:hAnsiTheme="minorHAnsi" w:cs="Arial"/>
          <w:sz w:val="22"/>
          <w:szCs w:val="22"/>
        </w:rPr>
        <w:t xml:space="preserve"> a more established standard, but its high diagnostic value in acute neurologic and spinal emergencies is well established.</w:t>
      </w:r>
      <w:r w:rsidRPr="009F7193">
        <w:rPr>
          <w:rStyle w:val="FootnoteReference"/>
          <w:rFonts w:asciiTheme="minorHAnsi" w:hAnsiTheme="minorHAnsi" w:cs="Arial"/>
          <w:sz w:val="22"/>
          <w:szCs w:val="22"/>
        </w:rPr>
        <w:footnoteReference w:id="15"/>
      </w:r>
    </w:p>
    <w:p w14:paraId="6F6EA940" w14:textId="66A442D7" w:rsidR="00307867" w:rsidRPr="009F7193" w:rsidRDefault="00307867" w:rsidP="009954A5">
      <w:pPr>
        <w:pStyle w:val="ListParagraph"/>
        <w:numPr>
          <w:ilvl w:val="0"/>
          <w:numId w:val="5"/>
        </w:numPr>
        <w:spacing w:after="120"/>
        <w:contextualSpacing w:val="0"/>
        <w:jc w:val="both"/>
        <w:rPr>
          <w:rFonts w:asciiTheme="minorHAnsi" w:hAnsiTheme="minorHAnsi" w:cs="Arial"/>
          <w:sz w:val="22"/>
          <w:szCs w:val="22"/>
          <w:u w:val="single"/>
        </w:rPr>
      </w:pPr>
      <w:r w:rsidRPr="009F7193">
        <w:rPr>
          <w:rFonts w:asciiTheme="minorHAnsi" w:hAnsiTheme="minorHAnsi" w:cs="Arial"/>
          <w:sz w:val="22"/>
          <w:szCs w:val="22"/>
          <w:u w:val="single"/>
        </w:rPr>
        <w:t>Stroke Care.</w:t>
      </w:r>
    </w:p>
    <w:p w14:paraId="12737657" w14:textId="2172FE18" w:rsidR="00307867" w:rsidRPr="009F7193" w:rsidRDefault="00D439B7" w:rsidP="008D4792">
      <w:pPr>
        <w:spacing w:after="120"/>
        <w:jc w:val="both"/>
        <w:rPr>
          <w:rFonts w:asciiTheme="minorHAnsi" w:hAnsiTheme="minorHAnsi" w:cs="Arial"/>
          <w:sz w:val="22"/>
          <w:szCs w:val="22"/>
        </w:rPr>
      </w:pPr>
      <w:r w:rsidRPr="009F7193">
        <w:rPr>
          <w:rFonts w:asciiTheme="minorHAnsi" w:hAnsiTheme="minorHAnsi" w:cs="Arial"/>
          <w:sz w:val="22"/>
          <w:szCs w:val="22"/>
        </w:rPr>
        <w:t xml:space="preserve">In 2025, the </w:t>
      </w:r>
      <w:r w:rsidR="00307867" w:rsidRPr="009F7193">
        <w:rPr>
          <w:rFonts w:asciiTheme="minorHAnsi" w:hAnsiTheme="minorHAnsi" w:cs="Arial"/>
          <w:sz w:val="22"/>
          <w:szCs w:val="22"/>
        </w:rPr>
        <w:t xml:space="preserve">Massachusetts Department of Public Health </w:t>
      </w:r>
      <w:r w:rsidRPr="009F7193">
        <w:rPr>
          <w:rFonts w:asciiTheme="minorHAnsi" w:hAnsiTheme="minorHAnsi" w:cs="Arial"/>
          <w:sz w:val="22"/>
          <w:szCs w:val="22"/>
        </w:rPr>
        <w:t xml:space="preserve">adopted revised hospital </w:t>
      </w:r>
      <w:r w:rsidR="008D4792" w:rsidRPr="009F7193">
        <w:rPr>
          <w:rFonts w:asciiTheme="minorHAnsi" w:hAnsiTheme="minorHAnsi" w:cs="Arial"/>
          <w:sz w:val="22"/>
          <w:szCs w:val="22"/>
        </w:rPr>
        <w:t xml:space="preserve">licensure </w:t>
      </w:r>
      <w:r w:rsidRPr="009F7193">
        <w:rPr>
          <w:rFonts w:asciiTheme="minorHAnsi" w:hAnsiTheme="minorHAnsi" w:cs="Arial"/>
          <w:sz w:val="22"/>
          <w:szCs w:val="22"/>
        </w:rPr>
        <w:t xml:space="preserve">regulations and </w:t>
      </w:r>
      <w:r w:rsidR="00307867" w:rsidRPr="009F7193">
        <w:rPr>
          <w:rFonts w:asciiTheme="minorHAnsi" w:hAnsiTheme="minorHAnsi" w:cs="Arial"/>
          <w:sz w:val="22"/>
          <w:szCs w:val="22"/>
        </w:rPr>
        <w:t>issued guidance requiring EDs to provide acute stroke ready services.</w:t>
      </w:r>
      <w:r w:rsidR="00307867" w:rsidRPr="009F7193">
        <w:rPr>
          <w:rStyle w:val="FootnoteReference"/>
          <w:rFonts w:asciiTheme="minorHAnsi" w:hAnsiTheme="minorHAnsi" w:cs="Arial"/>
          <w:sz w:val="22"/>
          <w:szCs w:val="22"/>
        </w:rPr>
        <w:footnoteReference w:id="16"/>
      </w:r>
      <w:r w:rsidR="00307867" w:rsidRPr="009F7193">
        <w:rPr>
          <w:rFonts w:asciiTheme="minorHAnsi" w:hAnsiTheme="minorHAnsi" w:cs="Arial"/>
          <w:sz w:val="22"/>
          <w:szCs w:val="22"/>
        </w:rPr>
        <w:t xml:space="preserve"> The </w:t>
      </w:r>
      <w:r w:rsidRPr="009F7193">
        <w:rPr>
          <w:rFonts w:asciiTheme="minorHAnsi" w:hAnsiTheme="minorHAnsi" w:cs="Arial"/>
          <w:sz w:val="22"/>
          <w:szCs w:val="22"/>
        </w:rPr>
        <w:t xml:space="preserve">revised regulations and corresponding </w:t>
      </w:r>
      <w:r w:rsidR="00307867" w:rsidRPr="009F7193">
        <w:rPr>
          <w:rFonts w:asciiTheme="minorHAnsi" w:hAnsiTheme="minorHAnsi" w:cs="Arial"/>
          <w:sz w:val="22"/>
          <w:szCs w:val="22"/>
        </w:rPr>
        <w:t xml:space="preserve">guidance </w:t>
      </w:r>
      <w:r w:rsidRPr="009F7193">
        <w:rPr>
          <w:rFonts w:asciiTheme="minorHAnsi" w:hAnsiTheme="minorHAnsi" w:cs="Arial"/>
          <w:sz w:val="22"/>
          <w:szCs w:val="22"/>
        </w:rPr>
        <w:t>are</w:t>
      </w:r>
      <w:r w:rsidR="008E6348" w:rsidRPr="009F7193">
        <w:rPr>
          <w:rFonts w:asciiTheme="minorHAnsi" w:hAnsiTheme="minorHAnsi" w:cs="Arial"/>
          <w:sz w:val="22"/>
          <w:szCs w:val="22"/>
        </w:rPr>
        <w:t xml:space="preserve"> </w:t>
      </w:r>
      <w:r w:rsidR="00307867" w:rsidRPr="009F7193">
        <w:rPr>
          <w:rFonts w:asciiTheme="minorHAnsi" w:hAnsiTheme="minorHAnsi" w:cs="Arial"/>
          <w:sz w:val="22"/>
          <w:szCs w:val="22"/>
        </w:rPr>
        <w:t>effective January 1, 2026</w:t>
      </w:r>
      <w:r w:rsidRPr="009F7193">
        <w:rPr>
          <w:rFonts w:asciiTheme="minorHAnsi" w:hAnsiTheme="minorHAnsi" w:cs="Arial"/>
          <w:sz w:val="22"/>
          <w:szCs w:val="22"/>
        </w:rPr>
        <w:t xml:space="preserve">. Under the revised regulations, </w:t>
      </w:r>
      <w:r w:rsidR="00307867" w:rsidRPr="009F7193">
        <w:rPr>
          <w:rFonts w:asciiTheme="minorHAnsi" w:hAnsiTheme="minorHAnsi" w:cs="Arial"/>
          <w:sz w:val="22"/>
          <w:szCs w:val="22"/>
        </w:rPr>
        <w:t xml:space="preserve"> </w:t>
      </w:r>
      <w:r w:rsidRPr="009F7193">
        <w:rPr>
          <w:rFonts w:asciiTheme="minorHAnsi" w:hAnsiTheme="minorHAnsi" w:cs="Arial"/>
          <w:sz w:val="22"/>
          <w:szCs w:val="22"/>
        </w:rPr>
        <w:t>all Massachusetts ED will be required</w:t>
      </w:r>
      <w:r w:rsidR="00307867" w:rsidRPr="009F7193">
        <w:rPr>
          <w:rFonts w:asciiTheme="minorHAnsi" w:hAnsiTheme="minorHAnsi" w:cs="Arial"/>
          <w:sz w:val="22"/>
          <w:szCs w:val="22"/>
        </w:rPr>
        <w:t xml:space="preserve"> to develop and implement written protocols regarding stroke care.</w:t>
      </w:r>
      <w:r w:rsidR="00307867" w:rsidRPr="009F7193">
        <w:rPr>
          <w:rStyle w:val="FootnoteReference"/>
          <w:rFonts w:asciiTheme="minorHAnsi" w:hAnsiTheme="minorHAnsi" w:cs="Arial"/>
          <w:sz w:val="22"/>
          <w:szCs w:val="22"/>
        </w:rPr>
        <w:footnoteReference w:id="17"/>
      </w:r>
      <w:r w:rsidR="00307867" w:rsidRPr="009F7193">
        <w:rPr>
          <w:rFonts w:asciiTheme="minorHAnsi" w:hAnsiTheme="minorHAnsi" w:cs="Arial"/>
          <w:sz w:val="22"/>
          <w:szCs w:val="22"/>
        </w:rPr>
        <w:t xml:space="preserve"> The new requirements include protocols for the triage and treatments of patients presenting with stroke symptoms, including having systems in place to ensure a prompt initial diagnostic test is done, making access to an MRI even more vital.</w:t>
      </w:r>
      <w:r w:rsidR="00307867" w:rsidRPr="009F7193">
        <w:rPr>
          <w:rStyle w:val="FootnoteReference"/>
          <w:rFonts w:asciiTheme="minorHAnsi" w:hAnsiTheme="minorHAnsi" w:cs="Arial"/>
          <w:sz w:val="22"/>
          <w:szCs w:val="22"/>
        </w:rPr>
        <w:footnoteReference w:id="18"/>
      </w:r>
      <w:r w:rsidR="00307867" w:rsidRPr="009F7193">
        <w:rPr>
          <w:rFonts w:asciiTheme="minorHAnsi" w:hAnsiTheme="minorHAnsi" w:cs="Arial"/>
          <w:sz w:val="22"/>
          <w:szCs w:val="22"/>
        </w:rPr>
        <w:t xml:space="preserve">  MRIs are considered to be the first-line response to a suspected stroke because of the positive outcomes associated with early detection.</w:t>
      </w:r>
      <w:r w:rsidR="00307867" w:rsidRPr="009F7193">
        <w:rPr>
          <w:rStyle w:val="FootnoteReference"/>
          <w:rFonts w:asciiTheme="minorHAnsi" w:hAnsiTheme="minorHAnsi" w:cs="Arial"/>
          <w:sz w:val="22"/>
          <w:szCs w:val="22"/>
        </w:rPr>
        <w:footnoteReference w:id="19"/>
      </w:r>
      <w:r w:rsidR="00307867" w:rsidRPr="009F7193">
        <w:rPr>
          <w:rFonts w:asciiTheme="minorHAnsi" w:hAnsiTheme="minorHAnsi" w:cs="Arial"/>
          <w:sz w:val="22"/>
          <w:szCs w:val="22"/>
        </w:rPr>
        <w:t xml:space="preserve"> </w:t>
      </w:r>
      <w:r w:rsidR="008E6348" w:rsidRPr="009F7193">
        <w:rPr>
          <w:rFonts w:asciiTheme="minorHAnsi" w:hAnsiTheme="minorHAnsi" w:cs="Arial"/>
          <w:sz w:val="22"/>
          <w:szCs w:val="22"/>
        </w:rPr>
        <w:t>D</w:t>
      </w:r>
      <w:r w:rsidR="00307867" w:rsidRPr="009F7193">
        <w:rPr>
          <w:rFonts w:asciiTheme="minorHAnsi" w:hAnsiTheme="minorHAnsi" w:cs="Arial"/>
          <w:sz w:val="22"/>
          <w:szCs w:val="22"/>
        </w:rPr>
        <w:t>elays in MRI can hinder timely and targeted therapeutic decision-making and may increase patients' hospital length of stay and subsequent total hospitalization costs.</w:t>
      </w:r>
      <w:r w:rsidR="00307867" w:rsidRPr="009F7193">
        <w:rPr>
          <w:rStyle w:val="FootnoteReference"/>
          <w:rFonts w:asciiTheme="minorHAnsi" w:hAnsiTheme="minorHAnsi" w:cs="Arial"/>
          <w:sz w:val="22"/>
          <w:szCs w:val="22"/>
        </w:rPr>
        <w:footnoteReference w:id="20"/>
      </w:r>
      <w:r w:rsidR="00307867" w:rsidRPr="009F7193">
        <w:rPr>
          <w:rFonts w:asciiTheme="minorHAnsi" w:hAnsiTheme="minorHAnsi" w:cs="Arial"/>
          <w:sz w:val="22"/>
          <w:szCs w:val="22"/>
        </w:rPr>
        <w:t xml:space="preserve"> Specifically, ensuring that an MRI is performed within 12 hours of admission to an ED reduces length of stay in ischemic stroke patients.</w:t>
      </w:r>
      <w:r w:rsidR="00307867" w:rsidRPr="009F7193">
        <w:rPr>
          <w:rStyle w:val="FootnoteReference"/>
          <w:rFonts w:asciiTheme="minorHAnsi" w:hAnsiTheme="minorHAnsi" w:cs="Arial"/>
          <w:sz w:val="22"/>
          <w:szCs w:val="22"/>
        </w:rPr>
        <w:footnoteReference w:id="21"/>
      </w:r>
      <w:r w:rsidR="00307867" w:rsidRPr="009F7193">
        <w:rPr>
          <w:rFonts w:asciiTheme="minorHAnsi" w:hAnsiTheme="minorHAnsi" w:cs="Arial"/>
          <w:sz w:val="22"/>
          <w:szCs w:val="22"/>
        </w:rPr>
        <w:t xml:space="preserve"> </w:t>
      </w:r>
    </w:p>
    <w:p w14:paraId="09DE6A92" w14:textId="46A5116A" w:rsidR="00307867" w:rsidRPr="009F7193" w:rsidRDefault="008E6348" w:rsidP="009954A5">
      <w:pPr>
        <w:spacing w:after="120"/>
        <w:jc w:val="both"/>
        <w:rPr>
          <w:rFonts w:asciiTheme="minorHAnsi" w:hAnsiTheme="minorHAnsi" w:cs="Arial"/>
          <w:sz w:val="22"/>
          <w:szCs w:val="22"/>
        </w:rPr>
      </w:pPr>
      <w:r w:rsidRPr="009F7193">
        <w:rPr>
          <w:rFonts w:asciiTheme="minorHAnsi" w:hAnsiTheme="minorHAnsi" w:cs="Arial"/>
          <w:sz w:val="22"/>
          <w:szCs w:val="22"/>
        </w:rPr>
        <w:lastRenderedPageBreak/>
        <w:t>Surgical options, such</w:t>
      </w:r>
      <w:r w:rsidR="00307867" w:rsidRPr="009F7193">
        <w:rPr>
          <w:rFonts w:asciiTheme="minorHAnsi" w:hAnsiTheme="minorHAnsi" w:cs="Arial"/>
          <w:sz w:val="22"/>
          <w:szCs w:val="22"/>
        </w:rPr>
        <w:t xml:space="preserve"> as thrombectomy, may be necessary to remove a blood clot from an artery or vein to restore blood flow to vital organs and reduce the risk of death or permanent disability.</w:t>
      </w:r>
      <w:r w:rsidR="00307867" w:rsidRPr="009F7193">
        <w:rPr>
          <w:rStyle w:val="FootnoteReference"/>
          <w:rFonts w:asciiTheme="minorHAnsi" w:hAnsiTheme="minorHAnsi" w:cs="Arial"/>
          <w:sz w:val="22"/>
          <w:szCs w:val="22"/>
        </w:rPr>
        <w:footnoteReference w:id="22"/>
      </w:r>
      <w:r w:rsidR="00307867" w:rsidRPr="009F7193">
        <w:rPr>
          <w:rFonts w:asciiTheme="minorHAnsi" w:hAnsiTheme="minorHAnsi" w:cs="Arial"/>
          <w:sz w:val="22"/>
          <w:szCs w:val="22"/>
        </w:rPr>
        <w:t xml:space="preserve"> </w:t>
      </w:r>
      <w:r w:rsidRPr="009F7193">
        <w:rPr>
          <w:rFonts w:asciiTheme="minorHAnsi" w:hAnsiTheme="minorHAnsi" w:cs="Arial"/>
          <w:sz w:val="22"/>
          <w:szCs w:val="22"/>
        </w:rPr>
        <w:t>Following a thrombectomy</w:t>
      </w:r>
      <w:r w:rsidR="00307867" w:rsidRPr="009F7193">
        <w:rPr>
          <w:rFonts w:asciiTheme="minorHAnsi" w:hAnsiTheme="minorHAnsi" w:cs="Arial"/>
          <w:sz w:val="22"/>
          <w:szCs w:val="22"/>
        </w:rPr>
        <w:t xml:space="preserve">, post-treatment </w:t>
      </w:r>
      <w:r w:rsidRPr="009F7193">
        <w:rPr>
          <w:rFonts w:asciiTheme="minorHAnsi" w:hAnsiTheme="minorHAnsi" w:cs="Arial"/>
          <w:sz w:val="22"/>
          <w:szCs w:val="22"/>
        </w:rPr>
        <w:t xml:space="preserve">MRI </w:t>
      </w:r>
      <w:r w:rsidR="00307867" w:rsidRPr="009F7193">
        <w:rPr>
          <w:rFonts w:asciiTheme="minorHAnsi" w:hAnsiTheme="minorHAnsi" w:cs="Arial"/>
          <w:sz w:val="22"/>
          <w:szCs w:val="22"/>
        </w:rPr>
        <w:t>is essential for identifying complications such as reperfusion-related hemorrhage and edema and to inform the timing and intensity of antithrombotic medication.</w:t>
      </w:r>
      <w:r w:rsidR="00307867" w:rsidRPr="009F7193">
        <w:rPr>
          <w:rStyle w:val="FootnoteReference"/>
          <w:rFonts w:asciiTheme="minorHAnsi" w:hAnsiTheme="minorHAnsi" w:cs="Arial"/>
          <w:sz w:val="22"/>
          <w:szCs w:val="22"/>
        </w:rPr>
        <w:footnoteReference w:id="23"/>
      </w:r>
      <w:r w:rsidR="00307867" w:rsidRPr="009F7193">
        <w:rPr>
          <w:rFonts w:asciiTheme="minorHAnsi" w:hAnsiTheme="minorHAnsi" w:cs="Arial"/>
          <w:sz w:val="22"/>
          <w:szCs w:val="22"/>
        </w:rPr>
        <w:t xml:space="preserve"> The extent of reperfusion in post-thrombectomy, combined with infarct volume and location assessed by MRI, provides significant prognostic value, while perfusion-weighted MRI and permeability analysis can detect ongoing perfusion issues and predict hemorrhagic complications.</w:t>
      </w:r>
      <w:r w:rsidR="00307867" w:rsidRPr="009F7193">
        <w:rPr>
          <w:rStyle w:val="FootnoteReference"/>
          <w:rFonts w:asciiTheme="minorHAnsi" w:hAnsiTheme="minorHAnsi" w:cs="Arial"/>
          <w:sz w:val="22"/>
          <w:szCs w:val="22"/>
        </w:rPr>
        <w:footnoteReference w:id="24"/>
      </w:r>
      <w:r w:rsidR="00307867" w:rsidRPr="009F7193">
        <w:rPr>
          <w:rFonts w:asciiTheme="minorHAnsi" w:hAnsiTheme="minorHAnsi" w:cs="Arial"/>
          <w:sz w:val="22"/>
          <w:szCs w:val="22"/>
        </w:rPr>
        <w:t xml:space="preserve"> Delays in MRI can thus hinder rapid targeted interventions and negatively impact patient outcomes.</w:t>
      </w:r>
    </w:p>
    <w:p w14:paraId="259F3431" w14:textId="4400488B" w:rsidR="00307867" w:rsidRPr="009F7193" w:rsidRDefault="00307867" w:rsidP="009954A5">
      <w:pPr>
        <w:pStyle w:val="ListParagraph"/>
        <w:numPr>
          <w:ilvl w:val="0"/>
          <w:numId w:val="5"/>
        </w:numPr>
        <w:spacing w:after="120"/>
        <w:contextualSpacing w:val="0"/>
        <w:jc w:val="both"/>
        <w:rPr>
          <w:rFonts w:asciiTheme="minorHAnsi" w:hAnsiTheme="minorHAnsi" w:cs="Arial"/>
          <w:sz w:val="22"/>
          <w:szCs w:val="22"/>
          <w:u w:val="single"/>
        </w:rPr>
      </w:pPr>
      <w:r w:rsidRPr="009F7193">
        <w:rPr>
          <w:rFonts w:asciiTheme="minorHAnsi" w:hAnsiTheme="minorHAnsi" w:cs="Arial"/>
          <w:sz w:val="22"/>
          <w:szCs w:val="22"/>
          <w:u w:val="single"/>
        </w:rPr>
        <w:t>Cardiac MRI</w:t>
      </w:r>
    </w:p>
    <w:p w14:paraId="4D95A3BC" w14:textId="6FA5B6E2" w:rsidR="00307867" w:rsidRPr="009F7193" w:rsidRDefault="00307867" w:rsidP="009954A5">
      <w:pPr>
        <w:spacing w:after="120"/>
        <w:jc w:val="both"/>
        <w:rPr>
          <w:rFonts w:asciiTheme="minorHAnsi" w:hAnsiTheme="minorHAnsi" w:cs="Arial"/>
          <w:sz w:val="22"/>
          <w:szCs w:val="22"/>
        </w:rPr>
      </w:pPr>
      <w:r w:rsidRPr="009F7193">
        <w:rPr>
          <w:rFonts w:asciiTheme="minorHAnsi" w:hAnsiTheme="minorHAnsi" w:cs="Arial"/>
          <w:sz w:val="22"/>
          <w:szCs w:val="22"/>
        </w:rPr>
        <w:t xml:space="preserve">Cardiovascular </w:t>
      </w:r>
      <w:r w:rsidR="00D439B7" w:rsidRPr="009F7193">
        <w:rPr>
          <w:rFonts w:asciiTheme="minorHAnsi" w:hAnsiTheme="minorHAnsi" w:cs="Arial"/>
          <w:sz w:val="22"/>
          <w:szCs w:val="22"/>
        </w:rPr>
        <w:t>MRI</w:t>
      </w:r>
      <w:r w:rsidRPr="009F7193">
        <w:rPr>
          <w:rFonts w:asciiTheme="minorHAnsi" w:hAnsiTheme="minorHAnsi" w:cs="Arial"/>
          <w:sz w:val="22"/>
          <w:szCs w:val="22"/>
        </w:rPr>
        <w:t xml:space="preserve"> (“CMR”) </w:t>
      </w:r>
      <w:r w:rsidR="00D439B7" w:rsidRPr="009F7193">
        <w:rPr>
          <w:rFonts w:asciiTheme="minorHAnsi" w:hAnsiTheme="minorHAnsi" w:cs="Arial"/>
          <w:sz w:val="22"/>
          <w:szCs w:val="22"/>
        </w:rPr>
        <w:t>are</w:t>
      </w:r>
      <w:r w:rsidRPr="009F7193">
        <w:rPr>
          <w:rFonts w:asciiTheme="minorHAnsi" w:hAnsiTheme="minorHAnsi" w:cs="Arial"/>
          <w:sz w:val="22"/>
          <w:szCs w:val="22"/>
        </w:rPr>
        <w:t xml:space="preserve"> used to assess cardiovascular morphology, ventricular function, myocardial perfusion, tissue characterization, flow quantification, and coronary artery disease.</w:t>
      </w:r>
      <w:r w:rsidRPr="009F7193">
        <w:rPr>
          <w:rStyle w:val="FootnoteReference"/>
          <w:rFonts w:asciiTheme="minorHAnsi" w:hAnsiTheme="minorHAnsi" w:cs="Arial"/>
          <w:sz w:val="22"/>
          <w:szCs w:val="22"/>
        </w:rPr>
        <w:footnoteReference w:id="25"/>
      </w:r>
      <w:r w:rsidRPr="009F7193">
        <w:rPr>
          <w:rFonts w:asciiTheme="minorHAnsi" w:hAnsiTheme="minorHAnsi" w:cs="Arial"/>
          <w:sz w:val="22"/>
          <w:szCs w:val="22"/>
        </w:rPr>
        <w:t xml:space="preserve"> In emergency settings, CMRs are proven essential for issues including myocarditis, pericarditis, myocardial infarction with non-obstructive coronary arteries, takotsubo cardiomyopathy, acute coronary syndrome, and pulmonary embolism.</w:t>
      </w:r>
      <w:r w:rsidRPr="009F7193">
        <w:rPr>
          <w:rStyle w:val="FootnoteReference"/>
          <w:rFonts w:asciiTheme="minorHAnsi" w:hAnsiTheme="minorHAnsi" w:cs="Arial"/>
          <w:sz w:val="22"/>
          <w:szCs w:val="22"/>
        </w:rPr>
        <w:footnoteReference w:id="26"/>
      </w:r>
      <w:r w:rsidRPr="009F7193">
        <w:rPr>
          <w:rFonts w:asciiTheme="minorHAnsi" w:hAnsiTheme="minorHAnsi" w:cs="Arial"/>
          <w:sz w:val="22"/>
          <w:szCs w:val="22"/>
        </w:rPr>
        <w:t xml:space="preserve"> CMR</w:t>
      </w:r>
      <w:r w:rsidR="008D4792" w:rsidRPr="009F7193">
        <w:rPr>
          <w:rFonts w:asciiTheme="minorHAnsi" w:hAnsiTheme="minorHAnsi" w:cs="Arial"/>
          <w:sz w:val="22"/>
          <w:szCs w:val="22"/>
        </w:rPr>
        <w:t xml:space="preserve"> </w:t>
      </w:r>
      <w:r w:rsidRPr="009F7193">
        <w:rPr>
          <w:rFonts w:asciiTheme="minorHAnsi" w:hAnsiTheme="minorHAnsi" w:cs="Arial"/>
          <w:sz w:val="22"/>
          <w:szCs w:val="22"/>
        </w:rPr>
        <w:t>can identify the myocardial area at risk, quantify microvascular obstruction, and detect intramyocardial hemorrhage,</w:t>
      </w:r>
      <w:r w:rsidRPr="009F7193">
        <w:rPr>
          <w:rStyle w:val="FootnoteReference"/>
          <w:rFonts w:asciiTheme="minorHAnsi" w:hAnsiTheme="minorHAnsi" w:cs="Arial"/>
          <w:sz w:val="22"/>
          <w:szCs w:val="22"/>
        </w:rPr>
        <w:footnoteReference w:id="27"/>
      </w:r>
      <w:r w:rsidRPr="009F7193">
        <w:rPr>
          <w:rFonts w:asciiTheme="minorHAnsi" w:hAnsiTheme="minorHAnsi" w:cs="Arial"/>
          <w:sz w:val="22"/>
          <w:szCs w:val="22"/>
        </w:rPr>
        <w:t xml:space="preserve"> enabling patient risk stratification when performed shortly after chest pain onset.</w:t>
      </w:r>
      <w:r w:rsidRPr="009F7193">
        <w:rPr>
          <w:rStyle w:val="FootnoteReference"/>
          <w:rFonts w:asciiTheme="minorHAnsi" w:hAnsiTheme="minorHAnsi" w:cs="Arial"/>
          <w:sz w:val="22"/>
          <w:szCs w:val="22"/>
        </w:rPr>
        <w:footnoteReference w:id="28"/>
      </w:r>
      <w:r w:rsidRPr="009F7193">
        <w:rPr>
          <w:rFonts w:asciiTheme="minorHAnsi" w:hAnsiTheme="minorHAnsi" w:cs="Arial"/>
          <w:sz w:val="22"/>
          <w:szCs w:val="22"/>
        </w:rPr>
        <w:t xml:space="preserve"> Additionally, MRI provides prognostic information through novel parametric mapping for tissue characterization.</w:t>
      </w:r>
      <w:r w:rsidRPr="009F7193">
        <w:rPr>
          <w:rStyle w:val="FootnoteReference"/>
          <w:rFonts w:asciiTheme="minorHAnsi" w:hAnsiTheme="minorHAnsi" w:cs="Arial"/>
          <w:sz w:val="22"/>
          <w:szCs w:val="22"/>
        </w:rPr>
        <w:footnoteReference w:id="29"/>
      </w:r>
      <w:r w:rsidRPr="009F7193">
        <w:rPr>
          <w:rFonts w:asciiTheme="minorHAnsi" w:hAnsiTheme="minorHAnsi" w:cs="Arial"/>
          <w:sz w:val="22"/>
          <w:szCs w:val="22"/>
        </w:rPr>
        <w:t xml:space="preserve"> Integrating CMR into emergency care pathways can reduce inappropriate ED discharges and decrease mortality rates from undiagnosed cardiac conditions, while also aiding in accurately classifying patients with atypical features for tailored treatment in complex emergency scenarios.</w:t>
      </w:r>
      <w:r w:rsidRPr="009F7193">
        <w:rPr>
          <w:rStyle w:val="FootnoteReference"/>
          <w:rFonts w:asciiTheme="minorHAnsi" w:hAnsiTheme="minorHAnsi" w:cs="Arial"/>
          <w:sz w:val="22"/>
          <w:szCs w:val="22"/>
        </w:rPr>
        <w:footnoteReference w:id="30"/>
      </w:r>
    </w:p>
    <w:p w14:paraId="13745993" w14:textId="06429FE1" w:rsidR="00307867" w:rsidRPr="009F7193" w:rsidRDefault="00307867" w:rsidP="009954A5">
      <w:pPr>
        <w:pStyle w:val="ListParagraph"/>
        <w:numPr>
          <w:ilvl w:val="0"/>
          <w:numId w:val="5"/>
        </w:numPr>
        <w:spacing w:after="120"/>
        <w:contextualSpacing w:val="0"/>
        <w:jc w:val="both"/>
        <w:rPr>
          <w:rFonts w:asciiTheme="minorHAnsi" w:hAnsiTheme="minorHAnsi" w:cs="Arial"/>
          <w:sz w:val="22"/>
          <w:szCs w:val="22"/>
          <w:u w:val="single"/>
        </w:rPr>
      </w:pPr>
      <w:r w:rsidRPr="009F7193">
        <w:rPr>
          <w:rFonts w:asciiTheme="minorHAnsi" w:hAnsiTheme="minorHAnsi" w:cs="Arial"/>
          <w:sz w:val="22"/>
          <w:szCs w:val="22"/>
          <w:u w:val="single"/>
        </w:rPr>
        <w:t>Outpatient MRI</w:t>
      </w:r>
      <w:r w:rsidR="00D439B7" w:rsidRPr="009F7193">
        <w:rPr>
          <w:rFonts w:asciiTheme="minorHAnsi" w:hAnsiTheme="minorHAnsi" w:cs="Arial"/>
          <w:sz w:val="22"/>
          <w:szCs w:val="22"/>
          <w:u w:val="single"/>
        </w:rPr>
        <w:t xml:space="preserve"> in the Hospital Setting</w:t>
      </w:r>
    </w:p>
    <w:p w14:paraId="719D2575" w14:textId="0FAD5E62" w:rsidR="00307867" w:rsidRPr="009F7193" w:rsidRDefault="00307867" w:rsidP="009954A5">
      <w:pPr>
        <w:spacing w:after="120"/>
        <w:jc w:val="both"/>
        <w:rPr>
          <w:rFonts w:asciiTheme="minorHAnsi" w:hAnsiTheme="minorHAnsi" w:cs="Arial"/>
          <w:sz w:val="22"/>
          <w:szCs w:val="22"/>
        </w:rPr>
      </w:pPr>
      <w:r w:rsidRPr="009F7193">
        <w:rPr>
          <w:rFonts w:asciiTheme="minorHAnsi" w:hAnsiTheme="minorHAnsi" w:cs="Arial"/>
          <w:sz w:val="22"/>
          <w:szCs w:val="22"/>
        </w:rPr>
        <w:t>Certain patients, such as those with pacemakers, implantable cardiac defibrillators, or cochlear implants, require specialized precautions for MRI due to the risk of device malfunction or patient harm.</w:t>
      </w:r>
      <w:r w:rsidRPr="009F7193">
        <w:rPr>
          <w:rStyle w:val="FootnoteReference"/>
          <w:rFonts w:asciiTheme="minorHAnsi" w:hAnsiTheme="minorHAnsi" w:cs="Arial"/>
          <w:sz w:val="22"/>
          <w:szCs w:val="22"/>
        </w:rPr>
        <w:footnoteReference w:id="31"/>
      </w:r>
      <w:r w:rsidRPr="009F7193">
        <w:rPr>
          <w:rStyle w:val="FootnoteReference"/>
          <w:rFonts w:asciiTheme="minorHAnsi" w:hAnsiTheme="minorHAnsi" w:cs="Arial"/>
          <w:sz w:val="22"/>
          <w:szCs w:val="22"/>
        </w:rPr>
        <w:footnoteReference w:id="32"/>
      </w:r>
      <w:r w:rsidRPr="009F7193">
        <w:rPr>
          <w:rFonts w:asciiTheme="minorHAnsi" w:hAnsiTheme="minorHAnsi" w:cs="Arial"/>
          <w:sz w:val="22"/>
          <w:szCs w:val="22"/>
        </w:rPr>
        <w:t xml:space="preserve"> Hospital-based MRI services can provide the necessary safety protocols that other outpatient MRI locations may not be able to take, including: pre-MRI which includes reducing risk and tailoring emergency preparedness to the patient; adjusting equipment to reduce heating and magnetic risk; personnel availability including having a radiologist and cardiologist present while also continuously monitoring</w:t>
      </w:r>
      <w:r w:rsidR="00DA0E9D" w:rsidRPr="009F7193">
        <w:rPr>
          <w:rFonts w:asciiTheme="minorHAnsi" w:hAnsiTheme="minorHAnsi" w:cs="Arial"/>
          <w:sz w:val="22"/>
          <w:szCs w:val="22"/>
        </w:rPr>
        <w:t xml:space="preserve"> electrocardiogram (ECG)</w:t>
      </w:r>
      <w:r w:rsidRPr="009F7193">
        <w:rPr>
          <w:rFonts w:asciiTheme="minorHAnsi" w:hAnsiTheme="minorHAnsi" w:cs="Arial"/>
          <w:sz w:val="22"/>
          <w:szCs w:val="22"/>
        </w:rPr>
        <w:t xml:space="preserve"> blood pressure, and oxygen; emergency </w:t>
      </w:r>
      <w:r w:rsidRPr="009F7193">
        <w:rPr>
          <w:rFonts w:asciiTheme="minorHAnsi" w:hAnsiTheme="minorHAnsi" w:cs="Arial"/>
          <w:sz w:val="22"/>
          <w:szCs w:val="22"/>
        </w:rPr>
        <w:lastRenderedPageBreak/>
        <w:t>precautions including immediate response to cardiac emergencies; appropriate device programming such as possible deactivation or asynchronous pacing; and post-MRI precautions including device inspection and ongoing monitoring.</w:t>
      </w:r>
      <w:r w:rsidRPr="009F7193">
        <w:rPr>
          <w:rStyle w:val="FootnoteReference"/>
          <w:rFonts w:asciiTheme="minorHAnsi" w:hAnsiTheme="minorHAnsi" w:cs="Arial"/>
          <w:sz w:val="22"/>
          <w:szCs w:val="22"/>
        </w:rPr>
        <w:footnoteReference w:id="33"/>
      </w:r>
      <w:r w:rsidRPr="009F7193">
        <w:rPr>
          <w:rFonts w:asciiTheme="minorHAnsi" w:hAnsiTheme="minorHAnsi" w:cs="Arial"/>
          <w:sz w:val="22"/>
          <w:szCs w:val="22"/>
        </w:rPr>
        <w:t xml:space="preserve"> For cochlear implants, removing the implantable magnet is often recommended to minimize the risk of dislocation and enhance image quality in the tissue near the implant site.</w:t>
      </w:r>
      <w:r w:rsidRPr="009F7193">
        <w:rPr>
          <w:rStyle w:val="FootnoteReference"/>
          <w:rFonts w:asciiTheme="minorHAnsi" w:hAnsiTheme="minorHAnsi" w:cs="Arial"/>
          <w:sz w:val="22"/>
          <w:szCs w:val="22"/>
        </w:rPr>
        <w:footnoteReference w:id="34"/>
      </w:r>
      <w:r w:rsidRPr="009F7193">
        <w:rPr>
          <w:rFonts w:asciiTheme="minorHAnsi" w:hAnsiTheme="minorHAnsi" w:cs="Arial"/>
          <w:sz w:val="22"/>
          <w:szCs w:val="22"/>
        </w:rPr>
        <w:t xml:space="preserve"> </w:t>
      </w:r>
      <w:r w:rsidR="00294488" w:rsidRPr="009F7193">
        <w:rPr>
          <w:rFonts w:asciiTheme="minorHAnsi" w:hAnsiTheme="minorHAnsi" w:cs="Arial"/>
          <w:sz w:val="22"/>
          <w:szCs w:val="22"/>
        </w:rPr>
        <w:t xml:space="preserve">The removal and replacement can be done </w:t>
      </w:r>
      <w:r w:rsidRPr="009F7193">
        <w:rPr>
          <w:rFonts w:asciiTheme="minorHAnsi" w:hAnsiTheme="minorHAnsi" w:cs="Arial"/>
          <w:sz w:val="22"/>
          <w:szCs w:val="22"/>
        </w:rPr>
        <w:t>same-day under local anesthesia</w:t>
      </w:r>
      <w:r w:rsidR="00294488" w:rsidRPr="009F7193">
        <w:rPr>
          <w:rFonts w:asciiTheme="minorHAnsi" w:hAnsiTheme="minorHAnsi" w:cs="Arial"/>
          <w:sz w:val="22"/>
          <w:szCs w:val="22"/>
        </w:rPr>
        <w:t xml:space="preserve"> when performed in a hospital</w:t>
      </w:r>
      <w:r w:rsidRPr="009F7193">
        <w:rPr>
          <w:rFonts w:asciiTheme="minorHAnsi" w:hAnsiTheme="minorHAnsi" w:cs="Arial"/>
          <w:sz w:val="22"/>
          <w:szCs w:val="22"/>
        </w:rPr>
        <w:t>.</w:t>
      </w:r>
      <w:r w:rsidRPr="009F7193">
        <w:rPr>
          <w:rStyle w:val="FootnoteReference"/>
          <w:rFonts w:asciiTheme="minorHAnsi" w:hAnsiTheme="minorHAnsi" w:cs="Arial"/>
          <w:sz w:val="22"/>
          <w:szCs w:val="22"/>
        </w:rPr>
        <w:footnoteReference w:id="35"/>
      </w:r>
      <w:r w:rsidRPr="009F7193">
        <w:rPr>
          <w:rFonts w:asciiTheme="minorHAnsi" w:hAnsiTheme="minorHAnsi" w:cs="Arial"/>
          <w:sz w:val="22"/>
          <w:szCs w:val="22"/>
        </w:rPr>
        <w:t xml:space="preserve"> These capabilities, often unavailable at outpatient imaging centers, underscore the need for hospital-based MRI access for high-risk patients.</w:t>
      </w:r>
    </w:p>
    <w:p w14:paraId="4DAE7E3B" w14:textId="77777777" w:rsidR="00307867" w:rsidRPr="009F7193" w:rsidRDefault="00307867" w:rsidP="00307867">
      <w:pPr>
        <w:jc w:val="both"/>
        <w:rPr>
          <w:rFonts w:asciiTheme="minorHAnsi" w:hAnsiTheme="minorHAnsi" w:cs="Arial"/>
          <w:sz w:val="22"/>
          <w:szCs w:val="22"/>
        </w:rPr>
      </w:pPr>
    </w:p>
    <w:p w14:paraId="2EE9CF99" w14:textId="77777777" w:rsidR="00BE6093" w:rsidRPr="009F7193" w:rsidRDefault="00BE6093" w:rsidP="00BE6093">
      <w:pPr>
        <w:spacing w:after="120"/>
        <w:jc w:val="both"/>
        <w:rPr>
          <w:rFonts w:asciiTheme="minorHAnsi" w:eastAsia="Arial" w:hAnsiTheme="minorHAnsi" w:cs="Arial"/>
          <w:sz w:val="22"/>
          <w:szCs w:val="22"/>
        </w:rPr>
      </w:pPr>
      <w:r w:rsidRPr="009F7193">
        <w:rPr>
          <w:rFonts w:asciiTheme="minorHAnsi" w:hAnsiTheme="minorHAnsi" w:cs="Arial"/>
          <w:b/>
          <w:sz w:val="22"/>
          <w:szCs w:val="22"/>
        </w:rPr>
        <w:t>F1.</w:t>
      </w:r>
      <w:proofErr w:type="gramStart"/>
      <w:r w:rsidRPr="009F7193">
        <w:rPr>
          <w:rFonts w:asciiTheme="minorHAnsi" w:hAnsiTheme="minorHAnsi" w:cs="Arial"/>
          <w:b/>
          <w:sz w:val="22"/>
          <w:szCs w:val="22"/>
        </w:rPr>
        <w:t>b.ii</w:t>
      </w:r>
      <w:proofErr w:type="gramEnd"/>
      <w:r w:rsidRPr="009F7193">
        <w:rPr>
          <w:rFonts w:asciiTheme="minorHAnsi" w:hAnsiTheme="minorHAnsi" w:cs="Arial"/>
          <w:bCs/>
          <w:sz w:val="22"/>
          <w:szCs w:val="22"/>
        </w:rPr>
        <w:tab/>
      </w:r>
      <w:r w:rsidRPr="009F7193">
        <w:rPr>
          <w:rFonts w:asciiTheme="minorHAnsi" w:hAnsiTheme="minorHAnsi" w:cs="Arial"/>
          <w:b/>
          <w:sz w:val="22"/>
          <w:szCs w:val="22"/>
        </w:rPr>
        <w:tab/>
        <w:t>Public Health Value /Outcome-Oriented:</w:t>
      </w:r>
    </w:p>
    <w:p w14:paraId="5ACDE358" w14:textId="77777777" w:rsidR="00BE6093" w:rsidRPr="002270BF" w:rsidRDefault="00BE6093" w:rsidP="00BE6093">
      <w:pPr>
        <w:pStyle w:val="BodyText"/>
        <w:widowControl/>
        <w:spacing w:after="120"/>
        <w:ind w:left="1440"/>
        <w:jc w:val="both"/>
        <w:rPr>
          <w:rFonts w:asciiTheme="minorHAnsi" w:hAnsiTheme="minorHAnsi" w:cs="Arial"/>
          <w:b/>
          <w:kern w:val="2"/>
          <w:sz w:val="22"/>
          <w:szCs w:val="22"/>
        </w:rPr>
      </w:pPr>
      <w:r w:rsidRPr="002270BF">
        <w:rPr>
          <w:rFonts w:asciiTheme="minorHAnsi" w:hAnsiTheme="minorHAnsi" w:cs="Arial"/>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27977ABE" w14:textId="5C18A9F5" w:rsidR="00BE6093" w:rsidRPr="006F6593" w:rsidRDefault="00BE6093" w:rsidP="00BE6093">
      <w:pPr>
        <w:spacing w:after="200"/>
        <w:jc w:val="both"/>
        <w:rPr>
          <w:rFonts w:asciiTheme="minorHAnsi" w:hAnsiTheme="minorHAnsi" w:cs="Arial"/>
          <w:sz w:val="22"/>
          <w:szCs w:val="22"/>
        </w:rPr>
      </w:pPr>
      <w:r w:rsidRPr="009F7193">
        <w:rPr>
          <w:rFonts w:asciiTheme="minorHAnsi" w:hAnsiTheme="minorHAnsi" w:cs="Arial"/>
          <w:sz w:val="22"/>
          <w:szCs w:val="22"/>
        </w:rPr>
        <w:t xml:space="preserve">The Proposed Project will provide public health value by improving access to high-quality </w:t>
      </w:r>
      <w:r w:rsidR="00BB3F45" w:rsidRPr="009F7193">
        <w:rPr>
          <w:rFonts w:asciiTheme="minorHAnsi" w:hAnsiTheme="minorHAnsi" w:cs="Arial"/>
          <w:sz w:val="22"/>
          <w:szCs w:val="22"/>
        </w:rPr>
        <w:t>MRI for Cape Cod residents</w:t>
      </w:r>
      <w:r w:rsidRPr="009F7193">
        <w:rPr>
          <w:rFonts w:asciiTheme="minorHAnsi" w:hAnsiTheme="minorHAnsi" w:cs="Arial"/>
          <w:sz w:val="22"/>
          <w:szCs w:val="22"/>
        </w:rPr>
        <w:t xml:space="preserve">, thereby improving health outcomes and patient satisfaction. To assess the impact of </w:t>
      </w:r>
      <w:r w:rsidRPr="006F6593">
        <w:rPr>
          <w:rFonts w:asciiTheme="minorHAnsi" w:hAnsiTheme="minorHAnsi" w:cs="Arial"/>
          <w:sz w:val="22"/>
          <w:szCs w:val="22"/>
        </w:rPr>
        <w:t>the Proposed Project, the Applicant will monitor and report following quality metrics.</w:t>
      </w:r>
    </w:p>
    <w:p w14:paraId="794C8158" w14:textId="2EBE87E5" w:rsidR="00BE6093" w:rsidRPr="006F6593" w:rsidRDefault="00BE6093" w:rsidP="00BE6093">
      <w:pPr>
        <w:pStyle w:val="BodyText"/>
        <w:widowControl/>
        <w:numPr>
          <w:ilvl w:val="0"/>
          <w:numId w:val="6"/>
        </w:numPr>
        <w:spacing w:before="0" w:after="120"/>
        <w:jc w:val="both"/>
        <w:rPr>
          <w:rFonts w:asciiTheme="minorHAnsi" w:hAnsiTheme="minorHAnsi" w:cs="Arial"/>
          <w:b/>
          <w:bCs/>
          <w:kern w:val="2"/>
          <w:sz w:val="22"/>
          <w:szCs w:val="22"/>
        </w:rPr>
      </w:pPr>
      <w:r w:rsidRPr="006F6593">
        <w:rPr>
          <w:rFonts w:asciiTheme="minorHAnsi" w:hAnsiTheme="minorHAnsi" w:cs="Arial"/>
          <w:b/>
          <w:bCs/>
          <w:kern w:val="2"/>
          <w:sz w:val="22"/>
          <w:szCs w:val="22"/>
        </w:rPr>
        <w:t xml:space="preserve">Wait Time: </w:t>
      </w:r>
      <w:r w:rsidRPr="006F6593">
        <w:rPr>
          <w:rFonts w:asciiTheme="minorHAnsi" w:hAnsiTheme="minorHAnsi" w:cs="Arial"/>
          <w:kern w:val="2"/>
          <w:sz w:val="22"/>
          <w:szCs w:val="22"/>
        </w:rPr>
        <w:t>Timely access to MRI services is critical for early diagnosis and treatment, contributing to improved health outcomes and patient satisfaction. The Applicant will monitor and report the average time patients wait from the date the MRI is ordered to the date it is scheduled.</w:t>
      </w:r>
    </w:p>
    <w:p w14:paraId="070B0143" w14:textId="77777777" w:rsidR="00BE6093" w:rsidRPr="006F6593" w:rsidRDefault="00BE6093" w:rsidP="00BE6093">
      <w:pPr>
        <w:pStyle w:val="BodyText"/>
        <w:widowControl/>
        <w:spacing w:after="120"/>
        <w:ind w:left="720"/>
        <w:jc w:val="both"/>
        <w:rPr>
          <w:rFonts w:asciiTheme="minorHAnsi" w:hAnsiTheme="minorHAnsi" w:cs="Arial"/>
          <w:kern w:val="2"/>
          <w:sz w:val="22"/>
          <w:szCs w:val="22"/>
        </w:rPr>
      </w:pPr>
      <w:r w:rsidRPr="006F6593">
        <w:rPr>
          <w:rFonts w:asciiTheme="minorHAnsi" w:hAnsiTheme="minorHAnsi" w:cs="Arial"/>
          <w:b/>
          <w:kern w:val="2"/>
          <w:sz w:val="22"/>
          <w:szCs w:val="22"/>
        </w:rPr>
        <w:t>Measure:</w:t>
      </w:r>
      <w:r w:rsidRPr="006F6593">
        <w:rPr>
          <w:rFonts w:asciiTheme="minorHAnsi" w:hAnsiTheme="minorHAnsi" w:cs="Arial"/>
          <w:kern w:val="2"/>
          <w:sz w:val="22"/>
          <w:szCs w:val="22"/>
        </w:rPr>
        <w:t xml:space="preserve"> Staff will analyze average </w:t>
      </w:r>
      <w:proofErr w:type="gramStart"/>
      <w:r w:rsidRPr="006F6593">
        <w:rPr>
          <w:rFonts w:asciiTheme="minorHAnsi" w:hAnsiTheme="minorHAnsi" w:cs="Arial"/>
          <w:kern w:val="2"/>
          <w:sz w:val="22"/>
          <w:szCs w:val="22"/>
        </w:rPr>
        <w:t>patient</w:t>
      </w:r>
      <w:proofErr w:type="gramEnd"/>
      <w:r w:rsidRPr="006F6593">
        <w:rPr>
          <w:rFonts w:asciiTheme="minorHAnsi" w:hAnsiTheme="minorHAnsi" w:cs="Arial"/>
          <w:kern w:val="2"/>
          <w:sz w:val="22"/>
          <w:szCs w:val="22"/>
        </w:rPr>
        <w:t xml:space="preserve"> wait times (from date procedure is ordered to date procedure is scheduled) quarterly to ensure adequate progress and identify any opportunities for improvement.</w:t>
      </w:r>
    </w:p>
    <w:p w14:paraId="4C3C1738" w14:textId="77777777" w:rsidR="00BE6093" w:rsidRPr="006F6593" w:rsidRDefault="00BE6093" w:rsidP="00BE6093">
      <w:pPr>
        <w:pStyle w:val="BodyText"/>
        <w:widowControl/>
        <w:spacing w:after="120"/>
        <w:ind w:left="720"/>
        <w:jc w:val="both"/>
        <w:rPr>
          <w:rFonts w:asciiTheme="minorHAnsi" w:hAnsiTheme="minorHAnsi" w:cs="Arial"/>
          <w:kern w:val="2"/>
          <w:sz w:val="22"/>
          <w:szCs w:val="22"/>
        </w:rPr>
      </w:pPr>
      <w:r w:rsidRPr="006F6593">
        <w:rPr>
          <w:rFonts w:asciiTheme="minorHAnsi" w:hAnsiTheme="minorHAnsi" w:cs="Arial"/>
          <w:b/>
          <w:kern w:val="2"/>
          <w:sz w:val="22"/>
          <w:szCs w:val="22"/>
        </w:rPr>
        <w:t>Baseline:</w:t>
      </w:r>
      <w:r w:rsidRPr="006F6593">
        <w:rPr>
          <w:rFonts w:asciiTheme="minorHAnsi" w:hAnsiTheme="minorHAnsi" w:cs="Arial"/>
          <w:kern w:val="2"/>
          <w:sz w:val="22"/>
          <w:szCs w:val="22"/>
        </w:rPr>
        <w:t xml:space="preserve"> Current average wait time is 7.3 days.</w:t>
      </w:r>
    </w:p>
    <w:p w14:paraId="38539BCE" w14:textId="77777777" w:rsidR="00BE6093" w:rsidRPr="009F7193" w:rsidRDefault="00BE6093" w:rsidP="00BE6093">
      <w:pPr>
        <w:pStyle w:val="BodyText"/>
        <w:widowControl/>
        <w:spacing w:after="120"/>
        <w:ind w:left="720"/>
        <w:jc w:val="both"/>
        <w:rPr>
          <w:rFonts w:asciiTheme="minorHAnsi" w:hAnsiTheme="minorHAnsi" w:cs="Arial"/>
          <w:kern w:val="2"/>
          <w:sz w:val="22"/>
          <w:szCs w:val="22"/>
        </w:rPr>
      </w:pPr>
      <w:r w:rsidRPr="006F6593">
        <w:rPr>
          <w:rFonts w:asciiTheme="minorHAnsi" w:hAnsiTheme="minorHAnsi" w:cs="Arial"/>
          <w:b/>
          <w:kern w:val="2"/>
          <w:sz w:val="22"/>
          <w:szCs w:val="22"/>
        </w:rPr>
        <w:t>Projections and Goal:</w:t>
      </w:r>
      <w:r w:rsidRPr="006F6593">
        <w:rPr>
          <w:rFonts w:asciiTheme="minorHAnsi" w:hAnsiTheme="minorHAnsi" w:cs="Arial"/>
          <w:kern w:val="2"/>
          <w:sz w:val="22"/>
          <w:szCs w:val="22"/>
        </w:rPr>
        <w:t xml:space="preserve"> Utilization of a second MRI will reduce wait times for MRI imaging services by 0.5 days per year, with the 5-year goal being a wait time of only 4 days.</w:t>
      </w:r>
    </w:p>
    <w:p w14:paraId="7A8D0D37" w14:textId="56D127FF" w:rsidR="00BE6093" w:rsidRPr="009F7193" w:rsidRDefault="00BE6093" w:rsidP="00BE6093">
      <w:pPr>
        <w:pStyle w:val="BodyText"/>
        <w:widowControl/>
        <w:numPr>
          <w:ilvl w:val="0"/>
          <w:numId w:val="6"/>
        </w:numPr>
        <w:spacing w:before="0" w:after="120"/>
        <w:jc w:val="both"/>
        <w:rPr>
          <w:rFonts w:asciiTheme="minorHAnsi" w:hAnsiTheme="minorHAnsi" w:cs="Arial"/>
          <w:kern w:val="2"/>
          <w:sz w:val="22"/>
          <w:szCs w:val="22"/>
        </w:rPr>
      </w:pPr>
      <w:r w:rsidRPr="009F7193">
        <w:rPr>
          <w:rFonts w:asciiTheme="minorHAnsi" w:hAnsiTheme="minorHAnsi" w:cs="Arial"/>
          <w:b/>
          <w:kern w:val="2"/>
          <w:sz w:val="22"/>
          <w:szCs w:val="22"/>
        </w:rPr>
        <w:t xml:space="preserve">Patient Satisfaction: </w:t>
      </w:r>
      <w:r w:rsidRPr="009F7193">
        <w:rPr>
          <w:rFonts w:asciiTheme="minorHAnsi" w:hAnsiTheme="minorHAnsi" w:cs="Arial"/>
          <w:kern w:val="2"/>
          <w:sz w:val="22"/>
          <w:szCs w:val="22"/>
        </w:rPr>
        <w:t xml:space="preserve">Patients who are satisfied with their care are more likely to seek additional treatment when needed. The Applicant will continue to review patient satisfaction levels related to </w:t>
      </w:r>
      <w:r w:rsidR="00227B01" w:rsidRPr="009F7193">
        <w:rPr>
          <w:rFonts w:asciiTheme="minorHAnsi" w:hAnsiTheme="minorHAnsi" w:cs="Arial"/>
          <w:kern w:val="2"/>
          <w:sz w:val="22"/>
          <w:szCs w:val="22"/>
        </w:rPr>
        <w:t>Hospital</w:t>
      </w:r>
      <w:r w:rsidRPr="009F7193">
        <w:rPr>
          <w:rFonts w:asciiTheme="minorHAnsi" w:hAnsiTheme="minorHAnsi" w:cs="Arial"/>
          <w:kern w:val="2"/>
          <w:sz w:val="22"/>
          <w:szCs w:val="22"/>
        </w:rPr>
        <w:t xml:space="preserve"> MRI from patient surveys.</w:t>
      </w:r>
    </w:p>
    <w:p w14:paraId="1040FFF4" w14:textId="734D362D" w:rsidR="00BE6093" w:rsidRPr="009F7193" w:rsidRDefault="00BE6093" w:rsidP="00BE6093">
      <w:pPr>
        <w:pStyle w:val="BodyText"/>
        <w:widowControl/>
        <w:spacing w:after="120"/>
        <w:ind w:left="720"/>
        <w:jc w:val="both"/>
        <w:rPr>
          <w:rFonts w:asciiTheme="minorHAnsi" w:hAnsiTheme="minorHAnsi" w:cs="Arial"/>
          <w:kern w:val="2"/>
          <w:sz w:val="22"/>
          <w:szCs w:val="22"/>
        </w:rPr>
      </w:pPr>
      <w:r w:rsidRPr="009F7193">
        <w:rPr>
          <w:rFonts w:asciiTheme="minorHAnsi" w:hAnsiTheme="minorHAnsi" w:cs="Arial"/>
          <w:b/>
          <w:kern w:val="2"/>
          <w:sz w:val="22"/>
          <w:szCs w:val="22"/>
        </w:rPr>
        <w:t>Measure:</w:t>
      </w:r>
      <w:r w:rsidRPr="009F7193">
        <w:rPr>
          <w:rFonts w:asciiTheme="minorHAnsi" w:hAnsiTheme="minorHAnsi" w:cs="Arial"/>
          <w:kern w:val="2"/>
          <w:sz w:val="22"/>
          <w:szCs w:val="22"/>
        </w:rPr>
        <w:t xml:space="preserve"> Staff will review responses related to patient surveys related to MRI services, specifically focusing on patient response regarding their likelihood to recommend </w:t>
      </w:r>
      <w:r w:rsidR="00227B01" w:rsidRPr="009F7193">
        <w:rPr>
          <w:rFonts w:asciiTheme="minorHAnsi" w:hAnsiTheme="minorHAnsi" w:cs="Arial"/>
          <w:kern w:val="2"/>
          <w:sz w:val="22"/>
          <w:szCs w:val="22"/>
        </w:rPr>
        <w:t>Hospital</w:t>
      </w:r>
      <w:r w:rsidRPr="009F7193">
        <w:rPr>
          <w:rFonts w:asciiTheme="minorHAnsi" w:hAnsiTheme="minorHAnsi" w:cs="Arial"/>
          <w:kern w:val="2"/>
          <w:sz w:val="22"/>
          <w:szCs w:val="22"/>
        </w:rPr>
        <w:t xml:space="preserve"> MRI services. Staff will review survey data quarterly.</w:t>
      </w:r>
    </w:p>
    <w:p w14:paraId="28A7E89E" w14:textId="77777777" w:rsidR="00BE6093" w:rsidRPr="009F7193" w:rsidRDefault="00BE6093" w:rsidP="00BE6093">
      <w:pPr>
        <w:pStyle w:val="BodyText"/>
        <w:widowControl/>
        <w:spacing w:after="120"/>
        <w:ind w:left="720"/>
        <w:jc w:val="both"/>
        <w:rPr>
          <w:rFonts w:asciiTheme="minorHAnsi" w:hAnsiTheme="minorHAnsi" w:cs="Arial"/>
          <w:kern w:val="2"/>
          <w:sz w:val="22"/>
          <w:szCs w:val="22"/>
        </w:rPr>
      </w:pPr>
      <w:r w:rsidRPr="009F7193">
        <w:rPr>
          <w:rFonts w:asciiTheme="minorHAnsi" w:hAnsiTheme="minorHAnsi" w:cs="Arial"/>
          <w:b/>
          <w:kern w:val="2"/>
          <w:sz w:val="22"/>
          <w:szCs w:val="22"/>
        </w:rPr>
        <w:t>Baseline:</w:t>
      </w:r>
      <w:r w:rsidRPr="009F7193">
        <w:rPr>
          <w:rFonts w:asciiTheme="minorHAnsi" w:hAnsiTheme="minorHAnsi" w:cs="Arial"/>
          <w:kern w:val="2"/>
          <w:sz w:val="22"/>
          <w:szCs w:val="22"/>
        </w:rPr>
        <w:t xml:space="preserve"> 85.19% of patients responded with the highest score.</w:t>
      </w:r>
    </w:p>
    <w:p w14:paraId="6210AE38" w14:textId="747EFB1C" w:rsidR="007D6AF7" w:rsidRPr="009F7193" w:rsidRDefault="00BE6093" w:rsidP="00BB3F45">
      <w:pPr>
        <w:ind w:left="720"/>
        <w:jc w:val="both"/>
        <w:rPr>
          <w:rFonts w:asciiTheme="minorHAnsi" w:hAnsiTheme="minorHAnsi" w:cs="Arial"/>
          <w:b/>
          <w:sz w:val="22"/>
          <w:szCs w:val="22"/>
        </w:rPr>
      </w:pPr>
      <w:r w:rsidRPr="009F7193">
        <w:rPr>
          <w:rFonts w:asciiTheme="minorHAnsi" w:hAnsiTheme="minorHAnsi" w:cs="Arial"/>
          <w:b/>
          <w:sz w:val="22"/>
          <w:szCs w:val="22"/>
        </w:rPr>
        <w:t>Projections and Goal:</w:t>
      </w:r>
      <w:r w:rsidRPr="009F7193">
        <w:rPr>
          <w:rFonts w:asciiTheme="minorHAnsi" w:hAnsiTheme="minorHAnsi" w:cs="Arial"/>
          <w:sz w:val="22"/>
          <w:szCs w:val="22"/>
        </w:rPr>
        <w:t xml:space="preserve"> </w:t>
      </w:r>
      <w:r w:rsidR="00227B01" w:rsidRPr="009F7193">
        <w:rPr>
          <w:rFonts w:asciiTheme="minorHAnsi" w:hAnsiTheme="minorHAnsi" w:cs="Arial"/>
          <w:sz w:val="22"/>
          <w:szCs w:val="22"/>
        </w:rPr>
        <w:t>The Hospital’s</w:t>
      </w:r>
      <w:r w:rsidRPr="009F7193">
        <w:rPr>
          <w:rFonts w:asciiTheme="minorHAnsi" w:hAnsiTheme="minorHAnsi" w:cs="Arial"/>
          <w:sz w:val="22"/>
          <w:szCs w:val="22"/>
        </w:rPr>
        <w:t xml:space="preserve"> goal is to improve this measure of patient satisfaction by 1.5% per year, with the </w:t>
      </w:r>
      <w:proofErr w:type="gramStart"/>
      <w:r w:rsidRPr="009F7193">
        <w:rPr>
          <w:rFonts w:asciiTheme="minorHAnsi" w:hAnsiTheme="minorHAnsi" w:cs="Arial"/>
          <w:sz w:val="22"/>
          <w:szCs w:val="22"/>
        </w:rPr>
        <w:t>ultimate goal</w:t>
      </w:r>
      <w:proofErr w:type="gramEnd"/>
      <w:r w:rsidRPr="009F7193">
        <w:rPr>
          <w:rFonts w:asciiTheme="minorHAnsi" w:hAnsiTheme="minorHAnsi" w:cs="Arial"/>
          <w:sz w:val="22"/>
          <w:szCs w:val="22"/>
        </w:rPr>
        <w:t xml:space="preserve"> of reaching 92% by the end of the 5</w:t>
      </w:r>
      <w:r w:rsidRPr="009F7193">
        <w:rPr>
          <w:rFonts w:asciiTheme="minorHAnsi" w:hAnsiTheme="minorHAnsi" w:cs="Arial"/>
          <w:sz w:val="22"/>
          <w:szCs w:val="22"/>
          <w:vertAlign w:val="superscript"/>
        </w:rPr>
        <w:t>th</w:t>
      </w:r>
      <w:r w:rsidRPr="009F7193">
        <w:rPr>
          <w:rFonts w:asciiTheme="minorHAnsi" w:hAnsiTheme="minorHAnsi" w:cs="Arial"/>
          <w:sz w:val="22"/>
          <w:szCs w:val="22"/>
        </w:rPr>
        <w:t xml:space="preserve"> year.</w:t>
      </w:r>
    </w:p>
    <w:p w14:paraId="6E9C3551" w14:textId="77777777" w:rsidR="00CB0E68" w:rsidRPr="009F7193" w:rsidRDefault="00CB0E68" w:rsidP="00BE6093">
      <w:pPr>
        <w:jc w:val="both"/>
        <w:rPr>
          <w:rFonts w:asciiTheme="minorHAnsi" w:hAnsiTheme="minorHAnsi" w:cs="Arial"/>
          <w:b/>
          <w:sz w:val="22"/>
          <w:szCs w:val="22"/>
        </w:rPr>
      </w:pPr>
    </w:p>
    <w:p w14:paraId="2ABB1AFC" w14:textId="6629D9FA" w:rsidR="00BE6093" w:rsidRPr="009F7193" w:rsidRDefault="00BE6093" w:rsidP="002270BF">
      <w:pPr>
        <w:spacing w:after="120"/>
        <w:jc w:val="both"/>
        <w:rPr>
          <w:rFonts w:asciiTheme="minorHAnsi" w:eastAsia="Arial" w:hAnsiTheme="minorHAnsi" w:cs="Arial"/>
          <w:b/>
          <w:sz w:val="22"/>
          <w:szCs w:val="22"/>
        </w:rPr>
      </w:pPr>
      <w:r w:rsidRPr="009F7193">
        <w:rPr>
          <w:rFonts w:asciiTheme="minorHAnsi" w:hAnsiTheme="minorHAnsi" w:cs="Arial"/>
          <w:b/>
          <w:sz w:val="22"/>
          <w:szCs w:val="22"/>
        </w:rPr>
        <w:lastRenderedPageBreak/>
        <w:t>F1.b.iii</w:t>
      </w:r>
      <w:r w:rsidRPr="009F7193">
        <w:rPr>
          <w:rFonts w:asciiTheme="minorHAnsi" w:hAnsiTheme="minorHAnsi" w:cs="Arial"/>
          <w:b/>
          <w:sz w:val="22"/>
          <w:szCs w:val="22"/>
        </w:rPr>
        <w:tab/>
      </w:r>
      <w:r w:rsidRPr="009F7193">
        <w:rPr>
          <w:rFonts w:asciiTheme="minorHAnsi" w:hAnsiTheme="minorHAnsi" w:cs="Arial"/>
          <w:sz w:val="22"/>
          <w:szCs w:val="22"/>
        </w:rPr>
        <w:tab/>
      </w:r>
      <w:r w:rsidRPr="009F7193">
        <w:rPr>
          <w:rFonts w:asciiTheme="minorHAnsi" w:hAnsiTheme="minorHAnsi" w:cs="Arial"/>
          <w:b/>
          <w:sz w:val="22"/>
          <w:szCs w:val="22"/>
          <w:u w:val="single"/>
        </w:rPr>
        <w:t>Public Health Value /Health Equity-Focused:</w:t>
      </w:r>
    </w:p>
    <w:p w14:paraId="6706FF59" w14:textId="77777777" w:rsidR="00BE6093" w:rsidRPr="009F7193" w:rsidRDefault="00BE6093" w:rsidP="00BE6093">
      <w:pPr>
        <w:pStyle w:val="BodyText"/>
        <w:widowControl/>
        <w:spacing w:before="0" w:after="120"/>
        <w:ind w:left="1440"/>
        <w:jc w:val="both"/>
        <w:rPr>
          <w:rFonts w:asciiTheme="minorHAnsi" w:hAnsiTheme="minorHAnsi" w:cs="Arial"/>
          <w:b/>
          <w:kern w:val="2"/>
          <w:sz w:val="22"/>
          <w:szCs w:val="22"/>
        </w:rPr>
      </w:pPr>
      <w:r w:rsidRPr="009F7193">
        <w:rPr>
          <w:rFonts w:asciiTheme="minorHAnsi" w:hAnsiTheme="minorHAnsi" w:cs="Arial"/>
          <w:b/>
          <w:kern w:val="2"/>
          <w:sz w:val="22"/>
          <w:szCs w:val="22"/>
        </w:rPr>
        <w:t xml:space="preserve">For Proposed Projects addressing health inequities identified within the Applicant's description of the Proposed Project's </w:t>
      </w:r>
      <w:proofErr w:type="spellStart"/>
      <w:r w:rsidRPr="009F7193">
        <w:rPr>
          <w:rFonts w:asciiTheme="minorHAnsi" w:hAnsiTheme="minorHAnsi" w:cs="Arial"/>
          <w:b/>
          <w:kern w:val="2"/>
          <w:sz w:val="22"/>
          <w:szCs w:val="22"/>
        </w:rPr>
        <w:t>need</w:t>
      </w:r>
      <w:r w:rsidRPr="009F7193">
        <w:rPr>
          <w:rFonts w:asciiTheme="minorHAnsi" w:hAnsiTheme="minorHAnsi" w:cs="Arial"/>
          <w:b/>
          <w:kern w:val="2"/>
          <w:sz w:val="22"/>
          <w:szCs w:val="22"/>
        </w:rPr>
        <w:softHyphen/>
        <w:t>base</w:t>
      </w:r>
      <w:proofErr w:type="spellEnd"/>
      <w:r w:rsidRPr="009F7193">
        <w:rPr>
          <w:rFonts w:asciiTheme="minorHAnsi" w:hAnsiTheme="minorHAnsi" w:cs="Arial"/>
          <w:b/>
          <w:kern w:val="2"/>
          <w:sz w:val="22"/>
          <w:szCs w:val="22"/>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1DFFC4CD" w14:textId="77777777" w:rsidR="00FD3A0A" w:rsidRPr="00820D40" w:rsidRDefault="00FD3A0A" w:rsidP="00820D40">
      <w:pPr>
        <w:pStyle w:val="BodyText"/>
        <w:spacing w:after="120"/>
        <w:jc w:val="both"/>
        <w:rPr>
          <w:rFonts w:ascii="Aptos" w:eastAsiaTheme="minorHAnsi" w:hAnsi="Aptos" w:cs="Arial"/>
          <w:sz w:val="22"/>
          <w:szCs w:val="22"/>
        </w:rPr>
      </w:pPr>
      <w:r w:rsidRPr="00820D40">
        <w:rPr>
          <w:rFonts w:ascii="Aptos" w:eastAsiaTheme="minorHAnsi" w:hAnsi="Aptos" w:cs="Arial"/>
          <w:sz w:val="22"/>
          <w:szCs w:val="22"/>
        </w:rPr>
        <w:t xml:space="preserve">The Proposed Project will allow the Applicant to ensure timely access to MRI services for all Hospital patients. The Applicant is committed to developing, implementing, and continuously evaluating policies, procedures, and an organizational culture that fosters an inclusive and equitable environment for all patients, visitors, and staff. The Applicant does not discriminate based on ability to pay or payer source, physical ability, sensory or speech limitations, or religious, spiritual or cultural beliefs. The Applicant provides all patients with appropriate communication resources and culturally competent care. </w:t>
      </w:r>
    </w:p>
    <w:p w14:paraId="36ED8376" w14:textId="57C92F3B" w:rsidR="001F69D9" w:rsidRPr="00820D40" w:rsidRDefault="00FD3A0A" w:rsidP="00820D40">
      <w:pPr>
        <w:pStyle w:val="BodyText"/>
        <w:numPr>
          <w:ilvl w:val="0"/>
          <w:numId w:val="18"/>
        </w:numPr>
        <w:spacing w:after="120"/>
        <w:ind w:hanging="110"/>
        <w:jc w:val="both"/>
        <w:rPr>
          <w:rFonts w:ascii="Aptos" w:eastAsiaTheme="minorHAnsi" w:hAnsi="Aptos" w:cs="Arial"/>
          <w:sz w:val="22"/>
          <w:szCs w:val="22"/>
          <w:u w:val="single"/>
        </w:rPr>
      </w:pPr>
      <w:r w:rsidRPr="00820D40">
        <w:rPr>
          <w:rFonts w:ascii="Aptos" w:eastAsiaTheme="minorHAnsi" w:hAnsi="Aptos" w:cs="Arial"/>
          <w:sz w:val="22"/>
          <w:szCs w:val="22"/>
          <w:u w:val="single"/>
        </w:rPr>
        <w:t xml:space="preserve">Ensuring Language Accessibility </w:t>
      </w:r>
    </w:p>
    <w:p w14:paraId="0CB0D8AC" w14:textId="77777777" w:rsidR="00FD3A0A" w:rsidRPr="00820D40" w:rsidRDefault="00FD3A0A" w:rsidP="00820D40">
      <w:pPr>
        <w:pStyle w:val="BodyText"/>
        <w:spacing w:after="120"/>
        <w:jc w:val="both"/>
        <w:rPr>
          <w:rFonts w:ascii="Aptos" w:eastAsiaTheme="minorHAnsi" w:hAnsi="Aptos" w:cs="Arial"/>
          <w:sz w:val="22"/>
          <w:szCs w:val="22"/>
        </w:rPr>
      </w:pPr>
      <w:r w:rsidRPr="00820D40">
        <w:rPr>
          <w:rFonts w:ascii="Aptos" w:eastAsiaTheme="minorHAnsi" w:hAnsi="Aptos" w:cs="Arial"/>
          <w:sz w:val="22"/>
          <w:szCs w:val="22"/>
        </w:rPr>
        <w:t>The Applicant is committed to ensuring comprehensive language access and culturally and linguistically appropriate services across all its facilities, including the Hospital. Recognizing the diverse linguistic needs of its growing patient population, serving individuals who speak over 40 languages, the Applicant has developed a robust interpreter services program that operates 24/7/365. This program is staffed by a dedicated team of 25 interpreters, supplemented by on-demand telephonic and video remote interpretation services in partnership with HIPAA-compliant vendors. This program guarantees immediate access to qualified interpreters for both routine and emergency care.</w:t>
      </w:r>
    </w:p>
    <w:p w14:paraId="7774F973" w14:textId="77777777" w:rsidR="00FD3A0A" w:rsidRPr="00820D40" w:rsidRDefault="00FD3A0A" w:rsidP="00FD3A0A">
      <w:pPr>
        <w:pStyle w:val="BodyText"/>
        <w:spacing w:after="120"/>
        <w:jc w:val="both"/>
        <w:rPr>
          <w:rFonts w:ascii="Aptos" w:eastAsiaTheme="minorHAnsi" w:hAnsi="Aptos" w:cs="Arial"/>
          <w:sz w:val="22"/>
          <w:szCs w:val="22"/>
        </w:rPr>
      </w:pPr>
      <w:r w:rsidRPr="00820D40">
        <w:rPr>
          <w:rFonts w:ascii="Aptos" w:eastAsiaTheme="minorHAnsi" w:hAnsi="Aptos" w:cs="Arial"/>
          <w:sz w:val="22"/>
          <w:szCs w:val="22"/>
        </w:rPr>
        <w:t xml:space="preserve">The Interpreter Services Department is responsible for ensuring that all interpreter encounters are properly documented in the electronic health record, flagging patients’ primary languages at registration, and providing written educational materials and consent forms in patients’ preferred languages. The Department also manages the translation of written materials, maintains a repository of translated documents, and ensures the non-use of unqualified interpreters or translation apps to safeguard accuracy and confidentiality. Additionally, annual in-service </w:t>
      </w:r>
      <w:proofErr w:type="gramStart"/>
      <w:r w:rsidRPr="00820D40">
        <w:rPr>
          <w:rFonts w:ascii="Aptos" w:eastAsiaTheme="minorHAnsi" w:hAnsi="Aptos" w:cs="Arial"/>
          <w:sz w:val="22"/>
          <w:szCs w:val="22"/>
        </w:rPr>
        <w:t>trainings are</w:t>
      </w:r>
      <w:proofErr w:type="gramEnd"/>
      <w:r w:rsidRPr="00820D40">
        <w:rPr>
          <w:rFonts w:ascii="Aptos" w:eastAsiaTheme="minorHAnsi" w:hAnsi="Aptos" w:cs="Arial"/>
          <w:sz w:val="22"/>
          <w:szCs w:val="22"/>
        </w:rPr>
        <w:t xml:space="preserve"> delivered hospital-wide to ensure all clinical and non-clinical staff understand how to access and work with interpreters, and bilingual staff undergo formal language proficiency assessments before using their language skills in patient care activities. Lastly, the Applicant continuously looks to improve its language accessibility efforts by collecting and analyzing data on interpreter utilization for specific areas that need to be addressed.  </w:t>
      </w:r>
    </w:p>
    <w:p w14:paraId="5DDE8E8D" w14:textId="57D94061" w:rsidR="00FD3A0A" w:rsidRPr="001B60AC" w:rsidRDefault="00FD3A0A" w:rsidP="00820D40">
      <w:pPr>
        <w:pStyle w:val="ListParagraph"/>
        <w:numPr>
          <w:ilvl w:val="0"/>
          <w:numId w:val="17"/>
        </w:numPr>
        <w:suppressAutoHyphens w:val="0"/>
        <w:spacing w:after="160" w:line="278" w:lineRule="auto"/>
        <w:rPr>
          <w:rFonts w:ascii="Aptos" w:hAnsi="Aptos"/>
          <w:sz w:val="22"/>
          <w:szCs w:val="22"/>
          <w:u w:val="single"/>
        </w:rPr>
      </w:pPr>
      <w:r w:rsidRPr="001B60AC">
        <w:rPr>
          <w:rFonts w:ascii="Aptos" w:hAnsi="Aptos"/>
          <w:sz w:val="22"/>
          <w:szCs w:val="22"/>
          <w:u w:val="single"/>
        </w:rPr>
        <w:t>Promoting Cultural Competency</w:t>
      </w:r>
    </w:p>
    <w:p w14:paraId="3E0F9017" w14:textId="2C7C2988" w:rsidR="00FD3A0A" w:rsidRPr="00820D40" w:rsidRDefault="00FD3A0A" w:rsidP="00820D40">
      <w:pPr>
        <w:jc w:val="both"/>
        <w:rPr>
          <w:rFonts w:ascii="Aptos" w:hAnsi="Aptos"/>
          <w:b/>
          <w:bCs/>
        </w:rPr>
      </w:pPr>
      <w:r w:rsidRPr="00820D40">
        <w:rPr>
          <w:rFonts w:ascii="Aptos" w:hAnsi="Aptos"/>
        </w:rPr>
        <w:t xml:space="preserve">A culturally competent workforce ensures the delivery of care is individually tailored to meet each patient’s social, cultural and linguistic needs.  To achieve this goal, </w:t>
      </w:r>
      <w:r w:rsidR="00341C2B">
        <w:rPr>
          <w:rFonts w:ascii="Aptos" w:hAnsi="Aptos"/>
        </w:rPr>
        <w:t>the Applicant</w:t>
      </w:r>
      <w:r w:rsidRPr="00820D40">
        <w:rPr>
          <w:rFonts w:ascii="Aptos" w:hAnsi="Aptos"/>
        </w:rPr>
        <w:t xml:space="preserve"> requires all newly hired employees to complete a cultural competency training. The training is currently offered virtually via </w:t>
      </w:r>
      <w:r w:rsidR="00F12784">
        <w:rPr>
          <w:rFonts w:ascii="Aptos" w:hAnsi="Aptos"/>
        </w:rPr>
        <w:t>Cape Cod Healthcare</w:t>
      </w:r>
      <w:r w:rsidRPr="00820D40">
        <w:rPr>
          <w:rFonts w:ascii="Aptos" w:hAnsi="Aptos"/>
        </w:rPr>
        <w:t xml:space="preserve">’s Learning Management System, HealthStream. In addition, the Applicant provides in-person </w:t>
      </w:r>
      <w:proofErr w:type="gramStart"/>
      <w:r w:rsidRPr="00820D40">
        <w:rPr>
          <w:rFonts w:ascii="Aptos" w:hAnsi="Aptos"/>
        </w:rPr>
        <w:t>trainings</w:t>
      </w:r>
      <w:proofErr w:type="gramEnd"/>
      <w:r w:rsidRPr="00820D40">
        <w:rPr>
          <w:rFonts w:ascii="Aptos" w:hAnsi="Aptos"/>
        </w:rPr>
        <w:t xml:space="preserve"> on cultural competence to its clinical departments, including oncology, rehabilitation, behavioral health, psychiatric, and emergency medicine. The Applicant is committed to ensuring its </w:t>
      </w:r>
      <w:r w:rsidRPr="00820D40">
        <w:rPr>
          <w:rFonts w:ascii="Aptos" w:hAnsi="Aptos"/>
        </w:rPr>
        <w:lastRenderedPageBreak/>
        <w:t xml:space="preserve">staff are trained in cultural competency </w:t>
      </w:r>
      <w:proofErr w:type="gramStart"/>
      <w:r w:rsidRPr="00820D40">
        <w:rPr>
          <w:rFonts w:ascii="Aptos" w:hAnsi="Aptos"/>
        </w:rPr>
        <w:t>in order to</w:t>
      </w:r>
      <w:proofErr w:type="gramEnd"/>
      <w:r w:rsidRPr="00820D40">
        <w:rPr>
          <w:rFonts w:ascii="Aptos" w:hAnsi="Aptos"/>
        </w:rPr>
        <w:t xml:space="preserve"> reduce information gaps that can create barriers to care.  </w:t>
      </w:r>
    </w:p>
    <w:p w14:paraId="1EB5B0EA" w14:textId="77777777" w:rsidR="00FD3A0A" w:rsidRPr="00FD3A0A" w:rsidRDefault="00FD3A0A" w:rsidP="00820D40">
      <w:pPr>
        <w:pStyle w:val="BodyText"/>
        <w:spacing w:after="120"/>
        <w:jc w:val="both"/>
        <w:rPr>
          <w:rFonts w:asciiTheme="minorHAnsi" w:eastAsiaTheme="minorHAnsi" w:hAnsiTheme="minorHAnsi" w:cs="Arial"/>
          <w:sz w:val="22"/>
          <w:szCs w:val="22"/>
        </w:rPr>
      </w:pPr>
    </w:p>
    <w:p w14:paraId="771D37CD" w14:textId="77777777" w:rsidR="00BE6093" w:rsidRPr="009F7193" w:rsidRDefault="00BE6093" w:rsidP="00BE6093">
      <w:pPr>
        <w:pStyle w:val="BodyText"/>
        <w:widowControl/>
        <w:spacing w:before="0" w:after="120"/>
        <w:ind w:left="1440" w:hanging="1440"/>
        <w:jc w:val="both"/>
        <w:rPr>
          <w:rFonts w:asciiTheme="minorHAnsi" w:hAnsiTheme="minorHAnsi" w:cs="Arial"/>
          <w:b/>
          <w:kern w:val="2"/>
          <w:sz w:val="22"/>
          <w:szCs w:val="22"/>
        </w:rPr>
      </w:pPr>
      <w:r w:rsidRPr="009F7193">
        <w:rPr>
          <w:rFonts w:asciiTheme="minorHAnsi" w:hAnsiTheme="minorHAnsi" w:cs="Arial"/>
          <w:b/>
          <w:kern w:val="2"/>
          <w:sz w:val="22"/>
          <w:szCs w:val="22"/>
        </w:rPr>
        <w:t>F1.</w:t>
      </w:r>
      <w:proofErr w:type="gramStart"/>
      <w:r w:rsidRPr="009F7193">
        <w:rPr>
          <w:rFonts w:asciiTheme="minorHAnsi" w:hAnsiTheme="minorHAnsi" w:cs="Arial"/>
          <w:b/>
          <w:kern w:val="2"/>
          <w:sz w:val="22"/>
          <w:szCs w:val="22"/>
        </w:rPr>
        <w:t>b.iv</w:t>
      </w:r>
      <w:proofErr w:type="gramEnd"/>
      <w:r w:rsidRPr="009F7193">
        <w:rPr>
          <w:rFonts w:asciiTheme="minorHAnsi" w:hAnsiTheme="minorHAnsi" w:cs="Arial"/>
          <w:b/>
          <w:kern w:val="2"/>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016C0EDD" w14:textId="25D15BC7" w:rsidR="00341C2B" w:rsidRPr="00820D40" w:rsidRDefault="00341C2B" w:rsidP="00820D40">
      <w:pPr>
        <w:spacing w:after="120"/>
        <w:jc w:val="both"/>
        <w:rPr>
          <w:rFonts w:asciiTheme="minorHAnsi" w:hAnsiTheme="minorHAnsi" w:cs="Arial"/>
          <w:bCs/>
          <w:sz w:val="22"/>
          <w:szCs w:val="22"/>
          <w14:ligatures w14:val="none"/>
        </w:rPr>
      </w:pPr>
      <w:r w:rsidRPr="00820D40">
        <w:rPr>
          <w:rFonts w:asciiTheme="minorHAnsi" w:hAnsiTheme="minorHAnsi" w:cs="Arial"/>
          <w:bCs/>
          <w:sz w:val="22"/>
          <w:szCs w:val="22"/>
          <w14:ligatures w14:val="none"/>
        </w:rPr>
        <w:t xml:space="preserve">The Proposed Project will result in improved public health outcomes and quality of life for the Patient Panel by improving access to timely diagnostic imaging, which is essential for patient satisfaction, early diagnosis, and effective treatment planning. By alleviating potential bottlenecks and reducing delays in imaging, particularly for the Hospital’s large elderly population and patients with complex care needs, patients will benefit from faster diagnoses and more streamlined continuity of care. This is especially important for trauma and stroke patients who may require immediate access to MRI. Ensuring timely access to MRI for these patients will improve health outcomes and quality of life. Moreover, additional MRI capacity will also allow the Hospital to better accommodate inpatients who may not be able to return for outpatient imaging, ensuring that critical exams are completed prior to discharge and facilitating more comprehensive, coordinated care. </w:t>
      </w:r>
    </w:p>
    <w:p w14:paraId="7E1F85EE" w14:textId="302AF3B3" w:rsidR="00BE6093" w:rsidRPr="006F6593" w:rsidRDefault="00341C2B" w:rsidP="006F6593">
      <w:pPr>
        <w:spacing w:after="120"/>
        <w:jc w:val="both"/>
        <w:rPr>
          <w:rFonts w:asciiTheme="minorHAnsi" w:hAnsiTheme="minorHAnsi" w:cs="Arial"/>
          <w:bCs/>
          <w:sz w:val="22"/>
          <w:szCs w:val="22"/>
          <w14:ligatures w14:val="none"/>
        </w:rPr>
      </w:pPr>
      <w:r w:rsidRPr="00820D40">
        <w:rPr>
          <w:rFonts w:asciiTheme="minorHAnsi" w:hAnsiTheme="minorHAnsi" w:cs="Arial"/>
          <w:bCs/>
          <w:sz w:val="22"/>
          <w:szCs w:val="22"/>
          <w14:ligatures w14:val="none"/>
        </w:rPr>
        <w:t>The Hospital also is committed to advancing each patient’s health by providing comprehensive interpreter services, supporting cultural competency among staff, and ensuring that all patients, regardless of language, ability, or background, have the same access to care. In addition, universal screening for social determinants of health enables the Hospital to identify and address barriers such as transportation, housing, and food insecurity, connecting patients to appropriate community resources to support their overall well-being. Through these combined efforts, the Proposed Project will not only improve clinical outcomes but also enhance the overall patient experience and quality of life for all patients, with a strong focus on integrated, patient-centered care for all.</w:t>
      </w:r>
    </w:p>
    <w:p w14:paraId="1A61F991" w14:textId="77777777" w:rsidR="00BE6093" w:rsidRPr="009F7193" w:rsidRDefault="00BE6093" w:rsidP="00820D40">
      <w:pPr>
        <w:pStyle w:val="BodyText"/>
        <w:widowControl/>
        <w:spacing w:before="0" w:after="120"/>
        <w:ind w:left="1440" w:right="136" w:hanging="1440"/>
        <w:jc w:val="both"/>
        <w:rPr>
          <w:rFonts w:asciiTheme="minorHAnsi" w:hAnsiTheme="minorHAnsi" w:cs="Arial"/>
          <w:b/>
          <w:kern w:val="2"/>
          <w:sz w:val="22"/>
          <w:szCs w:val="22"/>
        </w:rPr>
      </w:pPr>
      <w:r w:rsidRPr="009F7193">
        <w:rPr>
          <w:rFonts w:asciiTheme="minorHAnsi" w:hAnsiTheme="minorHAnsi" w:cs="Arial"/>
          <w:b/>
          <w:kern w:val="2"/>
          <w:sz w:val="22"/>
          <w:szCs w:val="22"/>
        </w:rPr>
        <w:t>F1.c</w:t>
      </w:r>
      <w:r w:rsidRPr="009F7193">
        <w:rPr>
          <w:rFonts w:asciiTheme="minorHAnsi" w:hAnsiTheme="minorHAnsi" w:cs="Arial"/>
          <w:b/>
          <w:kern w:val="2"/>
          <w:sz w:val="22"/>
          <w:szCs w:val="22"/>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69B4F248" w14:textId="08780A37" w:rsidR="00BE6093" w:rsidRPr="009F7193" w:rsidRDefault="00BE6093" w:rsidP="00BE6093">
      <w:pPr>
        <w:pStyle w:val="BodyText"/>
        <w:widowControl/>
        <w:spacing w:before="0"/>
        <w:ind w:left="0" w:right="136"/>
        <w:jc w:val="both"/>
        <w:rPr>
          <w:rFonts w:asciiTheme="minorHAnsi" w:hAnsiTheme="minorHAnsi" w:cs="Arial"/>
          <w:bCs/>
          <w:kern w:val="2"/>
          <w:sz w:val="22"/>
          <w:szCs w:val="22"/>
        </w:rPr>
      </w:pPr>
      <w:r w:rsidRPr="009F7193">
        <w:rPr>
          <w:rFonts w:asciiTheme="minorHAnsi" w:hAnsiTheme="minorHAnsi" w:cs="Arial"/>
          <w:bCs/>
          <w:kern w:val="2"/>
          <w:sz w:val="22"/>
          <w:szCs w:val="22"/>
        </w:rPr>
        <w:t xml:space="preserve">The Proposed Project will significantly enhance the efficiency and effectiveness of care for the Applicant’s </w:t>
      </w:r>
      <w:r w:rsidR="005022F7" w:rsidRPr="009F7193">
        <w:rPr>
          <w:rFonts w:asciiTheme="minorHAnsi" w:hAnsiTheme="minorHAnsi" w:cs="Arial"/>
          <w:bCs/>
          <w:kern w:val="2"/>
          <w:sz w:val="22"/>
          <w:szCs w:val="22"/>
        </w:rPr>
        <w:t>P</w:t>
      </w:r>
      <w:r w:rsidRPr="009F7193">
        <w:rPr>
          <w:rFonts w:asciiTheme="minorHAnsi" w:hAnsiTheme="minorHAnsi" w:cs="Arial"/>
          <w:bCs/>
          <w:kern w:val="2"/>
          <w:sz w:val="22"/>
          <w:szCs w:val="22"/>
        </w:rPr>
        <w:t xml:space="preserve">atient </w:t>
      </w:r>
      <w:r w:rsidR="005022F7" w:rsidRPr="009F7193">
        <w:rPr>
          <w:rFonts w:asciiTheme="minorHAnsi" w:hAnsiTheme="minorHAnsi" w:cs="Arial"/>
          <w:bCs/>
          <w:kern w:val="2"/>
          <w:sz w:val="22"/>
          <w:szCs w:val="22"/>
        </w:rPr>
        <w:t>P</w:t>
      </w:r>
      <w:r w:rsidRPr="009F7193">
        <w:rPr>
          <w:rFonts w:asciiTheme="minorHAnsi" w:hAnsiTheme="minorHAnsi" w:cs="Arial"/>
          <w:bCs/>
          <w:kern w:val="2"/>
          <w:sz w:val="22"/>
          <w:szCs w:val="22"/>
        </w:rPr>
        <w:t xml:space="preserve">anel by reducing delays and rescheduling that often occur when emergency cases take priority over scheduled outpatient imaging. With an aging patient panel, access to timely diagnostic imaging is crucial for early detection and management of patients’ conditions. A second MRI machine </w:t>
      </w:r>
      <w:r w:rsidR="00945003" w:rsidRPr="009F7193">
        <w:rPr>
          <w:rFonts w:asciiTheme="minorHAnsi" w:hAnsiTheme="minorHAnsi" w:cs="Arial"/>
          <w:bCs/>
          <w:kern w:val="2"/>
          <w:sz w:val="22"/>
          <w:szCs w:val="22"/>
        </w:rPr>
        <w:t xml:space="preserve">at the Hospital’s main campus </w:t>
      </w:r>
      <w:r w:rsidRPr="009F7193">
        <w:rPr>
          <w:rFonts w:asciiTheme="minorHAnsi" w:hAnsiTheme="minorHAnsi" w:cs="Arial"/>
          <w:bCs/>
          <w:kern w:val="2"/>
          <w:sz w:val="22"/>
          <w:szCs w:val="22"/>
        </w:rPr>
        <w:t xml:space="preserve">will not only minimize interruptions in the event of equipment downtime but also minimize disruptions </w:t>
      </w:r>
      <w:r w:rsidR="00945003" w:rsidRPr="009F7193">
        <w:rPr>
          <w:rFonts w:asciiTheme="minorHAnsi" w:hAnsiTheme="minorHAnsi" w:cs="Arial"/>
          <w:bCs/>
          <w:kern w:val="2"/>
          <w:sz w:val="22"/>
          <w:szCs w:val="22"/>
        </w:rPr>
        <w:t xml:space="preserve">for scheduled patients </w:t>
      </w:r>
      <w:r w:rsidRPr="009F7193">
        <w:rPr>
          <w:rFonts w:asciiTheme="minorHAnsi" w:hAnsiTheme="minorHAnsi" w:cs="Arial"/>
          <w:bCs/>
          <w:kern w:val="2"/>
          <w:sz w:val="22"/>
          <w:szCs w:val="22"/>
        </w:rPr>
        <w:t xml:space="preserve">caused by emergency cases. Ensuring timely access to MRI </w:t>
      </w:r>
      <w:r w:rsidR="00945003" w:rsidRPr="009F7193">
        <w:rPr>
          <w:rFonts w:asciiTheme="minorHAnsi" w:hAnsiTheme="minorHAnsi" w:cs="Arial"/>
          <w:bCs/>
          <w:kern w:val="2"/>
          <w:sz w:val="22"/>
          <w:szCs w:val="22"/>
        </w:rPr>
        <w:t xml:space="preserve">for all patients </w:t>
      </w:r>
      <w:r w:rsidRPr="009F7193">
        <w:rPr>
          <w:rFonts w:asciiTheme="minorHAnsi" w:hAnsiTheme="minorHAnsi" w:cs="Arial"/>
          <w:bCs/>
          <w:kern w:val="2"/>
          <w:sz w:val="22"/>
          <w:szCs w:val="22"/>
        </w:rPr>
        <w:t>will strengthen the Applicant’s ability to maintain continuity of care by ensuring that treating physicians receive timely imaging results, facilitating faster diagnosis, treatment planning, and requisite follow-up for patients.</w:t>
      </w:r>
    </w:p>
    <w:p w14:paraId="71262A6B" w14:textId="77777777" w:rsidR="00903E3C" w:rsidRDefault="00903E3C" w:rsidP="006F6593">
      <w:pPr>
        <w:jc w:val="both"/>
        <w:rPr>
          <w:rFonts w:asciiTheme="minorHAnsi" w:hAnsiTheme="minorHAnsi" w:cs="Arial"/>
          <w:b/>
          <w:sz w:val="22"/>
          <w:szCs w:val="22"/>
        </w:rPr>
      </w:pPr>
    </w:p>
    <w:p w14:paraId="1A88EC5C" w14:textId="45192827" w:rsidR="00BE6093" w:rsidRPr="009F7193" w:rsidRDefault="00BE6093" w:rsidP="00BE6093">
      <w:pPr>
        <w:ind w:left="1440" w:hanging="1440"/>
        <w:jc w:val="both"/>
        <w:rPr>
          <w:rFonts w:asciiTheme="minorHAnsi" w:hAnsiTheme="minorHAnsi" w:cs="Arial"/>
          <w:b/>
          <w:sz w:val="22"/>
          <w:szCs w:val="22"/>
        </w:rPr>
      </w:pPr>
      <w:r w:rsidRPr="009F7193">
        <w:rPr>
          <w:rFonts w:asciiTheme="minorHAnsi" w:hAnsiTheme="minorHAnsi" w:cs="Arial"/>
          <w:b/>
          <w:sz w:val="22"/>
          <w:szCs w:val="22"/>
        </w:rPr>
        <w:t>F</w:t>
      </w:r>
      <w:proofErr w:type="gramStart"/>
      <w:r w:rsidRPr="009F7193">
        <w:rPr>
          <w:rFonts w:asciiTheme="minorHAnsi" w:hAnsiTheme="minorHAnsi" w:cs="Arial"/>
          <w:b/>
          <w:sz w:val="22"/>
          <w:szCs w:val="22"/>
        </w:rPr>
        <w:t>1.d</w:t>
      </w:r>
      <w:proofErr w:type="gramEnd"/>
      <w:r w:rsidRPr="009F7193">
        <w:rPr>
          <w:rFonts w:asciiTheme="minorHAnsi" w:hAnsiTheme="minorHAnsi" w:cs="Arial"/>
          <w:b/>
          <w:sz w:val="22"/>
          <w:szCs w:val="22"/>
        </w:rPr>
        <w:tab/>
      </w:r>
      <w:bookmarkStart w:id="4" w:name="_Hlk5267844"/>
      <w:r w:rsidRPr="009F7193">
        <w:rPr>
          <w:rFonts w:asciiTheme="minorHAnsi" w:hAnsiTheme="minorHAnsi" w:cs="Arial"/>
          <w:b/>
          <w:sz w:val="22"/>
          <w:szCs w:val="22"/>
        </w:rPr>
        <w:t>Provide evidence of consultation, both prior to and after the Filing Date, with all Government Agencies with relevant licensure, certification, or other regulatory oversight of the Applicant or the Proposed Project</w:t>
      </w:r>
      <w:bookmarkEnd w:id="4"/>
      <w:r w:rsidRPr="009F7193">
        <w:rPr>
          <w:rFonts w:asciiTheme="minorHAnsi" w:hAnsiTheme="minorHAnsi" w:cs="Arial"/>
          <w:b/>
          <w:sz w:val="22"/>
          <w:szCs w:val="22"/>
        </w:rPr>
        <w:t>.</w:t>
      </w:r>
    </w:p>
    <w:p w14:paraId="11E04F61" w14:textId="77777777" w:rsidR="00BE6093" w:rsidRPr="009F7193" w:rsidRDefault="00BE6093" w:rsidP="00BE6093">
      <w:pPr>
        <w:jc w:val="both"/>
        <w:rPr>
          <w:rFonts w:asciiTheme="minorHAnsi" w:hAnsiTheme="minorHAnsi" w:cs="Arial"/>
          <w:spacing w:val="-1"/>
          <w:sz w:val="22"/>
          <w:szCs w:val="22"/>
        </w:rPr>
      </w:pPr>
    </w:p>
    <w:p w14:paraId="6551FA6D" w14:textId="002CA4A8" w:rsidR="00BE6093" w:rsidRPr="009F7193" w:rsidRDefault="00BE6093" w:rsidP="00BE6093">
      <w:pPr>
        <w:spacing w:after="120"/>
        <w:jc w:val="both"/>
        <w:rPr>
          <w:rFonts w:asciiTheme="minorHAnsi" w:eastAsia="Arial" w:hAnsiTheme="minorHAnsi" w:cs="Arial"/>
          <w:spacing w:val="-1"/>
          <w:sz w:val="22"/>
          <w:szCs w:val="22"/>
        </w:rPr>
      </w:pPr>
      <w:r w:rsidRPr="009F7193">
        <w:rPr>
          <w:rFonts w:asciiTheme="minorHAnsi" w:hAnsiTheme="minorHAnsi" w:cs="Arial"/>
          <w:spacing w:val="-1"/>
          <w:sz w:val="22"/>
          <w:szCs w:val="22"/>
        </w:rPr>
        <w:t xml:space="preserve">As </w:t>
      </w:r>
      <w:r w:rsidRPr="009F7193">
        <w:rPr>
          <w:rFonts w:asciiTheme="minorHAnsi" w:hAnsiTheme="minorHAnsi" w:cs="Arial"/>
          <w:sz w:val="22"/>
          <w:szCs w:val="22"/>
        </w:rPr>
        <w:t>a</w:t>
      </w:r>
      <w:r w:rsidRPr="009F7193">
        <w:rPr>
          <w:rFonts w:asciiTheme="minorHAnsi" w:hAnsiTheme="minorHAnsi" w:cs="Arial"/>
          <w:spacing w:val="-4"/>
          <w:sz w:val="22"/>
          <w:szCs w:val="22"/>
        </w:rPr>
        <w:t xml:space="preserve"> </w:t>
      </w:r>
      <w:r w:rsidRPr="009F7193">
        <w:rPr>
          <w:rFonts w:asciiTheme="minorHAnsi" w:hAnsiTheme="minorHAnsi" w:cs="Arial"/>
          <w:spacing w:val="-1"/>
          <w:sz w:val="22"/>
          <w:szCs w:val="22"/>
        </w:rPr>
        <w:t>broad</w:t>
      </w:r>
      <w:r w:rsidRPr="009F7193">
        <w:rPr>
          <w:rFonts w:asciiTheme="minorHAnsi" w:hAnsiTheme="minorHAnsi" w:cs="Arial"/>
          <w:spacing w:val="-5"/>
          <w:sz w:val="22"/>
          <w:szCs w:val="22"/>
        </w:rPr>
        <w:t xml:space="preserve"> </w:t>
      </w:r>
      <w:r w:rsidRPr="009F7193">
        <w:rPr>
          <w:rFonts w:asciiTheme="minorHAnsi" w:hAnsiTheme="minorHAnsi" w:cs="Arial"/>
          <w:sz w:val="22"/>
          <w:szCs w:val="22"/>
        </w:rPr>
        <w:t>range</w:t>
      </w:r>
      <w:r w:rsidRPr="009F7193">
        <w:rPr>
          <w:rFonts w:asciiTheme="minorHAnsi" w:hAnsiTheme="minorHAnsi" w:cs="Arial"/>
          <w:spacing w:val="-4"/>
          <w:sz w:val="22"/>
          <w:szCs w:val="22"/>
        </w:rPr>
        <w:t xml:space="preserve"> </w:t>
      </w:r>
      <w:r w:rsidRPr="009F7193">
        <w:rPr>
          <w:rFonts w:asciiTheme="minorHAnsi" w:hAnsiTheme="minorHAnsi" w:cs="Arial"/>
          <w:spacing w:val="-1"/>
          <w:sz w:val="22"/>
          <w:szCs w:val="22"/>
        </w:rPr>
        <w:t>of</w:t>
      </w:r>
      <w:r w:rsidRPr="009F7193">
        <w:rPr>
          <w:rFonts w:asciiTheme="minorHAnsi" w:hAnsiTheme="minorHAnsi" w:cs="Arial"/>
          <w:spacing w:val="-2"/>
          <w:sz w:val="22"/>
          <w:szCs w:val="22"/>
        </w:rPr>
        <w:t xml:space="preserve"> </w:t>
      </w:r>
      <w:r w:rsidRPr="009F7193">
        <w:rPr>
          <w:rFonts w:asciiTheme="minorHAnsi" w:hAnsiTheme="minorHAnsi" w:cs="Arial"/>
          <w:spacing w:val="-1"/>
          <w:sz w:val="22"/>
          <w:szCs w:val="22"/>
        </w:rPr>
        <w:t>input is</w:t>
      </w:r>
      <w:r w:rsidRPr="009F7193">
        <w:rPr>
          <w:rFonts w:asciiTheme="minorHAnsi" w:hAnsiTheme="minorHAnsi" w:cs="Arial"/>
          <w:spacing w:val="-5"/>
          <w:sz w:val="22"/>
          <w:szCs w:val="22"/>
        </w:rPr>
        <w:t xml:space="preserve"> </w:t>
      </w:r>
      <w:r w:rsidRPr="009F7193">
        <w:rPr>
          <w:rFonts w:asciiTheme="minorHAnsi" w:hAnsiTheme="minorHAnsi" w:cs="Arial"/>
          <w:spacing w:val="-3"/>
          <w:sz w:val="22"/>
          <w:szCs w:val="22"/>
        </w:rPr>
        <w:t>valuable</w:t>
      </w:r>
      <w:r w:rsidRPr="009F7193">
        <w:rPr>
          <w:rFonts w:asciiTheme="minorHAnsi" w:hAnsiTheme="minorHAnsi" w:cs="Arial"/>
          <w:spacing w:val="-6"/>
          <w:sz w:val="22"/>
          <w:szCs w:val="22"/>
        </w:rPr>
        <w:t xml:space="preserve"> </w:t>
      </w:r>
      <w:r w:rsidRPr="009F7193">
        <w:rPr>
          <w:rFonts w:asciiTheme="minorHAnsi" w:hAnsiTheme="minorHAnsi" w:cs="Arial"/>
          <w:spacing w:val="-1"/>
          <w:sz w:val="22"/>
          <w:szCs w:val="22"/>
        </w:rPr>
        <w:t>in</w:t>
      </w:r>
      <w:r w:rsidRPr="009F7193">
        <w:rPr>
          <w:rFonts w:asciiTheme="minorHAnsi" w:hAnsiTheme="minorHAnsi" w:cs="Arial"/>
          <w:spacing w:val="-4"/>
          <w:sz w:val="22"/>
          <w:szCs w:val="22"/>
        </w:rPr>
        <w:t xml:space="preserve"> </w:t>
      </w:r>
      <w:r w:rsidRPr="009F7193">
        <w:rPr>
          <w:rFonts w:asciiTheme="minorHAnsi" w:hAnsiTheme="minorHAnsi" w:cs="Arial"/>
          <w:sz w:val="22"/>
          <w:szCs w:val="22"/>
        </w:rPr>
        <w:t>the</w:t>
      </w:r>
      <w:r w:rsidRPr="009F7193">
        <w:rPr>
          <w:rFonts w:asciiTheme="minorHAnsi" w:hAnsiTheme="minorHAnsi" w:cs="Arial"/>
          <w:spacing w:val="-4"/>
          <w:sz w:val="22"/>
          <w:szCs w:val="22"/>
        </w:rPr>
        <w:t xml:space="preserve"> </w:t>
      </w:r>
      <w:r w:rsidRPr="009F7193">
        <w:rPr>
          <w:rFonts w:asciiTheme="minorHAnsi" w:hAnsiTheme="minorHAnsi" w:cs="Arial"/>
          <w:spacing w:val="-1"/>
          <w:sz w:val="22"/>
          <w:szCs w:val="22"/>
        </w:rPr>
        <w:t>planning</w:t>
      </w:r>
      <w:r w:rsidRPr="009F7193">
        <w:rPr>
          <w:rFonts w:asciiTheme="minorHAnsi" w:hAnsiTheme="minorHAnsi" w:cs="Arial"/>
          <w:spacing w:val="-3"/>
          <w:sz w:val="22"/>
          <w:szCs w:val="22"/>
        </w:rPr>
        <w:t xml:space="preserve"> </w:t>
      </w:r>
      <w:r w:rsidRPr="009F7193">
        <w:rPr>
          <w:rFonts w:asciiTheme="minorHAnsi" w:hAnsiTheme="minorHAnsi" w:cs="Arial"/>
          <w:spacing w:val="-1"/>
          <w:sz w:val="22"/>
          <w:szCs w:val="22"/>
        </w:rPr>
        <w:t>of</w:t>
      </w:r>
      <w:r w:rsidRPr="009F7193">
        <w:rPr>
          <w:rFonts w:asciiTheme="minorHAnsi" w:hAnsiTheme="minorHAnsi" w:cs="Arial"/>
          <w:spacing w:val="-3"/>
          <w:sz w:val="22"/>
          <w:szCs w:val="22"/>
        </w:rPr>
        <w:t xml:space="preserve"> </w:t>
      </w:r>
      <w:r w:rsidRPr="009F7193">
        <w:rPr>
          <w:rFonts w:asciiTheme="minorHAnsi" w:hAnsiTheme="minorHAnsi" w:cs="Arial"/>
          <w:sz w:val="22"/>
          <w:szCs w:val="22"/>
        </w:rPr>
        <w:t>a</w:t>
      </w:r>
      <w:r w:rsidRPr="009F7193">
        <w:rPr>
          <w:rFonts w:asciiTheme="minorHAnsi" w:hAnsiTheme="minorHAnsi" w:cs="Arial"/>
          <w:spacing w:val="-4"/>
          <w:sz w:val="22"/>
          <w:szCs w:val="22"/>
        </w:rPr>
        <w:t xml:space="preserve"> </w:t>
      </w:r>
      <w:r w:rsidRPr="009F7193">
        <w:rPr>
          <w:rFonts w:asciiTheme="minorHAnsi" w:hAnsiTheme="minorHAnsi" w:cs="Arial"/>
          <w:sz w:val="22"/>
          <w:szCs w:val="22"/>
        </w:rPr>
        <w:t>project,</w:t>
      </w:r>
      <w:r w:rsidRPr="009F7193">
        <w:rPr>
          <w:rFonts w:asciiTheme="minorHAnsi" w:hAnsiTheme="minorHAnsi" w:cs="Arial"/>
          <w:spacing w:val="-3"/>
          <w:sz w:val="22"/>
          <w:szCs w:val="22"/>
        </w:rPr>
        <w:t xml:space="preserve"> </w:t>
      </w:r>
      <w:r w:rsidRPr="009F7193">
        <w:rPr>
          <w:rFonts w:asciiTheme="minorHAnsi" w:hAnsiTheme="minorHAnsi" w:cs="Arial"/>
          <w:spacing w:val="-2"/>
          <w:sz w:val="22"/>
          <w:szCs w:val="22"/>
        </w:rPr>
        <w:t>the Applicant consulted</w:t>
      </w:r>
      <w:r w:rsidRPr="009F7193">
        <w:rPr>
          <w:rFonts w:asciiTheme="minorHAnsi" w:hAnsiTheme="minorHAnsi" w:cs="Arial"/>
          <w:spacing w:val="-1"/>
          <w:sz w:val="22"/>
          <w:szCs w:val="22"/>
        </w:rPr>
        <w:t xml:space="preserve"> with individuals at various regulatory agencies regarding the Proposed Project. </w:t>
      </w:r>
      <w:r w:rsidRPr="009F7193">
        <w:rPr>
          <w:rFonts w:asciiTheme="minorHAnsi" w:eastAsia="Arial" w:hAnsiTheme="minorHAnsi" w:cs="Arial"/>
          <w:spacing w:val="-1"/>
          <w:sz w:val="22"/>
          <w:szCs w:val="22"/>
        </w:rPr>
        <w:t xml:space="preserve">The following </w:t>
      </w:r>
      <w:r w:rsidR="00945003" w:rsidRPr="009F7193">
        <w:rPr>
          <w:rFonts w:asciiTheme="minorHAnsi" w:eastAsia="Arial" w:hAnsiTheme="minorHAnsi" w:cs="Arial"/>
          <w:spacing w:val="-1"/>
          <w:sz w:val="22"/>
          <w:szCs w:val="22"/>
        </w:rPr>
        <w:t>agencies</w:t>
      </w:r>
      <w:r w:rsidRPr="009F7193">
        <w:rPr>
          <w:rFonts w:asciiTheme="minorHAnsi" w:eastAsia="Arial" w:hAnsiTheme="minorHAnsi" w:cs="Arial"/>
          <w:spacing w:val="-1"/>
          <w:sz w:val="22"/>
          <w:szCs w:val="22"/>
        </w:rPr>
        <w:t xml:space="preserve"> were consulted regarding this Project:</w:t>
      </w:r>
    </w:p>
    <w:p w14:paraId="15011EA9" w14:textId="018C00BB" w:rsidR="00BE6093" w:rsidRPr="009F7193" w:rsidRDefault="00BE6093" w:rsidP="00BE6093">
      <w:pPr>
        <w:numPr>
          <w:ilvl w:val="0"/>
          <w:numId w:val="7"/>
        </w:numPr>
        <w:jc w:val="both"/>
        <w:rPr>
          <w:rFonts w:asciiTheme="minorHAnsi" w:hAnsiTheme="minorHAnsi" w:cs="Arial"/>
          <w:bCs/>
          <w:sz w:val="22"/>
          <w:szCs w:val="22"/>
        </w:rPr>
      </w:pPr>
      <w:r w:rsidRPr="009F7193">
        <w:rPr>
          <w:rFonts w:asciiTheme="minorHAnsi" w:hAnsiTheme="minorHAnsi" w:cs="Arial"/>
          <w:bCs/>
          <w:sz w:val="22"/>
          <w:szCs w:val="22"/>
        </w:rPr>
        <w:lastRenderedPageBreak/>
        <w:t>Massachusetts Department of Public Health</w:t>
      </w:r>
    </w:p>
    <w:p w14:paraId="670204EC" w14:textId="77777777" w:rsidR="00BE6093" w:rsidRPr="009F7193" w:rsidRDefault="00BE6093" w:rsidP="00BE6093">
      <w:pPr>
        <w:numPr>
          <w:ilvl w:val="0"/>
          <w:numId w:val="7"/>
        </w:numPr>
        <w:jc w:val="both"/>
        <w:rPr>
          <w:rFonts w:asciiTheme="minorHAnsi" w:hAnsiTheme="minorHAnsi" w:cs="Arial"/>
          <w:bCs/>
          <w:sz w:val="22"/>
          <w:szCs w:val="22"/>
        </w:rPr>
      </w:pPr>
      <w:r w:rsidRPr="009F7193">
        <w:rPr>
          <w:rFonts w:asciiTheme="minorHAnsi" w:hAnsiTheme="minorHAnsi" w:cs="Arial"/>
          <w:bCs/>
          <w:sz w:val="22"/>
          <w:szCs w:val="22"/>
        </w:rPr>
        <w:t>Massachusetts Executive Office of Health and Human Services</w:t>
      </w:r>
    </w:p>
    <w:p w14:paraId="5383AF2B" w14:textId="77777777" w:rsidR="00BE6093" w:rsidRPr="009F7193" w:rsidRDefault="00BE6093" w:rsidP="00BE6093">
      <w:pPr>
        <w:numPr>
          <w:ilvl w:val="0"/>
          <w:numId w:val="7"/>
        </w:numPr>
        <w:jc w:val="both"/>
        <w:rPr>
          <w:rFonts w:asciiTheme="minorHAnsi" w:hAnsiTheme="minorHAnsi" w:cs="Arial"/>
          <w:bCs/>
          <w:sz w:val="22"/>
          <w:szCs w:val="22"/>
        </w:rPr>
      </w:pPr>
      <w:r w:rsidRPr="009F7193">
        <w:rPr>
          <w:rFonts w:asciiTheme="minorHAnsi" w:hAnsiTheme="minorHAnsi" w:cs="Arial"/>
          <w:bCs/>
          <w:sz w:val="22"/>
          <w:szCs w:val="22"/>
        </w:rPr>
        <w:t>Health Policy Commission</w:t>
      </w:r>
    </w:p>
    <w:p w14:paraId="789D4F18" w14:textId="77777777" w:rsidR="00745C9E" w:rsidRPr="009F7193" w:rsidRDefault="00BE6093" w:rsidP="00BE6093">
      <w:pPr>
        <w:numPr>
          <w:ilvl w:val="0"/>
          <w:numId w:val="7"/>
        </w:numPr>
        <w:jc w:val="both"/>
        <w:rPr>
          <w:rFonts w:asciiTheme="minorHAnsi" w:hAnsiTheme="minorHAnsi" w:cs="Arial"/>
          <w:bCs/>
          <w:sz w:val="22"/>
          <w:szCs w:val="22"/>
        </w:rPr>
      </w:pPr>
      <w:r w:rsidRPr="009F7193">
        <w:rPr>
          <w:rFonts w:asciiTheme="minorHAnsi" w:hAnsiTheme="minorHAnsi" w:cs="Arial"/>
          <w:bCs/>
          <w:sz w:val="22"/>
          <w:szCs w:val="22"/>
        </w:rPr>
        <w:t>Center for Health Information and Analysis</w:t>
      </w:r>
    </w:p>
    <w:p w14:paraId="42427747" w14:textId="16A95136" w:rsidR="00BE6093" w:rsidRPr="009F7193" w:rsidRDefault="00BE6093" w:rsidP="00BE6093">
      <w:pPr>
        <w:numPr>
          <w:ilvl w:val="0"/>
          <w:numId w:val="7"/>
        </w:numPr>
        <w:jc w:val="both"/>
        <w:rPr>
          <w:rFonts w:asciiTheme="minorHAnsi" w:hAnsiTheme="minorHAnsi" w:cs="Arial"/>
          <w:bCs/>
          <w:sz w:val="22"/>
          <w:szCs w:val="22"/>
        </w:rPr>
      </w:pPr>
      <w:r w:rsidRPr="009F7193">
        <w:rPr>
          <w:rFonts w:asciiTheme="minorHAnsi" w:hAnsiTheme="minorHAnsi" w:cs="Arial"/>
          <w:bCs/>
          <w:sz w:val="22"/>
          <w:szCs w:val="22"/>
        </w:rPr>
        <w:t>The Centers for Medicare &amp; Medicaid Services</w:t>
      </w:r>
    </w:p>
    <w:p w14:paraId="2C084C3A" w14:textId="77777777" w:rsidR="00745C9E" w:rsidRPr="009F7193" w:rsidRDefault="00745C9E" w:rsidP="00745C9E">
      <w:pPr>
        <w:ind w:left="1440"/>
        <w:jc w:val="both"/>
        <w:rPr>
          <w:rFonts w:asciiTheme="minorHAnsi" w:hAnsiTheme="minorHAnsi" w:cs="Arial"/>
          <w:bCs/>
          <w:sz w:val="22"/>
          <w:szCs w:val="22"/>
        </w:rPr>
      </w:pPr>
    </w:p>
    <w:p w14:paraId="313EAED9" w14:textId="30D12994" w:rsidR="001F69D9" w:rsidRDefault="00BE6093" w:rsidP="002270BF">
      <w:pPr>
        <w:spacing w:after="120"/>
        <w:ind w:left="1440" w:hanging="1440"/>
        <w:jc w:val="both"/>
        <w:rPr>
          <w:rFonts w:asciiTheme="minorHAnsi" w:hAnsiTheme="minorHAnsi" w:cs="Arial"/>
          <w:b/>
          <w:sz w:val="22"/>
          <w:szCs w:val="22"/>
        </w:rPr>
      </w:pPr>
      <w:bookmarkStart w:id="5" w:name="_Hlk497463738"/>
      <w:r w:rsidRPr="009F7193">
        <w:rPr>
          <w:rFonts w:asciiTheme="minorHAnsi" w:hAnsiTheme="minorHAnsi" w:cs="Arial"/>
          <w:b/>
          <w:sz w:val="22"/>
          <w:szCs w:val="22"/>
        </w:rPr>
        <w:t>F1.</w:t>
      </w:r>
      <w:proofErr w:type="gramStart"/>
      <w:r w:rsidRPr="009F7193">
        <w:rPr>
          <w:rFonts w:asciiTheme="minorHAnsi" w:hAnsiTheme="minorHAnsi" w:cs="Arial"/>
          <w:b/>
          <w:sz w:val="22"/>
          <w:szCs w:val="22"/>
        </w:rPr>
        <w:t>e.i</w:t>
      </w:r>
      <w:bookmarkEnd w:id="5"/>
      <w:proofErr w:type="gramEnd"/>
      <w:r w:rsidRPr="009F7193">
        <w:rPr>
          <w:rFonts w:asciiTheme="minorHAnsi" w:hAnsiTheme="minorHAnsi" w:cs="Arial"/>
          <w:sz w:val="22"/>
          <w:szCs w:val="22"/>
        </w:rPr>
        <w:tab/>
      </w:r>
      <w:r w:rsidRPr="009F7193">
        <w:rPr>
          <w:rFonts w:asciiTheme="minorHAnsi" w:hAnsiTheme="minorHAnsi" w:cs="Arial"/>
          <w:b/>
          <w:sz w:val="22"/>
          <w:szCs w:val="22"/>
          <w:u w:val="single"/>
        </w:rPr>
        <w:t>Process for Determining Need/Evidence of Community Engagement:</w:t>
      </w:r>
      <w:r w:rsidRPr="009F7193">
        <w:rPr>
          <w:rFonts w:asciiTheme="minorHAnsi" w:hAnsiTheme="minorHAnsi" w:cs="Arial"/>
          <w:b/>
          <w:sz w:val="22"/>
          <w:szCs w:val="22"/>
        </w:rPr>
        <w:t xml:space="preserve"> </w:t>
      </w:r>
    </w:p>
    <w:p w14:paraId="529EB57E" w14:textId="42682ACC" w:rsidR="00BE6093" w:rsidRPr="009F7193" w:rsidRDefault="00BE6093" w:rsidP="00BE6093">
      <w:pPr>
        <w:ind w:left="1440"/>
        <w:jc w:val="both"/>
        <w:rPr>
          <w:rFonts w:asciiTheme="minorHAnsi" w:hAnsiTheme="minorHAnsi" w:cs="Arial"/>
          <w:b/>
          <w:sz w:val="22"/>
          <w:szCs w:val="22"/>
        </w:rPr>
      </w:pPr>
      <w:r w:rsidRPr="009F7193">
        <w:rPr>
          <w:rFonts w:asciiTheme="minorHAnsi" w:hAnsiTheme="minorHAnsi" w:cs="Arial"/>
          <w:b/>
          <w:sz w:val="22"/>
          <w:szCs w:val="22"/>
        </w:rPr>
        <w:t xml:space="preserve">For assistance in responding to this portion of the Application, Applicant is encouraged to review </w:t>
      </w:r>
      <w:r w:rsidRPr="009F7193">
        <w:rPr>
          <w:rFonts w:asciiTheme="minorHAnsi" w:hAnsiTheme="minorHAnsi" w:cs="Arial"/>
          <w:b/>
          <w:i/>
          <w:sz w:val="22"/>
          <w:szCs w:val="22"/>
        </w:rPr>
        <w:t xml:space="preserve">Community Engagement Standards for Community Health Planning Guideline. </w:t>
      </w:r>
      <w:r w:rsidRPr="009F7193">
        <w:rPr>
          <w:rFonts w:asciiTheme="minorHAnsi" w:hAnsiTheme="minorHAnsi" w:cs="Arial"/>
          <w:b/>
          <w:sz w:val="22"/>
          <w:szCs w:val="22"/>
        </w:rPr>
        <w:t>With respect to the existing Patient Panel, please describe the process through which Applicant determined the need for the Proposed Project.</w:t>
      </w:r>
    </w:p>
    <w:p w14:paraId="2DA59138" w14:textId="77777777" w:rsidR="00BE6093" w:rsidRPr="009F7193" w:rsidRDefault="00BE6093" w:rsidP="00BE6093">
      <w:pPr>
        <w:ind w:left="1440" w:hanging="1440"/>
        <w:jc w:val="both"/>
        <w:rPr>
          <w:rFonts w:asciiTheme="minorHAnsi" w:eastAsia="Arial" w:hAnsiTheme="minorHAnsi" w:cs="Arial"/>
          <w:sz w:val="22"/>
          <w:szCs w:val="22"/>
        </w:rPr>
      </w:pPr>
    </w:p>
    <w:p w14:paraId="43C0E124" w14:textId="340A7A44" w:rsidR="00BE6093" w:rsidRPr="009F7193" w:rsidRDefault="00BE6093" w:rsidP="00BE6093">
      <w:pPr>
        <w:jc w:val="both"/>
        <w:rPr>
          <w:rFonts w:asciiTheme="minorHAnsi" w:hAnsiTheme="minorHAnsi" w:cs="Arial"/>
          <w:sz w:val="22"/>
          <w:szCs w:val="22"/>
        </w:rPr>
      </w:pPr>
      <w:r w:rsidRPr="009F7193">
        <w:rPr>
          <w:rFonts w:asciiTheme="minorHAnsi" w:eastAsia="Arial" w:hAnsiTheme="minorHAnsi" w:cs="Arial"/>
          <w:sz w:val="22"/>
          <w:szCs w:val="22"/>
        </w:rPr>
        <w:t xml:space="preserve">The Applicant is proposing the </w:t>
      </w:r>
      <w:r w:rsidR="0049214A" w:rsidRPr="009F7193">
        <w:rPr>
          <w:rFonts w:asciiTheme="minorHAnsi" w:eastAsia="Arial" w:hAnsiTheme="minorHAnsi" w:cs="Arial"/>
          <w:sz w:val="22"/>
          <w:szCs w:val="22"/>
        </w:rPr>
        <w:t>operation of a second</w:t>
      </w:r>
      <w:r w:rsidRPr="009F7193">
        <w:rPr>
          <w:rFonts w:asciiTheme="minorHAnsi" w:eastAsia="Arial" w:hAnsiTheme="minorHAnsi" w:cs="Arial"/>
          <w:sz w:val="22"/>
          <w:szCs w:val="22"/>
        </w:rPr>
        <w:t xml:space="preserve"> MRI machine </w:t>
      </w:r>
      <w:r w:rsidR="00945003" w:rsidRPr="009F7193">
        <w:rPr>
          <w:rFonts w:asciiTheme="minorHAnsi" w:eastAsia="Arial" w:hAnsiTheme="minorHAnsi" w:cs="Arial"/>
          <w:sz w:val="22"/>
          <w:szCs w:val="22"/>
        </w:rPr>
        <w:t xml:space="preserve">at the Hospital’s main campus </w:t>
      </w:r>
      <w:r w:rsidRPr="009F7193">
        <w:rPr>
          <w:rFonts w:asciiTheme="minorHAnsi" w:eastAsia="Arial" w:hAnsiTheme="minorHAnsi" w:cs="Arial"/>
          <w:sz w:val="22"/>
          <w:szCs w:val="22"/>
        </w:rPr>
        <w:t xml:space="preserve">to provide expanded capacity and more timely care based upon the growing </w:t>
      </w:r>
      <w:r w:rsidR="00945003" w:rsidRPr="009F7193">
        <w:rPr>
          <w:rFonts w:asciiTheme="minorHAnsi" w:eastAsia="Arial" w:hAnsiTheme="minorHAnsi" w:cs="Arial"/>
          <w:sz w:val="22"/>
          <w:szCs w:val="22"/>
        </w:rPr>
        <w:t>demand</w:t>
      </w:r>
      <w:r w:rsidRPr="009F7193">
        <w:rPr>
          <w:rFonts w:asciiTheme="minorHAnsi" w:eastAsia="Arial" w:hAnsiTheme="minorHAnsi" w:cs="Arial"/>
          <w:sz w:val="22"/>
          <w:szCs w:val="22"/>
        </w:rPr>
        <w:t xml:space="preserve"> for MRI. To ensure community engagement around the Proposed Project, the Applicant sought to inform the Hospital’s Patient Panel and relevant health equity committees on the need for the Proposed Project as well as solicit feedback on the design, layout and experience of the Proposed Project. </w:t>
      </w:r>
      <w:r w:rsidRPr="009F7193">
        <w:rPr>
          <w:rFonts w:asciiTheme="minorHAnsi" w:hAnsiTheme="minorHAnsi" w:cs="Arial"/>
          <w:sz w:val="22"/>
          <w:szCs w:val="22"/>
        </w:rPr>
        <w:t>To that end, the Applicant took the following actions:</w:t>
      </w:r>
    </w:p>
    <w:p w14:paraId="598A0D13" w14:textId="77777777" w:rsidR="00BE6093" w:rsidRPr="009F7193" w:rsidRDefault="00BE6093" w:rsidP="00BE6093">
      <w:pPr>
        <w:jc w:val="both"/>
        <w:rPr>
          <w:rFonts w:asciiTheme="minorHAnsi" w:hAnsiTheme="minorHAnsi" w:cs="Arial"/>
          <w:sz w:val="22"/>
          <w:szCs w:val="22"/>
        </w:rPr>
      </w:pPr>
    </w:p>
    <w:p w14:paraId="20247A6E" w14:textId="77777777" w:rsidR="00BE6093" w:rsidRPr="009F7193" w:rsidRDefault="00BE6093" w:rsidP="00BE6093">
      <w:pPr>
        <w:pStyle w:val="ListParagraph"/>
        <w:numPr>
          <w:ilvl w:val="0"/>
          <w:numId w:val="8"/>
        </w:numPr>
        <w:suppressAutoHyphens w:val="0"/>
        <w:jc w:val="both"/>
        <w:rPr>
          <w:rFonts w:asciiTheme="minorHAnsi" w:hAnsiTheme="minorHAnsi" w:cs="Arial"/>
          <w:sz w:val="22"/>
          <w:szCs w:val="22"/>
        </w:rPr>
      </w:pPr>
      <w:r w:rsidRPr="009F7193">
        <w:rPr>
          <w:rFonts w:asciiTheme="minorHAnsi" w:hAnsiTheme="minorHAnsi" w:cs="Arial"/>
          <w:sz w:val="22"/>
          <w:szCs w:val="22"/>
        </w:rPr>
        <w:t xml:space="preserve">Presented to the Hospital’s Patient and Family Advisory Council on July 21, 2025. </w:t>
      </w:r>
    </w:p>
    <w:p w14:paraId="32799059" w14:textId="77777777" w:rsidR="00BE6093" w:rsidRPr="009F7193" w:rsidRDefault="00BE6093" w:rsidP="00BE6093">
      <w:pPr>
        <w:pStyle w:val="ListParagraph"/>
        <w:numPr>
          <w:ilvl w:val="0"/>
          <w:numId w:val="8"/>
        </w:numPr>
        <w:suppressAutoHyphens w:val="0"/>
        <w:jc w:val="both"/>
        <w:rPr>
          <w:rFonts w:asciiTheme="minorHAnsi" w:hAnsiTheme="minorHAnsi" w:cs="Arial"/>
          <w:sz w:val="22"/>
          <w:szCs w:val="22"/>
        </w:rPr>
      </w:pPr>
      <w:r w:rsidRPr="009F7193">
        <w:rPr>
          <w:rFonts w:asciiTheme="minorHAnsi" w:hAnsiTheme="minorHAnsi" w:cs="Arial"/>
          <w:sz w:val="22"/>
          <w:szCs w:val="22"/>
        </w:rPr>
        <w:t xml:space="preserve">Presented to the Hospital’s Community Health Committee on September 22, 2025. </w:t>
      </w:r>
    </w:p>
    <w:p w14:paraId="7CA37D9F" w14:textId="77777777" w:rsidR="00BE6093" w:rsidRPr="009F7193" w:rsidRDefault="00BE6093" w:rsidP="00BE6093">
      <w:pPr>
        <w:pStyle w:val="ListParagraph"/>
        <w:numPr>
          <w:ilvl w:val="0"/>
          <w:numId w:val="8"/>
        </w:numPr>
        <w:suppressAutoHyphens w:val="0"/>
        <w:jc w:val="both"/>
        <w:rPr>
          <w:rFonts w:asciiTheme="minorHAnsi" w:hAnsiTheme="minorHAnsi" w:cs="Arial"/>
          <w:sz w:val="22"/>
          <w:szCs w:val="22"/>
        </w:rPr>
      </w:pPr>
      <w:r w:rsidRPr="009F7193">
        <w:rPr>
          <w:rFonts w:asciiTheme="minorHAnsi" w:hAnsiTheme="minorHAnsi" w:cs="Arial"/>
          <w:sz w:val="22"/>
          <w:szCs w:val="22"/>
        </w:rPr>
        <w:t>Presented to the Hospital’s Health Equity Committee on September 23, 2025.</w:t>
      </w:r>
    </w:p>
    <w:p w14:paraId="27172E0E" w14:textId="77777777" w:rsidR="00BE6093" w:rsidRPr="009F7193" w:rsidRDefault="00BE6093" w:rsidP="00BE6093">
      <w:pPr>
        <w:jc w:val="both"/>
        <w:rPr>
          <w:rFonts w:asciiTheme="minorHAnsi" w:hAnsiTheme="minorHAnsi" w:cs="Arial"/>
          <w:sz w:val="22"/>
          <w:szCs w:val="22"/>
        </w:rPr>
      </w:pPr>
    </w:p>
    <w:p w14:paraId="45A27591" w14:textId="0FA5802F" w:rsidR="00BE6093" w:rsidRPr="009F7193" w:rsidRDefault="00BE6093" w:rsidP="00BE6093">
      <w:pPr>
        <w:jc w:val="both"/>
        <w:rPr>
          <w:rFonts w:asciiTheme="minorHAnsi" w:eastAsia="Arial" w:hAnsiTheme="minorHAnsi" w:cs="Arial"/>
          <w:sz w:val="22"/>
          <w:szCs w:val="22"/>
        </w:rPr>
      </w:pPr>
      <w:bookmarkStart w:id="6" w:name="_Hlk92097212"/>
      <w:r w:rsidRPr="009F7193">
        <w:rPr>
          <w:rFonts w:asciiTheme="minorHAnsi" w:eastAsia="Arial" w:hAnsiTheme="minorHAnsi" w:cs="Arial"/>
          <w:sz w:val="22"/>
          <w:szCs w:val="22"/>
        </w:rPr>
        <w:t xml:space="preserve">First, the Hospital spoke with </w:t>
      </w:r>
      <w:r w:rsidR="00945003" w:rsidRPr="009F7193">
        <w:rPr>
          <w:rFonts w:asciiTheme="minorHAnsi" w:eastAsia="Arial" w:hAnsiTheme="minorHAnsi" w:cs="Arial"/>
          <w:sz w:val="22"/>
          <w:szCs w:val="22"/>
        </w:rPr>
        <w:t>10</w:t>
      </w:r>
      <w:r w:rsidRPr="009F7193">
        <w:rPr>
          <w:rFonts w:asciiTheme="minorHAnsi" w:eastAsia="Arial" w:hAnsiTheme="minorHAnsi" w:cs="Arial"/>
          <w:sz w:val="22"/>
          <w:szCs w:val="22"/>
        </w:rPr>
        <w:t xml:space="preserve"> members of its Patient and Family Advisory Council and </w:t>
      </w:r>
      <w:r w:rsidR="00945003" w:rsidRPr="009F7193">
        <w:rPr>
          <w:rFonts w:asciiTheme="minorHAnsi" w:eastAsia="Arial" w:hAnsiTheme="minorHAnsi" w:cs="Arial"/>
          <w:sz w:val="22"/>
          <w:szCs w:val="22"/>
        </w:rPr>
        <w:t xml:space="preserve">14 </w:t>
      </w:r>
      <w:r w:rsidRPr="009F7193">
        <w:rPr>
          <w:rFonts w:asciiTheme="minorHAnsi" w:eastAsia="Arial" w:hAnsiTheme="minorHAnsi" w:cs="Arial"/>
          <w:sz w:val="22"/>
          <w:szCs w:val="22"/>
        </w:rPr>
        <w:t xml:space="preserve">hospital representatives on July 21, 2025. The Proposed Project was then presented to the Hospital’s </w:t>
      </w:r>
      <w:r w:rsidRPr="009F7193">
        <w:rPr>
          <w:rFonts w:asciiTheme="minorHAnsi" w:hAnsiTheme="minorHAnsi" w:cs="Arial"/>
          <w:sz w:val="22"/>
          <w:szCs w:val="22"/>
        </w:rPr>
        <w:t xml:space="preserve">Community Health Committee on September 22, 2025, </w:t>
      </w:r>
      <w:r w:rsidRPr="009F7193">
        <w:rPr>
          <w:rFonts w:asciiTheme="minorHAnsi" w:eastAsia="Arial" w:hAnsiTheme="minorHAnsi" w:cs="Arial"/>
          <w:sz w:val="22"/>
          <w:szCs w:val="22"/>
        </w:rPr>
        <w:t xml:space="preserve">with </w:t>
      </w:r>
      <w:r w:rsidR="002270BF">
        <w:rPr>
          <w:rFonts w:asciiTheme="minorHAnsi" w:eastAsia="Arial" w:hAnsiTheme="minorHAnsi" w:cs="Arial"/>
          <w:sz w:val="22"/>
          <w:szCs w:val="22"/>
        </w:rPr>
        <w:t>ten (</w:t>
      </w:r>
      <w:r w:rsidRPr="009F7193">
        <w:rPr>
          <w:rFonts w:asciiTheme="minorHAnsi" w:eastAsia="Arial" w:hAnsiTheme="minorHAnsi" w:cs="Arial"/>
          <w:sz w:val="22"/>
          <w:szCs w:val="22"/>
        </w:rPr>
        <w:t>10</w:t>
      </w:r>
      <w:r w:rsidR="002270BF">
        <w:rPr>
          <w:rFonts w:asciiTheme="minorHAnsi" w:eastAsia="Arial" w:hAnsiTheme="minorHAnsi" w:cs="Arial"/>
          <w:sz w:val="22"/>
          <w:szCs w:val="22"/>
        </w:rPr>
        <w:t>)</w:t>
      </w:r>
      <w:r w:rsidRPr="009F7193">
        <w:rPr>
          <w:rFonts w:asciiTheme="minorHAnsi" w:eastAsia="Arial" w:hAnsiTheme="minorHAnsi" w:cs="Arial"/>
          <w:sz w:val="22"/>
          <w:szCs w:val="22"/>
        </w:rPr>
        <w:t xml:space="preserve"> members of the Committee and four (4) Hospital representatives. Next, the Hospital presented the Proposed Project to the Health Equity Committee on September 23, 2025. This meeting was attended by five (</w:t>
      </w:r>
      <w:r w:rsidR="00945003" w:rsidRPr="009F7193">
        <w:rPr>
          <w:rFonts w:asciiTheme="minorHAnsi" w:eastAsia="Arial" w:hAnsiTheme="minorHAnsi" w:cs="Arial"/>
          <w:sz w:val="22"/>
          <w:szCs w:val="22"/>
        </w:rPr>
        <w:t>5</w:t>
      </w:r>
      <w:r w:rsidRPr="009F7193">
        <w:rPr>
          <w:rFonts w:asciiTheme="minorHAnsi" w:eastAsia="Arial" w:hAnsiTheme="minorHAnsi" w:cs="Arial"/>
          <w:sz w:val="22"/>
          <w:szCs w:val="22"/>
        </w:rPr>
        <w:t xml:space="preserve">) </w:t>
      </w:r>
      <w:r w:rsidR="00945003" w:rsidRPr="009F7193">
        <w:rPr>
          <w:rFonts w:asciiTheme="minorHAnsi" w:eastAsia="Arial" w:hAnsiTheme="minorHAnsi" w:cs="Arial"/>
          <w:sz w:val="22"/>
          <w:szCs w:val="22"/>
        </w:rPr>
        <w:t>c</w:t>
      </w:r>
      <w:r w:rsidRPr="009F7193">
        <w:rPr>
          <w:rFonts w:asciiTheme="minorHAnsi" w:eastAsia="Arial" w:hAnsiTheme="minorHAnsi" w:cs="Arial"/>
          <w:sz w:val="22"/>
          <w:szCs w:val="22"/>
        </w:rPr>
        <w:t xml:space="preserve">ommittee members and 12 hospital representatives, including officers, physicians, and administrative staff. During each meeting, Hospital representatives spoke about the need for the Proposed Project and why the Proposed Project is necessary </w:t>
      </w:r>
      <w:bookmarkEnd w:id="6"/>
      <w:r w:rsidRPr="009F7193">
        <w:rPr>
          <w:rFonts w:asciiTheme="minorHAnsi" w:eastAsia="Arial" w:hAnsiTheme="minorHAnsi" w:cs="Arial"/>
          <w:sz w:val="22"/>
          <w:szCs w:val="22"/>
        </w:rPr>
        <w:t xml:space="preserve">for the provision of high-quality, patient-centered care to the Hospital’s Patient Panel. Feedback was overwhelmingly positive, with </w:t>
      </w:r>
      <w:r w:rsidR="00945003" w:rsidRPr="009F7193">
        <w:rPr>
          <w:rFonts w:asciiTheme="minorHAnsi" w:eastAsia="Arial" w:hAnsiTheme="minorHAnsi" w:cs="Arial"/>
          <w:sz w:val="22"/>
          <w:szCs w:val="22"/>
        </w:rPr>
        <w:t>no</w:t>
      </w:r>
      <w:r w:rsidRPr="009F7193">
        <w:rPr>
          <w:rFonts w:asciiTheme="minorHAnsi" w:eastAsia="Arial" w:hAnsiTheme="minorHAnsi" w:cs="Arial"/>
          <w:sz w:val="22"/>
          <w:szCs w:val="22"/>
        </w:rPr>
        <w:t xml:space="preserve"> concerns </w:t>
      </w:r>
      <w:r w:rsidR="00945003" w:rsidRPr="009F7193">
        <w:rPr>
          <w:rFonts w:asciiTheme="minorHAnsi" w:eastAsia="Arial" w:hAnsiTheme="minorHAnsi" w:cs="Arial"/>
          <w:sz w:val="22"/>
          <w:szCs w:val="22"/>
        </w:rPr>
        <w:t xml:space="preserve">shared </w:t>
      </w:r>
      <w:r w:rsidRPr="009F7193">
        <w:rPr>
          <w:rFonts w:asciiTheme="minorHAnsi" w:eastAsia="Arial" w:hAnsiTheme="minorHAnsi" w:cs="Arial"/>
          <w:sz w:val="22"/>
          <w:szCs w:val="22"/>
        </w:rPr>
        <w:t xml:space="preserve">but instead expressing optimism and agreement that the Proposed Project would benefit </w:t>
      </w:r>
      <w:r w:rsidR="0049214A" w:rsidRPr="009F7193">
        <w:rPr>
          <w:rFonts w:asciiTheme="minorHAnsi" w:eastAsia="Arial" w:hAnsiTheme="minorHAnsi" w:cs="Arial"/>
          <w:sz w:val="22"/>
          <w:szCs w:val="22"/>
        </w:rPr>
        <w:t>hospital patients</w:t>
      </w:r>
      <w:r w:rsidRPr="009F7193">
        <w:rPr>
          <w:rFonts w:asciiTheme="minorHAnsi" w:eastAsia="Arial" w:hAnsiTheme="minorHAnsi" w:cs="Arial"/>
          <w:sz w:val="22"/>
          <w:szCs w:val="22"/>
        </w:rPr>
        <w:t xml:space="preserve"> and the broader community.  </w:t>
      </w:r>
    </w:p>
    <w:p w14:paraId="1DF38957" w14:textId="77777777" w:rsidR="00903E3C" w:rsidRDefault="00903E3C" w:rsidP="00BE6093">
      <w:pPr>
        <w:ind w:left="1440" w:hanging="1440"/>
        <w:jc w:val="both"/>
        <w:rPr>
          <w:rFonts w:asciiTheme="minorHAnsi" w:hAnsiTheme="minorHAnsi" w:cs="Arial"/>
          <w:b/>
          <w:sz w:val="22"/>
          <w:szCs w:val="22"/>
        </w:rPr>
      </w:pPr>
      <w:bookmarkStart w:id="7" w:name="_Hlk497463745"/>
    </w:p>
    <w:p w14:paraId="04850C14" w14:textId="6552ACC2" w:rsidR="00BE6093" w:rsidRPr="009F7193" w:rsidRDefault="00BE6093" w:rsidP="00341C2B">
      <w:pPr>
        <w:ind w:left="1440" w:hanging="1440"/>
        <w:jc w:val="both"/>
        <w:rPr>
          <w:rFonts w:asciiTheme="minorHAnsi" w:hAnsiTheme="minorHAnsi" w:cs="Arial"/>
          <w:b/>
          <w:sz w:val="22"/>
          <w:szCs w:val="22"/>
        </w:rPr>
      </w:pPr>
      <w:r w:rsidRPr="009F7193">
        <w:rPr>
          <w:rFonts w:asciiTheme="minorHAnsi" w:hAnsiTheme="minorHAnsi" w:cs="Arial"/>
          <w:b/>
          <w:sz w:val="22"/>
          <w:szCs w:val="22"/>
        </w:rPr>
        <w:t>F1.</w:t>
      </w:r>
      <w:proofErr w:type="gramStart"/>
      <w:r w:rsidRPr="009F7193">
        <w:rPr>
          <w:rFonts w:asciiTheme="minorHAnsi" w:hAnsiTheme="minorHAnsi" w:cs="Arial"/>
          <w:b/>
          <w:sz w:val="22"/>
          <w:szCs w:val="22"/>
        </w:rPr>
        <w:t>e.ii</w:t>
      </w:r>
      <w:bookmarkEnd w:id="7"/>
      <w:proofErr w:type="gramEnd"/>
      <w:r w:rsidRPr="009F7193">
        <w:rPr>
          <w:rFonts w:asciiTheme="minorHAnsi" w:hAnsiTheme="minorHAnsi" w:cs="Arial"/>
          <w:b/>
          <w:sz w:val="22"/>
          <w:szCs w:val="22"/>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7F2D0AEB" w14:textId="77777777" w:rsidR="00BE6093" w:rsidRPr="009F7193" w:rsidRDefault="00BE6093" w:rsidP="00BE6093">
      <w:pPr>
        <w:ind w:left="1440" w:hanging="1440"/>
        <w:jc w:val="both"/>
        <w:rPr>
          <w:rFonts w:asciiTheme="minorHAnsi" w:hAnsiTheme="minorHAnsi" w:cs="Arial"/>
          <w:b/>
          <w:sz w:val="22"/>
          <w:szCs w:val="22"/>
        </w:rPr>
      </w:pPr>
    </w:p>
    <w:p w14:paraId="7E08C74A" w14:textId="2441960A" w:rsidR="00BE6093" w:rsidRPr="009F7193" w:rsidRDefault="00BE6093" w:rsidP="00BE6093">
      <w:pPr>
        <w:jc w:val="both"/>
        <w:rPr>
          <w:rFonts w:asciiTheme="minorHAnsi" w:hAnsiTheme="minorHAnsi" w:cs="Arial"/>
          <w:sz w:val="22"/>
          <w:szCs w:val="22"/>
        </w:rPr>
      </w:pPr>
      <w:r w:rsidRPr="009F7193">
        <w:rPr>
          <w:rFonts w:asciiTheme="minorHAnsi" w:hAnsiTheme="minorHAnsi" w:cs="Arial"/>
          <w:sz w:val="22"/>
          <w:szCs w:val="22"/>
        </w:rPr>
        <w:t xml:space="preserve">To ensure sound community engagement throughout the development of the Proposed Project, the Applicant took the actions detailed in Factor </w:t>
      </w:r>
      <w:r w:rsidR="00945003" w:rsidRPr="009F7193">
        <w:rPr>
          <w:rFonts w:asciiTheme="minorHAnsi" w:hAnsiTheme="minorHAnsi" w:cs="Arial"/>
          <w:sz w:val="22"/>
          <w:szCs w:val="22"/>
        </w:rPr>
        <w:t>F</w:t>
      </w:r>
      <w:proofErr w:type="gramStart"/>
      <w:r w:rsidR="00945003" w:rsidRPr="009F7193">
        <w:rPr>
          <w:rFonts w:asciiTheme="minorHAnsi" w:hAnsiTheme="minorHAnsi" w:cs="Arial"/>
          <w:sz w:val="22"/>
          <w:szCs w:val="22"/>
        </w:rPr>
        <w:t>1.e.i</w:t>
      </w:r>
      <w:r w:rsidRPr="009F7193">
        <w:rPr>
          <w:rFonts w:asciiTheme="minorHAnsi" w:hAnsiTheme="minorHAnsi" w:cs="Arial"/>
          <w:sz w:val="22"/>
          <w:szCs w:val="22"/>
        </w:rPr>
        <w:t>.</w:t>
      </w:r>
      <w:proofErr w:type="gramEnd"/>
      <w:r w:rsidRPr="009F7193">
        <w:rPr>
          <w:rFonts w:asciiTheme="minorHAnsi" w:hAnsiTheme="minorHAnsi" w:cs="Arial"/>
          <w:sz w:val="22"/>
          <w:szCs w:val="22"/>
        </w:rPr>
        <w:t xml:space="preserve"> In addition, the Applicant published </w:t>
      </w:r>
      <w:r w:rsidR="00341C2B">
        <w:rPr>
          <w:rFonts w:asciiTheme="minorHAnsi" w:hAnsiTheme="minorHAnsi" w:cs="Arial"/>
          <w:sz w:val="22"/>
          <w:szCs w:val="22"/>
        </w:rPr>
        <w:t xml:space="preserve">a </w:t>
      </w:r>
      <w:r w:rsidRPr="009F7193">
        <w:rPr>
          <w:rFonts w:asciiTheme="minorHAnsi" w:hAnsiTheme="minorHAnsi" w:cs="Arial"/>
          <w:sz w:val="22"/>
          <w:szCs w:val="22"/>
        </w:rPr>
        <w:t xml:space="preserve">legal notice </w:t>
      </w:r>
      <w:r w:rsidRPr="009F7193">
        <w:rPr>
          <w:rFonts w:asciiTheme="minorHAnsi" w:hAnsiTheme="minorHAnsi" w:cs="Arial"/>
          <w:sz w:val="22"/>
          <w:szCs w:val="22"/>
        </w:rPr>
        <w:lastRenderedPageBreak/>
        <w:t xml:space="preserve">announcing the Proposed Project in the </w:t>
      </w:r>
      <w:r w:rsidRPr="009F7193">
        <w:rPr>
          <w:rFonts w:asciiTheme="minorHAnsi" w:hAnsiTheme="minorHAnsi" w:cs="Arial"/>
          <w:i/>
          <w:iCs/>
          <w:sz w:val="22"/>
          <w:szCs w:val="22"/>
        </w:rPr>
        <w:t>Cape Cod Times</w:t>
      </w:r>
      <w:r w:rsidRPr="009F7193">
        <w:rPr>
          <w:rFonts w:asciiTheme="minorHAnsi" w:hAnsiTheme="minorHAnsi" w:cs="Arial"/>
          <w:sz w:val="22"/>
          <w:szCs w:val="22"/>
        </w:rPr>
        <w:t xml:space="preserve"> on </w:t>
      </w:r>
      <w:r w:rsidR="00945003" w:rsidRPr="009F7193">
        <w:rPr>
          <w:rFonts w:asciiTheme="minorHAnsi" w:hAnsiTheme="minorHAnsi" w:cs="Arial"/>
          <w:sz w:val="22"/>
          <w:szCs w:val="22"/>
        </w:rPr>
        <w:t>Tuesday, November 11, 2025</w:t>
      </w:r>
      <w:r w:rsidR="00341C2B">
        <w:rPr>
          <w:rFonts w:asciiTheme="minorHAnsi" w:hAnsiTheme="minorHAnsi" w:cs="Arial"/>
          <w:sz w:val="22"/>
          <w:szCs w:val="22"/>
        </w:rPr>
        <w:t xml:space="preserve">. A copy of the notice was </w:t>
      </w:r>
      <w:r w:rsidRPr="009F7193">
        <w:rPr>
          <w:rFonts w:asciiTheme="minorHAnsi" w:hAnsiTheme="minorHAnsi" w:cs="Arial"/>
          <w:sz w:val="22"/>
          <w:szCs w:val="22"/>
        </w:rPr>
        <w:t xml:space="preserve">posted prominently on the Hospital’s website. Please refer to Appendix </w:t>
      </w:r>
      <w:r w:rsidR="00EA0C7D">
        <w:rPr>
          <w:rFonts w:asciiTheme="minorHAnsi" w:hAnsiTheme="minorHAnsi" w:cs="Arial"/>
          <w:sz w:val="22"/>
          <w:szCs w:val="22"/>
        </w:rPr>
        <w:t xml:space="preserve">7 </w:t>
      </w:r>
      <w:r w:rsidRPr="009F7193">
        <w:rPr>
          <w:rFonts w:asciiTheme="minorHAnsi" w:hAnsiTheme="minorHAnsi" w:cs="Arial"/>
          <w:sz w:val="22"/>
          <w:szCs w:val="22"/>
        </w:rPr>
        <w:t>for copies of the legal notice.</w:t>
      </w:r>
    </w:p>
    <w:p w14:paraId="31D24DB5" w14:textId="77777777" w:rsidR="00BE6093" w:rsidRPr="009F7193" w:rsidRDefault="00BE6093" w:rsidP="00BE6093">
      <w:pPr>
        <w:rPr>
          <w:rFonts w:asciiTheme="minorHAnsi" w:hAnsiTheme="minorHAnsi" w:cs="Arial"/>
          <w:sz w:val="22"/>
          <w:szCs w:val="22"/>
        </w:rPr>
      </w:pPr>
      <w:r w:rsidRPr="009F7193">
        <w:rPr>
          <w:rFonts w:asciiTheme="minorHAnsi" w:hAnsiTheme="minorHAnsi" w:cs="Arial"/>
          <w:sz w:val="22"/>
          <w:szCs w:val="22"/>
        </w:rPr>
        <w:t xml:space="preserve"> </w:t>
      </w:r>
    </w:p>
    <w:p w14:paraId="62D815E9" w14:textId="77777777" w:rsidR="00BE6093" w:rsidRPr="009F7193" w:rsidRDefault="00BE6093" w:rsidP="00BE6093">
      <w:pPr>
        <w:jc w:val="both"/>
        <w:rPr>
          <w:rFonts w:asciiTheme="minorHAnsi" w:hAnsiTheme="minorHAnsi" w:cs="Arial"/>
          <w:b/>
          <w:sz w:val="22"/>
          <w:szCs w:val="22"/>
        </w:rPr>
      </w:pPr>
      <w:r w:rsidRPr="009F7193">
        <w:rPr>
          <w:rFonts w:asciiTheme="minorHAnsi" w:hAnsiTheme="minorHAnsi" w:cs="Arial"/>
          <w:b/>
          <w:sz w:val="22"/>
          <w:szCs w:val="22"/>
        </w:rPr>
        <w:t xml:space="preserve">Factor 2: Health Priorities </w:t>
      </w:r>
    </w:p>
    <w:p w14:paraId="6483CC22" w14:textId="77777777" w:rsidR="00BE6093" w:rsidRPr="009F7193" w:rsidRDefault="00BE6093" w:rsidP="002270BF">
      <w:pPr>
        <w:autoSpaceDE w:val="0"/>
        <w:autoSpaceDN w:val="0"/>
        <w:adjustRightInd w:val="0"/>
        <w:spacing w:after="120"/>
        <w:jc w:val="both"/>
        <w:rPr>
          <w:rFonts w:asciiTheme="minorHAnsi" w:hAnsiTheme="minorHAnsi" w:cs="Arial"/>
          <w:b/>
          <w:sz w:val="22"/>
          <w:szCs w:val="22"/>
        </w:rPr>
      </w:pPr>
      <w:r w:rsidRPr="009F7193">
        <w:rPr>
          <w:rFonts w:asciiTheme="minorHAnsi" w:hAnsiTheme="minorHAnsi" w:cs="Arial"/>
          <w:b/>
          <w:sz w:val="22"/>
          <w:szCs w:val="2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2F3B2C63" w14:textId="77777777" w:rsidR="00BE6093" w:rsidRPr="009F7193" w:rsidRDefault="00BE6093" w:rsidP="00BE6093">
      <w:pPr>
        <w:autoSpaceDE w:val="0"/>
        <w:autoSpaceDN w:val="0"/>
        <w:adjustRightInd w:val="0"/>
        <w:jc w:val="both"/>
        <w:rPr>
          <w:rFonts w:asciiTheme="minorHAnsi" w:hAnsiTheme="minorHAnsi" w:cs="Arial"/>
          <w:b/>
          <w:sz w:val="22"/>
          <w:szCs w:val="22"/>
        </w:rPr>
      </w:pPr>
    </w:p>
    <w:p w14:paraId="0C22AB5C" w14:textId="77777777" w:rsidR="00BE6093" w:rsidRPr="009F7193" w:rsidRDefault="00BE6093" w:rsidP="00BE6093">
      <w:pPr>
        <w:tabs>
          <w:tab w:val="left" w:pos="1440"/>
        </w:tabs>
        <w:autoSpaceDE w:val="0"/>
        <w:autoSpaceDN w:val="0"/>
        <w:adjustRightInd w:val="0"/>
        <w:ind w:left="1440" w:hanging="1440"/>
        <w:jc w:val="both"/>
        <w:rPr>
          <w:rFonts w:asciiTheme="minorHAnsi" w:hAnsiTheme="minorHAnsi" w:cs="Arial"/>
          <w:b/>
          <w:sz w:val="22"/>
          <w:szCs w:val="22"/>
        </w:rPr>
      </w:pPr>
      <w:r w:rsidRPr="009F7193">
        <w:rPr>
          <w:rFonts w:asciiTheme="minorHAnsi" w:hAnsiTheme="minorHAnsi" w:cs="Arial"/>
          <w:b/>
          <w:sz w:val="22"/>
          <w:szCs w:val="22"/>
        </w:rPr>
        <w:t>F2.a.</w:t>
      </w:r>
      <w:r w:rsidRPr="009F7193">
        <w:rPr>
          <w:rFonts w:asciiTheme="minorHAnsi" w:hAnsiTheme="minorHAnsi" w:cs="Arial"/>
          <w:b/>
          <w:sz w:val="22"/>
          <w:szCs w:val="22"/>
        </w:rPr>
        <w:tab/>
      </w:r>
      <w:r w:rsidRPr="009F7193">
        <w:rPr>
          <w:rFonts w:asciiTheme="minorHAnsi" w:hAnsiTheme="minorHAnsi" w:cs="Arial"/>
          <w:b/>
          <w:sz w:val="22"/>
          <w:szCs w:val="22"/>
          <w:u w:val="single"/>
        </w:rPr>
        <w:t>Cost Containment:</w:t>
      </w:r>
      <w:r w:rsidRPr="009F7193">
        <w:rPr>
          <w:rFonts w:asciiTheme="minorHAnsi" w:hAnsiTheme="minorHAnsi" w:cs="Arial"/>
          <w:b/>
          <w:sz w:val="22"/>
          <w:szCs w:val="22"/>
        </w:rPr>
        <w:t xml:space="preserve"> </w:t>
      </w:r>
    </w:p>
    <w:p w14:paraId="29149049" w14:textId="77777777" w:rsidR="00BE6093" w:rsidRPr="009F7193" w:rsidRDefault="00BE6093" w:rsidP="004817EA">
      <w:pPr>
        <w:tabs>
          <w:tab w:val="left" w:pos="1440"/>
        </w:tabs>
        <w:autoSpaceDE w:val="0"/>
        <w:autoSpaceDN w:val="0"/>
        <w:adjustRightInd w:val="0"/>
        <w:spacing w:after="120"/>
        <w:ind w:left="1440" w:hanging="1440"/>
        <w:jc w:val="both"/>
        <w:rPr>
          <w:rFonts w:asciiTheme="minorHAnsi" w:hAnsiTheme="minorHAnsi" w:cs="Arial"/>
          <w:b/>
          <w:sz w:val="22"/>
          <w:szCs w:val="22"/>
        </w:rPr>
      </w:pPr>
      <w:r w:rsidRPr="009F7193">
        <w:rPr>
          <w:rFonts w:asciiTheme="minorHAnsi" w:hAnsiTheme="minorHAnsi" w:cs="Arial"/>
          <w:b/>
          <w:sz w:val="22"/>
          <w:szCs w:val="22"/>
        </w:rPr>
        <w:tab/>
        <w:t>Using objective data, please describe, for each new or expanded service, how the Proposed Project will meaningfully contribute to the Commonwealth's goals for cost containment.</w:t>
      </w:r>
    </w:p>
    <w:p w14:paraId="5813A568" w14:textId="7A0D12A2" w:rsidR="00BE6093" w:rsidRPr="009F7193" w:rsidRDefault="00BE6093" w:rsidP="004817EA">
      <w:pPr>
        <w:pStyle w:val="BodyText2"/>
        <w:tabs>
          <w:tab w:val="left" w:pos="1440"/>
          <w:tab w:val="left" w:pos="5736"/>
        </w:tabs>
        <w:autoSpaceDE w:val="0"/>
        <w:autoSpaceDN w:val="0"/>
        <w:adjustRightInd w:val="0"/>
        <w:spacing w:after="120"/>
        <w:rPr>
          <w:rFonts w:asciiTheme="minorHAnsi" w:hAnsiTheme="minorHAnsi"/>
          <w:kern w:val="0"/>
          <w:sz w:val="22"/>
          <w:szCs w:val="22"/>
        </w:rPr>
      </w:pPr>
      <w:r w:rsidRPr="009F7193">
        <w:rPr>
          <w:rFonts w:asciiTheme="minorHAnsi" w:hAnsiTheme="minorHAnsi"/>
          <w:kern w:val="0"/>
          <w:sz w:val="22"/>
          <w:szCs w:val="22"/>
        </w:rPr>
        <w:t xml:space="preserve">The Commonwealth’s cost containment </w:t>
      </w:r>
      <w:r w:rsidR="006B78F3" w:rsidRPr="009F7193">
        <w:rPr>
          <w:rFonts w:asciiTheme="minorHAnsi" w:hAnsiTheme="minorHAnsi"/>
          <w:kern w:val="0"/>
          <w:sz w:val="22"/>
          <w:szCs w:val="22"/>
        </w:rPr>
        <w:t>goals emphasize low-cost initiatives that expand access to high-quality care, ultimately improving health outcomes and reducing overall healthcare spending</w:t>
      </w:r>
      <w:r w:rsidRPr="009F7193">
        <w:rPr>
          <w:rFonts w:asciiTheme="minorHAnsi" w:hAnsiTheme="minorHAnsi"/>
          <w:kern w:val="0"/>
          <w:sz w:val="22"/>
          <w:szCs w:val="22"/>
        </w:rPr>
        <w:t xml:space="preserve">. The Proposed Project directly supports </w:t>
      </w:r>
      <w:r w:rsidR="004860BB" w:rsidRPr="009F7193">
        <w:rPr>
          <w:rFonts w:asciiTheme="minorHAnsi" w:hAnsiTheme="minorHAnsi"/>
          <w:kern w:val="0"/>
          <w:sz w:val="22"/>
          <w:szCs w:val="22"/>
        </w:rPr>
        <w:t>these goals</w:t>
      </w:r>
      <w:r w:rsidRPr="009F7193">
        <w:rPr>
          <w:rFonts w:asciiTheme="minorHAnsi" w:hAnsiTheme="minorHAnsi"/>
          <w:kern w:val="0"/>
          <w:sz w:val="22"/>
          <w:szCs w:val="22"/>
        </w:rPr>
        <w:t xml:space="preserve"> by expanding MRI capacity at Cape Cod Hospital with </w:t>
      </w:r>
      <w:r w:rsidR="004860BB" w:rsidRPr="009F7193">
        <w:rPr>
          <w:rFonts w:asciiTheme="minorHAnsi" w:hAnsiTheme="minorHAnsi"/>
          <w:kern w:val="0"/>
          <w:sz w:val="22"/>
          <w:szCs w:val="22"/>
        </w:rPr>
        <w:t>no upfront implementation costs and minimal ongoing operating expenses</w:t>
      </w:r>
      <w:r w:rsidRPr="009F7193">
        <w:rPr>
          <w:rFonts w:asciiTheme="minorHAnsi" w:hAnsiTheme="minorHAnsi"/>
          <w:kern w:val="0"/>
          <w:sz w:val="22"/>
          <w:szCs w:val="22"/>
        </w:rPr>
        <w:t xml:space="preserve">. This </w:t>
      </w:r>
      <w:r w:rsidR="004860BB" w:rsidRPr="009F7193">
        <w:rPr>
          <w:rFonts w:asciiTheme="minorHAnsi" w:hAnsiTheme="minorHAnsi"/>
          <w:kern w:val="0"/>
          <w:sz w:val="22"/>
          <w:szCs w:val="22"/>
        </w:rPr>
        <w:t xml:space="preserve">expansion </w:t>
      </w:r>
      <w:r w:rsidRPr="009F7193">
        <w:rPr>
          <w:rFonts w:asciiTheme="minorHAnsi" w:hAnsiTheme="minorHAnsi"/>
          <w:kern w:val="0"/>
          <w:sz w:val="22"/>
          <w:szCs w:val="22"/>
        </w:rPr>
        <w:t xml:space="preserve">will allow more patients to receive advanced imaging locally rather than traveling to </w:t>
      </w:r>
      <w:r w:rsidR="0049214A" w:rsidRPr="009F7193">
        <w:rPr>
          <w:rFonts w:asciiTheme="minorHAnsi" w:hAnsiTheme="minorHAnsi"/>
          <w:kern w:val="0"/>
          <w:sz w:val="22"/>
          <w:szCs w:val="22"/>
        </w:rPr>
        <w:t xml:space="preserve">potentially </w:t>
      </w:r>
      <w:r w:rsidRPr="009F7193">
        <w:rPr>
          <w:rFonts w:asciiTheme="minorHAnsi" w:hAnsiTheme="minorHAnsi"/>
          <w:kern w:val="0"/>
          <w:sz w:val="22"/>
          <w:szCs w:val="22"/>
        </w:rPr>
        <w:t xml:space="preserve">higher-cost centers farther away. By expanding access to MRI at </w:t>
      </w:r>
      <w:r w:rsidR="00227B01" w:rsidRPr="009F7193">
        <w:rPr>
          <w:rFonts w:asciiTheme="minorHAnsi" w:hAnsiTheme="minorHAnsi"/>
          <w:kern w:val="0"/>
          <w:sz w:val="22"/>
          <w:szCs w:val="22"/>
        </w:rPr>
        <w:t>the Hospital</w:t>
      </w:r>
      <w:r w:rsidRPr="009F7193">
        <w:rPr>
          <w:rFonts w:asciiTheme="minorHAnsi" w:hAnsiTheme="minorHAnsi"/>
          <w:kern w:val="0"/>
          <w:sz w:val="22"/>
          <w:szCs w:val="22"/>
        </w:rPr>
        <w:t xml:space="preserve"> without </w:t>
      </w:r>
      <w:r w:rsidR="00C5481A" w:rsidRPr="009F7193">
        <w:rPr>
          <w:rFonts w:asciiTheme="minorHAnsi" w:hAnsiTheme="minorHAnsi"/>
          <w:kern w:val="0"/>
          <w:sz w:val="22"/>
          <w:szCs w:val="22"/>
        </w:rPr>
        <w:t>a</w:t>
      </w:r>
      <w:r w:rsidRPr="009F7193">
        <w:rPr>
          <w:rFonts w:asciiTheme="minorHAnsi" w:hAnsiTheme="minorHAnsi"/>
          <w:kern w:val="0"/>
          <w:sz w:val="22"/>
          <w:szCs w:val="22"/>
        </w:rPr>
        <w:t xml:space="preserve"> capital expenditure, the Proposed Project will </w:t>
      </w:r>
      <w:r w:rsidR="00C5481A" w:rsidRPr="009F7193">
        <w:rPr>
          <w:rFonts w:asciiTheme="minorHAnsi" w:hAnsiTheme="minorHAnsi"/>
          <w:kern w:val="0"/>
          <w:sz w:val="22"/>
          <w:szCs w:val="22"/>
        </w:rPr>
        <w:t xml:space="preserve">reduce </w:t>
      </w:r>
      <w:r w:rsidR="0049214A" w:rsidRPr="009F7193">
        <w:rPr>
          <w:rFonts w:asciiTheme="minorHAnsi" w:hAnsiTheme="minorHAnsi"/>
          <w:kern w:val="0"/>
          <w:sz w:val="22"/>
          <w:szCs w:val="22"/>
        </w:rPr>
        <w:t xml:space="preserve">delayed or avoided care as well as care received outside of Cape Cod Healthcare, which is less likely to be coordinated by a patient’s care team, and can result in higher overall health care costs.  </w:t>
      </w:r>
    </w:p>
    <w:p w14:paraId="2E6EC9D8" w14:textId="393CF88B" w:rsidR="00BE6093" w:rsidRPr="009F7193" w:rsidRDefault="00BE6093" w:rsidP="004817EA">
      <w:pPr>
        <w:pStyle w:val="BodyText2"/>
        <w:tabs>
          <w:tab w:val="left" w:pos="1440"/>
          <w:tab w:val="left" w:pos="5736"/>
        </w:tabs>
        <w:autoSpaceDE w:val="0"/>
        <w:autoSpaceDN w:val="0"/>
        <w:adjustRightInd w:val="0"/>
        <w:spacing w:after="120"/>
        <w:rPr>
          <w:rFonts w:asciiTheme="minorHAnsi" w:hAnsiTheme="minorHAnsi"/>
          <w:kern w:val="0"/>
          <w:sz w:val="22"/>
          <w:szCs w:val="22"/>
        </w:rPr>
      </w:pPr>
      <w:r w:rsidRPr="009F7193">
        <w:rPr>
          <w:rFonts w:asciiTheme="minorHAnsi" w:hAnsiTheme="minorHAnsi"/>
          <w:kern w:val="0"/>
          <w:sz w:val="22"/>
          <w:szCs w:val="22"/>
        </w:rPr>
        <w:t xml:space="preserve">Furthermore, improved access to timely MRI imaging can help prevent costly complications arising from delayed diagnoses. </w:t>
      </w:r>
      <w:r w:rsidR="004817EA" w:rsidRPr="009F7193">
        <w:rPr>
          <w:rFonts w:asciiTheme="minorHAnsi" w:hAnsiTheme="minorHAnsi"/>
          <w:kern w:val="0"/>
          <w:sz w:val="22"/>
          <w:szCs w:val="22"/>
        </w:rPr>
        <w:t>As previously noted in Section F1.b.i, d</w:t>
      </w:r>
      <w:r w:rsidR="004817EA" w:rsidRPr="009F7193">
        <w:rPr>
          <w:rFonts w:asciiTheme="minorHAnsi" w:hAnsiTheme="minorHAnsi"/>
          <w:sz w:val="22"/>
          <w:szCs w:val="22"/>
        </w:rPr>
        <w:t>elays in MRI can hinder timely and targeted therapeutic decision-making and may increase patients' hospital length of stay and subsequent total hospitalization costs.</w:t>
      </w:r>
      <w:r w:rsidR="004817EA" w:rsidRPr="009F7193">
        <w:rPr>
          <w:rStyle w:val="FootnoteReference"/>
          <w:rFonts w:asciiTheme="minorHAnsi" w:hAnsiTheme="minorHAnsi"/>
          <w:sz w:val="22"/>
          <w:szCs w:val="22"/>
        </w:rPr>
        <w:footnoteReference w:id="36"/>
      </w:r>
      <w:r w:rsidR="004817EA" w:rsidRPr="009F7193">
        <w:rPr>
          <w:rFonts w:asciiTheme="minorHAnsi" w:hAnsiTheme="minorHAnsi"/>
          <w:sz w:val="22"/>
          <w:szCs w:val="22"/>
        </w:rPr>
        <w:t xml:space="preserve"> As a result, timely access to MRI for trauma and stroke patients </w:t>
      </w:r>
      <w:r w:rsidR="00C5481A" w:rsidRPr="009F7193">
        <w:rPr>
          <w:rFonts w:asciiTheme="minorHAnsi" w:hAnsiTheme="minorHAnsi"/>
          <w:sz w:val="22"/>
          <w:szCs w:val="22"/>
        </w:rPr>
        <w:t>is necessary for both improving health outcomes as well as avoiding unnecessary hospitalization and treatment costs.</w:t>
      </w:r>
      <w:r w:rsidR="004817EA" w:rsidRPr="009F7193">
        <w:rPr>
          <w:rFonts w:asciiTheme="minorHAnsi" w:hAnsiTheme="minorHAnsi"/>
          <w:sz w:val="22"/>
          <w:szCs w:val="22"/>
        </w:rPr>
        <w:t xml:space="preserve">  For outpatients, l</w:t>
      </w:r>
      <w:r w:rsidRPr="009F7193">
        <w:rPr>
          <w:rFonts w:asciiTheme="minorHAnsi" w:hAnsiTheme="minorHAnsi"/>
          <w:kern w:val="0"/>
          <w:sz w:val="22"/>
          <w:szCs w:val="22"/>
        </w:rPr>
        <w:t>ong wait times often lead to patients canceling or missing appointments,</w:t>
      </w:r>
      <w:r w:rsidRPr="009F7193">
        <w:rPr>
          <w:rStyle w:val="FootnoteReference"/>
          <w:rFonts w:asciiTheme="minorHAnsi" w:hAnsiTheme="minorHAnsi"/>
          <w:kern w:val="0"/>
          <w:sz w:val="22"/>
          <w:szCs w:val="22"/>
        </w:rPr>
        <w:footnoteReference w:id="37"/>
      </w:r>
      <w:r w:rsidRPr="009F7193">
        <w:rPr>
          <w:rFonts w:asciiTheme="minorHAnsi" w:hAnsiTheme="minorHAnsi"/>
          <w:kern w:val="0"/>
          <w:sz w:val="22"/>
          <w:szCs w:val="22"/>
        </w:rPr>
        <w:t xml:space="preserve"> which further delays diagnosis and treatment. Earlier diagnosis allows treatment to begin before the patient’s condition advances, requiring more costly care.</w:t>
      </w:r>
      <w:r w:rsidRPr="009F7193">
        <w:rPr>
          <w:rStyle w:val="FootnoteReference"/>
          <w:rFonts w:asciiTheme="minorHAnsi" w:hAnsiTheme="minorHAnsi"/>
          <w:kern w:val="0"/>
          <w:sz w:val="22"/>
          <w:szCs w:val="22"/>
        </w:rPr>
        <w:footnoteReference w:id="38"/>
      </w:r>
      <w:r w:rsidRPr="009F7193">
        <w:rPr>
          <w:rFonts w:asciiTheme="minorHAnsi" w:hAnsiTheme="minorHAnsi"/>
          <w:kern w:val="0"/>
          <w:sz w:val="22"/>
          <w:szCs w:val="22"/>
        </w:rPr>
        <w:t xml:space="preserve"> </w:t>
      </w:r>
      <w:r w:rsidR="00C5481A" w:rsidRPr="009F7193">
        <w:rPr>
          <w:rFonts w:asciiTheme="minorHAnsi" w:hAnsiTheme="minorHAnsi"/>
          <w:kern w:val="0"/>
          <w:sz w:val="22"/>
          <w:szCs w:val="22"/>
        </w:rPr>
        <w:t xml:space="preserve">Without additional MRI capacity, patients will experience increased wait times as all MRI units are operating at a high capacity. </w:t>
      </w:r>
      <w:r w:rsidRPr="009F7193">
        <w:rPr>
          <w:rFonts w:asciiTheme="minorHAnsi" w:hAnsiTheme="minorHAnsi"/>
          <w:kern w:val="0"/>
          <w:sz w:val="22"/>
          <w:szCs w:val="22"/>
        </w:rPr>
        <w:t xml:space="preserve">Moreover, there will be no change in </w:t>
      </w:r>
      <w:r w:rsidR="00227B01" w:rsidRPr="009F7193">
        <w:rPr>
          <w:rFonts w:asciiTheme="minorHAnsi" w:hAnsiTheme="minorHAnsi"/>
          <w:kern w:val="0"/>
          <w:sz w:val="22"/>
          <w:szCs w:val="22"/>
        </w:rPr>
        <w:t>the Hospital’s</w:t>
      </w:r>
      <w:r w:rsidRPr="009F7193">
        <w:rPr>
          <w:rFonts w:asciiTheme="minorHAnsi" w:hAnsiTheme="minorHAnsi"/>
          <w:kern w:val="0"/>
          <w:sz w:val="22"/>
          <w:szCs w:val="22"/>
        </w:rPr>
        <w:t xml:space="preserve"> contracted rates for MRI services resulting from the Proposed Project. By maintaining current costs and increasing efficiency, the Proposed Project will have a positive impact on the Commonwealth’s goals of cost containment.</w:t>
      </w:r>
      <w:r w:rsidR="00C5481A" w:rsidRPr="009F7193">
        <w:rPr>
          <w:rFonts w:asciiTheme="minorHAnsi" w:hAnsiTheme="minorHAnsi"/>
          <w:kern w:val="0"/>
          <w:sz w:val="22"/>
          <w:szCs w:val="22"/>
        </w:rPr>
        <w:t xml:space="preserve"> Without additional MRI capacity, patients will experience increased wait times as all MRI units are operating at a high capacity. </w:t>
      </w:r>
    </w:p>
    <w:p w14:paraId="6B421E0F" w14:textId="77777777" w:rsidR="00BE6093" w:rsidRPr="009F7193" w:rsidRDefault="00BE6093" w:rsidP="004817EA">
      <w:pPr>
        <w:tabs>
          <w:tab w:val="left" w:pos="1440"/>
        </w:tabs>
        <w:autoSpaceDE w:val="0"/>
        <w:autoSpaceDN w:val="0"/>
        <w:adjustRightInd w:val="0"/>
        <w:spacing w:after="120"/>
        <w:ind w:left="1440" w:hanging="1440"/>
        <w:jc w:val="both"/>
        <w:rPr>
          <w:rFonts w:asciiTheme="minorHAnsi" w:hAnsiTheme="minorHAnsi" w:cs="Arial"/>
          <w:b/>
          <w:sz w:val="22"/>
          <w:szCs w:val="22"/>
        </w:rPr>
      </w:pPr>
      <w:r w:rsidRPr="009F7193">
        <w:rPr>
          <w:rFonts w:asciiTheme="minorHAnsi" w:hAnsiTheme="minorHAnsi" w:cs="Arial"/>
          <w:b/>
          <w:sz w:val="22"/>
          <w:szCs w:val="22"/>
        </w:rPr>
        <w:lastRenderedPageBreak/>
        <w:t>F2.b.</w:t>
      </w:r>
      <w:r w:rsidRPr="009F7193">
        <w:rPr>
          <w:rFonts w:asciiTheme="minorHAnsi" w:hAnsiTheme="minorHAnsi" w:cs="Arial"/>
          <w:b/>
          <w:sz w:val="22"/>
          <w:szCs w:val="22"/>
        </w:rPr>
        <w:tab/>
      </w:r>
      <w:r w:rsidRPr="009F7193">
        <w:rPr>
          <w:rFonts w:asciiTheme="minorHAnsi" w:hAnsiTheme="minorHAnsi" w:cs="Arial"/>
          <w:b/>
          <w:sz w:val="22"/>
          <w:szCs w:val="22"/>
          <w:u w:val="single"/>
        </w:rPr>
        <w:t>Public Health Outcomes:</w:t>
      </w:r>
      <w:r w:rsidRPr="009F7193">
        <w:rPr>
          <w:rFonts w:asciiTheme="minorHAnsi" w:hAnsiTheme="minorHAnsi" w:cs="Arial"/>
          <w:b/>
          <w:sz w:val="22"/>
          <w:szCs w:val="22"/>
        </w:rPr>
        <w:t xml:space="preserve"> </w:t>
      </w:r>
    </w:p>
    <w:p w14:paraId="6288274C" w14:textId="77777777" w:rsidR="00BE6093" w:rsidRPr="009F7193" w:rsidRDefault="00BE6093" w:rsidP="00BE6093">
      <w:pPr>
        <w:tabs>
          <w:tab w:val="left" w:pos="1440"/>
        </w:tabs>
        <w:autoSpaceDE w:val="0"/>
        <w:autoSpaceDN w:val="0"/>
        <w:adjustRightInd w:val="0"/>
        <w:ind w:left="1440" w:hanging="1440"/>
        <w:jc w:val="both"/>
        <w:rPr>
          <w:rFonts w:asciiTheme="minorHAnsi" w:hAnsiTheme="minorHAnsi" w:cs="Arial"/>
          <w:b/>
          <w:sz w:val="22"/>
          <w:szCs w:val="22"/>
        </w:rPr>
      </w:pPr>
      <w:r w:rsidRPr="009F7193">
        <w:rPr>
          <w:rFonts w:asciiTheme="minorHAnsi" w:hAnsiTheme="minorHAnsi" w:cs="Arial"/>
          <w:b/>
          <w:sz w:val="22"/>
          <w:szCs w:val="22"/>
        </w:rPr>
        <w:tab/>
        <w:t>Describe, as relevant, for each new or expanded service, how the Proposed Project will improve public health outcomes.</w:t>
      </w:r>
    </w:p>
    <w:p w14:paraId="1C588692" w14:textId="77777777" w:rsidR="00BE6093" w:rsidRPr="009F7193" w:rsidRDefault="00BE6093" w:rsidP="00BE6093">
      <w:pPr>
        <w:tabs>
          <w:tab w:val="left" w:pos="1440"/>
        </w:tabs>
        <w:autoSpaceDE w:val="0"/>
        <w:autoSpaceDN w:val="0"/>
        <w:adjustRightInd w:val="0"/>
        <w:ind w:left="1440" w:hanging="1440"/>
        <w:jc w:val="both"/>
        <w:rPr>
          <w:rFonts w:asciiTheme="minorHAnsi" w:hAnsiTheme="minorHAnsi" w:cs="Arial"/>
          <w:b/>
          <w:sz w:val="22"/>
          <w:szCs w:val="22"/>
        </w:rPr>
      </w:pPr>
    </w:p>
    <w:p w14:paraId="33BABE37" w14:textId="55099360" w:rsidR="00BE6093" w:rsidRPr="009F7193" w:rsidRDefault="00BE6093" w:rsidP="00903E3C">
      <w:pPr>
        <w:pStyle w:val="BodyText2"/>
        <w:tabs>
          <w:tab w:val="left" w:pos="1440"/>
          <w:tab w:val="left" w:pos="5736"/>
        </w:tabs>
        <w:autoSpaceDE w:val="0"/>
        <w:autoSpaceDN w:val="0"/>
        <w:adjustRightInd w:val="0"/>
        <w:spacing w:after="120"/>
        <w:rPr>
          <w:rFonts w:asciiTheme="minorHAnsi" w:hAnsiTheme="minorHAnsi"/>
          <w:kern w:val="0"/>
          <w:sz w:val="22"/>
          <w:szCs w:val="22"/>
        </w:rPr>
      </w:pPr>
      <w:bookmarkStart w:id="8" w:name="_Hlk101967270"/>
      <w:r w:rsidRPr="009F7193">
        <w:rPr>
          <w:rFonts w:asciiTheme="minorHAnsi" w:hAnsiTheme="minorHAnsi"/>
          <w:kern w:val="0"/>
          <w:sz w:val="22"/>
          <w:szCs w:val="22"/>
        </w:rPr>
        <w:t xml:space="preserve">The addition of a second MRI unit at </w:t>
      </w:r>
      <w:r w:rsidR="00F2603F" w:rsidRPr="009F7193">
        <w:rPr>
          <w:rFonts w:asciiTheme="minorHAnsi" w:hAnsiTheme="minorHAnsi"/>
          <w:kern w:val="0"/>
          <w:sz w:val="22"/>
          <w:szCs w:val="22"/>
        </w:rPr>
        <w:t xml:space="preserve">the </w:t>
      </w:r>
      <w:r w:rsidR="00613B1B" w:rsidRPr="009F7193">
        <w:rPr>
          <w:rFonts w:asciiTheme="minorHAnsi" w:hAnsiTheme="minorHAnsi"/>
          <w:kern w:val="0"/>
          <w:sz w:val="22"/>
          <w:szCs w:val="22"/>
        </w:rPr>
        <w:t>Hospital</w:t>
      </w:r>
      <w:r w:rsidR="00C5481A" w:rsidRPr="009F7193">
        <w:rPr>
          <w:rFonts w:asciiTheme="minorHAnsi" w:hAnsiTheme="minorHAnsi"/>
          <w:kern w:val="0"/>
          <w:sz w:val="22"/>
          <w:szCs w:val="22"/>
        </w:rPr>
        <w:t xml:space="preserve">’s main campus </w:t>
      </w:r>
      <w:r w:rsidRPr="009F7193">
        <w:rPr>
          <w:rFonts w:asciiTheme="minorHAnsi" w:hAnsiTheme="minorHAnsi"/>
          <w:kern w:val="0"/>
          <w:sz w:val="22"/>
          <w:szCs w:val="22"/>
        </w:rPr>
        <w:t xml:space="preserve">will significantly improve public health outcomes by </w:t>
      </w:r>
      <w:r w:rsidR="00C5481A" w:rsidRPr="009F7193">
        <w:rPr>
          <w:rFonts w:asciiTheme="minorHAnsi" w:hAnsiTheme="minorHAnsi"/>
          <w:kern w:val="0"/>
          <w:sz w:val="22"/>
          <w:szCs w:val="22"/>
        </w:rPr>
        <w:t>ensuring</w:t>
      </w:r>
      <w:r w:rsidRPr="009F7193">
        <w:rPr>
          <w:rFonts w:asciiTheme="minorHAnsi" w:hAnsiTheme="minorHAnsi"/>
          <w:kern w:val="0"/>
          <w:sz w:val="22"/>
          <w:szCs w:val="22"/>
        </w:rPr>
        <w:t xml:space="preserve"> access to advanced imaging</w:t>
      </w:r>
      <w:r w:rsidR="00C5481A" w:rsidRPr="009F7193">
        <w:rPr>
          <w:rFonts w:asciiTheme="minorHAnsi" w:hAnsiTheme="minorHAnsi"/>
          <w:kern w:val="0"/>
          <w:sz w:val="22"/>
          <w:szCs w:val="22"/>
        </w:rPr>
        <w:t xml:space="preserve"> </w:t>
      </w:r>
      <w:r w:rsidRPr="009F7193">
        <w:rPr>
          <w:rFonts w:asciiTheme="minorHAnsi" w:hAnsiTheme="minorHAnsi"/>
          <w:kern w:val="0"/>
          <w:sz w:val="22"/>
          <w:szCs w:val="22"/>
        </w:rPr>
        <w:t xml:space="preserve">and supporting timely diagnosis and treatment. As the </w:t>
      </w:r>
      <w:r w:rsidR="00227B01" w:rsidRPr="009F7193">
        <w:rPr>
          <w:rFonts w:asciiTheme="minorHAnsi" w:hAnsiTheme="minorHAnsi"/>
          <w:kern w:val="0"/>
          <w:sz w:val="22"/>
          <w:szCs w:val="22"/>
        </w:rPr>
        <w:t>Hospital</w:t>
      </w:r>
      <w:r w:rsidRPr="009F7193">
        <w:rPr>
          <w:rFonts w:asciiTheme="minorHAnsi" w:hAnsiTheme="minorHAnsi"/>
          <w:kern w:val="0"/>
          <w:sz w:val="22"/>
          <w:szCs w:val="22"/>
        </w:rPr>
        <w:t xml:space="preserve"> Patient Panel continues to grow and age, particularly with the large elderly population in the service area, timely access to MRI imaging becomes increasingly critical. Many of </w:t>
      </w:r>
      <w:r w:rsidR="00227B01" w:rsidRPr="009F7193">
        <w:rPr>
          <w:rFonts w:asciiTheme="minorHAnsi" w:hAnsiTheme="minorHAnsi"/>
          <w:kern w:val="0"/>
          <w:sz w:val="22"/>
          <w:szCs w:val="22"/>
        </w:rPr>
        <w:t>the Hospital’s</w:t>
      </w:r>
      <w:r w:rsidRPr="009F7193">
        <w:rPr>
          <w:rFonts w:asciiTheme="minorHAnsi" w:hAnsiTheme="minorHAnsi"/>
          <w:kern w:val="0"/>
          <w:sz w:val="22"/>
          <w:szCs w:val="22"/>
        </w:rPr>
        <w:t xml:space="preserve"> patients face challenges with transportation and scheduling follow-up appointments. By </w:t>
      </w:r>
      <w:r w:rsidR="0049214A" w:rsidRPr="009F7193">
        <w:rPr>
          <w:rFonts w:asciiTheme="minorHAnsi" w:hAnsiTheme="minorHAnsi"/>
          <w:kern w:val="0"/>
          <w:sz w:val="22"/>
          <w:szCs w:val="22"/>
        </w:rPr>
        <w:t>improving</w:t>
      </w:r>
      <w:r w:rsidRPr="009F7193">
        <w:rPr>
          <w:rFonts w:asciiTheme="minorHAnsi" w:hAnsiTheme="minorHAnsi"/>
          <w:kern w:val="0"/>
          <w:sz w:val="22"/>
          <w:szCs w:val="22"/>
        </w:rPr>
        <w:t xml:space="preserve"> MRI </w:t>
      </w:r>
      <w:r w:rsidR="0049214A" w:rsidRPr="009F7193">
        <w:rPr>
          <w:rFonts w:asciiTheme="minorHAnsi" w:hAnsiTheme="minorHAnsi"/>
          <w:kern w:val="0"/>
          <w:sz w:val="22"/>
          <w:szCs w:val="22"/>
        </w:rPr>
        <w:t>access</w:t>
      </w:r>
      <w:r w:rsidRPr="009F7193">
        <w:rPr>
          <w:rFonts w:asciiTheme="minorHAnsi" w:hAnsiTheme="minorHAnsi"/>
          <w:kern w:val="0"/>
          <w:sz w:val="22"/>
          <w:szCs w:val="22"/>
        </w:rPr>
        <w:t xml:space="preserve">, </w:t>
      </w:r>
      <w:r w:rsidR="00227B01" w:rsidRPr="009F7193">
        <w:rPr>
          <w:rFonts w:asciiTheme="minorHAnsi" w:hAnsiTheme="minorHAnsi"/>
          <w:kern w:val="0"/>
          <w:sz w:val="22"/>
          <w:szCs w:val="22"/>
        </w:rPr>
        <w:t>the Hospital</w:t>
      </w:r>
      <w:r w:rsidRPr="009F7193">
        <w:rPr>
          <w:rFonts w:asciiTheme="minorHAnsi" w:hAnsiTheme="minorHAnsi"/>
          <w:kern w:val="0"/>
          <w:sz w:val="22"/>
          <w:szCs w:val="22"/>
        </w:rPr>
        <w:t xml:space="preserve"> can offer greater scheduling flexibility, allowing patients to receive necessary imaging promptly and reducing the risk of delayed </w:t>
      </w:r>
      <w:r w:rsidR="0049214A" w:rsidRPr="009F7193">
        <w:rPr>
          <w:rFonts w:asciiTheme="minorHAnsi" w:hAnsiTheme="minorHAnsi"/>
          <w:kern w:val="0"/>
          <w:sz w:val="22"/>
          <w:szCs w:val="22"/>
        </w:rPr>
        <w:t xml:space="preserve">or missed </w:t>
      </w:r>
      <w:r w:rsidRPr="009F7193">
        <w:rPr>
          <w:rFonts w:asciiTheme="minorHAnsi" w:hAnsiTheme="minorHAnsi"/>
          <w:kern w:val="0"/>
          <w:sz w:val="22"/>
          <w:szCs w:val="22"/>
        </w:rPr>
        <w:t>diagnoses. This is especially important for inpatients who may not return for outpatient imaging, as the second unit will allow for the completion of essential exams before discharge, thereby improving continuity of care and health outcomes.</w:t>
      </w:r>
    </w:p>
    <w:p w14:paraId="4EFA0BEC" w14:textId="616DEA81" w:rsidR="00BE6093" w:rsidRPr="00903E3C" w:rsidRDefault="00BE6093" w:rsidP="00903E3C">
      <w:pPr>
        <w:pStyle w:val="BodyText2"/>
        <w:tabs>
          <w:tab w:val="left" w:pos="1440"/>
          <w:tab w:val="left" w:pos="5736"/>
        </w:tabs>
        <w:autoSpaceDE w:val="0"/>
        <w:autoSpaceDN w:val="0"/>
        <w:adjustRightInd w:val="0"/>
        <w:rPr>
          <w:rFonts w:asciiTheme="minorHAnsi" w:hAnsiTheme="minorHAnsi"/>
          <w:kern w:val="0"/>
          <w:sz w:val="22"/>
          <w:szCs w:val="22"/>
        </w:rPr>
      </w:pPr>
      <w:r w:rsidRPr="009F7193">
        <w:rPr>
          <w:rFonts w:asciiTheme="minorHAnsi" w:hAnsiTheme="minorHAnsi"/>
          <w:kern w:val="0"/>
          <w:sz w:val="22"/>
          <w:szCs w:val="22"/>
        </w:rPr>
        <w:t>Additionally, the expanded MRI capacity will improve capabilities to treat patients experiencing trauma and stroke. MRI is invaluable in trauma care for the evaluation of cervical spine injuries, providing detailed imaging that can identify injuries not visible on other modalities and directly informing therapeutic decisions.</w:t>
      </w:r>
      <w:r w:rsidRPr="009F7193">
        <w:rPr>
          <w:rStyle w:val="FootnoteReference"/>
          <w:rFonts w:asciiTheme="minorHAnsi" w:hAnsiTheme="minorHAnsi"/>
          <w:kern w:val="0"/>
          <w:sz w:val="22"/>
          <w:szCs w:val="22"/>
        </w:rPr>
        <w:footnoteReference w:id="39"/>
      </w:r>
      <w:r w:rsidRPr="009F7193">
        <w:rPr>
          <w:rFonts w:asciiTheme="minorHAnsi" w:hAnsiTheme="minorHAnsi"/>
          <w:kern w:val="0"/>
          <w:sz w:val="22"/>
          <w:szCs w:val="22"/>
        </w:rPr>
        <w:t xml:space="preserve"> For stroke patients, timely and accurate diagnosis is critical, as the window for effective treatment is only hours.</w:t>
      </w:r>
      <w:r w:rsidRPr="009F7193">
        <w:rPr>
          <w:rStyle w:val="FootnoteReference"/>
          <w:rFonts w:asciiTheme="minorHAnsi" w:hAnsiTheme="minorHAnsi"/>
          <w:kern w:val="0"/>
          <w:sz w:val="22"/>
          <w:szCs w:val="22"/>
        </w:rPr>
        <w:footnoteReference w:id="40"/>
      </w:r>
      <w:r w:rsidRPr="009F7193">
        <w:rPr>
          <w:rFonts w:asciiTheme="minorHAnsi" w:hAnsiTheme="minorHAnsi"/>
          <w:kern w:val="0"/>
          <w:sz w:val="22"/>
          <w:szCs w:val="22"/>
        </w:rPr>
        <w:t xml:space="preserve"> MRI offers superior sensitivity in detecting ischemic stroke damage compared to CT scans, accurately identifying strokes in 83% of cases compared to only 26% for CT.</w:t>
      </w:r>
      <w:r w:rsidRPr="009F7193">
        <w:rPr>
          <w:rStyle w:val="FootnoteReference"/>
          <w:rFonts w:asciiTheme="minorHAnsi" w:hAnsiTheme="minorHAnsi"/>
          <w:kern w:val="0"/>
          <w:sz w:val="22"/>
          <w:szCs w:val="22"/>
        </w:rPr>
        <w:footnoteReference w:id="41"/>
      </w:r>
      <w:r w:rsidRPr="009F7193">
        <w:rPr>
          <w:rFonts w:asciiTheme="minorHAnsi" w:hAnsiTheme="minorHAnsi"/>
          <w:kern w:val="0"/>
          <w:sz w:val="22"/>
          <w:szCs w:val="22"/>
        </w:rPr>
        <w:t xml:space="preserve"> Furthermore, MRI can distinguish between brain tissue that may benefit from stroke medication and that for which medication could be harmful and cause a hemorrhage, allowing doctors to more effectively treat their individual patients.</w:t>
      </w:r>
      <w:r w:rsidRPr="009F7193">
        <w:rPr>
          <w:rStyle w:val="FootnoteReference"/>
          <w:rFonts w:asciiTheme="minorHAnsi" w:hAnsiTheme="minorHAnsi"/>
          <w:kern w:val="0"/>
          <w:sz w:val="22"/>
          <w:szCs w:val="22"/>
        </w:rPr>
        <w:footnoteReference w:id="42"/>
      </w:r>
      <w:r w:rsidRPr="009F7193">
        <w:rPr>
          <w:rFonts w:asciiTheme="minorHAnsi" w:hAnsiTheme="minorHAnsi"/>
          <w:kern w:val="0"/>
          <w:sz w:val="22"/>
          <w:szCs w:val="22"/>
        </w:rPr>
        <w:t xml:space="preserve"> Additionally, MRI provides the most accurate images of the brain, and can be performed without X-rays or iodinated contrast.</w:t>
      </w:r>
      <w:r w:rsidRPr="009F7193">
        <w:rPr>
          <w:rStyle w:val="FootnoteReference"/>
          <w:rFonts w:asciiTheme="minorHAnsi" w:hAnsiTheme="minorHAnsi"/>
          <w:kern w:val="0"/>
          <w:sz w:val="22"/>
          <w:szCs w:val="22"/>
        </w:rPr>
        <w:footnoteReference w:id="43"/>
      </w:r>
      <w:r w:rsidRPr="009F7193">
        <w:rPr>
          <w:rFonts w:asciiTheme="minorHAnsi" w:hAnsiTheme="minorHAnsi"/>
          <w:kern w:val="0"/>
          <w:sz w:val="22"/>
          <w:szCs w:val="22"/>
        </w:rPr>
        <w:t xml:space="preserve"> By providing access to MRI, the Proposed Project will enable faster, more accurate diagnoses and more effective treatment planning for patients with traumatic injuries and acute stroke.</w:t>
      </w:r>
      <w:bookmarkEnd w:id="8"/>
    </w:p>
    <w:p w14:paraId="69A82BDB" w14:textId="77777777" w:rsidR="00BE6093" w:rsidRPr="009F7193" w:rsidRDefault="00BE6093" w:rsidP="00BE6093">
      <w:pPr>
        <w:tabs>
          <w:tab w:val="left" w:pos="1440"/>
          <w:tab w:val="left" w:pos="5736"/>
        </w:tabs>
        <w:autoSpaceDE w:val="0"/>
        <w:autoSpaceDN w:val="0"/>
        <w:adjustRightInd w:val="0"/>
        <w:jc w:val="both"/>
        <w:rPr>
          <w:rFonts w:asciiTheme="minorHAnsi" w:hAnsiTheme="minorHAnsi" w:cs="Arial"/>
          <w:sz w:val="22"/>
          <w:szCs w:val="22"/>
        </w:rPr>
      </w:pPr>
    </w:p>
    <w:p w14:paraId="73A76991" w14:textId="77777777" w:rsidR="00BE6093" w:rsidRPr="009F7193" w:rsidRDefault="00BE6093" w:rsidP="00BE6093">
      <w:pPr>
        <w:tabs>
          <w:tab w:val="left" w:pos="1440"/>
        </w:tabs>
        <w:autoSpaceDE w:val="0"/>
        <w:autoSpaceDN w:val="0"/>
        <w:adjustRightInd w:val="0"/>
        <w:ind w:left="1440" w:hanging="1440"/>
        <w:jc w:val="both"/>
        <w:rPr>
          <w:rFonts w:asciiTheme="minorHAnsi" w:hAnsiTheme="minorHAnsi" w:cs="Arial"/>
          <w:b/>
          <w:sz w:val="22"/>
          <w:szCs w:val="22"/>
        </w:rPr>
      </w:pPr>
      <w:r w:rsidRPr="009F7193">
        <w:rPr>
          <w:rFonts w:asciiTheme="minorHAnsi" w:hAnsiTheme="minorHAnsi" w:cs="Arial"/>
          <w:b/>
          <w:sz w:val="22"/>
          <w:szCs w:val="22"/>
        </w:rPr>
        <w:t>F2.c.</w:t>
      </w:r>
      <w:r w:rsidRPr="009F7193">
        <w:rPr>
          <w:rFonts w:asciiTheme="minorHAnsi" w:hAnsiTheme="minorHAnsi" w:cs="Arial"/>
          <w:b/>
          <w:sz w:val="22"/>
          <w:szCs w:val="22"/>
        </w:rPr>
        <w:tab/>
      </w:r>
      <w:r w:rsidRPr="009F7193">
        <w:rPr>
          <w:rFonts w:asciiTheme="minorHAnsi" w:hAnsiTheme="minorHAnsi" w:cs="Arial"/>
          <w:b/>
          <w:sz w:val="22"/>
          <w:szCs w:val="22"/>
          <w:u w:val="single"/>
        </w:rPr>
        <w:t>Delivery System Transformation:</w:t>
      </w:r>
      <w:r w:rsidRPr="009F7193">
        <w:rPr>
          <w:rFonts w:asciiTheme="minorHAnsi" w:hAnsiTheme="minorHAnsi" w:cs="Arial"/>
          <w:b/>
          <w:sz w:val="22"/>
          <w:szCs w:val="22"/>
        </w:rPr>
        <w:t xml:space="preserve"> </w:t>
      </w:r>
    </w:p>
    <w:p w14:paraId="58A157A0" w14:textId="1941449A" w:rsidR="00BE6093" w:rsidRPr="009F7193" w:rsidRDefault="00BE6093" w:rsidP="00903E3C">
      <w:pPr>
        <w:tabs>
          <w:tab w:val="left" w:pos="1440"/>
        </w:tabs>
        <w:autoSpaceDE w:val="0"/>
        <w:autoSpaceDN w:val="0"/>
        <w:adjustRightInd w:val="0"/>
        <w:spacing w:after="240"/>
        <w:ind w:left="1440" w:hanging="1440"/>
        <w:jc w:val="both"/>
        <w:rPr>
          <w:rFonts w:asciiTheme="minorHAnsi" w:hAnsiTheme="minorHAnsi" w:cs="Arial"/>
          <w:b/>
          <w:sz w:val="22"/>
          <w:szCs w:val="22"/>
        </w:rPr>
      </w:pPr>
      <w:r w:rsidRPr="009F7193">
        <w:rPr>
          <w:rFonts w:asciiTheme="minorHAnsi" w:hAnsiTheme="minorHAnsi" w:cs="Arial"/>
          <w:b/>
          <w:sz w:val="22"/>
          <w:szCs w:val="22"/>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0AB73C2" w14:textId="627EF41F" w:rsidR="00BE6093" w:rsidRPr="009F7193" w:rsidRDefault="00BE6093" w:rsidP="001C32D8">
      <w:pPr>
        <w:spacing w:after="120"/>
        <w:jc w:val="both"/>
        <w:rPr>
          <w:rFonts w:asciiTheme="minorHAnsi" w:hAnsiTheme="minorHAnsi" w:cs="Arial"/>
          <w:sz w:val="22"/>
          <w:szCs w:val="22"/>
        </w:rPr>
      </w:pPr>
      <w:r w:rsidRPr="009F7193">
        <w:rPr>
          <w:rFonts w:asciiTheme="minorHAnsi" w:hAnsiTheme="minorHAnsi" w:cs="Arial"/>
          <w:sz w:val="22"/>
          <w:szCs w:val="22"/>
        </w:rPr>
        <w:t xml:space="preserve">The Applicant and </w:t>
      </w:r>
      <w:r w:rsidR="00227B01" w:rsidRPr="009F7193">
        <w:rPr>
          <w:rFonts w:asciiTheme="minorHAnsi" w:hAnsiTheme="minorHAnsi" w:cs="Arial"/>
          <w:sz w:val="22"/>
          <w:szCs w:val="22"/>
        </w:rPr>
        <w:t>the Hospital</w:t>
      </w:r>
      <w:r w:rsidRPr="009F7193">
        <w:rPr>
          <w:rFonts w:asciiTheme="minorHAnsi" w:hAnsiTheme="minorHAnsi" w:cs="Arial"/>
          <w:sz w:val="22"/>
          <w:szCs w:val="22"/>
        </w:rPr>
        <w:t xml:space="preserve"> have implemented a comprehensive approach to assessing the needs of their patients and integrating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into care planning. Universal screening for health-related social needs and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is conducted for all admitted patients, as well as in ACO case </w:t>
      </w:r>
      <w:r w:rsidRPr="009F7193">
        <w:rPr>
          <w:rFonts w:asciiTheme="minorHAnsi" w:hAnsiTheme="minorHAnsi" w:cs="Arial"/>
          <w:sz w:val="22"/>
          <w:szCs w:val="22"/>
        </w:rPr>
        <w:lastRenderedPageBreak/>
        <w:t xml:space="preserve">management and Applicant-employed primary care practices. Patients are screened for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factors such as housing stability, food insecurity, transportation needs, financial resource strain, education, alcohol use, and physical activity.</w:t>
      </w:r>
    </w:p>
    <w:p w14:paraId="5C3E80CF" w14:textId="0DE3FFC6" w:rsidR="00BE6093" w:rsidRPr="009F7193" w:rsidRDefault="00BE6093" w:rsidP="009954A5">
      <w:pPr>
        <w:spacing w:after="120"/>
        <w:jc w:val="both"/>
        <w:rPr>
          <w:rFonts w:asciiTheme="minorHAnsi" w:hAnsiTheme="minorHAnsi" w:cs="Arial"/>
          <w:sz w:val="22"/>
          <w:szCs w:val="22"/>
        </w:rPr>
      </w:pPr>
      <w:r w:rsidRPr="009F7193">
        <w:rPr>
          <w:rFonts w:asciiTheme="minorHAnsi" w:hAnsiTheme="minorHAnsi" w:cs="Arial"/>
          <w:sz w:val="22"/>
          <w:szCs w:val="22"/>
        </w:rPr>
        <w:t xml:space="preserve">When a patient is identified as being at moderate or high risk in one of the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factors, referrals are made to appropriate community-based organizations. A list of relevant community resources is provided to patients at discharge and is maintained and regularly updated by the Applicant. Recommended community resources are tailored based on the patient’s specific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screening responses. Access to referrals to community resources for various social needs helps facilitate better care, which in turn leads to improved outcomes. This integrated approach to holistic care ensures that </w:t>
      </w:r>
      <w:proofErr w:type="spellStart"/>
      <w:r w:rsidRPr="009F7193">
        <w:rPr>
          <w:rFonts w:asciiTheme="minorHAnsi" w:hAnsiTheme="minorHAnsi" w:cs="Arial"/>
          <w:sz w:val="22"/>
          <w:szCs w:val="22"/>
        </w:rPr>
        <w:t>SDoH</w:t>
      </w:r>
      <w:proofErr w:type="spellEnd"/>
      <w:r w:rsidRPr="009F7193">
        <w:rPr>
          <w:rFonts w:asciiTheme="minorHAnsi" w:hAnsiTheme="minorHAnsi" w:cs="Arial"/>
          <w:sz w:val="22"/>
          <w:szCs w:val="22"/>
        </w:rPr>
        <w:t xml:space="preserve"> </w:t>
      </w:r>
      <w:proofErr w:type="gramStart"/>
      <w:r w:rsidRPr="009F7193">
        <w:rPr>
          <w:rFonts w:asciiTheme="minorHAnsi" w:hAnsiTheme="minorHAnsi" w:cs="Arial"/>
          <w:sz w:val="22"/>
          <w:szCs w:val="22"/>
        </w:rPr>
        <w:t>are</w:t>
      </w:r>
      <w:proofErr w:type="gramEnd"/>
      <w:r w:rsidRPr="009F7193">
        <w:rPr>
          <w:rFonts w:asciiTheme="minorHAnsi" w:hAnsiTheme="minorHAnsi" w:cs="Arial"/>
          <w:sz w:val="22"/>
          <w:szCs w:val="22"/>
        </w:rPr>
        <w:t xml:space="preserve"> systematically addressed and that patients have access to the social services and community resources necessary to support their health. Through the expansion of MRI at </w:t>
      </w:r>
      <w:r w:rsidR="00227B01" w:rsidRPr="009F7193">
        <w:rPr>
          <w:rFonts w:asciiTheme="minorHAnsi" w:hAnsiTheme="minorHAnsi" w:cs="Arial"/>
          <w:sz w:val="22"/>
          <w:szCs w:val="22"/>
        </w:rPr>
        <w:t>the Hospital</w:t>
      </w:r>
      <w:r w:rsidRPr="009F7193">
        <w:rPr>
          <w:rFonts w:asciiTheme="minorHAnsi" w:hAnsiTheme="minorHAnsi" w:cs="Arial"/>
          <w:sz w:val="22"/>
          <w:szCs w:val="22"/>
        </w:rPr>
        <w:t xml:space="preserve">, the Proposed Project will leverage the care coordination and community-based expertise available within and across </w:t>
      </w:r>
      <w:r w:rsidR="00F12784">
        <w:rPr>
          <w:rFonts w:asciiTheme="minorHAnsi" w:hAnsiTheme="minorHAnsi" w:cs="Arial"/>
          <w:sz w:val="22"/>
          <w:szCs w:val="22"/>
        </w:rPr>
        <w:t>Cape Cod Healthcare</w:t>
      </w:r>
      <w:r w:rsidRPr="009F7193">
        <w:rPr>
          <w:rFonts w:asciiTheme="minorHAnsi" w:hAnsiTheme="minorHAnsi" w:cs="Arial"/>
          <w:sz w:val="22"/>
          <w:szCs w:val="22"/>
        </w:rPr>
        <w:t xml:space="preserve">.  </w:t>
      </w:r>
    </w:p>
    <w:p w14:paraId="06CE9CF4" w14:textId="77777777" w:rsidR="00BE6093" w:rsidRPr="009F7193" w:rsidRDefault="00BE6093" w:rsidP="00BE6093">
      <w:pPr>
        <w:tabs>
          <w:tab w:val="left" w:pos="1440"/>
        </w:tabs>
        <w:autoSpaceDE w:val="0"/>
        <w:autoSpaceDN w:val="0"/>
        <w:adjustRightInd w:val="0"/>
        <w:spacing w:after="120"/>
        <w:jc w:val="both"/>
        <w:rPr>
          <w:rFonts w:asciiTheme="minorHAnsi" w:hAnsiTheme="minorHAnsi" w:cs="Arial"/>
          <w:b/>
          <w:sz w:val="22"/>
          <w:szCs w:val="22"/>
          <w:u w:val="single"/>
        </w:rPr>
      </w:pPr>
      <w:r w:rsidRPr="009F7193">
        <w:rPr>
          <w:rFonts w:asciiTheme="minorHAnsi" w:hAnsiTheme="minorHAnsi" w:cs="Arial"/>
          <w:b/>
          <w:sz w:val="22"/>
          <w:szCs w:val="22"/>
          <w:u w:val="single"/>
        </w:rPr>
        <w:t>Factor 5: Relative Merit</w:t>
      </w:r>
    </w:p>
    <w:p w14:paraId="3F67DE35" w14:textId="77777777"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
          <w:sz w:val="22"/>
          <w:szCs w:val="22"/>
        </w:rPr>
      </w:pPr>
      <w:r w:rsidRPr="002270BF">
        <w:rPr>
          <w:rFonts w:asciiTheme="minorHAnsi" w:hAnsiTheme="minorHAnsi" w:cs="Arial"/>
          <w:b/>
          <w:sz w:val="22"/>
          <w:szCs w:val="22"/>
        </w:rPr>
        <w:t>F5.</w:t>
      </w:r>
      <w:proofErr w:type="gramStart"/>
      <w:r w:rsidRPr="002270BF">
        <w:rPr>
          <w:rFonts w:asciiTheme="minorHAnsi" w:hAnsiTheme="minorHAnsi" w:cs="Arial"/>
          <w:b/>
          <w:sz w:val="22"/>
          <w:szCs w:val="22"/>
        </w:rPr>
        <w:t>a.i</w:t>
      </w:r>
      <w:proofErr w:type="gramEnd"/>
      <w:r w:rsidRPr="009F7193">
        <w:rPr>
          <w:rFonts w:asciiTheme="minorHAnsi" w:hAnsiTheme="minorHAnsi" w:cs="Arial"/>
          <w:b/>
          <w:sz w:val="22"/>
          <w:szCs w:val="2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9F7193">
        <w:rPr>
          <w:rFonts w:asciiTheme="minorHAnsi" w:hAnsiTheme="minorHAnsi" w:cs="Arial"/>
          <w:b/>
          <w:sz w:val="22"/>
          <w:szCs w:val="22"/>
        </w:rPr>
        <w:t>take into account</w:t>
      </w:r>
      <w:proofErr w:type="gramEnd"/>
      <w:r w:rsidRPr="009F7193">
        <w:rPr>
          <w:rFonts w:asciiTheme="minorHAnsi" w:hAnsiTheme="minorHAnsi" w:cs="Arial"/>
          <w:b/>
          <w:sz w:val="22"/>
          <w:szCs w:val="22"/>
        </w:rPr>
        <w:t>, at a minimum, the quality, efficiency, and capital and operating costs of the Proposed Project relative to potential alternatives or substitutes, including alternative evidence-based strategies and public health interventions.</w:t>
      </w:r>
    </w:p>
    <w:p w14:paraId="235B5E90" w14:textId="263ABD08" w:rsidR="00BE6093" w:rsidRPr="00903E3C" w:rsidRDefault="00BE6093" w:rsidP="00903E3C">
      <w:pPr>
        <w:autoSpaceDE w:val="0"/>
        <w:autoSpaceDN w:val="0"/>
        <w:adjustRightInd w:val="0"/>
        <w:spacing w:after="120"/>
        <w:ind w:left="86"/>
        <w:jc w:val="both"/>
        <w:rPr>
          <w:rFonts w:asciiTheme="minorHAnsi" w:hAnsiTheme="minorHAnsi" w:cs="Arial"/>
          <w:bCs/>
          <w:sz w:val="22"/>
          <w:szCs w:val="22"/>
          <w:highlight w:val="yellow"/>
          <w:u w:val="single"/>
        </w:rPr>
      </w:pPr>
      <w:r w:rsidRPr="009F7193">
        <w:rPr>
          <w:rFonts w:asciiTheme="minorHAnsi" w:hAnsiTheme="minorHAnsi" w:cs="Arial"/>
          <w:bCs/>
          <w:sz w:val="22"/>
          <w:szCs w:val="22"/>
          <w:u w:val="single"/>
        </w:rPr>
        <w:t xml:space="preserve">Alternative Proposal 1: Do not </w:t>
      </w:r>
      <w:r w:rsidR="00A84148" w:rsidRPr="009F7193">
        <w:rPr>
          <w:rFonts w:asciiTheme="minorHAnsi" w:hAnsiTheme="minorHAnsi" w:cs="Arial"/>
          <w:bCs/>
          <w:sz w:val="22"/>
          <w:szCs w:val="22"/>
          <w:u w:val="single"/>
        </w:rPr>
        <w:t>re</w:t>
      </w:r>
      <w:r w:rsidRPr="009F7193">
        <w:rPr>
          <w:rFonts w:asciiTheme="minorHAnsi" w:hAnsiTheme="minorHAnsi" w:cs="Arial"/>
          <w:bCs/>
          <w:sz w:val="22"/>
          <w:szCs w:val="22"/>
          <w:u w:val="single"/>
        </w:rPr>
        <w:t xml:space="preserve">activate the </w:t>
      </w:r>
      <w:r w:rsidR="00A84148" w:rsidRPr="009F7193">
        <w:rPr>
          <w:rFonts w:asciiTheme="minorHAnsi" w:hAnsiTheme="minorHAnsi" w:cs="Arial"/>
          <w:bCs/>
          <w:sz w:val="22"/>
          <w:szCs w:val="22"/>
          <w:u w:val="single"/>
        </w:rPr>
        <w:t>dormant MRI machine and continue operating one MRI machine</w:t>
      </w:r>
      <w:r w:rsidR="00903E3C">
        <w:rPr>
          <w:rFonts w:asciiTheme="minorHAnsi" w:hAnsiTheme="minorHAnsi" w:cs="Arial"/>
          <w:bCs/>
          <w:sz w:val="22"/>
          <w:szCs w:val="22"/>
          <w:u w:val="single"/>
        </w:rPr>
        <w:t xml:space="preserve"> at the Hospital’s main campus.</w:t>
      </w:r>
    </w:p>
    <w:p w14:paraId="03477BBB" w14:textId="4F4CD36F"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Quality: </w:t>
      </w:r>
      <w:r w:rsidRPr="009F7193">
        <w:rPr>
          <w:rFonts w:asciiTheme="minorHAnsi" w:hAnsiTheme="minorHAnsi" w:cs="Arial"/>
          <w:bCs/>
          <w:sz w:val="22"/>
          <w:szCs w:val="22"/>
        </w:rPr>
        <w:t xml:space="preserve">Maintaining the status quo by not activating the </w:t>
      </w:r>
      <w:r w:rsidR="00A84148" w:rsidRPr="009F7193">
        <w:rPr>
          <w:rFonts w:asciiTheme="minorHAnsi" w:hAnsiTheme="minorHAnsi" w:cs="Arial"/>
          <w:bCs/>
          <w:sz w:val="22"/>
          <w:szCs w:val="22"/>
        </w:rPr>
        <w:t>dormant</w:t>
      </w:r>
      <w:r w:rsidRPr="009F7193">
        <w:rPr>
          <w:rFonts w:asciiTheme="minorHAnsi" w:hAnsiTheme="minorHAnsi" w:cs="Arial"/>
          <w:bCs/>
          <w:sz w:val="22"/>
          <w:szCs w:val="22"/>
        </w:rPr>
        <w:t xml:space="preserve"> MRI unit fails to address persistent bottlenecks and capacity constraints. The </w:t>
      </w:r>
      <w:r w:rsidR="00A84148" w:rsidRPr="009F7193">
        <w:rPr>
          <w:rFonts w:asciiTheme="minorHAnsi" w:hAnsiTheme="minorHAnsi" w:cs="Arial"/>
          <w:bCs/>
          <w:sz w:val="22"/>
          <w:szCs w:val="22"/>
        </w:rPr>
        <w:t xml:space="preserve">Hospital’s </w:t>
      </w:r>
      <w:r w:rsidR="00C5481A" w:rsidRPr="009F7193">
        <w:rPr>
          <w:rFonts w:asciiTheme="minorHAnsi" w:hAnsiTheme="minorHAnsi" w:cs="Arial"/>
          <w:bCs/>
          <w:sz w:val="22"/>
          <w:szCs w:val="22"/>
        </w:rPr>
        <w:t>only</w:t>
      </w:r>
      <w:r w:rsidR="00A84148" w:rsidRPr="009F7193">
        <w:rPr>
          <w:rFonts w:asciiTheme="minorHAnsi" w:hAnsiTheme="minorHAnsi" w:cs="Arial"/>
          <w:bCs/>
          <w:sz w:val="22"/>
          <w:szCs w:val="22"/>
        </w:rPr>
        <w:t xml:space="preserve"> MRI</w:t>
      </w:r>
      <w:r w:rsidRPr="009F7193">
        <w:rPr>
          <w:rFonts w:asciiTheme="minorHAnsi" w:hAnsiTheme="minorHAnsi" w:cs="Arial"/>
          <w:bCs/>
          <w:sz w:val="22"/>
          <w:szCs w:val="22"/>
        </w:rPr>
        <w:t xml:space="preserve"> unit</w:t>
      </w:r>
      <w:r w:rsidR="00C5481A" w:rsidRPr="009F7193">
        <w:rPr>
          <w:rFonts w:asciiTheme="minorHAnsi" w:hAnsiTheme="minorHAnsi" w:cs="Arial"/>
          <w:bCs/>
          <w:sz w:val="22"/>
          <w:szCs w:val="22"/>
        </w:rPr>
        <w:t xml:space="preserve"> at its main campus</w:t>
      </w:r>
      <w:r w:rsidRPr="009F7193">
        <w:rPr>
          <w:rFonts w:asciiTheme="minorHAnsi" w:hAnsiTheme="minorHAnsi" w:cs="Arial"/>
          <w:bCs/>
          <w:sz w:val="22"/>
          <w:szCs w:val="22"/>
        </w:rPr>
        <w:t xml:space="preserve"> </w:t>
      </w:r>
      <w:proofErr w:type="gramStart"/>
      <w:r w:rsidR="00C5481A" w:rsidRPr="009F7193">
        <w:rPr>
          <w:rFonts w:asciiTheme="minorHAnsi" w:hAnsiTheme="minorHAnsi" w:cs="Arial"/>
          <w:bCs/>
          <w:sz w:val="22"/>
          <w:szCs w:val="22"/>
        </w:rPr>
        <w:t>is operating</w:t>
      </w:r>
      <w:proofErr w:type="gramEnd"/>
      <w:r w:rsidR="00C5481A" w:rsidRPr="009F7193">
        <w:rPr>
          <w:rFonts w:asciiTheme="minorHAnsi" w:hAnsiTheme="minorHAnsi" w:cs="Arial"/>
          <w:bCs/>
          <w:sz w:val="22"/>
          <w:szCs w:val="22"/>
        </w:rPr>
        <w:t xml:space="preserve"> </w:t>
      </w:r>
      <w:r w:rsidR="006A66E9">
        <w:rPr>
          <w:rFonts w:asciiTheme="minorHAnsi" w:hAnsiTheme="minorHAnsi" w:cs="Arial"/>
          <w:bCs/>
          <w:sz w:val="22"/>
          <w:szCs w:val="22"/>
        </w:rPr>
        <w:t xml:space="preserve">at 89% </w:t>
      </w:r>
      <w:r w:rsidR="00C5481A" w:rsidRPr="009F7193">
        <w:rPr>
          <w:rFonts w:asciiTheme="minorHAnsi" w:hAnsiTheme="minorHAnsi" w:cs="Arial"/>
          <w:bCs/>
          <w:sz w:val="22"/>
          <w:szCs w:val="22"/>
        </w:rPr>
        <w:t xml:space="preserve">capacity. </w:t>
      </w:r>
      <w:r w:rsidRPr="009F7193">
        <w:rPr>
          <w:rFonts w:asciiTheme="minorHAnsi" w:hAnsiTheme="minorHAnsi" w:cs="Arial"/>
          <w:bCs/>
          <w:sz w:val="22"/>
          <w:szCs w:val="22"/>
        </w:rPr>
        <w:t xml:space="preserve">This </w:t>
      </w:r>
      <w:r w:rsidR="00C5481A" w:rsidRPr="009F7193">
        <w:rPr>
          <w:rFonts w:asciiTheme="minorHAnsi" w:hAnsiTheme="minorHAnsi" w:cs="Arial"/>
          <w:bCs/>
          <w:sz w:val="22"/>
          <w:szCs w:val="22"/>
        </w:rPr>
        <w:t xml:space="preserve">high operating utilization </w:t>
      </w:r>
      <w:r w:rsidRPr="009F7193">
        <w:rPr>
          <w:rFonts w:asciiTheme="minorHAnsi" w:hAnsiTheme="minorHAnsi" w:cs="Arial"/>
          <w:bCs/>
          <w:sz w:val="22"/>
          <w:szCs w:val="22"/>
        </w:rPr>
        <w:t xml:space="preserve">can negatively impact patient care, particularly for those with urgent or complex diagnostic needs. Additionally, with only one operational unit, any unplanned downtime (e.g., for maintenance or repairs) </w:t>
      </w:r>
      <w:r w:rsidR="00F2603F" w:rsidRPr="009F7193">
        <w:rPr>
          <w:rFonts w:asciiTheme="minorHAnsi" w:hAnsiTheme="minorHAnsi" w:cs="Arial"/>
          <w:bCs/>
          <w:sz w:val="22"/>
          <w:szCs w:val="22"/>
        </w:rPr>
        <w:t xml:space="preserve">will </w:t>
      </w:r>
      <w:r w:rsidRPr="009F7193">
        <w:rPr>
          <w:rFonts w:asciiTheme="minorHAnsi" w:hAnsiTheme="minorHAnsi" w:cs="Arial"/>
          <w:bCs/>
          <w:sz w:val="22"/>
          <w:szCs w:val="22"/>
        </w:rPr>
        <w:t>halt all MRI services</w:t>
      </w:r>
      <w:r w:rsidR="00A84148" w:rsidRPr="009F7193">
        <w:rPr>
          <w:rFonts w:asciiTheme="minorHAnsi" w:hAnsiTheme="minorHAnsi" w:cs="Arial"/>
          <w:bCs/>
          <w:sz w:val="22"/>
          <w:szCs w:val="22"/>
        </w:rPr>
        <w:t xml:space="preserve"> at the Hospital’s main campus</w:t>
      </w:r>
      <w:r w:rsidRPr="009F7193">
        <w:rPr>
          <w:rFonts w:asciiTheme="minorHAnsi" w:hAnsiTheme="minorHAnsi" w:cs="Arial"/>
          <w:bCs/>
          <w:sz w:val="22"/>
          <w:szCs w:val="22"/>
        </w:rPr>
        <w:t xml:space="preserve">, </w:t>
      </w:r>
      <w:r w:rsidR="00A84148" w:rsidRPr="009F7193">
        <w:rPr>
          <w:rFonts w:asciiTheme="minorHAnsi" w:hAnsiTheme="minorHAnsi" w:cs="Arial"/>
          <w:bCs/>
          <w:sz w:val="22"/>
          <w:szCs w:val="22"/>
        </w:rPr>
        <w:t>negatively</w:t>
      </w:r>
      <w:r w:rsidR="00F2603F" w:rsidRPr="009F7193">
        <w:rPr>
          <w:rFonts w:asciiTheme="minorHAnsi" w:hAnsiTheme="minorHAnsi" w:cs="Arial"/>
          <w:bCs/>
          <w:sz w:val="22"/>
          <w:szCs w:val="22"/>
        </w:rPr>
        <w:t xml:space="preserve"> impacting patient satisfaction and experience</w:t>
      </w:r>
      <w:r w:rsidRPr="009F7193">
        <w:rPr>
          <w:rFonts w:asciiTheme="minorHAnsi" w:hAnsiTheme="minorHAnsi" w:cs="Arial"/>
          <w:bCs/>
          <w:sz w:val="22"/>
          <w:szCs w:val="22"/>
        </w:rPr>
        <w:t>. The lack of redundancy also increases the risk of costly disruptions to hospital operations and continuity of patient care.</w:t>
      </w:r>
    </w:p>
    <w:p w14:paraId="686257FF" w14:textId="68708387"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Efficiency: </w:t>
      </w:r>
      <w:r w:rsidRPr="009F7193">
        <w:rPr>
          <w:rFonts w:asciiTheme="minorHAnsi" w:hAnsiTheme="minorHAnsi" w:cs="Arial"/>
          <w:bCs/>
          <w:sz w:val="22"/>
          <w:szCs w:val="22"/>
        </w:rPr>
        <w:t xml:space="preserve">This alternative perpetuates inefficient use of resources by allowing </w:t>
      </w:r>
      <w:proofErr w:type="gramStart"/>
      <w:r w:rsidRPr="009F7193">
        <w:rPr>
          <w:rFonts w:asciiTheme="minorHAnsi" w:hAnsiTheme="minorHAnsi" w:cs="Arial"/>
          <w:bCs/>
          <w:sz w:val="22"/>
          <w:szCs w:val="22"/>
        </w:rPr>
        <w:t>a valuable asset</w:t>
      </w:r>
      <w:proofErr w:type="gramEnd"/>
      <w:r w:rsidRPr="009F7193">
        <w:rPr>
          <w:rFonts w:asciiTheme="minorHAnsi" w:hAnsiTheme="minorHAnsi" w:cs="Arial"/>
          <w:bCs/>
          <w:sz w:val="22"/>
          <w:szCs w:val="22"/>
        </w:rPr>
        <w:t xml:space="preserve"> (the </w:t>
      </w:r>
      <w:r w:rsidR="00A84148" w:rsidRPr="009F7193">
        <w:rPr>
          <w:rFonts w:asciiTheme="minorHAnsi" w:hAnsiTheme="minorHAnsi" w:cs="Arial"/>
          <w:bCs/>
          <w:sz w:val="22"/>
          <w:szCs w:val="22"/>
        </w:rPr>
        <w:t>existing, dormant</w:t>
      </w:r>
      <w:r w:rsidRPr="009F7193">
        <w:rPr>
          <w:rFonts w:asciiTheme="minorHAnsi" w:hAnsiTheme="minorHAnsi" w:cs="Arial"/>
          <w:bCs/>
          <w:sz w:val="22"/>
          <w:szCs w:val="22"/>
        </w:rPr>
        <w:t xml:space="preserve"> MRI unit) to remain idle. The Applicant would miss an opportunity to optimize patient care and reduce wait times by making full use of its available resources. </w:t>
      </w:r>
      <w:r w:rsidR="00C5481A" w:rsidRPr="009F7193">
        <w:rPr>
          <w:rFonts w:asciiTheme="minorHAnsi" w:hAnsiTheme="minorHAnsi" w:cs="Arial"/>
          <w:bCs/>
          <w:sz w:val="22"/>
          <w:szCs w:val="22"/>
        </w:rPr>
        <w:t xml:space="preserve">The Hospital is unable to shift outpatient cases to its satellites to create capacity as those units are operating at 89% capacity with extended hours. </w:t>
      </w:r>
      <w:r w:rsidR="00F2603F" w:rsidRPr="009F7193">
        <w:rPr>
          <w:rFonts w:asciiTheme="minorHAnsi" w:hAnsiTheme="minorHAnsi" w:cs="Arial"/>
          <w:bCs/>
          <w:sz w:val="22"/>
          <w:szCs w:val="22"/>
        </w:rPr>
        <w:t>Moreover, the Hospital’s projection indicate</w:t>
      </w:r>
      <w:r w:rsidR="00227B01" w:rsidRPr="009F7193">
        <w:rPr>
          <w:rFonts w:asciiTheme="minorHAnsi" w:hAnsiTheme="minorHAnsi" w:cs="Arial"/>
          <w:bCs/>
          <w:sz w:val="22"/>
          <w:szCs w:val="22"/>
        </w:rPr>
        <w:t>s</w:t>
      </w:r>
      <w:r w:rsidR="00F2603F" w:rsidRPr="009F7193">
        <w:rPr>
          <w:rFonts w:asciiTheme="minorHAnsi" w:hAnsiTheme="minorHAnsi" w:cs="Arial"/>
          <w:bCs/>
          <w:sz w:val="22"/>
          <w:szCs w:val="22"/>
        </w:rPr>
        <w:t xml:space="preserve"> that future need for MRI will surpass the existing machines capacity </w:t>
      </w:r>
      <w:proofErr w:type="gramStart"/>
      <w:r w:rsidR="00F2603F" w:rsidRPr="009F7193">
        <w:rPr>
          <w:rFonts w:asciiTheme="minorHAnsi" w:hAnsiTheme="minorHAnsi" w:cs="Arial"/>
          <w:bCs/>
          <w:sz w:val="22"/>
          <w:szCs w:val="22"/>
        </w:rPr>
        <w:t>in the near future</w:t>
      </w:r>
      <w:proofErr w:type="gramEnd"/>
      <w:r w:rsidR="00504392" w:rsidRPr="009F7193">
        <w:rPr>
          <w:rFonts w:asciiTheme="minorHAnsi" w:hAnsiTheme="minorHAnsi" w:cs="Arial"/>
          <w:bCs/>
          <w:sz w:val="22"/>
          <w:szCs w:val="22"/>
        </w:rPr>
        <w:t>.</w:t>
      </w:r>
      <w:r w:rsidR="00227B01" w:rsidRPr="009F7193">
        <w:rPr>
          <w:rFonts w:asciiTheme="minorHAnsi" w:hAnsiTheme="minorHAnsi" w:cs="Arial"/>
          <w:bCs/>
          <w:sz w:val="22"/>
          <w:szCs w:val="22"/>
        </w:rPr>
        <w:t xml:space="preserve"> </w:t>
      </w:r>
      <w:r w:rsidR="00F2603F" w:rsidRPr="009F7193">
        <w:rPr>
          <w:rFonts w:asciiTheme="minorHAnsi" w:hAnsiTheme="minorHAnsi" w:cs="Arial"/>
          <w:bCs/>
          <w:sz w:val="22"/>
          <w:szCs w:val="22"/>
        </w:rPr>
        <w:t>Lastly</w:t>
      </w:r>
      <w:r w:rsidRPr="009F7193">
        <w:rPr>
          <w:rFonts w:asciiTheme="minorHAnsi" w:hAnsiTheme="minorHAnsi" w:cs="Arial"/>
          <w:bCs/>
          <w:sz w:val="22"/>
          <w:szCs w:val="22"/>
        </w:rPr>
        <w:t xml:space="preserve">, continued overutilization of a single MRI unit </w:t>
      </w:r>
      <w:r w:rsidR="00A84148" w:rsidRPr="009F7193">
        <w:rPr>
          <w:rFonts w:asciiTheme="minorHAnsi" w:hAnsiTheme="minorHAnsi" w:cs="Arial"/>
          <w:bCs/>
          <w:sz w:val="22"/>
          <w:szCs w:val="22"/>
        </w:rPr>
        <w:t>is likely to</w:t>
      </w:r>
      <w:r w:rsidRPr="009F7193">
        <w:rPr>
          <w:rFonts w:asciiTheme="minorHAnsi" w:hAnsiTheme="minorHAnsi" w:cs="Arial"/>
          <w:bCs/>
          <w:sz w:val="22"/>
          <w:szCs w:val="22"/>
        </w:rPr>
        <w:t xml:space="preserve"> shorten the machine’s life expectancy requiring its replacement sooner than if two machines were used.</w:t>
      </w:r>
    </w:p>
    <w:p w14:paraId="1FD6D225" w14:textId="090A8243" w:rsidR="00BE6093" w:rsidRPr="009F7193" w:rsidRDefault="00BE6093" w:rsidP="005B5154">
      <w:pPr>
        <w:tabs>
          <w:tab w:val="left" w:pos="1440"/>
        </w:tabs>
        <w:autoSpaceDE w:val="0"/>
        <w:autoSpaceDN w:val="0"/>
        <w:adjustRightInd w:val="0"/>
        <w:spacing w:after="120"/>
        <w:ind w:left="1440"/>
        <w:jc w:val="both"/>
        <w:rPr>
          <w:rFonts w:asciiTheme="minorHAnsi" w:hAnsiTheme="minorHAnsi" w:cs="Arial"/>
          <w:bCs/>
          <w:sz w:val="22"/>
          <w:szCs w:val="22"/>
        </w:rPr>
      </w:pPr>
      <w:r w:rsidRPr="009F7193">
        <w:rPr>
          <w:rFonts w:asciiTheme="minorHAnsi" w:hAnsiTheme="minorHAnsi" w:cs="Arial"/>
          <w:b/>
          <w:sz w:val="22"/>
          <w:szCs w:val="22"/>
        </w:rPr>
        <w:t xml:space="preserve">Alternative Capital Expenses: </w:t>
      </w:r>
      <w:r w:rsidRPr="009F7193">
        <w:rPr>
          <w:rFonts w:asciiTheme="minorHAnsi" w:hAnsiTheme="minorHAnsi" w:cs="Arial"/>
          <w:bCs/>
          <w:sz w:val="22"/>
          <w:szCs w:val="22"/>
        </w:rPr>
        <w:t xml:space="preserve">There are no </w:t>
      </w:r>
      <w:r w:rsidR="005B5154" w:rsidRPr="009F7193">
        <w:rPr>
          <w:rFonts w:asciiTheme="minorHAnsi" w:hAnsiTheme="minorHAnsi" w:cs="Arial"/>
          <w:bCs/>
          <w:sz w:val="22"/>
          <w:szCs w:val="22"/>
        </w:rPr>
        <w:t xml:space="preserve">immediate </w:t>
      </w:r>
      <w:r w:rsidRPr="009F7193">
        <w:rPr>
          <w:rFonts w:asciiTheme="minorHAnsi" w:hAnsiTheme="minorHAnsi" w:cs="Arial"/>
          <w:bCs/>
          <w:sz w:val="22"/>
          <w:szCs w:val="22"/>
        </w:rPr>
        <w:t xml:space="preserve">capital expenses under this alternative. </w:t>
      </w:r>
      <w:r w:rsidR="005B5154" w:rsidRPr="009F7193">
        <w:rPr>
          <w:rFonts w:asciiTheme="minorHAnsi" w:hAnsiTheme="minorHAnsi" w:cs="Arial"/>
          <w:bCs/>
          <w:sz w:val="22"/>
          <w:szCs w:val="22"/>
        </w:rPr>
        <w:t>However,</w:t>
      </w:r>
      <w:r w:rsidR="00504392" w:rsidRPr="009F7193">
        <w:rPr>
          <w:rFonts w:asciiTheme="minorHAnsi" w:hAnsiTheme="minorHAnsi" w:cs="Arial"/>
          <w:bCs/>
          <w:sz w:val="22"/>
          <w:szCs w:val="22"/>
        </w:rPr>
        <w:t xml:space="preserve"> as noted above,</w:t>
      </w:r>
      <w:r w:rsidR="005B5154" w:rsidRPr="009F7193">
        <w:rPr>
          <w:rFonts w:asciiTheme="minorHAnsi" w:hAnsiTheme="minorHAnsi" w:cs="Arial"/>
          <w:bCs/>
          <w:sz w:val="22"/>
          <w:szCs w:val="22"/>
        </w:rPr>
        <w:t xml:space="preserve"> if the second MRI machine is not used </w:t>
      </w:r>
      <w:proofErr w:type="gramStart"/>
      <w:r w:rsidR="005B5154" w:rsidRPr="009F7193">
        <w:rPr>
          <w:rFonts w:asciiTheme="minorHAnsi" w:hAnsiTheme="minorHAnsi" w:cs="Arial"/>
          <w:bCs/>
          <w:sz w:val="22"/>
          <w:szCs w:val="22"/>
        </w:rPr>
        <w:t>in the near future</w:t>
      </w:r>
      <w:proofErr w:type="gramEnd"/>
      <w:r w:rsidR="005B5154" w:rsidRPr="009F7193">
        <w:rPr>
          <w:rFonts w:asciiTheme="minorHAnsi" w:hAnsiTheme="minorHAnsi" w:cs="Arial"/>
          <w:bCs/>
          <w:sz w:val="22"/>
          <w:szCs w:val="22"/>
        </w:rPr>
        <w:t>, it will need to be removed</w:t>
      </w:r>
      <w:r w:rsidR="00A84148" w:rsidRPr="009F7193">
        <w:rPr>
          <w:rFonts w:asciiTheme="minorHAnsi" w:hAnsiTheme="minorHAnsi" w:cs="Arial"/>
          <w:bCs/>
          <w:sz w:val="22"/>
          <w:szCs w:val="22"/>
        </w:rPr>
        <w:t>, at a cost to the Hospital</w:t>
      </w:r>
      <w:r w:rsidR="005B5154" w:rsidRPr="009F7193">
        <w:rPr>
          <w:rFonts w:asciiTheme="minorHAnsi" w:hAnsiTheme="minorHAnsi" w:cs="Arial"/>
          <w:bCs/>
          <w:sz w:val="22"/>
          <w:szCs w:val="22"/>
        </w:rPr>
        <w:t xml:space="preserve">. </w:t>
      </w:r>
      <w:r w:rsidR="00A84148" w:rsidRPr="009F7193">
        <w:rPr>
          <w:rFonts w:asciiTheme="minorHAnsi" w:hAnsiTheme="minorHAnsi" w:cs="Arial"/>
          <w:bCs/>
          <w:sz w:val="22"/>
          <w:szCs w:val="22"/>
        </w:rPr>
        <w:t xml:space="preserve">Further, if the use of </w:t>
      </w:r>
      <w:r w:rsidR="00A84148" w:rsidRPr="009F7193">
        <w:rPr>
          <w:rFonts w:asciiTheme="minorHAnsi" w:hAnsiTheme="minorHAnsi" w:cs="Arial"/>
          <w:bCs/>
          <w:sz w:val="22"/>
          <w:szCs w:val="22"/>
        </w:rPr>
        <w:lastRenderedPageBreak/>
        <w:t>second machine is only approved in several years</w:t>
      </w:r>
      <w:r w:rsidR="005B5154" w:rsidRPr="009F7193">
        <w:rPr>
          <w:rFonts w:asciiTheme="minorHAnsi" w:hAnsiTheme="minorHAnsi" w:cs="Arial"/>
          <w:bCs/>
          <w:sz w:val="22"/>
          <w:szCs w:val="22"/>
        </w:rPr>
        <w:t xml:space="preserve">, </w:t>
      </w:r>
      <w:r w:rsidR="00A84148" w:rsidRPr="009F7193">
        <w:rPr>
          <w:rFonts w:asciiTheme="minorHAnsi" w:hAnsiTheme="minorHAnsi" w:cs="Arial"/>
          <w:bCs/>
          <w:sz w:val="22"/>
          <w:szCs w:val="22"/>
        </w:rPr>
        <w:t>the Hospital will be required to incur</w:t>
      </w:r>
      <w:r w:rsidR="005B5154" w:rsidRPr="009F7193">
        <w:rPr>
          <w:rFonts w:asciiTheme="minorHAnsi" w:hAnsiTheme="minorHAnsi" w:cs="Arial"/>
          <w:bCs/>
          <w:sz w:val="22"/>
          <w:szCs w:val="22"/>
        </w:rPr>
        <w:t xml:space="preserve"> substantial capital costs, including the purchase of a new machine and </w:t>
      </w:r>
      <w:r w:rsidR="00A84148" w:rsidRPr="009F7193">
        <w:rPr>
          <w:rFonts w:asciiTheme="minorHAnsi" w:hAnsiTheme="minorHAnsi" w:cs="Arial"/>
          <w:bCs/>
          <w:sz w:val="22"/>
          <w:szCs w:val="22"/>
        </w:rPr>
        <w:t xml:space="preserve">the </w:t>
      </w:r>
      <w:r w:rsidR="005B5154" w:rsidRPr="009F7193">
        <w:rPr>
          <w:rFonts w:asciiTheme="minorHAnsi" w:hAnsiTheme="minorHAnsi" w:cs="Arial"/>
          <w:bCs/>
          <w:sz w:val="22"/>
          <w:szCs w:val="22"/>
        </w:rPr>
        <w:t>construction of a new MRI suite, since the existing space will have been repurposed.</w:t>
      </w:r>
    </w:p>
    <w:p w14:paraId="0F488D44" w14:textId="77777777"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Operating Costs: </w:t>
      </w:r>
      <w:r w:rsidRPr="009F7193">
        <w:rPr>
          <w:rFonts w:asciiTheme="minorHAnsi" w:hAnsiTheme="minorHAnsi" w:cs="Arial"/>
          <w:bCs/>
          <w:sz w:val="22"/>
          <w:szCs w:val="22"/>
        </w:rPr>
        <w:t>There are no additional operating expenses under this alternative.</w:t>
      </w:r>
    </w:p>
    <w:p w14:paraId="1D268A0C" w14:textId="14F935B2" w:rsidR="00BE6093" w:rsidRPr="00903E3C" w:rsidRDefault="00BE6093" w:rsidP="00903E3C">
      <w:pPr>
        <w:tabs>
          <w:tab w:val="left" w:pos="1440"/>
        </w:tabs>
        <w:autoSpaceDE w:val="0"/>
        <w:autoSpaceDN w:val="0"/>
        <w:adjustRightInd w:val="0"/>
        <w:spacing w:after="120"/>
        <w:ind w:left="1440" w:hanging="1440"/>
        <w:jc w:val="both"/>
        <w:rPr>
          <w:rFonts w:asciiTheme="minorHAnsi" w:hAnsiTheme="minorHAnsi" w:cs="Arial"/>
          <w:bCs/>
          <w:sz w:val="22"/>
          <w:szCs w:val="22"/>
          <w:u w:val="single"/>
        </w:rPr>
      </w:pPr>
      <w:r w:rsidRPr="009F7193">
        <w:rPr>
          <w:rFonts w:asciiTheme="minorHAnsi" w:hAnsiTheme="minorHAnsi" w:cs="Arial"/>
          <w:bCs/>
          <w:sz w:val="22"/>
          <w:szCs w:val="22"/>
          <w:u w:val="single"/>
        </w:rPr>
        <w:t>Alternative Proposal 2: Add an additional MRI unit at a satellite location</w:t>
      </w:r>
      <w:r w:rsidR="00903E3C">
        <w:rPr>
          <w:rFonts w:asciiTheme="minorHAnsi" w:hAnsiTheme="minorHAnsi" w:cs="Arial"/>
          <w:bCs/>
          <w:sz w:val="22"/>
          <w:szCs w:val="22"/>
          <w:u w:val="single"/>
        </w:rPr>
        <w:t xml:space="preserve"> of the Hospital’s</w:t>
      </w:r>
      <w:r w:rsidR="00A84148" w:rsidRPr="009F7193">
        <w:rPr>
          <w:rFonts w:asciiTheme="minorHAnsi" w:hAnsiTheme="minorHAnsi" w:cs="Arial"/>
          <w:bCs/>
          <w:sz w:val="22"/>
          <w:szCs w:val="22"/>
          <w:u w:val="single"/>
        </w:rPr>
        <w:t>.</w:t>
      </w:r>
    </w:p>
    <w:p w14:paraId="6A8AAC06" w14:textId="3A69A624"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Quality: </w:t>
      </w:r>
      <w:r w:rsidRPr="009F7193">
        <w:rPr>
          <w:rFonts w:asciiTheme="minorHAnsi" w:hAnsiTheme="minorHAnsi" w:cs="Arial"/>
          <w:bCs/>
          <w:sz w:val="22"/>
          <w:szCs w:val="22"/>
        </w:rPr>
        <w:t xml:space="preserve">Installing an additional MRI unit at </w:t>
      </w:r>
      <w:r w:rsidR="001812CA" w:rsidRPr="009F7193">
        <w:rPr>
          <w:rFonts w:asciiTheme="minorHAnsi" w:hAnsiTheme="minorHAnsi" w:cs="Arial"/>
          <w:bCs/>
          <w:sz w:val="22"/>
          <w:szCs w:val="22"/>
        </w:rPr>
        <w:t>one of the Hospital’s satellites would</w:t>
      </w:r>
      <w:r w:rsidRPr="009F7193">
        <w:rPr>
          <w:rFonts w:asciiTheme="minorHAnsi" w:hAnsiTheme="minorHAnsi" w:cs="Arial"/>
          <w:bCs/>
          <w:sz w:val="22"/>
          <w:szCs w:val="22"/>
        </w:rPr>
        <w:t xml:space="preserve"> expand access for certain outpatient populations, improving convenience </w:t>
      </w:r>
      <w:r w:rsidR="001812CA" w:rsidRPr="009F7193">
        <w:rPr>
          <w:rFonts w:asciiTheme="minorHAnsi" w:hAnsiTheme="minorHAnsi" w:cs="Arial"/>
          <w:bCs/>
          <w:sz w:val="22"/>
          <w:szCs w:val="22"/>
        </w:rPr>
        <w:t xml:space="preserve">for </w:t>
      </w:r>
      <w:r w:rsidRPr="009F7193">
        <w:rPr>
          <w:rFonts w:asciiTheme="minorHAnsi" w:hAnsiTheme="minorHAnsi" w:cs="Arial"/>
          <w:bCs/>
          <w:sz w:val="22"/>
          <w:szCs w:val="22"/>
        </w:rPr>
        <w:t xml:space="preserve">routine </w:t>
      </w:r>
      <w:r w:rsidR="001812CA" w:rsidRPr="009F7193">
        <w:rPr>
          <w:rFonts w:asciiTheme="minorHAnsi" w:hAnsiTheme="minorHAnsi" w:cs="Arial"/>
          <w:bCs/>
          <w:sz w:val="22"/>
          <w:szCs w:val="22"/>
        </w:rPr>
        <w:t xml:space="preserve">imaging </w:t>
      </w:r>
      <w:r w:rsidRPr="009F7193">
        <w:rPr>
          <w:rFonts w:asciiTheme="minorHAnsi" w:hAnsiTheme="minorHAnsi" w:cs="Arial"/>
          <w:bCs/>
          <w:sz w:val="22"/>
          <w:szCs w:val="22"/>
        </w:rPr>
        <w:t>patients</w:t>
      </w:r>
      <w:r w:rsidR="009F7193" w:rsidRPr="009F7193">
        <w:rPr>
          <w:rFonts w:asciiTheme="minorHAnsi" w:hAnsiTheme="minorHAnsi" w:cs="Arial"/>
          <w:bCs/>
          <w:sz w:val="22"/>
          <w:szCs w:val="22"/>
        </w:rPr>
        <w:t xml:space="preserve"> and </w:t>
      </w:r>
      <w:proofErr w:type="gramStart"/>
      <w:r w:rsidR="009F7193" w:rsidRPr="009F7193">
        <w:rPr>
          <w:rFonts w:asciiTheme="minorHAnsi" w:hAnsiTheme="minorHAnsi" w:cs="Arial"/>
          <w:bCs/>
          <w:sz w:val="22"/>
          <w:szCs w:val="22"/>
        </w:rPr>
        <w:t>allow</w:t>
      </w:r>
      <w:proofErr w:type="gramEnd"/>
      <w:r w:rsidR="009F7193" w:rsidRPr="009F7193">
        <w:rPr>
          <w:rFonts w:asciiTheme="minorHAnsi" w:hAnsiTheme="minorHAnsi" w:cs="Arial"/>
          <w:bCs/>
          <w:sz w:val="22"/>
          <w:szCs w:val="22"/>
        </w:rPr>
        <w:t xml:space="preserve"> the main campus to shift outpatient cases to the satellite creating capacity for emergency and inpatients</w:t>
      </w:r>
      <w:r w:rsidRPr="009F7193">
        <w:rPr>
          <w:rFonts w:asciiTheme="minorHAnsi" w:hAnsiTheme="minorHAnsi" w:cs="Arial"/>
          <w:bCs/>
          <w:sz w:val="22"/>
          <w:szCs w:val="22"/>
        </w:rPr>
        <w:t xml:space="preserve">. However, this alternative would not </w:t>
      </w:r>
      <w:r w:rsidR="009F7193" w:rsidRPr="009F7193">
        <w:rPr>
          <w:rFonts w:asciiTheme="minorHAnsi" w:hAnsiTheme="minorHAnsi" w:cs="Arial"/>
          <w:bCs/>
          <w:sz w:val="22"/>
          <w:szCs w:val="22"/>
        </w:rPr>
        <w:t>reduce scheduling disruptions for out</w:t>
      </w:r>
      <w:r w:rsidRPr="009F7193">
        <w:rPr>
          <w:rFonts w:asciiTheme="minorHAnsi" w:hAnsiTheme="minorHAnsi" w:cs="Arial"/>
          <w:bCs/>
          <w:sz w:val="22"/>
          <w:szCs w:val="22"/>
        </w:rPr>
        <w:t xml:space="preserve">patients requiring specialized tests such as cardiac MRI or those with contraindications such as pacemakers or active implants. Furthermore, this alternative fails to address the need for MRI redundancy at </w:t>
      </w:r>
      <w:r w:rsidR="00227B01" w:rsidRPr="009F7193">
        <w:rPr>
          <w:rFonts w:asciiTheme="minorHAnsi" w:hAnsiTheme="minorHAnsi" w:cs="Arial"/>
          <w:bCs/>
          <w:sz w:val="22"/>
          <w:szCs w:val="22"/>
        </w:rPr>
        <w:t>the Hospital’s</w:t>
      </w:r>
      <w:r w:rsidRPr="009F7193">
        <w:rPr>
          <w:rFonts w:asciiTheme="minorHAnsi" w:hAnsiTheme="minorHAnsi" w:cs="Arial"/>
          <w:bCs/>
          <w:sz w:val="22"/>
          <w:szCs w:val="22"/>
        </w:rPr>
        <w:t xml:space="preserve"> </w:t>
      </w:r>
      <w:r w:rsidR="00FD6456" w:rsidRPr="009F7193">
        <w:rPr>
          <w:rFonts w:asciiTheme="minorHAnsi" w:hAnsiTheme="minorHAnsi" w:cs="Arial"/>
          <w:bCs/>
          <w:sz w:val="22"/>
          <w:szCs w:val="22"/>
        </w:rPr>
        <w:t>main campus</w:t>
      </w:r>
      <w:r w:rsidRPr="009F7193">
        <w:rPr>
          <w:rFonts w:asciiTheme="minorHAnsi" w:hAnsiTheme="minorHAnsi" w:cs="Arial"/>
          <w:bCs/>
          <w:sz w:val="22"/>
          <w:szCs w:val="22"/>
        </w:rPr>
        <w:t xml:space="preserve">, leaving inpatients and complex cases without backup imaging capacity. </w:t>
      </w:r>
      <w:r w:rsidR="001812CA" w:rsidRPr="009F7193">
        <w:rPr>
          <w:rFonts w:asciiTheme="minorHAnsi" w:hAnsiTheme="minorHAnsi" w:cs="Arial"/>
          <w:bCs/>
          <w:sz w:val="22"/>
          <w:szCs w:val="22"/>
        </w:rPr>
        <w:t xml:space="preserve">This is particularly crucial </w:t>
      </w:r>
      <w:proofErr w:type="gramStart"/>
      <w:r w:rsidR="001812CA" w:rsidRPr="009F7193">
        <w:rPr>
          <w:rFonts w:asciiTheme="minorHAnsi" w:hAnsiTheme="minorHAnsi" w:cs="Arial"/>
          <w:bCs/>
          <w:sz w:val="22"/>
          <w:szCs w:val="22"/>
        </w:rPr>
        <w:t>in light of</w:t>
      </w:r>
      <w:proofErr w:type="gramEnd"/>
      <w:r w:rsidR="001812CA" w:rsidRPr="009F7193">
        <w:rPr>
          <w:rFonts w:asciiTheme="minorHAnsi" w:hAnsiTheme="minorHAnsi" w:cs="Arial"/>
          <w:bCs/>
          <w:sz w:val="22"/>
          <w:szCs w:val="22"/>
        </w:rPr>
        <w:t xml:space="preserve"> the </w:t>
      </w:r>
      <w:r w:rsidR="009F7193" w:rsidRPr="009F7193">
        <w:rPr>
          <w:rFonts w:asciiTheme="minorHAnsi" w:hAnsiTheme="minorHAnsi" w:cs="Arial"/>
          <w:bCs/>
          <w:sz w:val="22"/>
          <w:szCs w:val="22"/>
        </w:rPr>
        <w:t xml:space="preserve">increasing </w:t>
      </w:r>
      <w:r w:rsidR="001812CA" w:rsidRPr="009F7193">
        <w:rPr>
          <w:rFonts w:asciiTheme="minorHAnsi" w:hAnsiTheme="minorHAnsi" w:cs="Arial"/>
          <w:bCs/>
          <w:sz w:val="22"/>
          <w:szCs w:val="22"/>
        </w:rPr>
        <w:t xml:space="preserve">need for MRI by inpatients and emergency patients. As a result, many of the Hospital’s patients </w:t>
      </w:r>
      <w:r w:rsidRPr="009F7193">
        <w:rPr>
          <w:rFonts w:asciiTheme="minorHAnsi" w:hAnsiTheme="minorHAnsi" w:cs="Arial"/>
          <w:bCs/>
          <w:sz w:val="22"/>
          <w:szCs w:val="22"/>
        </w:rPr>
        <w:t>would continue to face barriers to MRI access.</w:t>
      </w:r>
    </w:p>
    <w:p w14:paraId="64F64ED3" w14:textId="6049EA49"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Efficiency: </w:t>
      </w:r>
      <w:r w:rsidRPr="009F7193">
        <w:rPr>
          <w:rFonts w:asciiTheme="minorHAnsi" w:hAnsiTheme="minorHAnsi" w:cs="Arial"/>
          <w:bCs/>
          <w:sz w:val="22"/>
          <w:szCs w:val="22"/>
        </w:rPr>
        <w:t xml:space="preserve">While this approach may alleviate </w:t>
      </w:r>
      <w:r w:rsidR="001812CA" w:rsidRPr="009F7193">
        <w:rPr>
          <w:rFonts w:asciiTheme="minorHAnsi" w:hAnsiTheme="minorHAnsi" w:cs="Arial"/>
          <w:bCs/>
          <w:sz w:val="22"/>
          <w:szCs w:val="22"/>
        </w:rPr>
        <w:t xml:space="preserve">capacity </w:t>
      </w:r>
      <w:r w:rsidR="009F7193" w:rsidRPr="009F7193">
        <w:rPr>
          <w:rFonts w:asciiTheme="minorHAnsi" w:hAnsiTheme="minorHAnsi" w:cs="Arial"/>
          <w:bCs/>
          <w:sz w:val="22"/>
          <w:szCs w:val="22"/>
        </w:rPr>
        <w:t>at</w:t>
      </w:r>
      <w:r w:rsidR="001812CA" w:rsidRPr="009F7193">
        <w:rPr>
          <w:rFonts w:asciiTheme="minorHAnsi" w:hAnsiTheme="minorHAnsi" w:cs="Arial"/>
          <w:bCs/>
          <w:sz w:val="22"/>
          <w:szCs w:val="22"/>
        </w:rPr>
        <w:t xml:space="preserve"> the Hospital</w:t>
      </w:r>
      <w:r w:rsidR="009F7193" w:rsidRPr="009F7193">
        <w:rPr>
          <w:rFonts w:asciiTheme="minorHAnsi" w:hAnsiTheme="minorHAnsi" w:cs="Arial"/>
          <w:bCs/>
          <w:sz w:val="22"/>
          <w:szCs w:val="22"/>
        </w:rPr>
        <w:t>’s main campus</w:t>
      </w:r>
      <w:r w:rsidRPr="009F7193">
        <w:rPr>
          <w:rFonts w:asciiTheme="minorHAnsi" w:hAnsiTheme="minorHAnsi" w:cs="Arial"/>
          <w:bCs/>
          <w:sz w:val="22"/>
          <w:szCs w:val="22"/>
        </w:rPr>
        <w:t xml:space="preserve">, it introduces logistical complexities related to scheduling and coordination between sites. </w:t>
      </w:r>
      <w:r w:rsidR="009F7193" w:rsidRPr="009F7193">
        <w:rPr>
          <w:rFonts w:asciiTheme="minorHAnsi" w:hAnsiTheme="minorHAnsi" w:cs="Arial"/>
          <w:bCs/>
          <w:sz w:val="22"/>
          <w:szCs w:val="22"/>
        </w:rPr>
        <w:t>The l</w:t>
      </w:r>
      <w:r w:rsidRPr="009F7193">
        <w:rPr>
          <w:rFonts w:asciiTheme="minorHAnsi" w:hAnsiTheme="minorHAnsi" w:cs="Arial"/>
          <w:bCs/>
          <w:sz w:val="22"/>
          <w:szCs w:val="22"/>
        </w:rPr>
        <w:t xml:space="preserve">imited scope of services </w:t>
      </w:r>
      <w:r w:rsidR="009F7193" w:rsidRPr="009F7193">
        <w:rPr>
          <w:rFonts w:asciiTheme="minorHAnsi" w:hAnsiTheme="minorHAnsi" w:cs="Arial"/>
          <w:bCs/>
          <w:sz w:val="22"/>
          <w:szCs w:val="22"/>
        </w:rPr>
        <w:t xml:space="preserve">available </w:t>
      </w:r>
      <w:r w:rsidRPr="009F7193">
        <w:rPr>
          <w:rFonts w:asciiTheme="minorHAnsi" w:hAnsiTheme="minorHAnsi" w:cs="Arial"/>
          <w:bCs/>
          <w:sz w:val="22"/>
          <w:szCs w:val="22"/>
        </w:rPr>
        <w:t>at the satellite location (</w:t>
      </w:r>
      <w:r w:rsidR="009F7193" w:rsidRPr="009F7193">
        <w:rPr>
          <w:rFonts w:asciiTheme="minorHAnsi" w:hAnsiTheme="minorHAnsi" w:cs="Arial"/>
          <w:bCs/>
          <w:sz w:val="22"/>
          <w:szCs w:val="22"/>
        </w:rPr>
        <w:t>e.g., no CMR</w:t>
      </w:r>
      <w:r w:rsidRPr="009F7193">
        <w:rPr>
          <w:rFonts w:asciiTheme="minorHAnsi" w:hAnsiTheme="minorHAnsi" w:cs="Arial"/>
          <w:bCs/>
          <w:sz w:val="22"/>
          <w:szCs w:val="22"/>
        </w:rPr>
        <w:t xml:space="preserve">) means that not all patients could benefit under this alternative. The </w:t>
      </w:r>
      <w:r w:rsidR="009F7193" w:rsidRPr="009F7193">
        <w:rPr>
          <w:rFonts w:asciiTheme="minorHAnsi" w:hAnsiTheme="minorHAnsi" w:cs="Arial"/>
          <w:bCs/>
          <w:sz w:val="22"/>
          <w:szCs w:val="22"/>
        </w:rPr>
        <w:t>H</w:t>
      </w:r>
      <w:r w:rsidRPr="009F7193">
        <w:rPr>
          <w:rFonts w:asciiTheme="minorHAnsi" w:hAnsiTheme="minorHAnsi" w:cs="Arial"/>
          <w:bCs/>
          <w:sz w:val="22"/>
          <w:szCs w:val="22"/>
        </w:rPr>
        <w:t>ospital would also remain vulnerable to service interruptions without MRI redundancy, potentially exacerbating MRI inefficiencies and increasing wait times.</w:t>
      </w:r>
    </w:p>
    <w:p w14:paraId="583ADD07" w14:textId="5A60B73E" w:rsidR="00BE6093" w:rsidRPr="009F7193" w:rsidRDefault="00BE6093" w:rsidP="00BE6093">
      <w:pPr>
        <w:tabs>
          <w:tab w:val="left" w:pos="1440"/>
        </w:tabs>
        <w:autoSpaceDE w:val="0"/>
        <w:autoSpaceDN w:val="0"/>
        <w:adjustRightInd w:val="0"/>
        <w:spacing w:after="120"/>
        <w:ind w:left="1440" w:hanging="1440"/>
        <w:jc w:val="both"/>
        <w:rPr>
          <w:rFonts w:asciiTheme="minorHAnsi" w:hAnsiTheme="minorHAnsi" w:cs="Arial"/>
          <w:bCs/>
          <w:sz w:val="22"/>
          <w:szCs w:val="22"/>
        </w:rPr>
      </w:pPr>
      <w:r w:rsidRPr="009F7193">
        <w:rPr>
          <w:rFonts w:asciiTheme="minorHAnsi" w:hAnsiTheme="minorHAnsi" w:cs="Arial"/>
          <w:b/>
          <w:sz w:val="22"/>
          <w:szCs w:val="22"/>
        </w:rPr>
        <w:tab/>
        <w:t xml:space="preserve">Alternative Capital Expenses: </w:t>
      </w:r>
      <w:r w:rsidRPr="009F7193">
        <w:rPr>
          <w:rFonts w:asciiTheme="minorHAnsi" w:hAnsiTheme="minorHAnsi" w:cs="Arial"/>
          <w:bCs/>
          <w:sz w:val="22"/>
          <w:szCs w:val="22"/>
        </w:rPr>
        <w:t xml:space="preserve">Significant capital expenses would include the purchase and installation of a new MRI unit at the satellite site, as well as </w:t>
      </w:r>
      <w:r w:rsidR="001812CA" w:rsidRPr="009F7193">
        <w:rPr>
          <w:rFonts w:asciiTheme="minorHAnsi" w:hAnsiTheme="minorHAnsi" w:cs="Arial"/>
          <w:bCs/>
          <w:sz w:val="22"/>
          <w:szCs w:val="22"/>
        </w:rPr>
        <w:t xml:space="preserve">the required facility renovations to </w:t>
      </w:r>
      <w:r w:rsidR="009F7193" w:rsidRPr="009F7193">
        <w:rPr>
          <w:rFonts w:asciiTheme="minorHAnsi" w:hAnsiTheme="minorHAnsi" w:cs="Arial"/>
          <w:bCs/>
          <w:sz w:val="22"/>
          <w:szCs w:val="22"/>
        </w:rPr>
        <w:t>accommodate another MRI unit</w:t>
      </w:r>
      <w:r w:rsidR="001812CA" w:rsidRPr="009F7193">
        <w:rPr>
          <w:rFonts w:asciiTheme="minorHAnsi" w:hAnsiTheme="minorHAnsi" w:cs="Arial"/>
          <w:bCs/>
          <w:sz w:val="22"/>
          <w:szCs w:val="22"/>
        </w:rPr>
        <w:t xml:space="preserve"> </w:t>
      </w:r>
    </w:p>
    <w:p w14:paraId="39A0BB16" w14:textId="2AA977BB" w:rsidR="00307867" w:rsidRPr="00903E3C" w:rsidRDefault="00BE6093" w:rsidP="00903E3C">
      <w:pPr>
        <w:tabs>
          <w:tab w:val="left" w:pos="1440"/>
        </w:tabs>
        <w:autoSpaceDE w:val="0"/>
        <w:autoSpaceDN w:val="0"/>
        <w:adjustRightInd w:val="0"/>
        <w:spacing w:after="120"/>
        <w:ind w:left="1440" w:hanging="1440"/>
        <w:jc w:val="both"/>
        <w:rPr>
          <w:rFonts w:asciiTheme="minorHAnsi" w:hAnsiTheme="minorHAnsi" w:cs="Arial"/>
          <w:bCs/>
          <w:i/>
          <w:iCs/>
          <w:sz w:val="22"/>
          <w:szCs w:val="22"/>
        </w:rPr>
      </w:pPr>
      <w:r w:rsidRPr="009F7193">
        <w:rPr>
          <w:rFonts w:asciiTheme="minorHAnsi" w:hAnsiTheme="minorHAnsi" w:cs="Arial"/>
          <w:b/>
          <w:sz w:val="22"/>
          <w:szCs w:val="22"/>
        </w:rPr>
        <w:tab/>
        <w:t xml:space="preserve">Alternative Operating Costs: </w:t>
      </w:r>
      <w:r w:rsidR="001812CA" w:rsidRPr="009F7193">
        <w:rPr>
          <w:rFonts w:asciiTheme="minorHAnsi" w:hAnsiTheme="minorHAnsi" w:cs="Arial"/>
          <w:bCs/>
          <w:sz w:val="22"/>
          <w:szCs w:val="22"/>
        </w:rPr>
        <w:t>O</w:t>
      </w:r>
      <w:r w:rsidRPr="009F7193">
        <w:rPr>
          <w:rFonts w:asciiTheme="minorHAnsi" w:hAnsiTheme="minorHAnsi" w:cs="Arial"/>
          <w:bCs/>
          <w:sz w:val="22"/>
          <w:szCs w:val="22"/>
        </w:rPr>
        <w:t xml:space="preserve">perating costs </w:t>
      </w:r>
      <w:r w:rsidR="001812CA" w:rsidRPr="009F7193">
        <w:rPr>
          <w:rFonts w:asciiTheme="minorHAnsi" w:hAnsiTheme="minorHAnsi" w:cs="Arial"/>
          <w:bCs/>
          <w:sz w:val="22"/>
          <w:szCs w:val="22"/>
        </w:rPr>
        <w:t xml:space="preserve">are likely to be similar to the Proposed Project, but </w:t>
      </w:r>
      <w:r w:rsidRPr="009F7193">
        <w:rPr>
          <w:rFonts w:asciiTheme="minorHAnsi" w:hAnsiTheme="minorHAnsi" w:cs="Arial"/>
          <w:bCs/>
          <w:sz w:val="22"/>
          <w:szCs w:val="22"/>
        </w:rPr>
        <w:t xml:space="preserve">could be significantly higher than the Proposed Project </w:t>
      </w:r>
      <w:r w:rsidR="001812CA" w:rsidRPr="009F7193">
        <w:rPr>
          <w:rFonts w:asciiTheme="minorHAnsi" w:hAnsiTheme="minorHAnsi" w:cs="Arial"/>
          <w:bCs/>
          <w:sz w:val="22"/>
          <w:szCs w:val="22"/>
        </w:rPr>
        <w:t xml:space="preserve">if the additional MRI machine </w:t>
      </w:r>
      <w:r w:rsidR="009F7193" w:rsidRPr="009F7193">
        <w:rPr>
          <w:rFonts w:asciiTheme="minorHAnsi" w:hAnsiTheme="minorHAnsi" w:cs="Arial"/>
          <w:bCs/>
          <w:sz w:val="22"/>
          <w:szCs w:val="22"/>
        </w:rPr>
        <w:t>is</w:t>
      </w:r>
      <w:r w:rsidR="00903E3C">
        <w:rPr>
          <w:rFonts w:asciiTheme="minorHAnsi" w:hAnsiTheme="minorHAnsi" w:cs="Arial"/>
          <w:bCs/>
          <w:sz w:val="22"/>
          <w:szCs w:val="22"/>
        </w:rPr>
        <w:t xml:space="preserve"> </w:t>
      </w:r>
      <w:r w:rsidR="001812CA" w:rsidRPr="009F7193">
        <w:rPr>
          <w:rFonts w:asciiTheme="minorHAnsi" w:hAnsiTheme="minorHAnsi" w:cs="Arial"/>
          <w:bCs/>
          <w:sz w:val="22"/>
          <w:szCs w:val="22"/>
        </w:rPr>
        <w:t>placed at a satellite location that does not currently provide MRI</w:t>
      </w:r>
      <w:r w:rsidR="009F7193" w:rsidRPr="009F7193">
        <w:rPr>
          <w:rFonts w:asciiTheme="minorHAnsi" w:hAnsiTheme="minorHAnsi" w:cs="Arial"/>
          <w:bCs/>
          <w:sz w:val="22"/>
          <w:szCs w:val="22"/>
        </w:rPr>
        <w:t>, which would require hiring</w:t>
      </w:r>
      <w:r w:rsidRPr="009F7193">
        <w:rPr>
          <w:rFonts w:asciiTheme="minorHAnsi" w:hAnsiTheme="minorHAnsi" w:cs="Arial"/>
          <w:bCs/>
          <w:sz w:val="22"/>
          <w:szCs w:val="22"/>
        </w:rPr>
        <w:t xml:space="preserve"> a full complement of new staff for the MRI machine, rather than </w:t>
      </w:r>
      <w:r w:rsidR="00313E5A" w:rsidRPr="009F7193">
        <w:rPr>
          <w:rFonts w:asciiTheme="minorHAnsi" w:hAnsiTheme="minorHAnsi" w:cs="Arial"/>
          <w:bCs/>
          <w:sz w:val="22"/>
          <w:szCs w:val="22"/>
        </w:rPr>
        <w:t xml:space="preserve">limited need for </w:t>
      </w:r>
      <w:r w:rsidR="009F7193" w:rsidRPr="009F7193">
        <w:rPr>
          <w:rFonts w:asciiTheme="minorHAnsi" w:hAnsiTheme="minorHAnsi" w:cs="Arial"/>
          <w:bCs/>
          <w:sz w:val="22"/>
          <w:szCs w:val="22"/>
        </w:rPr>
        <w:t>additional full-time</w:t>
      </w:r>
      <w:r w:rsidR="00313E5A" w:rsidRPr="009F7193">
        <w:rPr>
          <w:rFonts w:asciiTheme="minorHAnsi" w:hAnsiTheme="minorHAnsi" w:cs="Arial"/>
          <w:bCs/>
          <w:sz w:val="22"/>
          <w:szCs w:val="22"/>
        </w:rPr>
        <w:t xml:space="preserve"> employees </w:t>
      </w:r>
      <w:r w:rsidRPr="009F7193">
        <w:rPr>
          <w:rFonts w:asciiTheme="minorHAnsi" w:hAnsiTheme="minorHAnsi" w:cs="Arial"/>
          <w:bCs/>
          <w:sz w:val="22"/>
          <w:szCs w:val="22"/>
        </w:rPr>
        <w:t xml:space="preserve">under the Proposed Project. </w:t>
      </w:r>
    </w:p>
    <w:sectPr w:rsidR="00307867" w:rsidRPr="00903E3C" w:rsidSect="007D6AF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5E96" w14:textId="77777777" w:rsidR="002762B0" w:rsidRDefault="002762B0" w:rsidP="00066735">
      <w:r>
        <w:separator/>
      </w:r>
    </w:p>
  </w:endnote>
  <w:endnote w:type="continuationSeparator" w:id="0">
    <w:p w14:paraId="568897F5" w14:textId="77777777" w:rsidR="002762B0" w:rsidRDefault="002762B0" w:rsidP="0006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4E72" w14:textId="77777777" w:rsidR="00EA1E6D" w:rsidRPr="00117B78" w:rsidRDefault="00EA1E6D" w:rsidP="00117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4503" w14:textId="77777777" w:rsidR="00EA1E6D" w:rsidRPr="00117B78" w:rsidRDefault="00EA1E6D" w:rsidP="00117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94BF" w14:textId="77777777" w:rsidR="00EA1E6D" w:rsidRPr="00117B78" w:rsidRDefault="00EA1E6D" w:rsidP="00117B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5C50" w14:textId="7EC34CCE" w:rsidR="00E8044F" w:rsidRPr="00117B78" w:rsidRDefault="00E8044F" w:rsidP="00117B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E7EC" w14:textId="728F4F14" w:rsidR="00E8044F" w:rsidRPr="00117B78" w:rsidRDefault="00E8044F" w:rsidP="00117B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9D8" w14:textId="7ED9A607" w:rsidR="00E8044F" w:rsidRPr="00117B78" w:rsidRDefault="00E8044F" w:rsidP="00117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C333" w14:textId="77777777" w:rsidR="002762B0" w:rsidRDefault="002762B0" w:rsidP="00066735">
      <w:r>
        <w:separator/>
      </w:r>
    </w:p>
  </w:footnote>
  <w:footnote w:type="continuationSeparator" w:id="0">
    <w:p w14:paraId="79999814" w14:textId="77777777" w:rsidR="002762B0" w:rsidRDefault="002762B0" w:rsidP="00066735">
      <w:r>
        <w:continuationSeparator/>
      </w:r>
    </w:p>
  </w:footnote>
  <w:footnote w:id="1">
    <w:p w14:paraId="3140EB8E" w14:textId="518E77E1" w:rsidR="008D20AD" w:rsidRDefault="008D20AD">
      <w:pPr>
        <w:pStyle w:val="FootnoteText"/>
      </w:pPr>
      <w:r>
        <w:rPr>
          <w:rStyle w:val="FootnoteReference"/>
        </w:rPr>
        <w:footnoteRef/>
      </w:r>
      <w:r>
        <w:t xml:space="preserve"> Inclusive of Nonbinary and “Other/Unknown” patient counts which cannot be provided separately due to patient confidentiality. </w:t>
      </w:r>
    </w:p>
  </w:footnote>
  <w:footnote w:id="2">
    <w:p w14:paraId="11576F96" w14:textId="5B94AA44" w:rsidR="002615CC" w:rsidRDefault="002615CC">
      <w:pPr>
        <w:pStyle w:val="FootnoteText"/>
      </w:pPr>
      <w:r>
        <w:rPr>
          <w:rStyle w:val="FootnoteReference"/>
        </w:rPr>
        <w:footnoteRef/>
      </w:r>
      <w:r>
        <w:t xml:space="preserve"> Utilization is based on an annual maximum capacity of 7,3</w:t>
      </w:r>
      <w:r w:rsidR="007C3C94">
        <w:t>8</w:t>
      </w:r>
      <w:r>
        <w:t xml:space="preserve">4 scans: </w:t>
      </w:r>
      <w:r w:rsidR="007C3C94">
        <w:t xml:space="preserve">(Weekly </w:t>
      </w:r>
      <w:r>
        <w:t>Hours of Operation (</w:t>
      </w:r>
      <w:r w:rsidR="007C3C94">
        <w:t xml:space="preserve">106.5) x 52) x 60 (minutes) divided by Average Scan Time (45 min) = 7,384 scans per year. </w:t>
      </w:r>
    </w:p>
  </w:footnote>
  <w:footnote w:id="3">
    <w:p w14:paraId="4B5B8F1A" w14:textId="36F6CB6C" w:rsidR="001E6649" w:rsidRPr="00947D51" w:rsidRDefault="001E6649" w:rsidP="001E6649">
      <w:pPr>
        <w:pStyle w:val="FootnoteText"/>
        <w:rPr>
          <w:rFonts w:ascii="Aptos Narrow" w:hAnsi="Aptos Narrow"/>
          <w:sz w:val="16"/>
          <w:szCs w:val="16"/>
        </w:rPr>
      </w:pPr>
      <w:r w:rsidRPr="000A7D0A">
        <w:rPr>
          <w:rStyle w:val="FootnoteReference"/>
          <w:rFonts w:ascii="Aptos Narrow" w:hAnsi="Aptos Narrow"/>
          <w:sz w:val="16"/>
          <w:szCs w:val="16"/>
        </w:rPr>
        <w:footnoteRef/>
      </w:r>
      <w:r w:rsidRPr="000A7D0A">
        <w:rPr>
          <w:rFonts w:ascii="Aptos Narrow" w:hAnsi="Aptos Narrow"/>
          <w:sz w:val="16"/>
          <w:szCs w:val="16"/>
        </w:rPr>
        <w:t xml:space="preserve"> </w:t>
      </w:r>
      <w:hyperlink r:id="rId1" w:history="1">
        <w:r w:rsidR="00947D51" w:rsidRPr="0021641E">
          <w:rPr>
            <w:rStyle w:val="Hyperlink"/>
            <w:rFonts w:ascii="Aptos Narrow" w:hAnsi="Aptos Narrow"/>
            <w:color w:val="auto"/>
            <w:sz w:val="16"/>
            <w:szCs w:val="16"/>
            <w:u w:val="none"/>
          </w:rPr>
          <w:t>Amendment # CCHC23122109-AM</w:t>
        </w:r>
      </w:hyperlink>
      <w:r w:rsidR="00947D51" w:rsidRPr="0021641E">
        <w:rPr>
          <w:rFonts w:ascii="Aptos Narrow" w:hAnsi="Aptos Narrow"/>
          <w:sz w:val="16"/>
          <w:szCs w:val="16"/>
        </w:rPr>
        <w:t xml:space="preserve"> (Significant </w:t>
      </w:r>
      <w:r w:rsidR="00947D51" w:rsidRPr="00947D51">
        <w:rPr>
          <w:rFonts w:ascii="Aptos Narrow" w:hAnsi="Aptos Narrow"/>
          <w:sz w:val="16"/>
          <w:szCs w:val="16"/>
        </w:rPr>
        <w:t>Change)</w:t>
      </w:r>
      <w:r w:rsidR="00947D51">
        <w:rPr>
          <w:rFonts w:ascii="Aptos Narrow" w:hAnsi="Aptos Narrow"/>
          <w:sz w:val="16"/>
          <w:szCs w:val="16"/>
        </w:rPr>
        <w:t xml:space="preserve">, </w:t>
      </w:r>
      <w:r w:rsidR="00947D51">
        <w:rPr>
          <w:rFonts w:ascii="Aptos Narrow" w:hAnsi="Aptos Narrow"/>
          <w:i/>
          <w:iCs/>
          <w:sz w:val="16"/>
          <w:szCs w:val="16"/>
        </w:rPr>
        <w:t xml:space="preserve">see </w:t>
      </w:r>
      <w:hyperlink r:id="rId2" w:history="1">
        <w:r w:rsidR="00947D51" w:rsidRPr="00941178">
          <w:rPr>
            <w:rStyle w:val="Hyperlink"/>
            <w:rFonts w:ascii="Aptos Narrow" w:hAnsi="Aptos Narrow"/>
            <w:i/>
            <w:iCs/>
            <w:sz w:val="16"/>
            <w:szCs w:val="16"/>
          </w:rPr>
          <w:t>https://www.mass.gov/info-details/cape-cod-healthcare-inc-amendment</w:t>
        </w:r>
      </w:hyperlink>
      <w:r w:rsidR="00947D51">
        <w:rPr>
          <w:rFonts w:ascii="Aptos Narrow" w:hAnsi="Aptos Narrow"/>
          <w:i/>
          <w:iCs/>
          <w:sz w:val="16"/>
          <w:szCs w:val="16"/>
        </w:rPr>
        <w:t xml:space="preserve"> </w:t>
      </w:r>
    </w:p>
  </w:footnote>
  <w:footnote w:id="4">
    <w:p w14:paraId="128DBFC6" w14:textId="77777777" w:rsidR="001E6649" w:rsidRPr="000A7D0A" w:rsidRDefault="001E6649" w:rsidP="001E6649">
      <w:pPr>
        <w:pStyle w:val="FootnoteText"/>
        <w:rPr>
          <w:rFonts w:ascii="Aptos Narrow" w:hAnsi="Aptos Narrow"/>
          <w:sz w:val="16"/>
          <w:szCs w:val="16"/>
        </w:rPr>
      </w:pPr>
      <w:r w:rsidRPr="000A7D0A">
        <w:rPr>
          <w:rStyle w:val="FootnoteReference"/>
          <w:rFonts w:ascii="Aptos Narrow" w:hAnsi="Aptos Narrow"/>
          <w:sz w:val="16"/>
          <w:szCs w:val="16"/>
        </w:rPr>
        <w:footnoteRef/>
      </w:r>
      <w:r w:rsidRPr="000A7D0A">
        <w:rPr>
          <w:rFonts w:ascii="Aptos Narrow" w:hAnsi="Aptos Narrow"/>
          <w:sz w:val="16"/>
          <w:szCs w:val="16"/>
        </w:rPr>
        <w:t xml:space="preserve"> </w:t>
      </w:r>
      <w:hyperlink r:id="rId3" w:history="1">
        <w:r w:rsidRPr="000A7D0A">
          <w:rPr>
            <w:rStyle w:val="Hyperlink"/>
            <w:rFonts w:ascii="Aptos Narrow" w:hAnsi="Aptos Narrow"/>
            <w:sz w:val="16"/>
            <w:szCs w:val="16"/>
          </w:rPr>
          <w:t>Summary of U.S. Census Bureau’s 2022 County Characteristics Estimates for Massachusetts Counties</w:t>
        </w:r>
      </w:hyperlink>
      <w:r w:rsidRPr="000A7D0A">
        <w:rPr>
          <w:rFonts w:ascii="Aptos Narrow" w:hAnsi="Aptos Narrow"/>
          <w:sz w:val="16"/>
          <w:szCs w:val="16"/>
        </w:rPr>
        <w:t xml:space="preserve">, August 8, 2023. </w:t>
      </w:r>
      <w:hyperlink r:id="rId4" w:history="1">
        <w:r w:rsidRPr="000A7D0A">
          <w:rPr>
            <w:rStyle w:val="Hyperlink"/>
            <w:rFonts w:ascii="Aptos Narrow" w:hAnsi="Aptos Narrow"/>
            <w:sz w:val="16"/>
            <w:szCs w:val="16"/>
          </w:rPr>
          <w:t>https://donahue.umass.edu/business-groups/economic-public-policy-research/massachusetts-population-estimates-program/population-estimates-by-massachusetts-geography/by-county</w:t>
        </w:r>
      </w:hyperlink>
      <w:r w:rsidRPr="000A7D0A">
        <w:rPr>
          <w:rFonts w:ascii="Aptos Narrow" w:hAnsi="Aptos Narrow"/>
          <w:sz w:val="16"/>
          <w:szCs w:val="16"/>
        </w:rPr>
        <w:t xml:space="preserve"> </w:t>
      </w:r>
    </w:p>
  </w:footnote>
  <w:footnote w:id="5">
    <w:p w14:paraId="6302D4E9" w14:textId="77777777" w:rsidR="001E6649" w:rsidRPr="000A7D0A" w:rsidRDefault="001E6649" w:rsidP="001E6649">
      <w:pPr>
        <w:pStyle w:val="FootnoteText"/>
        <w:rPr>
          <w:rFonts w:ascii="Aptos Narrow" w:hAnsi="Aptos Narrow"/>
          <w:sz w:val="16"/>
          <w:szCs w:val="16"/>
        </w:rPr>
      </w:pPr>
      <w:r w:rsidRPr="000A7D0A">
        <w:rPr>
          <w:rStyle w:val="FootnoteReference"/>
          <w:rFonts w:ascii="Aptos Narrow" w:hAnsi="Aptos Narrow"/>
          <w:sz w:val="16"/>
          <w:szCs w:val="16"/>
        </w:rPr>
        <w:footnoteRef/>
      </w:r>
      <w:r w:rsidRPr="000A7D0A">
        <w:rPr>
          <w:rFonts w:ascii="Aptos Narrow" w:hAnsi="Aptos Narrow"/>
          <w:sz w:val="16"/>
          <w:szCs w:val="16"/>
        </w:rPr>
        <w:t xml:space="preserve"> </w:t>
      </w:r>
      <w:r w:rsidRPr="000A7D0A">
        <w:rPr>
          <w:rFonts w:ascii="Aptos Narrow" w:hAnsi="Aptos Narrow"/>
          <w:i/>
          <w:iCs/>
          <w:sz w:val="16"/>
          <w:szCs w:val="16"/>
        </w:rPr>
        <w:t>Id.</w:t>
      </w:r>
      <w:r w:rsidRPr="000A7D0A">
        <w:rPr>
          <w:rFonts w:ascii="Aptos Narrow" w:hAnsi="Aptos Narrow"/>
          <w:sz w:val="16"/>
          <w:szCs w:val="16"/>
        </w:rPr>
        <w:t xml:space="preserve"> </w:t>
      </w:r>
    </w:p>
  </w:footnote>
  <w:footnote w:id="6">
    <w:p w14:paraId="7EAEE182" w14:textId="77777777" w:rsidR="001E6649" w:rsidRPr="000A7D0A" w:rsidRDefault="001E6649" w:rsidP="001E6649">
      <w:pPr>
        <w:pStyle w:val="FootnoteText"/>
        <w:rPr>
          <w:rFonts w:ascii="Aptos Narrow" w:hAnsi="Aptos Narrow"/>
          <w:sz w:val="16"/>
          <w:szCs w:val="16"/>
        </w:rPr>
      </w:pPr>
      <w:r w:rsidRPr="000A7D0A">
        <w:rPr>
          <w:rStyle w:val="FootnoteReference"/>
          <w:rFonts w:ascii="Aptos Narrow" w:hAnsi="Aptos Narrow"/>
          <w:sz w:val="16"/>
          <w:szCs w:val="16"/>
        </w:rPr>
        <w:footnoteRef/>
      </w:r>
      <w:r w:rsidRPr="000A7D0A">
        <w:rPr>
          <w:rFonts w:ascii="Aptos Narrow" w:hAnsi="Aptos Narrow"/>
          <w:sz w:val="16"/>
          <w:szCs w:val="16"/>
        </w:rPr>
        <w:t xml:space="preserve"> </w:t>
      </w:r>
      <w:hyperlink r:id="rId5" w:history="1">
        <w:r w:rsidRPr="000A7D0A">
          <w:rPr>
            <w:rStyle w:val="Hyperlink"/>
            <w:rFonts w:ascii="Aptos Narrow" w:hAnsi="Aptos Narrow"/>
            <w:sz w:val="16"/>
            <w:szCs w:val="16"/>
          </w:rPr>
          <w:t>https://donahue.umass.edu/business-groups/economic-public-policy-research/massachusetts-population-estimates-program/population-projections</w:t>
        </w:r>
      </w:hyperlink>
      <w:r w:rsidRPr="000A7D0A">
        <w:rPr>
          <w:rFonts w:ascii="Aptos Narrow" w:hAnsi="Aptos Narrow"/>
          <w:sz w:val="16"/>
          <w:szCs w:val="16"/>
        </w:rPr>
        <w:t xml:space="preserve"> </w:t>
      </w:r>
    </w:p>
  </w:footnote>
  <w:footnote w:id="7">
    <w:p w14:paraId="160E2387" w14:textId="104B7C2C" w:rsidR="001E6649" w:rsidRDefault="001E6649" w:rsidP="001E6649">
      <w:pPr>
        <w:pStyle w:val="FootnoteText"/>
      </w:pPr>
      <w:r w:rsidRPr="000A7D0A">
        <w:rPr>
          <w:rStyle w:val="FootnoteReference"/>
          <w:rFonts w:ascii="Aptos Narrow" w:hAnsi="Aptos Narrow"/>
          <w:sz w:val="16"/>
          <w:szCs w:val="16"/>
        </w:rPr>
        <w:footnoteRef/>
      </w:r>
      <w:r w:rsidRPr="000A7D0A">
        <w:rPr>
          <w:rFonts w:ascii="Aptos Narrow" w:hAnsi="Aptos Narrow"/>
          <w:sz w:val="16"/>
          <w:szCs w:val="16"/>
        </w:rPr>
        <w:t xml:space="preserve"> </w:t>
      </w:r>
      <w:r w:rsidR="008D4792">
        <w:rPr>
          <w:rFonts w:ascii="Aptos Narrow" w:hAnsi="Aptos Narrow"/>
          <w:sz w:val="16"/>
          <w:szCs w:val="16"/>
        </w:rPr>
        <w:t>If this DoN is approved, the Hospital anticipates the dormant MRI would be licensed and open to patients in Q4 of FY2026</w:t>
      </w:r>
      <w:r w:rsidR="00F12784">
        <w:rPr>
          <w:rFonts w:ascii="Aptos Narrow" w:hAnsi="Aptos Narrow"/>
          <w:sz w:val="16"/>
          <w:szCs w:val="16"/>
        </w:rPr>
        <w:t xml:space="preserve">. Therefore, there would be no impact to utilization at the main campus or the Hospital’s satellites in FY2026, as illustrated in Table 14. </w:t>
      </w:r>
    </w:p>
  </w:footnote>
  <w:footnote w:id="8">
    <w:p w14:paraId="3A2D7B8B" w14:textId="77777777" w:rsidR="00307867" w:rsidRPr="00E30A30" w:rsidRDefault="00307867" w:rsidP="00F63E75">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Mathieu, J., &amp; Talbott, J. F. (2022). Magnetic resonance imaging for spine emergencies. </w:t>
      </w:r>
      <w:r w:rsidRPr="00E30A30">
        <w:rPr>
          <w:rFonts w:asciiTheme="minorHAnsi" w:hAnsiTheme="minorHAnsi"/>
          <w:i/>
          <w:iCs/>
          <w:sz w:val="16"/>
          <w:szCs w:val="16"/>
        </w:rPr>
        <w:t>Magnetic Resonance Imaging Clinics</w:t>
      </w:r>
      <w:r w:rsidRPr="00E30A30">
        <w:rPr>
          <w:rFonts w:asciiTheme="minorHAnsi" w:hAnsiTheme="minorHAnsi"/>
          <w:sz w:val="16"/>
          <w:szCs w:val="16"/>
        </w:rPr>
        <w:t>, </w:t>
      </w:r>
      <w:r w:rsidRPr="00E30A30">
        <w:rPr>
          <w:rFonts w:asciiTheme="minorHAnsi" w:hAnsiTheme="minorHAnsi"/>
          <w:i/>
          <w:iCs/>
          <w:sz w:val="16"/>
          <w:szCs w:val="16"/>
        </w:rPr>
        <w:t>30</w:t>
      </w:r>
      <w:r w:rsidRPr="00E30A30">
        <w:rPr>
          <w:rFonts w:asciiTheme="minorHAnsi" w:hAnsiTheme="minorHAnsi"/>
          <w:sz w:val="16"/>
          <w:szCs w:val="16"/>
        </w:rPr>
        <w:t>(3), 383-407.</w:t>
      </w:r>
    </w:p>
  </w:footnote>
  <w:footnote w:id="9">
    <w:p w14:paraId="7DE962BA"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Galanaud, D., &amp; Gupta, R. (2022). MR imaging for acute central nervous system pathologies and presentations in emergency department. </w:t>
      </w:r>
      <w:r w:rsidRPr="00E30A30">
        <w:rPr>
          <w:rFonts w:asciiTheme="minorHAnsi" w:hAnsiTheme="minorHAnsi"/>
          <w:i/>
          <w:iCs/>
          <w:sz w:val="16"/>
          <w:szCs w:val="16"/>
        </w:rPr>
        <w:t>Magnetic Resonance Imaging Clinics of North America</w:t>
      </w:r>
      <w:r w:rsidRPr="00E30A30">
        <w:rPr>
          <w:rFonts w:asciiTheme="minorHAnsi" w:hAnsiTheme="minorHAnsi"/>
          <w:sz w:val="16"/>
          <w:szCs w:val="16"/>
        </w:rPr>
        <w:t>, </w:t>
      </w:r>
      <w:r w:rsidRPr="00E30A30">
        <w:rPr>
          <w:rFonts w:asciiTheme="minorHAnsi" w:hAnsiTheme="minorHAnsi"/>
          <w:i/>
          <w:iCs/>
          <w:sz w:val="16"/>
          <w:szCs w:val="16"/>
        </w:rPr>
        <w:t>30</w:t>
      </w:r>
      <w:r w:rsidRPr="00E30A30">
        <w:rPr>
          <w:rFonts w:asciiTheme="minorHAnsi" w:hAnsiTheme="minorHAnsi"/>
          <w:sz w:val="16"/>
          <w:szCs w:val="16"/>
        </w:rPr>
        <w:t>(3), 371-381.</w:t>
      </w:r>
    </w:p>
  </w:footnote>
  <w:footnote w:id="10">
    <w:p w14:paraId="7D7D7499"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Buller, M., &amp; Karis, J. P. (2017). Introduction of a dedicated emergency department MR imaging scanner at the Barrow Neurological Institute. </w:t>
      </w:r>
      <w:r w:rsidRPr="00E30A30">
        <w:rPr>
          <w:rFonts w:asciiTheme="minorHAnsi" w:hAnsiTheme="minorHAnsi"/>
          <w:i/>
          <w:iCs/>
          <w:sz w:val="16"/>
          <w:szCs w:val="16"/>
        </w:rPr>
        <w:t>American Journal of Neuroradiology</w:t>
      </w:r>
      <w:r w:rsidRPr="00E30A30">
        <w:rPr>
          <w:rFonts w:asciiTheme="minorHAnsi" w:hAnsiTheme="minorHAnsi"/>
          <w:sz w:val="16"/>
          <w:szCs w:val="16"/>
        </w:rPr>
        <w:t>, </w:t>
      </w:r>
      <w:r w:rsidRPr="00E30A30">
        <w:rPr>
          <w:rFonts w:asciiTheme="minorHAnsi" w:hAnsiTheme="minorHAnsi"/>
          <w:i/>
          <w:iCs/>
          <w:sz w:val="16"/>
          <w:szCs w:val="16"/>
        </w:rPr>
        <w:t>38</w:t>
      </w:r>
      <w:r w:rsidRPr="00E30A30">
        <w:rPr>
          <w:rFonts w:asciiTheme="minorHAnsi" w:hAnsiTheme="minorHAnsi"/>
          <w:sz w:val="16"/>
          <w:szCs w:val="16"/>
        </w:rPr>
        <w:t>(8), 1480-1485.</w:t>
      </w:r>
    </w:p>
  </w:footnote>
  <w:footnote w:id="11">
    <w:p w14:paraId="50EF1BAD"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Mathieu, J., &amp; Talbott, J. F. (2022). Magnetic resonance imaging for spine emergencies. </w:t>
      </w:r>
      <w:r w:rsidRPr="00E30A30">
        <w:rPr>
          <w:rFonts w:asciiTheme="minorHAnsi" w:hAnsiTheme="minorHAnsi"/>
          <w:i/>
          <w:iCs/>
          <w:sz w:val="16"/>
          <w:szCs w:val="16"/>
        </w:rPr>
        <w:t>Magnetic Resonance Imaging Clinics</w:t>
      </w:r>
      <w:r w:rsidRPr="00E30A30">
        <w:rPr>
          <w:rFonts w:asciiTheme="minorHAnsi" w:hAnsiTheme="minorHAnsi"/>
          <w:sz w:val="16"/>
          <w:szCs w:val="16"/>
        </w:rPr>
        <w:t>, </w:t>
      </w:r>
      <w:r w:rsidRPr="00E30A30">
        <w:rPr>
          <w:rFonts w:asciiTheme="minorHAnsi" w:hAnsiTheme="minorHAnsi"/>
          <w:i/>
          <w:iCs/>
          <w:sz w:val="16"/>
          <w:szCs w:val="16"/>
        </w:rPr>
        <w:t>30</w:t>
      </w:r>
      <w:r w:rsidRPr="00E30A30">
        <w:rPr>
          <w:rFonts w:asciiTheme="minorHAnsi" w:hAnsiTheme="minorHAnsi"/>
          <w:sz w:val="16"/>
          <w:szCs w:val="16"/>
        </w:rPr>
        <w:t>(3), 383-407.</w:t>
      </w:r>
    </w:p>
  </w:footnote>
  <w:footnote w:id="12">
    <w:p w14:paraId="00058CB3" w14:textId="5E4F8018" w:rsidR="00307867" w:rsidRPr="00A55654"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hyperlink r:id="rId6" w:history="1">
        <w:r w:rsidRPr="00A55654">
          <w:rPr>
            <w:rStyle w:val="Hyperlink"/>
            <w:rFonts w:asciiTheme="minorHAnsi" w:hAnsiTheme="minorHAnsi"/>
            <w:color w:val="auto"/>
            <w:sz w:val="16"/>
            <w:szCs w:val="16"/>
            <w:u w:val="none"/>
          </w:rPr>
          <w:t>American College of Radiology: Appropriateness Criteria</w:t>
        </w:r>
      </w:hyperlink>
      <w:r w:rsidRPr="00A55654">
        <w:rPr>
          <w:rFonts w:asciiTheme="minorHAnsi" w:hAnsiTheme="minorHAnsi"/>
          <w:sz w:val="16"/>
          <w:szCs w:val="16"/>
        </w:rPr>
        <w:t>. </w:t>
      </w:r>
      <w:hyperlink r:id="rId7" w:history="1">
        <w:r w:rsidR="00A76226" w:rsidRPr="00A55654">
          <w:rPr>
            <w:rStyle w:val="Hyperlink"/>
            <w:rFonts w:asciiTheme="minorHAnsi" w:hAnsiTheme="minorHAnsi"/>
            <w:color w:val="auto"/>
            <w:sz w:val="16"/>
            <w:szCs w:val="16"/>
            <w:u w:val="none"/>
          </w:rPr>
          <w:t>https://acsearch.acr.org/list</w:t>
        </w:r>
      </w:hyperlink>
      <w:r w:rsidR="00A76226" w:rsidRPr="00A55654">
        <w:rPr>
          <w:rFonts w:asciiTheme="minorHAnsi" w:hAnsiTheme="minorHAnsi"/>
          <w:sz w:val="16"/>
          <w:szCs w:val="16"/>
        </w:rPr>
        <w:t xml:space="preserve"> </w:t>
      </w:r>
      <w:r w:rsidRPr="00A55654">
        <w:rPr>
          <w:rFonts w:asciiTheme="minorHAnsi" w:hAnsiTheme="minorHAnsi"/>
          <w:sz w:val="16"/>
          <w:szCs w:val="16"/>
        </w:rPr>
        <w:t>. Accessed December 27, 2016.</w:t>
      </w:r>
    </w:p>
  </w:footnote>
  <w:footnote w:id="13">
    <w:p w14:paraId="6FF36220" w14:textId="77777777" w:rsidR="00307867" w:rsidRPr="00A55654"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Demir, M. C., &amp; Özdamar, Y. (2021). Utilization trend of magnetic resonance imaging examinations in an academic emergency department and the weekend effect. </w:t>
      </w:r>
      <w:r w:rsidRPr="00A55654">
        <w:rPr>
          <w:rFonts w:asciiTheme="minorHAnsi" w:hAnsiTheme="minorHAnsi"/>
          <w:i/>
          <w:iCs/>
          <w:sz w:val="16"/>
          <w:szCs w:val="16"/>
        </w:rPr>
        <w:t>Journal of Clinical Medicine of Kazakhstan</w:t>
      </w:r>
      <w:r w:rsidRPr="00A55654">
        <w:rPr>
          <w:rFonts w:asciiTheme="minorHAnsi" w:hAnsiTheme="minorHAnsi"/>
          <w:sz w:val="16"/>
          <w:szCs w:val="16"/>
        </w:rPr>
        <w:t>, </w:t>
      </w:r>
      <w:r w:rsidRPr="00A55654">
        <w:rPr>
          <w:rFonts w:asciiTheme="minorHAnsi" w:hAnsiTheme="minorHAnsi"/>
          <w:i/>
          <w:iCs/>
          <w:sz w:val="16"/>
          <w:szCs w:val="16"/>
        </w:rPr>
        <w:t>18</w:t>
      </w:r>
      <w:r w:rsidRPr="00A55654">
        <w:rPr>
          <w:rFonts w:asciiTheme="minorHAnsi" w:hAnsiTheme="minorHAnsi"/>
          <w:sz w:val="16"/>
          <w:szCs w:val="16"/>
        </w:rPr>
        <w:t>(3), 52-57.</w:t>
      </w:r>
    </w:p>
  </w:footnote>
  <w:footnote w:id="14">
    <w:p w14:paraId="6708612E" w14:textId="77777777" w:rsidR="00307867" w:rsidRPr="00A55654"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Mathieu, J., &amp; Talbott, J. F. (2022). Magnetic resonance imaging for spine emergencies. </w:t>
      </w:r>
      <w:r w:rsidRPr="00A55654">
        <w:rPr>
          <w:rFonts w:asciiTheme="minorHAnsi" w:hAnsiTheme="minorHAnsi"/>
          <w:i/>
          <w:iCs/>
          <w:sz w:val="16"/>
          <w:szCs w:val="16"/>
        </w:rPr>
        <w:t>Magnetic Resonance Imaging Clinics</w:t>
      </w:r>
      <w:r w:rsidRPr="00A55654">
        <w:rPr>
          <w:rFonts w:asciiTheme="minorHAnsi" w:hAnsiTheme="minorHAnsi"/>
          <w:sz w:val="16"/>
          <w:szCs w:val="16"/>
        </w:rPr>
        <w:t>, </w:t>
      </w:r>
      <w:r w:rsidRPr="00A55654">
        <w:rPr>
          <w:rFonts w:asciiTheme="minorHAnsi" w:hAnsiTheme="minorHAnsi"/>
          <w:i/>
          <w:iCs/>
          <w:sz w:val="16"/>
          <w:szCs w:val="16"/>
        </w:rPr>
        <w:t>30</w:t>
      </w:r>
      <w:r w:rsidRPr="00A55654">
        <w:rPr>
          <w:rFonts w:asciiTheme="minorHAnsi" w:hAnsiTheme="minorHAnsi"/>
          <w:sz w:val="16"/>
          <w:szCs w:val="16"/>
        </w:rPr>
        <w:t>(3), 383-407.</w:t>
      </w:r>
    </w:p>
  </w:footnote>
  <w:footnote w:id="15">
    <w:p w14:paraId="47851D91" w14:textId="77777777" w:rsidR="00307867" w:rsidRPr="00A55654"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Popp, D., Kerschbaum, M., Mahr, D., Thiedemann, C., Ernstberger, A., Wiesinger, I., ... &amp; Schicho, A. (2021). Necessity of immediate MRI imaging in the acute care of severely injured patients. </w:t>
      </w:r>
      <w:r w:rsidRPr="00A55654">
        <w:rPr>
          <w:rFonts w:asciiTheme="minorHAnsi" w:hAnsiTheme="minorHAnsi"/>
          <w:i/>
          <w:iCs/>
          <w:sz w:val="16"/>
          <w:szCs w:val="16"/>
        </w:rPr>
        <w:t>Medicina</w:t>
      </w:r>
      <w:r w:rsidRPr="00A55654">
        <w:rPr>
          <w:rFonts w:asciiTheme="minorHAnsi" w:hAnsiTheme="minorHAnsi"/>
          <w:sz w:val="16"/>
          <w:szCs w:val="16"/>
        </w:rPr>
        <w:t>, </w:t>
      </w:r>
      <w:r w:rsidRPr="00A55654">
        <w:rPr>
          <w:rFonts w:asciiTheme="minorHAnsi" w:hAnsiTheme="minorHAnsi"/>
          <w:i/>
          <w:iCs/>
          <w:sz w:val="16"/>
          <w:szCs w:val="16"/>
        </w:rPr>
        <w:t>57</w:t>
      </w:r>
      <w:r w:rsidRPr="00A55654">
        <w:rPr>
          <w:rFonts w:asciiTheme="minorHAnsi" w:hAnsiTheme="minorHAnsi"/>
          <w:sz w:val="16"/>
          <w:szCs w:val="16"/>
        </w:rPr>
        <w:t>(9), 982.</w:t>
      </w:r>
    </w:p>
  </w:footnote>
  <w:footnote w:id="16">
    <w:p w14:paraId="58CC272E" w14:textId="6AF96704" w:rsidR="00307867" w:rsidRPr="00A55654"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w:t>
      </w:r>
      <w:r w:rsidR="00B37C87" w:rsidRPr="00A55654">
        <w:rPr>
          <w:rFonts w:asciiTheme="minorHAnsi" w:hAnsiTheme="minorHAnsi"/>
          <w:sz w:val="16"/>
          <w:szCs w:val="16"/>
        </w:rPr>
        <w:t xml:space="preserve">105 CMR 130.1402 - </w:t>
      </w:r>
      <w:proofErr w:type="gramStart"/>
      <w:r w:rsidR="00B37C87" w:rsidRPr="00A55654">
        <w:rPr>
          <w:rFonts w:asciiTheme="minorHAnsi" w:hAnsiTheme="minorHAnsi"/>
          <w:sz w:val="16"/>
          <w:szCs w:val="16"/>
        </w:rPr>
        <w:t>130.1403;</w:t>
      </w:r>
      <w:proofErr w:type="gramEnd"/>
      <w:r w:rsidR="00B37C87" w:rsidRPr="00A55654">
        <w:rPr>
          <w:rFonts w:asciiTheme="minorHAnsi" w:hAnsiTheme="minorHAnsi"/>
          <w:sz w:val="16"/>
          <w:szCs w:val="16"/>
        </w:rPr>
        <w:t xml:space="preserve"> </w:t>
      </w:r>
    </w:p>
  </w:footnote>
  <w:footnote w:id="17">
    <w:p w14:paraId="2B07F1F2" w14:textId="7CF20613" w:rsidR="00307867" w:rsidRPr="00A55654"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105 CMR 130.1402 - 130.1403</w:t>
      </w:r>
      <w:r w:rsidR="00A715EB" w:rsidRPr="00A55654">
        <w:rPr>
          <w:rFonts w:asciiTheme="minorHAnsi" w:hAnsiTheme="minorHAnsi"/>
          <w:sz w:val="16"/>
          <w:szCs w:val="16"/>
        </w:rPr>
        <w:t>.</w:t>
      </w:r>
    </w:p>
  </w:footnote>
  <w:footnote w:id="18">
    <w:p w14:paraId="6AD98968" w14:textId="3C67F69D" w:rsidR="00307867" w:rsidRPr="00E30A30" w:rsidRDefault="00307867" w:rsidP="00307867">
      <w:pPr>
        <w:pStyle w:val="FootnoteText"/>
        <w:rPr>
          <w:rFonts w:asciiTheme="minorHAnsi" w:hAnsiTheme="minorHAnsi"/>
          <w:sz w:val="16"/>
          <w:szCs w:val="16"/>
        </w:rPr>
      </w:pPr>
      <w:r w:rsidRPr="00A55654">
        <w:rPr>
          <w:rStyle w:val="FootnoteReference"/>
          <w:rFonts w:asciiTheme="minorHAnsi" w:hAnsiTheme="minorHAnsi"/>
          <w:sz w:val="16"/>
          <w:szCs w:val="16"/>
        </w:rPr>
        <w:footnoteRef/>
      </w:r>
      <w:r w:rsidRPr="00A55654">
        <w:rPr>
          <w:rFonts w:asciiTheme="minorHAnsi" w:hAnsiTheme="minorHAnsi"/>
          <w:sz w:val="16"/>
          <w:szCs w:val="16"/>
        </w:rPr>
        <w:t xml:space="preserve"> </w:t>
      </w:r>
      <w:r w:rsidR="00A715EB" w:rsidRPr="00A55654">
        <w:rPr>
          <w:rFonts w:asciiTheme="minorHAnsi" w:hAnsiTheme="minorHAnsi"/>
          <w:i/>
          <w:iCs/>
          <w:sz w:val="16"/>
          <w:szCs w:val="16"/>
        </w:rPr>
        <w:t>See</w:t>
      </w:r>
      <w:r w:rsidR="00A715EB" w:rsidRPr="00A55654">
        <w:rPr>
          <w:rFonts w:asciiTheme="minorHAnsi" w:hAnsiTheme="minorHAnsi"/>
          <w:sz w:val="16"/>
          <w:szCs w:val="16"/>
        </w:rPr>
        <w:t xml:space="preserve"> Memo from Department of Public Health regarding </w:t>
      </w:r>
      <w:hyperlink r:id="rId8" w:history="1">
        <w:r w:rsidR="00A715EB" w:rsidRPr="00A55654">
          <w:rPr>
            <w:rStyle w:val="Hyperlink"/>
            <w:rFonts w:asciiTheme="minorHAnsi" w:hAnsiTheme="minorHAnsi"/>
            <w:color w:val="auto"/>
            <w:sz w:val="16"/>
            <w:szCs w:val="16"/>
            <w:u w:val="none"/>
          </w:rPr>
          <w:t>Updated Regulatory Requirements for Stroke Services</w:t>
        </w:r>
      </w:hyperlink>
      <w:r w:rsidR="00A715EB" w:rsidRPr="00A55654">
        <w:rPr>
          <w:rFonts w:asciiTheme="minorHAnsi" w:hAnsiTheme="minorHAnsi"/>
          <w:sz w:val="16"/>
          <w:szCs w:val="16"/>
        </w:rPr>
        <w:t xml:space="preserve">. </w:t>
      </w:r>
      <w:hyperlink r:id="rId9" w:history="1">
        <w:r w:rsidR="00AB5A63" w:rsidRPr="00A55654">
          <w:rPr>
            <w:rStyle w:val="Hyperlink"/>
            <w:rFonts w:asciiTheme="minorHAnsi" w:hAnsiTheme="minorHAnsi"/>
            <w:color w:val="auto"/>
            <w:sz w:val="16"/>
            <w:szCs w:val="16"/>
            <w:u w:val="none"/>
          </w:rPr>
          <w:t>https://www.mass.gov/doc/105-cmr-130-hospital-licensure/download</w:t>
        </w:r>
      </w:hyperlink>
      <w:r w:rsidR="00AB5A63" w:rsidRPr="00A55654">
        <w:rPr>
          <w:rFonts w:asciiTheme="minorHAnsi" w:hAnsiTheme="minorHAnsi"/>
          <w:sz w:val="16"/>
          <w:szCs w:val="16"/>
        </w:rPr>
        <w:t xml:space="preserve"> </w:t>
      </w:r>
      <w:r w:rsidRPr="00A55654">
        <w:rPr>
          <w:rFonts w:asciiTheme="minorHAnsi" w:hAnsiTheme="minorHAnsi"/>
          <w:sz w:val="16"/>
          <w:szCs w:val="16"/>
        </w:rPr>
        <w:t>.</w:t>
      </w:r>
    </w:p>
  </w:footnote>
  <w:footnote w:id="19">
    <w:p w14:paraId="36795956" w14:textId="77777777" w:rsidR="00307867" w:rsidRPr="00E30A30" w:rsidRDefault="00307867" w:rsidP="00307867">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Sagar, M. V., Gandrup, K. L., Jensen, D., Krag, C. H., Boesen, M. P., Raaschou, H., ... &amp; Kruuse, C. (2024). Patient flow analysis with fast-track MRI for suspected stroke in the emergency department and associated non-comprehensive stroke center. </w:t>
      </w:r>
      <w:r w:rsidRPr="00E30A30">
        <w:rPr>
          <w:rFonts w:asciiTheme="minorHAnsi" w:hAnsiTheme="minorHAnsi"/>
          <w:i/>
          <w:iCs/>
          <w:sz w:val="16"/>
          <w:szCs w:val="16"/>
        </w:rPr>
        <w:t>Therapeutic Advances in Neurological Disorders</w:t>
      </w:r>
      <w:r w:rsidRPr="00E30A30">
        <w:rPr>
          <w:rFonts w:asciiTheme="minorHAnsi" w:hAnsiTheme="minorHAnsi"/>
          <w:sz w:val="16"/>
          <w:szCs w:val="16"/>
        </w:rPr>
        <w:t>, </w:t>
      </w:r>
      <w:r w:rsidRPr="00E30A30">
        <w:rPr>
          <w:rFonts w:asciiTheme="minorHAnsi" w:hAnsiTheme="minorHAnsi"/>
          <w:i/>
          <w:iCs/>
          <w:sz w:val="16"/>
          <w:szCs w:val="16"/>
        </w:rPr>
        <w:t>17</w:t>
      </w:r>
      <w:r w:rsidRPr="00E30A30">
        <w:rPr>
          <w:rFonts w:asciiTheme="minorHAnsi" w:hAnsiTheme="minorHAnsi"/>
          <w:sz w:val="16"/>
          <w:szCs w:val="16"/>
        </w:rPr>
        <w:t>, 17562864241303251.</w:t>
      </w:r>
    </w:p>
  </w:footnote>
  <w:footnote w:id="20">
    <w:p w14:paraId="68650A23"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Shoghli, A., Chow, D., Kuoy, E., &amp; Yaghmai, V. (2023). Current role of portable MRI in diagnosis of acute neurological conditions. </w:t>
      </w:r>
      <w:r w:rsidRPr="00E30A30">
        <w:rPr>
          <w:rFonts w:asciiTheme="minorHAnsi" w:hAnsiTheme="minorHAnsi"/>
          <w:i/>
          <w:iCs/>
          <w:sz w:val="16"/>
          <w:szCs w:val="16"/>
        </w:rPr>
        <w:t>Frontiers in Neurology</w:t>
      </w:r>
      <w:r w:rsidRPr="00E30A30">
        <w:rPr>
          <w:rFonts w:asciiTheme="minorHAnsi" w:hAnsiTheme="minorHAnsi"/>
          <w:sz w:val="16"/>
          <w:szCs w:val="16"/>
        </w:rPr>
        <w:t>, </w:t>
      </w:r>
      <w:r w:rsidRPr="00E30A30">
        <w:rPr>
          <w:rFonts w:asciiTheme="minorHAnsi" w:hAnsiTheme="minorHAnsi"/>
          <w:i/>
          <w:iCs/>
          <w:sz w:val="16"/>
          <w:szCs w:val="16"/>
        </w:rPr>
        <w:t>14</w:t>
      </w:r>
      <w:r w:rsidRPr="00E30A30">
        <w:rPr>
          <w:rFonts w:asciiTheme="minorHAnsi" w:hAnsiTheme="minorHAnsi"/>
          <w:sz w:val="16"/>
          <w:szCs w:val="16"/>
        </w:rPr>
        <w:t>, 1255858.</w:t>
      </w:r>
    </w:p>
  </w:footnote>
  <w:footnote w:id="21">
    <w:p w14:paraId="0742CF03" w14:textId="77777777" w:rsidR="00307867" w:rsidRPr="00E30A30" w:rsidRDefault="00307867" w:rsidP="00307867">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Manwani, B., Rath, S., Lee, N. S., Staff, I., Stretz, C., Modak, J., &amp; Finelli, P. F. (2019). Early magnetic resonance imaging decreases hospital length of stay in patients with ischemic stroke. Journal of Stroke and Cerebrovascular Diseases, 28(2), 425-429.</w:t>
      </w:r>
    </w:p>
  </w:footnote>
  <w:footnote w:id="22">
    <w:p w14:paraId="290C67F4" w14:textId="4E7BFC02"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The Cleveland Clinic. (2022). </w:t>
      </w:r>
      <w:hyperlink r:id="rId10" w:history="1">
        <w:r w:rsidRPr="00597BCB">
          <w:rPr>
            <w:rStyle w:val="Hyperlink"/>
            <w:rFonts w:asciiTheme="minorHAnsi" w:hAnsiTheme="minorHAnsi"/>
            <w:color w:val="auto"/>
            <w:sz w:val="16"/>
            <w:szCs w:val="16"/>
            <w:u w:val="none"/>
          </w:rPr>
          <w:t>Thrombectomy: What it is and Procedure Details</w:t>
        </w:r>
      </w:hyperlink>
      <w:r w:rsidRPr="00597BCB">
        <w:rPr>
          <w:rFonts w:asciiTheme="minorHAnsi" w:hAnsiTheme="minorHAnsi"/>
          <w:sz w:val="16"/>
          <w:szCs w:val="16"/>
        </w:rPr>
        <w:t xml:space="preserve">. Retrieved from </w:t>
      </w:r>
      <w:hyperlink r:id="rId11" w:history="1">
        <w:r w:rsidR="00A55654" w:rsidRPr="00597BCB">
          <w:rPr>
            <w:rStyle w:val="Hyperlink"/>
            <w:rFonts w:asciiTheme="minorHAnsi" w:hAnsiTheme="minorHAnsi"/>
            <w:color w:val="auto"/>
            <w:sz w:val="16"/>
            <w:szCs w:val="16"/>
            <w:u w:val="none"/>
          </w:rPr>
          <w:t>https://my.clevelandclinic.org/health/treatments/22897-thrombectomy</w:t>
        </w:r>
      </w:hyperlink>
      <w:r w:rsidR="00A55654" w:rsidRPr="00597BCB">
        <w:rPr>
          <w:rFonts w:asciiTheme="minorHAnsi" w:hAnsiTheme="minorHAnsi"/>
          <w:sz w:val="16"/>
          <w:szCs w:val="16"/>
        </w:rPr>
        <w:t xml:space="preserve"> </w:t>
      </w:r>
      <w:r w:rsidRPr="00597BCB">
        <w:rPr>
          <w:rFonts w:asciiTheme="minorHAnsi" w:hAnsiTheme="minorHAnsi"/>
          <w:sz w:val="16"/>
          <w:szCs w:val="16"/>
        </w:rPr>
        <w:t>.</w:t>
      </w:r>
    </w:p>
  </w:footnote>
  <w:footnote w:id="23">
    <w:p w14:paraId="5BFCC884"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Ng, F. C., &amp; Campbell, B. C. (2019). Imaging after thrombolysis and thrombectomy: rationale, modalities and management implications. </w:t>
      </w:r>
      <w:r w:rsidRPr="00E30A30">
        <w:rPr>
          <w:rFonts w:asciiTheme="minorHAnsi" w:hAnsiTheme="minorHAnsi"/>
          <w:i/>
          <w:iCs/>
          <w:sz w:val="16"/>
          <w:szCs w:val="16"/>
        </w:rPr>
        <w:t>Current Neurology and Neuroscience Reports</w:t>
      </w:r>
      <w:r w:rsidRPr="00E30A30">
        <w:rPr>
          <w:rFonts w:asciiTheme="minorHAnsi" w:hAnsiTheme="minorHAnsi"/>
          <w:sz w:val="16"/>
          <w:szCs w:val="16"/>
        </w:rPr>
        <w:t>, </w:t>
      </w:r>
      <w:r w:rsidRPr="00E30A30">
        <w:rPr>
          <w:rFonts w:asciiTheme="minorHAnsi" w:hAnsiTheme="minorHAnsi"/>
          <w:i/>
          <w:iCs/>
          <w:sz w:val="16"/>
          <w:szCs w:val="16"/>
        </w:rPr>
        <w:t>19</w:t>
      </w:r>
      <w:r w:rsidRPr="00E30A30">
        <w:rPr>
          <w:rFonts w:asciiTheme="minorHAnsi" w:hAnsiTheme="minorHAnsi"/>
          <w:sz w:val="16"/>
          <w:szCs w:val="16"/>
        </w:rPr>
        <w:t>(8), 57.</w:t>
      </w:r>
    </w:p>
  </w:footnote>
  <w:footnote w:id="24">
    <w:p w14:paraId="0BA557BB"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Ng, F. C., &amp; Campbell, B. C. (2019). Imaging after thrombolysis and thrombectomy: rationale, modalities and management implications. </w:t>
      </w:r>
      <w:r w:rsidRPr="00E30A30">
        <w:rPr>
          <w:rFonts w:asciiTheme="minorHAnsi" w:hAnsiTheme="minorHAnsi"/>
          <w:i/>
          <w:iCs/>
          <w:sz w:val="16"/>
          <w:szCs w:val="16"/>
        </w:rPr>
        <w:t>Current Neurology and Neuroscience Reports</w:t>
      </w:r>
      <w:r w:rsidRPr="00E30A30">
        <w:rPr>
          <w:rFonts w:asciiTheme="minorHAnsi" w:hAnsiTheme="minorHAnsi"/>
          <w:sz w:val="16"/>
          <w:szCs w:val="16"/>
        </w:rPr>
        <w:t>, </w:t>
      </w:r>
      <w:r w:rsidRPr="00E30A30">
        <w:rPr>
          <w:rFonts w:asciiTheme="minorHAnsi" w:hAnsiTheme="minorHAnsi"/>
          <w:i/>
          <w:iCs/>
          <w:sz w:val="16"/>
          <w:szCs w:val="16"/>
        </w:rPr>
        <w:t>19</w:t>
      </w:r>
      <w:r w:rsidRPr="00E30A30">
        <w:rPr>
          <w:rFonts w:asciiTheme="minorHAnsi" w:hAnsiTheme="minorHAnsi"/>
          <w:sz w:val="16"/>
          <w:szCs w:val="16"/>
        </w:rPr>
        <w:t>(8), 57.</w:t>
      </w:r>
    </w:p>
  </w:footnote>
  <w:footnote w:id="25">
    <w:p w14:paraId="61236A5D"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Tseng, W. Y. I., Su, M. Y. M., &amp; Tseng, Y. H. E. (2016). Introduction to cardiovascular magnetic resonance: technical principles and clinical applications. </w:t>
      </w:r>
      <w:r w:rsidRPr="00E30A30">
        <w:rPr>
          <w:rFonts w:asciiTheme="minorHAnsi" w:hAnsiTheme="minorHAnsi"/>
          <w:i/>
          <w:iCs/>
          <w:sz w:val="16"/>
          <w:szCs w:val="16"/>
        </w:rPr>
        <w:t>Acta Cardiologica Sinica</w:t>
      </w:r>
      <w:r w:rsidRPr="00E30A30">
        <w:rPr>
          <w:rFonts w:asciiTheme="minorHAnsi" w:hAnsiTheme="minorHAnsi"/>
          <w:sz w:val="16"/>
          <w:szCs w:val="16"/>
        </w:rPr>
        <w:t>, </w:t>
      </w:r>
      <w:r w:rsidRPr="00E30A30">
        <w:rPr>
          <w:rFonts w:asciiTheme="minorHAnsi" w:hAnsiTheme="minorHAnsi"/>
          <w:i/>
          <w:iCs/>
          <w:sz w:val="16"/>
          <w:szCs w:val="16"/>
        </w:rPr>
        <w:t>32</w:t>
      </w:r>
      <w:r w:rsidRPr="00E30A30">
        <w:rPr>
          <w:rFonts w:asciiTheme="minorHAnsi" w:hAnsiTheme="minorHAnsi"/>
          <w:sz w:val="16"/>
          <w:szCs w:val="16"/>
        </w:rPr>
        <w:t>(2), 129.</w:t>
      </w:r>
    </w:p>
  </w:footnote>
  <w:footnote w:id="26">
    <w:p w14:paraId="26B44BED"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Liguori, C., Tamburrini, S., Ferrandino, G., Leboffe, S., Rosano, N., &amp; Marano, I. (2022). Role of CT and MRI in Cardiac Emergencies. </w:t>
      </w:r>
      <w:r w:rsidRPr="00E30A30">
        <w:rPr>
          <w:rFonts w:asciiTheme="minorHAnsi" w:hAnsiTheme="minorHAnsi"/>
          <w:i/>
          <w:iCs/>
          <w:sz w:val="16"/>
          <w:szCs w:val="16"/>
        </w:rPr>
        <w:t>Tomography</w:t>
      </w:r>
      <w:r w:rsidRPr="00E30A30">
        <w:rPr>
          <w:rFonts w:asciiTheme="minorHAnsi" w:hAnsiTheme="minorHAnsi"/>
          <w:sz w:val="16"/>
          <w:szCs w:val="16"/>
        </w:rPr>
        <w:t>, </w:t>
      </w:r>
      <w:r w:rsidRPr="00E30A30">
        <w:rPr>
          <w:rFonts w:asciiTheme="minorHAnsi" w:hAnsiTheme="minorHAnsi"/>
          <w:i/>
          <w:iCs/>
          <w:sz w:val="16"/>
          <w:szCs w:val="16"/>
        </w:rPr>
        <w:t>8</w:t>
      </w:r>
      <w:r w:rsidRPr="00E30A30">
        <w:rPr>
          <w:rFonts w:asciiTheme="minorHAnsi" w:hAnsiTheme="minorHAnsi"/>
          <w:sz w:val="16"/>
          <w:szCs w:val="16"/>
        </w:rPr>
        <w:t>(3), 1386-1400.</w:t>
      </w:r>
    </w:p>
  </w:footnote>
  <w:footnote w:id="27">
    <w:p w14:paraId="6DD18A47"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Ferreira, V.M.; Schulz-Menger, J.; Holmvang, G.; Kramer, C.M.; Carbone, I.; Sechtem, U.; Kindermann, I.; Gutberlet, M.; Cooper, L.T.; Liu, P.; et al. Cardiovascular magnetic resonance in nonischemic myocardial inflammation: Expert recommendations. </w:t>
      </w:r>
      <w:r w:rsidRPr="00E30A30">
        <w:rPr>
          <w:rFonts w:asciiTheme="minorHAnsi" w:hAnsiTheme="minorHAnsi"/>
          <w:i/>
          <w:iCs/>
          <w:sz w:val="16"/>
          <w:szCs w:val="16"/>
        </w:rPr>
        <w:t>J. Am. Coll. Cardiol.</w:t>
      </w:r>
      <w:r w:rsidRPr="00E30A30">
        <w:rPr>
          <w:rFonts w:asciiTheme="minorHAnsi" w:hAnsiTheme="minorHAnsi"/>
          <w:sz w:val="16"/>
          <w:szCs w:val="16"/>
        </w:rPr>
        <w:t> 2018, </w:t>
      </w:r>
      <w:r w:rsidRPr="00E30A30">
        <w:rPr>
          <w:rFonts w:asciiTheme="minorHAnsi" w:hAnsiTheme="minorHAnsi"/>
          <w:i/>
          <w:iCs/>
          <w:sz w:val="16"/>
          <w:szCs w:val="16"/>
        </w:rPr>
        <w:t>72</w:t>
      </w:r>
      <w:r w:rsidRPr="00E30A30">
        <w:rPr>
          <w:rFonts w:asciiTheme="minorHAnsi" w:hAnsiTheme="minorHAnsi"/>
          <w:sz w:val="16"/>
          <w:szCs w:val="16"/>
        </w:rPr>
        <w:t>, 3158–3176. </w:t>
      </w:r>
    </w:p>
  </w:footnote>
  <w:footnote w:id="28">
    <w:p w14:paraId="1AB2B510"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Liguori, C., Tamburrini, S., Ferrandino, G., Leboffe, S., Rosano, N., &amp; Marano, I. (2022). Role of CT and MRI in Cardiac Emergencies. </w:t>
      </w:r>
      <w:r w:rsidRPr="00E30A30">
        <w:rPr>
          <w:rFonts w:asciiTheme="minorHAnsi" w:hAnsiTheme="minorHAnsi"/>
          <w:i/>
          <w:iCs/>
          <w:sz w:val="16"/>
          <w:szCs w:val="16"/>
        </w:rPr>
        <w:t>Tomography</w:t>
      </w:r>
      <w:r w:rsidRPr="00E30A30">
        <w:rPr>
          <w:rFonts w:asciiTheme="minorHAnsi" w:hAnsiTheme="minorHAnsi"/>
          <w:sz w:val="16"/>
          <w:szCs w:val="16"/>
        </w:rPr>
        <w:t>, </w:t>
      </w:r>
      <w:r w:rsidRPr="00E30A30">
        <w:rPr>
          <w:rFonts w:asciiTheme="minorHAnsi" w:hAnsiTheme="minorHAnsi"/>
          <w:i/>
          <w:iCs/>
          <w:sz w:val="16"/>
          <w:szCs w:val="16"/>
        </w:rPr>
        <w:t>8</w:t>
      </w:r>
      <w:r w:rsidRPr="00E30A30">
        <w:rPr>
          <w:rFonts w:asciiTheme="minorHAnsi" w:hAnsiTheme="minorHAnsi"/>
          <w:sz w:val="16"/>
          <w:szCs w:val="16"/>
        </w:rPr>
        <w:t>(3), 1386-1400.</w:t>
      </w:r>
    </w:p>
  </w:footnote>
  <w:footnote w:id="29">
    <w:p w14:paraId="54D8F69C"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Liguori, C., Tamburrini, S., Ferrandino, G., Leboffe, S., Rosano, N., &amp; Marano, I. (2022). Role of CT and MRI in Cardiac Emergencies. </w:t>
      </w:r>
      <w:r w:rsidRPr="00E30A30">
        <w:rPr>
          <w:rFonts w:asciiTheme="minorHAnsi" w:hAnsiTheme="minorHAnsi"/>
          <w:i/>
          <w:iCs/>
          <w:sz w:val="16"/>
          <w:szCs w:val="16"/>
        </w:rPr>
        <w:t>Tomography</w:t>
      </w:r>
      <w:r w:rsidRPr="00E30A30">
        <w:rPr>
          <w:rFonts w:asciiTheme="minorHAnsi" w:hAnsiTheme="minorHAnsi"/>
          <w:sz w:val="16"/>
          <w:szCs w:val="16"/>
        </w:rPr>
        <w:t>, </w:t>
      </w:r>
      <w:r w:rsidRPr="00E30A30">
        <w:rPr>
          <w:rFonts w:asciiTheme="minorHAnsi" w:hAnsiTheme="minorHAnsi"/>
          <w:i/>
          <w:iCs/>
          <w:sz w:val="16"/>
          <w:szCs w:val="16"/>
        </w:rPr>
        <w:t>8</w:t>
      </w:r>
      <w:r w:rsidRPr="00E30A30">
        <w:rPr>
          <w:rFonts w:asciiTheme="minorHAnsi" w:hAnsiTheme="minorHAnsi"/>
          <w:sz w:val="16"/>
          <w:szCs w:val="16"/>
        </w:rPr>
        <w:t>(3), 1386-1400.</w:t>
      </w:r>
    </w:p>
  </w:footnote>
  <w:footnote w:id="30">
    <w:p w14:paraId="2279A9AC"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Zareiamand, H., Darroudi, A., Mohammadi, I., Moravvej, S. V., Danaei, S., &amp; Alizadehsani, R. (2023). Cardiac magnetic resonance imaging (CMRI) applications in patients with chest pain in the emergency department: a narrative review. </w:t>
      </w:r>
      <w:r w:rsidRPr="00E30A30">
        <w:rPr>
          <w:rFonts w:asciiTheme="minorHAnsi" w:hAnsiTheme="minorHAnsi"/>
          <w:i/>
          <w:iCs/>
          <w:sz w:val="16"/>
          <w:szCs w:val="16"/>
        </w:rPr>
        <w:t>Diagnostics</w:t>
      </w:r>
      <w:r w:rsidRPr="00E30A30">
        <w:rPr>
          <w:rFonts w:asciiTheme="minorHAnsi" w:hAnsiTheme="minorHAnsi"/>
          <w:sz w:val="16"/>
          <w:szCs w:val="16"/>
        </w:rPr>
        <w:t>, </w:t>
      </w:r>
      <w:r w:rsidRPr="00E30A30">
        <w:rPr>
          <w:rFonts w:asciiTheme="minorHAnsi" w:hAnsiTheme="minorHAnsi"/>
          <w:i/>
          <w:iCs/>
          <w:sz w:val="16"/>
          <w:szCs w:val="16"/>
        </w:rPr>
        <w:t>13</w:t>
      </w:r>
      <w:r w:rsidRPr="00E30A30">
        <w:rPr>
          <w:rFonts w:asciiTheme="minorHAnsi" w:hAnsiTheme="minorHAnsi"/>
          <w:sz w:val="16"/>
          <w:szCs w:val="16"/>
        </w:rPr>
        <w:t>(16), 2667.</w:t>
      </w:r>
    </w:p>
  </w:footnote>
  <w:footnote w:id="31">
    <w:p w14:paraId="306EEDA6"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Bovenschulte, H., Schlüter-Brust, K., Liebig, T., Erdmann, E., Eysel, P., &amp; Zobel, C. (2012). MRI in patients with pacemakers: overview and procedural management. </w:t>
      </w:r>
      <w:r w:rsidRPr="00E30A30">
        <w:rPr>
          <w:rFonts w:asciiTheme="minorHAnsi" w:hAnsiTheme="minorHAnsi"/>
          <w:i/>
          <w:iCs/>
          <w:sz w:val="16"/>
          <w:szCs w:val="16"/>
        </w:rPr>
        <w:t>Deutsches Ärzteblatt International</w:t>
      </w:r>
      <w:r w:rsidRPr="00E30A30">
        <w:rPr>
          <w:rFonts w:asciiTheme="minorHAnsi" w:hAnsiTheme="minorHAnsi"/>
          <w:sz w:val="16"/>
          <w:szCs w:val="16"/>
        </w:rPr>
        <w:t>, </w:t>
      </w:r>
      <w:r w:rsidRPr="00E30A30">
        <w:rPr>
          <w:rFonts w:asciiTheme="minorHAnsi" w:hAnsiTheme="minorHAnsi"/>
          <w:i/>
          <w:iCs/>
          <w:sz w:val="16"/>
          <w:szCs w:val="16"/>
        </w:rPr>
        <w:t>109</w:t>
      </w:r>
      <w:r w:rsidRPr="00E30A30">
        <w:rPr>
          <w:rFonts w:asciiTheme="minorHAnsi" w:hAnsiTheme="minorHAnsi"/>
          <w:sz w:val="16"/>
          <w:szCs w:val="16"/>
        </w:rPr>
        <w:t>(15), 270.</w:t>
      </w:r>
    </w:p>
  </w:footnote>
  <w:footnote w:id="32">
    <w:p w14:paraId="2A9FBBB1" w14:textId="77777777" w:rsidR="00307867" w:rsidRPr="00E30A30" w:rsidRDefault="00307867" w:rsidP="00307867">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Fierens, G., Standaert, N., Peeters, R., Glorieux, C., &amp; Verhaert, N. (2021). Safety of active auditory implants in magnetic resonance imaging. </w:t>
      </w:r>
      <w:r w:rsidRPr="00E30A30">
        <w:rPr>
          <w:rFonts w:asciiTheme="minorHAnsi" w:hAnsiTheme="minorHAnsi"/>
          <w:i/>
          <w:iCs/>
          <w:sz w:val="16"/>
          <w:szCs w:val="16"/>
        </w:rPr>
        <w:t>Journal of Otology</w:t>
      </w:r>
      <w:r w:rsidRPr="00E30A30">
        <w:rPr>
          <w:rFonts w:asciiTheme="minorHAnsi" w:hAnsiTheme="minorHAnsi"/>
          <w:sz w:val="16"/>
          <w:szCs w:val="16"/>
        </w:rPr>
        <w:t>, </w:t>
      </w:r>
      <w:r w:rsidRPr="00E30A30">
        <w:rPr>
          <w:rFonts w:asciiTheme="minorHAnsi" w:hAnsiTheme="minorHAnsi"/>
          <w:i/>
          <w:iCs/>
          <w:sz w:val="16"/>
          <w:szCs w:val="16"/>
        </w:rPr>
        <w:t>16</w:t>
      </w:r>
      <w:r w:rsidRPr="00E30A30">
        <w:rPr>
          <w:rFonts w:asciiTheme="minorHAnsi" w:hAnsiTheme="minorHAnsi"/>
          <w:sz w:val="16"/>
          <w:szCs w:val="16"/>
        </w:rPr>
        <w:t>(3), 185-198.</w:t>
      </w:r>
    </w:p>
  </w:footnote>
  <w:footnote w:id="33">
    <w:p w14:paraId="4CF04C97"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Bovenschulte, H., Schlüter-Brust, K., Liebig, T., Erdmann, E., Eysel, P., &amp; Zobel, C. (2012). MRI in patients with pacemakers: overview and procedural management. </w:t>
      </w:r>
      <w:r w:rsidRPr="00E30A30">
        <w:rPr>
          <w:rFonts w:asciiTheme="minorHAnsi" w:hAnsiTheme="minorHAnsi"/>
          <w:i/>
          <w:iCs/>
          <w:sz w:val="16"/>
          <w:szCs w:val="16"/>
        </w:rPr>
        <w:t>Deutsches Ärzteblatt International</w:t>
      </w:r>
      <w:r w:rsidRPr="00E30A30">
        <w:rPr>
          <w:rFonts w:asciiTheme="minorHAnsi" w:hAnsiTheme="minorHAnsi"/>
          <w:sz w:val="16"/>
          <w:szCs w:val="16"/>
        </w:rPr>
        <w:t>, </w:t>
      </w:r>
      <w:r w:rsidRPr="00E30A30">
        <w:rPr>
          <w:rFonts w:asciiTheme="minorHAnsi" w:hAnsiTheme="minorHAnsi"/>
          <w:i/>
          <w:iCs/>
          <w:sz w:val="16"/>
          <w:szCs w:val="16"/>
        </w:rPr>
        <w:t>109</w:t>
      </w:r>
      <w:r w:rsidRPr="00E30A30">
        <w:rPr>
          <w:rFonts w:asciiTheme="minorHAnsi" w:hAnsiTheme="minorHAnsi"/>
          <w:sz w:val="16"/>
          <w:szCs w:val="16"/>
        </w:rPr>
        <w:t>(15), 270.</w:t>
      </w:r>
    </w:p>
  </w:footnote>
  <w:footnote w:id="34">
    <w:p w14:paraId="437233DB" w14:textId="77777777" w:rsidR="00307867" w:rsidRPr="00E30A30" w:rsidRDefault="00307867" w:rsidP="00307867">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Fierens, G., Standaert, N., Peeters, R., Glorieux, C., &amp; Verhaert, N. (2021). Safety of active auditory implants in magnetic resonance imaging. </w:t>
      </w:r>
      <w:r w:rsidRPr="00E30A30">
        <w:rPr>
          <w:rFonts w:asciiTheme="minorHAnsi" w:hAnsiTheme="minorHAnsi"/>
          <w:i/>
          <w:iCs/>
          <w:sz w:val="16"/>
          <w:szCs w:val="16"/>
        </w:rPr>
        <w:t>Journal of Otology</w:t>
      </w:r>
      <w:r w:rsidRPr="00E30A30">
        <w:rPr>
          <w:rFonts w:asciiTheme="minorHAnsi" w:hAnsiTheme="minorHAnsi"/>
          <w:sz w:val="16"/>
          <w:szCs w:val="16"/>
        </w:rPr>
        <w:t>, </w:t>
      </w:r>
      <w:r w:rsidRPr="00E30A30">
        <w:rPr>
          <w:rFonts w:asciiTheme="minorHAnsi" w:hAnsiTheme="minorHAnsi"/>
          <w:i/>
          <w:iCs/>
          <w:sz w:val="16"/>
          <w:szCs w:val="16"/>
        </w:rPr>
        <w:t>16</w:t>
      </w:r>
      <w:r w:rsidRPr="00E30A30">
        <w:rPr>
          <w:rFonts w:asciiTheme="minorHAnsi" w:hAnsiTheme="minorHAnsi"/>
          <w:sz w:val="16"/>
          <w:szCs w:val="16"/>
        </w:rPr>
        <w:t>(3), 185-198.</w:t>
      </w:r>
    </w:p>
  </w:footnote>
  <w:footnote w:id="35">
    <w:p w14:paraId="0F3C406A" w14:textId="77777777" w:rsidR="00307867" w:rsidRPr="00E30A30" w:rsidRDefault="00307867" w:rsidP="00307867">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Migirov L, Wolf M. Magnet removal and reinsertion in a cochlear implant recipient undergoing brain MRI. ORL J Otorhinolaryngol Relat Spec. 2013;75(1):1-5. doi: 10.1159/000346239. Epub 2013 Jan 30. PMID: 23364345.</w:t>
      </w:r>
    </w:p>
  </w:footnote>
  <w:footnote w:id="36">
    <w:p w14:paraId="21C08F1E" w14:textId="77777777" w:rsidR="004817EA" w:rsidRPr="00E30A30" w:rsidRDefault="004817EA" w:rsidP="004817EA">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Shoghli, A., Chow, D., Kuoy, E., &amp; Yaghmai, V. (2023). Current role of portable MRI in diagnosis of acute neurological conditions. </w:t>
      </w:r>
      <w:r w:rsidRPr="00E30A30">
        <w:rPr>
          <w:rFonts w:asciiTheme="minorHAnsi" w:hAnsiTheme="minorHAnsi"/>
          <w:i/>
          <w:iCs/>
          <w:sz w:val="16"/>
          <w:szCs w:val="16"/>
        </w:rPr>
        <w:t>Frontiers in Neurology</w:t>
      </w:r>
      <w:r w:rsidRPr="00E30A30">
        <w:rPr>
          <w:rFonts w:asciiTheme="minorHAnsi" w:hAnsiTheme="minorHAnsi"/>
          <w:sz w:val="16"/>
          <w:szCs w:val="16"/>
        </w:rPr>
        <w:t>, </w:t>
      </w:r>
      <w:r w:rsidRPr="00E30A30">
        <w:rPr>
          <w:rFonts w:asciiTheme="minorHAnsi" w:hAnsiTheme="minorHAnsi"/>
          <w:i/>
          <w:iCs/>
          <w:sz w:val="16"/>
          <w:szCs w:val="16"/>
        </w:rPr>
        <w:t>14</w:t>
      </w:r>
      <w:r w:rsidRPr="00E30A30">
        <w:rPr>
          <w:rFonts w:asciiTheme="minorHAnsi" w:hAnsiTheme="minorHAnsi"/>
          <w:sz w:val="16"/>
          <w:szCs w:val="16"/>
        </w:rPr>
        <w:t>, 1255858.</w:t>
      </w:r>
    </w:p>
  </w:footnote>
  <w:footnote w:id="37">
    <w:p w14:paraId="5BB656DF" w14:textId="7497FEA6" w:rsidR="00BE6093" w:rsidRPr="00E30A30" w:rsidRDefault="00BE6093" w:rsidP="00BE6093">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r w:rsidRPr="00E30A30">
        <w:rPr>
          <w:rFonts w:asciiTheme="minorHAnsi" w:hAnsiTheme="minorHAnsi"/>
          <w:i/>
          <w:iCs/>
          <w:sz w:val="16"/>
          <w:szCs w:val="16"/>
        </w:rPr>
        <w:t>See, e.g.</w:t>
      </w:r>
      <w:r w:rsidRPr="00E30A30">
        <w:rPr>
          <w:rFonts w:asciiTheme="minorHAnsi" w:hAnsiTheme="minorHAnsi"/>
          <w:sz w:val="16"/>
          <w:szCs w:val="16"/>
        </w:rPr>
        <w:t xml:space="preserve">, Majeed O AlRowaili et. al., </w:t>
      </w:r>
      <w:hyperlink r:id="rId12" w:history="1">
        <w:r w:rsidRPr="00E15A4E">
          <w:rPr>
            <w:rStyle w:val="Hyperlink"/>
            <w:rFonts w:asciiTheme="minorHAnsi" w:hAnsiTheme="minorHAnsi"/>
            <w:i/>
            <w:iCs/>
            <w:color w:val="auto"/>
            <w:sz w:val="16"/>
            <w:szCs w:val="16"/>
            <w:u w:val="none"/>
          </w:rPr>
          <w:t>Factors Associated With No-Shows and Rescheduling MRI Appointments</w:t>
        </w:r>
      </w:hyperlink>
      <w:r w:rsidRPr="00E15A4E">
        <w:rPr>
          <w:rFonts w:asciiTheme="minorHAnsi" w:hAnsiTheme="minorHAnsi"/>
          <w:sz w:val="16"/>
          <w:szCs w:val="16"/>
        </w:rPr>
        <w:t xml:space="preserve">, </w:t>
      </w:r>
      <w:r w:rsidRPr="00E30A30">
        <w:rPr>
          <w:rFonts w:asciiTheme="minorHAnsi" w:hAnsiTheme="minorHAnsi"/>
          <w:smallCaps/>
          <w:sz w:val="16"/>
          <w:szCs w:val="16"/>
        </w:rPr>
        <w:t>BMC Health Services Research</w:t>
      </w:r>
      <w:r w:rsidRPr="00E30A30">
        <w:rPr>
          <w:rFonts w:asciiTheme="minorHAnsi" w:hAnsiTheme="minorHAnsi"/>
          <w:sz w:val="16"/>
          <w:szCs w:val="16"/>
        </w:rPr>
        <w:t xml:space="preserve"> (Dec. 1, 2016), </w:t>
      </w:r>
      <w:hyperlink r:id="rId13" w:history="1">
        <w:r w:rsidRPr="00E30A30">
          <w:rPr>
            <w:rStyle w:val="Hyperlink"/>
            <w:rFonts w:asciiTheme="minorHAnsi" w:hAnsiTheme="minorHAnsi"/>
            <w:sz w:val="16"/>
            <w:szCs w:val="16"/>
          </w:rPr>
          <w:t>https://pmc.ncbi.nlm.nih.gov/articles/PMC5133747/</w:t>
        </w:r>
      </w:hyperlink>
      <w:r w:rsidRPr="00E30A30">
        <w:rPr>
          <w:rFonts w:asciiTheme="minorHAnsi" w:hAnsiTheme="minorHAnsi"/>
          <w:sz w:val="16"/>
          <w:szCs w:val="16"/>
        </w:rPr>
        <w:t xml:space="preserve">. </w:t>
      </w:r>
      <w:r w:rsidRPr="00E30A30">
        <w:rPr>
          <w:rFonts w:asciiTheme="minorHAnsi" w:hAnsiTheme="minorHAnsi"/>
          <w:i/>
          <w:iCs/>
          <w:sz w:val="16"/>
          <w:szCs w:val="16"/>
        </w:rPr>
        <w:t xml:space="preserve">See also </w:t>
      </w:r>
      <w:r w:rsidRPr="00E30A30">
        <w:rPr>
          <w:rFonts w:asciiTheme="minorHAnsi" w:hAnsiTheme="minorHAnsi"/>
          <w:sz w:val="16"/>
          <w:szCs w:val="16"/>
        </w:rPr>
        <w:t xml:space="preserve">Dania Daye et al., </w:t>
      </w:r>
      <w:hyperlink r:id="rId14" w:anchor=":~:text=A%20total%20of%2042%2C727%20patients,diagnostic%20imaging%20for%20all%20patients" w:history="1">
        <w:r w:rsidRPr="00E15A4E">
          <w:rPr>
            <w:rStyle w:val="Hyperlink"/>
            <w:rFonts w:asciiTheme="minorHAnsi" w:hAnsiTheme="minorHAnsi"/>
            <w:i/>
            <w:iCs/>
            <w:color w:val="auto"/>
            <w:sz w:val="16"/>
            <w:szCs w:val="16"/>
            <w:u w:val="none"/>
          </w:rPr>
          <w:t>Impact of Delayed Time to Advanced Imaging on Missed Appointments Across Different Demographic and Socioeconomic Factors</w:t>
        </w:r>
        <w:r w:rsidRPr="00E15A4E">
          <w:rPr>
            <w:rStyle w:val="Hyperlink"/>
            <w:rFonts w:asciiTheme="minorHAnsi" w:hAnsiTheme="minorHAnsi"/>
            <w:color w:val="auto"/>
            <w:sz w:val="16"/>
            <w:szCs w:val="16"/>
            <w:u w:val="none"/>
          </w:rPr>
          <w:t>,</w:t>
        </w:r>
      </w:hyperlink>
      <w:r w:rsidRPr="00E15A4E">
        <w:rPr>
          <w:rFonts w:asciiTheme="minorHAnsi" w:hAnsiTheme="minorHAnsi"/>
          <w:sz w:val="16"/>
          <w:szCs w:val="16"/>
        </w:rPr>
        <w:t xml:space="preserve"> </w:t>
      </w:r>
      <w:r w:rsidRPr="00E15A4E">
        <w:rPr>
          <w:rFonts w:asciiTheme="minorHAnsi" w:hAnsiTheme="minorHAnsi"/>
          <w:smallCaps/>
          <w:sz w:val="16"/>
          <w:szCs w:val="16"/>
        </w:rPr>
        <w:t xml:space="preserve">Journal </w:t>
      </w:r>
      <w:r w:rsidRPr="00E30A30">
        <w:rPr>
          <w:rFonts w:asciiTheme="minorHAnsi" w:hAnsiTheme="minorHAnsi"/>
          <w:smallCaps/>
          <w:sz w:val="16"/>
          <w:szCs w:val="16"/>
        </w:rPr>
        <w:t>of the American College of Radiology</w:t>
      </w:r>
      <w:r w:rsidRPr="00E30A30">
        <w:rPr>
          <w:rFonts w:asciiTheme="minorHAnsi" w:hAnsiTheme="minorHAnsi"/>
          <w:sz w:val="16"/>
          <w:szCs w:val="16"/>
        </w:rPr>
        <w:t xml:space="preserve"> (May 2018), </w:t>
      </w:r>
      <w:hyperlink r:id="rId15" w:anchor=":~:text=A%20total%20of%2042%2C727%20patients,diagnostic%20imaging%20for%20all%20patients" w:history="1">
        <w:r w:rsidRPr="00E30A30">
          <w:rPr>
            <w:rStyle w:val="Hyperlink"/>
            <w:rFonts w:asciiTheme="minorHAnsi" w:hAnsiTheme="minorHAnsi"/>
            <w:sz w:val="16"/>
            <w:szCs w:val="16"/>
          </w:rPr>
          <w:t>https://www.sciencedirect.com/science/article/abs/pii/S1546144018300498#:~:text=A%20total%20of%2042%2C727%20patients,diagnostic%20imaging%20for%20all%20patients</w:t>
        </w:r>
      </w:hyperlink>
      <w:r w:rsidRPr="00E30A30">
        <w:rPr>
          <w:rFonts w:asciiTheme="minorHAnsi" w:hAnsiTheme="minorHAnsi"/>
          <w:sz w:val="16"/>
          <w:szCs w:val="16"/>
        </w:rPr>
        <w:t xml:space="preserve">. </w:t>
      </w:r>
    </w:p>
  </w:footnote>
  <w:footnote w:id="38">
    <w:p w14:paraId="7D2F8BD7" w14:textId="1708B89F" w:rsidR="00BE6093" w:rsidRPr="00E30A30" w:rsidRDefault="00BE6093" w:rsidP="00BE6093">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r w:rsidRPr="00E30A30">
        <w:rPr>
          <w:rFonts w:asciiTheme="minorHAnsi" w:hAnsiTheme="minorHAnsi"/>
          <w:i/>
          <w:iCs/>
          <w:sz w:val="16"/>
          <w:szCs w:val="16"/>
        </w:rPr>
        <w:t>See, e.g.,</w:t>
      </w:r>
      <w:r w:rsidRPr="00E30A30">
        <w:rPr>
          <w:rFonts w:asciiTheme="minorHAnsi" w:hAnsiTheme="minorHAnsi"/>
          <w:sz w:val="16"/>
          <w:szCs w:val="16"/>
        </w:rPr>
        <w:t xml:space="preserve"> S. Cournane et. al., </w:t>
      </w:r>
      <w:hyperlink r:id="rId16" w:history="1">
        <w:r w:rsidRPr="00561079">
          <w:rPr>
            <w:rStyle w:val="Hyperlink"/>
            <w:rFonts w:asciiTheme="minorHAnsi" w:hAnsiTheme="minorHAnsi"/>
            <w:i/>
            <w:iCs/>
            <w:color w:val="auto"/>
            <w:sz w:val="16"/>
            <w:szCs w:val="16"/>
            <w:u w:val="none"/>
          </w:rPr>
          <w:t>Radiology Imaging Delays as Independent Predictors of Length of Hospital Stay for Emergency Medical Admissions</w:t>
        </w:r>
      </w:hyperlink>
      <w:r w:rsidRPr="00561079">
        <w:rPr>
          <w:rFonts w:asciiTheme="minorHAnsi" w:hAnsiTheme="minorHAnsi"/>
          <w:sz w:val="16"/>
          <w:szCs w:val="16"/>
        </w:rPr>
        <w:t xml:space="preserve">, </w:t>
      </w:r>
      <w:r w:rsidRPr="00561079">
        <w:rPr>
          <w:rFonts w:asciiTheme="minorHAnsi" w:hAnsiTheme="minorHAnsi"/>
          <w:smallCaps/>
          <w:sz w:val="16"/>
          <w:szCs w:val="16"/>
        </w:rPr>
        <w:t>Clinical Radiology</w:t>
      </w:r>
      <w:r w:rsidRPr="00561079">
        <w:rPr>
          <w:rFonts w:asciiTheme="minorHAnsi" w:hAnsiTheme="minorHAnsi"/>
          <w:sz w:val="16"/>
          <w:szCs w:val="16"/>
        </w:rPr>
        <w:t xml:space="preserve"> (Sept. 2016), </w:t>
      </w:r>
      <w:hyperlink r:id="rId17" w:history="1">
        <w:r w:rsidRPr="00561079">
          <w:rPr>
            <w:rStyle w:val="Hyperlink"/>
            <w:rFonts w:asciiTheme="minorHAnsi" w:hAnsiTheme="minorHAnsi"/>
            <w:color w:val="auto"/>
            <w:sz w:val="16"/>
            <w:szCs w:val="16"/>
            <w:u w:val="none"/>
          </w:rPr>
          <w:t>https://pubmed.ncbi.nlm.nih.gov/27210242/</w:t>
        </w:r>
      </w:hyperlink>
      <w:r w:rsidRPr="00561079">
        <w:rPr>
          <w:rFonts w:asciiTheme="minorHAnsi" w:hAnsiTheme="minorHAnsi"/>
          <w:sz w:val="16"/>
          <w:szCs w:val="16"/>
        </w:rPr>
        <w:t xml:space="preserve">. </w:t>
      </w:r>
      <w:r w:rsidRPr="00561079">
        <w:rPr>
          <w:rFonts w:asciiTheme="minorHAnsi" w:hAnsiTheme="minorHAnsi"/>
          <w:i/>
          <w:iCs/>
          <w:sz w:val="16"/>
          <w:szCs w:val="16"/>
        </w:rPr>
        <w:t xml:space="preserve">See also </w:t>
      </w:r>
      <w:hyperlink r:id="rId18" w:history="1">
        <w:r w:rsidRPr="00561079">
          <w:rPr>
            <w:rStyle w:val="Hyperlink"/>
            <w:rFonts w:asciiTheme="minorHAnsi" w:hAnsiTheme="minorHAnsi"/>
            <w:i/>
            <w:iCs/>
            <w:color w:val="auto"/>
            <w:sz w:val="16"/>
            <w:szCs w:val="16"/>
            <w:u w:val="none"/>
          </w:rPr>
          <w:t>What Are The Risks of Delaying an MRI?</w:t>
        </w:r>
        <w:r w:rsidRPr="00561079">
          <w:rPr>
            <w:rStyle w:val="Hyperlink"/>
            <w:rFonts w:asciiTheme="minorHAnsi" w:hAnsiTheme="minorHAnsi"/>
            <w:color w:val="auto"/>
            <w:sz w:val="16"/>
            <w:szCs w:val="16"/>
            <w:u w:val="none"/>
          </w:rPr>
          <w:t>,</w:t>
        </w:r>
      </w:hyperlink>
      <w:r w:rsidRPr="00561079">
        <w:rPr>
          <w:rFonts w:asciiTheme="minorHAnsi" w:hAnsiTheme="minorHAnsi"/>
          <w:sz w:val="16"/>
          <w:szCs w:val="16"/>
        </w:rPr>
        <w:t xml:space="preserve"> </w:t>
      </w:r>
      <w:r w:rsidRPr="00561079">
        <w:rPr>
          <w:rFonts w:asciiTheme="minorHAnsi" w:hAnsiTheme="minorHAnsi"/>
          <w:smallCaps/>
          <w:sz w:val="16"/>
          <w:szCs w:val="16"/>
        </w:rPr>
        <w:t>Great Lakes Medical Imaging</w:t>
      </w:r>
      <w:r w:rsidRPr="00561079">
        <w:rPr>
          <w:rFonts w:asciiTheme="minorHAnsi" w:hAnsiTheme="minorHAnsi"/>
          <w:sz w:val="16"/>
          <w:szCs w:val="16"/>
        </w:rPr>
        <w:t xml:space="preserve"> (Feb. 21, 2025), </w:t>
      </w:r>
      <w:hyperlink r:id="rId19" w:history="1">
        <w:r w:rsidRPr="00561079">
          <w:rPr>
            <w:rStyle w:val="Hyperlink"/>
            <w:rFonts w:asciiTheme="minorHAnsi" w:hAnsiTheme="minorHAnsi"/>
            <w:color w:val="auto"/>
            <w:sz w:val="16"/>
            <w:szCs w:val="16"/>
            <w:u w:val="none"/>
          </w:rPr>
          <w:t>https://www.glmi.com/blog/what-are-the-risks-of-delaying-an-mri</w:t>
        </w:r>
      </w:hyperlink>
      <w:r w:rsidRPr="00561079">
        <w:rPr>
          <w:rFonts w:asciiTheme="minorHAnsi" w:hAnsiTheme="minorHAnsi"/>
          <w:sz w:val="16"/>
          <w:szCs w:val="16"/>
        </w:rPr>
        <w:t>.</w:t>
      </w:r>
      <w:r w:rsidRPr="00561079">
        <w:rPr>
          <w:sz w:val="16"/>
          <w:szCs w:val="16"/>
        </w:rPr>
        <w:t xml:space="preserve">  </w:t>
      </w:r>
    </w:p>
  </w:footnote>
  <w:footnote w:id="39">
    <w:p w14:paraId="2414A75A" w14:textId="18F1243F" w:rsidR="00BE6093" w:rsidRPr="00E30A30" w:rsidRDefault="00BE6093" w:rsidP="00BE6093">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Daniel Popp et. al., </w:t>
      </w:r>
      <w:hyperlink r:id="rId20" w:history="1">
        <w:r w:rsidRPr="00900B97">
          <w:rPr>
            <w:rStyle w:val="Hyperlink"/>
            <w:rFonts w:asciiTheme="minorHAnsi" w:hAnsiTheme="minorHAnsi"/>
            <w:i/>
            <w:iCs/>
            <w:color w:val="auto"/>
            <w:sz w:val="16"/>
            <w:szCs w:val="16"/>
            <w:u w:val="none"/>
          </w:rPr>
          <w:t>Necessity of Immediate MRI Imaging in the Acute Case of Severely Injured Patients</w:t>
        </w:r>
      </w:hyperlink>
      <w:r w:rsidRPr="00900B97">
        <w:rPr>
          <w:rFonts w:asciiTheme="minorHAnsi" w:hAnsiTheme="minorHAnsi"/>
          <w:sz w:val="16"/>
          <w:szCs w:val="16"/>
        </w:rPr>
        <w:t xml:space="preserve">, </w:t>
      </w:r>
      <w:r w:rsidRPr="00900B97">
        <w:rPr>
          <w:rFonts w:asciiTheme="minorHAnsi" w:hAnsiTheme="minorHAnsi"/>
          <w:smallCaps/>
          <w:sz w:val="16"/>
          <w:szCs w:val="16"/>
        </w:rPr>
        <w:t>Medicine</w:t>
      </w:r>
      <w:r w:rsidRPr="00900B97">
        <w:rPr>
          <w:rFonts w:asciiTheme="minorHAnsi" w:hAnsiTheme="minorHAnsi"/>
          <w:sz w:val="16"/>
          <w:szCs w:val="16"/>
        </w:rPr>
        <w:t xml:space="preserve"> </w:t>
      </w:r>
      <w:r w:rsidRPr="00E30A30">
        <w:rPr>
          <w:rFonts w:asciiTheme="minorHAnsi" w:hAnsiTheme="minorHAnsi"/>
          <w:sz w:val="16"/>
          <w:szCs w:val="16"/>
        </w:rPr>
        <w:t xml:space="preserve">(Sept. 18, 2021), </w:t>
      </w:r>
      <w:hyperlink r:id="rId21" w:history="1">
        <w:r w:rsidRPr="00E30A30">
          <w:rPr>
            <w:rStyle w:val="Hyperlink"/>
            <w:rFonts w:asciiTheme="minorHAnsi" w:hAnsiTheme="minorHAnsi"/>
            <w:sz w:val="16"/>
            <w:szCs w:val="16"/>
          </w:rPr>
          <w:t>https://pmc.ncbi.nlm.nih.gov/articles/PMC8470916/</w:t>
        </w:r>
      </w:hyperlink>
      <w:r w:rsidRPr="00E30A30">
        <w:rPr>
          <w:rFonts w:asciiTheme="minorHAnsi" w:hAnsiTheme="minorHAnsi"/>
          <w:sz w:val="16"/>
          <w:szCs w:val="16"/>
        </w:rPr>
        <w:t xml:space="preserve">. </w:t>
      </w:r>
      <w:r w:rsidRPr="00E30A30">
        <w:rPr>
          <w:rFonts w:asciiTheme="minorHAnsi" w:hAnsiTheme="minorHAnsi"/>
          <w:i/>
          <w:iCs/>
          <w:sz w:val="16"/>
          <w:szCs w:val="16"/>
        </w:rPr>
        <w:t xml:space="preserve">See also </w:t>
      </w:r>
      <w:r w:rsidRPr="00E30A30">
        <w:rPr>
          <w:rFonts w:asciiTheme="minorHAnsi" w:hAnsiTheme="minorHAnsi"/>
          <w:sz w:val="16"/>
          <w:szCs w:val="16"/>
        </w:rPr>
        <w:t>S.R. Sarblah et. a</w:t>
      </w:r>
      <w:r w:rsidRPr="00900B97">
        <w:rPr>
          <w:rFonts w:asciiTheme="minorHAnsi" w:hAnsiTheme="minorHAnsi"/>
          <w:sz w:val="16"/>
          <w:szCs w:val="16"/>
        </w:rPr>
        <w:t>l.</w:t>
      </w:r>
      <w:r w:rsidRPr="00900B97">
        <w:rPr>
          <w:rFonts w:asciiTheme="minorHAnsi" w:hAnsiTheme="minorHAnsi"/>
          <w:i/>
          <w:iCs/>
          <w:sz w:val="16"/>
          <w:szCs w:val="16"/>
        </w:rPr>
        <w:t xml:space="preserve">, </w:t>
      </w:r>
      <w:hyperlink r:id="rId22" w:history="1">
        <w:r w:rsidRPr="00900B97">
          <w:rPr>
            <w:rStyle w:val="Hyperlink"/>
            <w:rFonts w:asciiTheme="minorHAnsi" w:hAnsiTheme="minorHAnsi"/>
            <w:i/>
            <w:iCs/>
            <w:color w:val="auto"/>
            <w:sz w:val="16"/>
            <w:szCs w:val="16"/>
            <w:u w:val="none"/>
          </w:rPr>
          <w:t>Value of MRI In The Cervical Spine Imaging Series of Trauma Patients: A State-of-the-Art Review</w:t>
        </w:r>
      </w:hyperlink>
      <w:r w:rsidRPr="00900B97">
        <w:rPr>
          <w:rFonts w:asciiTheme="minorHAnsi" w:hAnsiTheme="minorHAnsi"/>
          <w:i/>
          <w:iCs/>
          <w:sz w:val="16"/>
          <w:szCs w:val="16"/>
        </w:rPr>
        <w:t xml:space="preserve">, </w:t>
      </w:r>
      <w:r w:rsidRPr="00900B97">
        <w:rPr>
          <w:rFonts w:asciiTheme="minorHAnsi" w:hAnsiTheme="minorHAnsi"/>
          <w:iCs/>
          <w:smallCaps/>
          <w:sz w:val="16"/>
          <w:szCs w:val="16"/>
        </w:rPr>
        <w:t>Radiography</w:t>
      </w:r>
      <w:r w:rsidRPr="00900B97">
        <w:rPr>
          <w:rFonts w:asciiTheme="minorHAnsi" w:hAnsiTheme="minorHAnsi"/>
          <w:i/>
          <w:iCs/>
          <w:sz w:val="16"/>
          <w:szCs w:val="16"/>
        </w:rPr>
        <w:t xml:space="preserve"> </w:t>
      </w:r>
      <w:r w:rsidRPr="00900B97">
        <w:rPr>
          <w:rFonts w:asciiTheme="minorHAnsi" w:hAnsiTheme="minorHAnsi"/>
          <w:sz w:val="16"/>
          <w:szCs w:val="16"/>
        </w:rPr>
        <w:t xml:space="preserve">(May 2024), </w:t>
      </w:r>
      <w:hyperlink r:id="rId23" w:history="1">
        <w:r w:rsidRPr="00E30A30">
          <w:rPr>
            <w:rStyle w:val="Hyperlink"/>
            <w:rFonts w:asciiTheme="minorHAnsi" w:hAnsiTheme="minorHAnsi"/>
            <w:sz w:val="16"/>
            <w:szCs w:val="16"/>
          </w:rPr>
          <w:t>https://www.sciencedirect.com/science/article/pii/S1078817424000944</w:t>
        </w:r>
      </w:hyperlink>
      <w:r w:rsidRPr="00E30A30">
        <w:rPr>
          <w:rFonts w:asciiTheme="minorHAnsi" w:hAnsiTheme="minorHAnsi"/>
          <w:sz w:val="16"/>
          <w:szCs w:val="16"/>
        </w:rPr>
        <w:t>.</w:t>
      </w:r>
    </w:p>
  </w:footnote>
  <w:footnote w:id="40">
    <w:p w14:paraId="4764DF11" w14:textId="7BB1DC15" w:rsidR="00BE6093" w:rsidRPr="00E30A30" w:rsidRDefault="00BE6093" w:rsidP="00BE6093">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hyperlink r:id="rId24" w:history="1">
        <w:r w:rsidRPr="00900B97">
          <w:rPr>
            <w:rStyle w:val="Hyperlink"/>
            <w:rFonts w:asciiTheme="minorHAnsi" w:hAnsiTheme="minorHAnsi"/>
            <w:i/>
            <w:iCs/>
            <w:color w:val="auto"/>
            <w:sz w:val="16"/>
            <w:szCs w:val="16"/>
            <w:u w:val="none"/>
          </w:rPr>
          <w:t>New Guideline: MRI Better Than CT Scans At Diagnosing Stroke</w:t>
        </w:r>
      </w:hyperlink>
      <w:r w:rsidRPr="00900B97">
        <w:rPr>
          <w:rFonts w:asciiTheme="minorHAnsi" w:hAnsiTheme="minorHAnsi"/>
          <w:sz w:val="16"/>
          <w:szCs w:val="16"/>
        </w:rPr>
        <w:t xml:space="preserve">, American </w:t>
      </w:r>
      <w:r w:rsidRPr="00E30A30">
        <w:rPr>
          <w:rFonts w:asciiTheme="minorHAnsi" w:hAnsiTheme="minorHAnsi"/>
          <w:sz w:val="16"/>
          <w:szCs w:val="16"/>
        </w:rPr>
        <w:t xml:space="preserve">Academy of Neurology (last accessed Oct. 16, 2025), </w:t>
      </w:r>
      <w:hyperlink r:id="rId25" w:history="1">
        <w:r w:rsidRPr="00E30A30">
          <w:rPr>
            <w:rStyle w:val="Hyperlink"/>
            <w:rFonts w:asciiTheme="minorHAnsi" w:hAnsiTheme="minorHAnsi"/>
            <w:sz w:val="16"/>
            <w:szCs w:val="16"/>
          </w:rPr>
          <w:t>https://www.aan.com/PressRoom/Home/PressRelease/849</w:t>
        </w:r>
      </w:hyperlink>
      <w:r w:rsidRPr="00E30A30">
        <w:rPr>
          <w:rFonts w:asciiTheme="minorHAnsi" w:hAnsiTheme="minorHAnsi"/>
          <w:sz w:val="16"/>
          <w:szCs w:val="16"/>
        </w:rPr>
        <w:t>.</w:t>
      </w:r>
    </w:p>
  </w:footnote>
  <w:footnote w:id="41">
    <w:p w14:paraId="03CE71EF" w14:textId="77777777" w:rsidR="00BE6093" w:rsidRPr="00E30A30" w:rsidRDefault="00BE6093" w:rsidP="00BE6093">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r w:rsidRPr="00E30A30">
        <w:rPr>
          <w:rFonts w:asciiTheme="minorHAnsi" w:hAnsiTheme="minorHAnsi"/>
          <w:i/>
          <w:iCs/>
          <w:sz w:val="16"/>
          <w:szCs w:val="16"/>
        </w:rPr>
        <w:t>Id.</w:t>
      </w:r>
    </w:p>
  </w:footnote>
  <w:footnote w:id="42">
    <w:p w14:paraId="21F5A0BD" w14:textId="4D026DDA" w:rsidR="00BE6093" w:rsidRPr="00E30A30" w:rsidRDefault="00BE6093" w:rsidP="00BE6093">
      <w:pPr>
        <w:pStyle w:val="FootnoteText"/>
        <w:rPr>
          <w:rFonts w:asciiTheme="minorHAnsi" w:hAnsiTheme="minorHAnsi"/>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hyperlink r:id="rId26" w:history="1">
        <w:r w:rsidRPr="00900B97">
          <w:rPr>
            <w:rStyle w:val="Hyperlink"/>
            <w:rFonts w:asciiTheme="minorHAnsi" w:hAnsiTheme="minorHAnsi"/>
            <w:i/>
            <w:iCs/>
            <w:color w:val="auto"/>
            <w:sz w:val="16"/>
            <w:szCs w:val="16"/>
            <w:u w:val="none"/>
          </w:rPr>
          <w:t>MRI Analysis Could Prevent Brain Damage From Stroke, Stanford Study Finds</w:t>
        </w:r>
      </w:hyperlink>
      <w:r w:rsidRPr="00900B97">
        <w:rPr>
          <w:rFonts w:asciiTheme="minorHAnsi" w:hAnsiTheme="minorHAnsi"/>
          <w:sz w:val="16"/>
          <w:szCs w:val="16"/>
        </w:rPr>
        <w:t xml:space="preserve">, Stanford </w:t>
      </w:r>
      <w:r w:rsidRPr="00E30A30">
        <w:rPr>
          <w:rFonts w:asciiTheme="minorHAnsi" w:hAnsiTheme="minorHAnsi"/>
          <w:sz w:val="16"/>
          <w:szCs w:val="16"/>
        </w:rPr>
        <w:t xml:space="preserve">Medicine (Nov. 1, 2006), </w:t>
      </w:r>
      <w:hyperlink r:id="rId27" w:history="1">
        <w:r w:rsidRPr="00E30A30">
          <w:rPr>
            <w:rStyle w:val="Hyperlink"/>
            <w:rFonts w:asciiTheme="minorHAnsi" w:hAnsiTheme="minorHAnsi"/>
            <w:sz w:val="16"/>
            <w:szCs w:val="16"/>
          </w:rPr>
          <w:t>https://med.stanford.edu/news/all-news/2006/11/mri-analysis-could-prevent-brain-damage-from-stroke-stanford-study-finds.html</w:t>
        </w:r>
      </w:hyperlink>
      <w:r w:rsidRPr="00E30A30">
        <w:rPr>
          <w:rFonts w:asciiTheme="minorHAnsi" w:hAnsiTheme="minorHAnsi"/>
          <w:sz w:val="16"/>
          <w:szCs w:val="16"/>
        </w:rPr>
        <w:t>.</w:t>
      </w:r>
    </w:p>
  </w:footnote>
  <w:footnote w:id="43">
    <w:p w14:paraId="67242E00" w14:textId="1A6874D5" w:rsidR="00BE6093" w:rsidRPr="00E30A30" w:rsidRDefault="00BE6093" w:rsidP="00BE6093">
      <w:pPr>
        <w:pStyle w:val="FootnoteText"/>
        <w:rPr>
          <w:sz w:val="16"/>
          <w:szCs w:val="16"/>
        </w:rPr>
      </w:pPr>
      <w:r w:rsidRPr="00E30A30">
        <w:rPr>
          <w:rStyle w:val="FootnoteReference"/>
          <w:rFonts w:asciiTheme="minorHAnsi" w:hAnsiTheme="minorHAnsi"/>
          <w:sz w:val="16"/>
          <w:szCs w:val="16"/>
        </w:rPr>
        <w:footnoteRef/>
      </w:r>
      <w:r w:rsidRPr="00E30A30">
        <w:rPr>
          <w:rFonts w:asciiTheme="minorHAnsi" w:hAnsiTheme="minorHAnsi"/>
          <w:sz w:val="16"/>
          <w:szCs w:val="16"/>
        </w:rPr>
        <w:t xml:space="preserve"> </w:t>
      </w:r>
      <w:hyperlink r:id="rId28" w:history="1">
        <w:r w:rsidRPr="00900B97">
          <w:rPr>
            <w:rStyle w:val="Hyperlink"/>
            <w:rFonts w:asciiTheme="minorHAnsi" w:hAnsiTheme="minorHAnsi"/>
            <w:i/>
            <w:iCs/>
            <w:color w:val="auto"/>
            <w:sz w:val="16"/>
            <w:szCs w:val="16"/>
            <w:u w:val="none"/>
          </w:rPr>
          <w:t>Magnetic Resonance Imaging for Stroke</w:t>
        </w:r>
      </w:hyperlink>
      <w:r w:rsidRPr="00900B97">
        <w:rPr>
          <w:rFonts w:asciiTheme="minorHAnsi" w:hAnsiTheme="minorHAnsi"/>
          <w:sz w:val="16"/>
          <w:szCs w:val="16"/>
        </w:rPr>
        <w:t xml:space="preserve">, Northwestern </w:t>
      </w:r>
      <w:r w:rsidRPr="00E30A30">
        <w:rPr>
          <w:rFonts w:asciiTheme="minorHAnsi" w:hAnsiTheme="minorHAnsi"/>
          <w:sz w:val="16"/>
          <w:szCs w:val="16"/>
        </w:rPr>
        <w:t xml:space="preserve">Medicine (last accessed Oct. 16, 2025), </w:t>
      </w:r>
      <w:hyperlink r:id="rId29" w:history="1">
        <w:r w:rsidRPr="00E30A30">
          <w:rPr>
            <w:rStyle w:val="Hyperlink"/>
            <w:rFonts w:asciiTheme="minorHAnsi" w:hAnsiTheme="minorHAnsi"/>
            <w:sz w:val="16"/>
            <w:szCs w:val="16"/>
          </w:rPr>
          <w:t>https://www.nm.org/conditions-and-care-areas/tests/magnetic-resonance-imaging-for-stroke</w:t>
        </w:r>
      </w:hyperlink>
      <w:r w:rsidRPr="00E30A30">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3B0B" w14:textId="77777777" w:rsidR="00EA1E6D" w:rsidRDefault="00EA1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282" w14:textId="77777777" w:rsidR="00EA1E6D" w:rsidRDefault="00EA1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449" w14:textId="77777777" w:rsidR="00EA1E6D" w:rsidRDefault="00EA1E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DB74" w14:textId="77777777" w:rsidR="00E8044F" w:rsidRDefault="00E804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9E9" w14:textId="77777777" w:rsidR="00E8044F" w:rsidRDefault="00E804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0074" w14:textId="77777777" w:rsidR="00E8044F" w:rsidRDefault="00E8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BBA"/>
    <w:multiLevelType w:val="hybridMultilevel"/>
    <w:tmpl w:val="C3449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13864"/>
    <w:multiLevelType w:val="hybridMultilevel"/>
    <w:tmpl w:val="50AC274A"/>
    <w:lvl w:ilvl="0" w:tplc="7766F908">
      <w:start w:val="3"/>
      <w:numFmt w:val="bullet"/>
      <w:lvlText w:val="-"/>
      <w:lvlJc w:val="left"/>
      <w:pPr>
        <w:ind w:left="720" w:hanging="360"/>
      </w:pPr>
      <w:rPr>
        <w:rFonts w:ascii="Aptos" w:eastAsia="Times New Roman"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029"/>
    <w:multiLevelType w:val="hybridMultilevel"/>
    <w:tmpl w:val="6040CD8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40CCCEE">
      <w:numFmt w:val="bullet"/>
      <w:lvlText w:val="•"/>
      <w:lvlJc w:val="left"/>
      <w:pPr>
        <w:ind w:left="3960" w:hanging="720"/>
      </w:pPr>
      <w:rPr>
        <w:rFonts w:ascii="Arial" w:eastAsiaTheme="minorHAnsi"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6E42EF"/>
    <w:multiLevelType w:val="hybridMultilevel"/>
    <w:tmpl w:val="9DB0D66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622BE"/>
    <w:multiLevelType w:val="hybridMultilevel"/>
    <w:tmpl w:val="0E923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A0454"/>
    <w:multiLevelType w:val="hybridMultilevel"/>
    <w:tmpl w:val="7AC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A5F86"/>
    <w:multiLevelType w:val="hybridMultilevel"/>
    <w:tmpl w:val="C06208DE"/>
    <w:lvl w:ilvl="0" w:tplc="75D268F2">
      <w:start w:val="1"/>
      <w:numFmt w:val="decimal"/>
      <w:lvlText w:val="%1."/>
      <w:lvlJc w:val="left"/>
      <w:pPr>
        <w:ind w:left="1020" w:hanging="360"/>
      </w:pPr>
    </w:lvl>
    <w:lvl w:ilvl="1" w:tplc="881883D4">
      <w:start w:val="1"/>
      <w:numFmt w:val="decimal"/>
      <w:lvlText w:val="%2."/>
      <w:lvlJc w:val="left"/>
      <w:pPr>
        <w:ind w:left="1020" w:hanging="360"/>
      </w:pPr>
    </w:lvl>
    <w:lvl w:ilvl="2" w:tplc="EE5CEAA8">
      <w:start w:val="1"/>
      <w:numFmt w:val="decimal"/>
      <w:lvlText w:val="%3."/>
      <w:lvlJc w:val="left"/>
      <w:pPr>
        <w:ind w:left="1020" w:hanging="360"/>
      </w:pPr>
    </w:lvl>
    <w:lvl w:ilvl="3" w:tplc="D09ED140">
      <w:start w:val="1"/>
      <w:numFmt w:val="decimal"/>
      <w:lvlText w:val="%4."/>
      <w:lvlJc w:val="left"/>
      <w:pPr>
        <w:ind w:left="1020" w:hanging="360"/>
      </w:pPr>
    </w:lvl>
    <w:lvl w:ilvl="4" w:tplc="1B0E6A6A">
      <w:start w:val="1"/>
      <w:numFmt w:val="decimal"/>
      <w:lvlText w:val="%5."/>
      <w:lvlJc w:val="left"/>
      <w:pPr>
        <w:ind w:left="1020" w:hanging="360"/>
      </w:pPr>
    </w:lvl>
    <w:lvl w:ilvl="5" w:tplc="CCB4A784">
      <w:start w:val="1"/>
      <w:numFmt w:val="decimal"/>
      <w:lvlText w:val="%6."/>
      <w:lvlJc w:val="left"/>
      <w:pPr>
        <w:ind w:left="1020" w:hanging="360"/>
      </w:pPr>
    </w:lvl>
    <w:lvl w:ilvl="6" w:tplc="0F86FBD4">
      <w:start w:val="1"/>
      <w:numFmt w:val="decimal"/>
      <w:lvlText w:val="%7."/>
      <w:lvlJc w:val="left"/>
      <w:pPr>
        <w:ind w:left="1020" w:hanging="360"/>
      </w:pPr>
    </w:lvl>
    <w:lvl w:ilvl="7" w:tplc="AB9063DA">
      <w:start w:val="1"/>
      <w:numFmt w:val="decimal"/>
      <w:lvlText w:val="%8."/>
      <w:lvlJc w:val="left"/>
      <w:pPr>
        <w:ind w:left="1020" w:hanging="360"/>
      </w:pPr>
    </w:lvl>
    <w:lvl w:ilvl="8" w:tplc="35AC4DFA">
      <w:start w:val="1"/>
      <w:numFmt w:val="decimal"/>
      <w:lvlText w:val="%9."/>
      <w:lvlJc w:val="left"/>
      <w:pPr>
        <w:ind w:left="1020" w:hanging="360"/>
      </w:pPr>
    </w:lvl>
  </w:abstractNum>
  <w:abstractNum w:abstractNumId="9" w15:restartNumberingAfterBreak="0">
    <w:nsid w:val="28AB6D6C"/>
    <w:multiLevelType w:val="hybridMultilevel"/>
    <w:tmpl w:val="864E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15:restartNumberingAfterBreak="0">
    <w:nsid w:val="489B178D"/>
    <w:multiLevelType w:val="hybridMultilevel"/>
    <w:tmpl w:val="60CE4626"/>
    <w:lvl w:ilvl="0" w:tplc="9F66AABC">
      <w:start w:val="1"/>
      <w:numFmt w:val="decimal"/>
      <w:lvlText w:val="%1."/>
      <w:lvlJc w:val="left"/>
      <w:pPr>
        <w:ind w:left="1020" w:hanging="360"/>
      </w:pPr>
    </w:lvl>
    <w:lvl w:ilvl="1" w:tplc="76AAB172">
      <w:start w:val="1"/>
      <w:numFmt w:val="decimal"/>
      <w:lvlText w:val="%2."/>
      <w:lvlJc w:val="left"/>
      <w:pPr>
        <w:ind w:left="1020" w:hanging="360"/>
      </w:pPr>
    </w:lvl>
    <w:lvl w:ilvl="2" w:tplc="EB7C9A5C">
      <w:start w:val="1"/>
      <w:numFmt w:val="decimal"/>
      <w:lvlText w:val="%3."/>
      <w:lvlJc w:val="left"/>
      <w:pPr>
        <w:ind w:left="1020" w:hanging="360"/>
      </w:pPr>
    </w:lvl>
    <w:lvl w:ilvl="3" w:tplc="2C783C5A">
      <w:start w:val="1"/>
      <w:numFmt w:val="decimal"/>
      <w:lvlText w:val="%4."/>
      <w:lvlJc w:val="left"/>
      <w:pPr>
        <w:ind w:left="1020" w:hanging="360"/>
      </w:pPr>
    </w:lvl>
    <w:lvl w:ilvl="4" w:tplc="D6E4A828">
      <w:start w:val="1"/>
      <w:numFmt w:val="decimal"/>
      <w:lvlText w:val="%5."/>
      <w:lvlJc w:val="left"/>
      <w:pPr>
        <w:ind w:left="1020" w:hanging="360"/>
      </w:pPr>
    </w:lvl>
    <w:lvl w:ilvl="5" w:tplc="AC12A7A0">
      <w:start w:val="1"/>
      <w:numFmt w:val="decimal"/>
      <w:lvlText w:val="%6."/>
      <w:lvlJc w:val="left"/>
      <w:pPr>
        <w:ind w:left="1020" w:hanging="360"/>
      </w:pPr>
    </w:lvl>
    <w:lvl w:ilvl="6" w:tplc="4EF8FF18">
      <w:start w:val="1"/>
      <w:numFmt w:val="decimal"/>
      <w:lvlText w:val="%7."/>
      <w:lvlJc w:val="left"/>
      <w:pPr>
        <w:ind w:left="1020" w:hanging="360"/>
      </w:pPr>
    </w:lvl>
    <w:lvl w:ilvl="7" w:tplc="C66212DC">
      <w:start w:val="1"/>
      <w:numFmt w:val="decimal"/>
      <w:lvlText w:val="%8."/>
      <w:lvlJc w:val="left"/>
      <w:pPr>
        <w:ind w:left="1020" w:hanging="360"/>
      </w:pPr>
    </w:lvl>
    <w:lvl w:ilvl="8" w:tplc="DFD6D2B4">
      <w:start w:val="1"/>
      <w:numFmt w:val="decimal"/>
      <w:lvlText w:val="%9."/>
      <w:lvlJc w:val="left"/>
      <w:pPr>
        <w:ind w:left="1020" w:hanging="360"/>
      </w:pPr>
    </w:lvl>
  </w:abstractNum>
  <w:abstractNum w:abstractNumId="12" w15:restartNumberingAfterBreak="0">
    <w:nsid w:val="4E224185"/>
    <w:multiLevelType w:val="hybridMultilevel"/>
    <w:tmpl w:val="AAC6E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B2934"/>
    <w:multiLevelType w:val="hybridMultilevel"/>
    <w:tmpl w:val="2C7C0C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CA2284"/>
    <w:multiLevelType w:val="hybridMultilevel"/>
    <w:tmpl w:val="E9B41CF2"/>
    <w:lvl w:ilvl="0" w:tplc="605C464A">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15:restartNumberingAfterBreak="0">
    <w:nsid w:val="5EFA75B8"/>
    <w:multiLevelType w:val="hybridMultilevel"/>
    <w:tmpl w:val="E75C4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515CE"/>
    <w:multiLevelType w:val="hybridMultilevel"/>
    <w:tmpl w:val="7E727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788F8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706BE"/>
    <w:multiLevelType w:val="hybridMultilevel"/>
    <w:tmpl w:val="C07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18917">
    <w:abstractNumId w:val="5"/>
  </w:num>
  <w:num w:numId="2" w16cid:durableId="736050759">
    <w:abstractNumId w:val="1"/>
  </w:num>
  <w:num w:numId="3" w16cid:durableId="1265768795">
    <w:abstractNumId w:val="15"/>
  </w:num>
  <w:num w:numId="4" w16cid:durableId="1028722776">
    <w:abstractNumId w:val="0"/>
  </w:num>
  <w:num w:numId="5" w16cid:durableId="112752211">
    <w:abstractNumId w:val="6"/>
  </w:num>
  <w:num w:numId="6" w16cid:durableId="650014844">
    <w:abstractNumId w:val="10"/>
  </w:num>
  <w:num w:numId="7" w16cid:durableId="4212526">
    <w:abstractNumId w:val="3"/>
  </w:num>
  <w:num w:numId="8" w16cid:durableId="462649816">
    <w:abstractNumId w:val="17"/>
  </w:num>
  <w:num w:numId="9" w16cid:durableId="222719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4048935">
    <w:abstractNumId w:val="8"/>
  </w:num>
  <w:num w:numId="11" w16cid:durableId="1421178811">
    <w:abstractNumId w:val="2"/>
  </w:num>
  <w:num w:numId="12" w16cid:durableId="1773280240">
    <w:abstractNumId w:val="12"/>
  </w:num>
  <w:num w:numId="13" w16cid:durableId="1421288982">
    <w:abstractNumId w:val="16"/>
  </w:num>
  <w:num w:numId="14" w16cid:durableId="1986005863">
    <w:abstractNumId w:val="11"/>
  </w:num>
  <w:num w:numId="15" w16cid:durableId="569458813">
    <w:abstractNumId w:val="7"/>
  </w:num>
  <w:num w:numId="16" w16cid:durableId="459110877">
    <w:abstractNumId w:val="9"/>
  </w:num>
  <w:num w:numId="17" w16cid:durableId="548149344">
    <w:abstractNumId w:val="4"/>
  </w:num>
  <w:num w:numId="18" w16cid:durableId="2091266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35"/>
    <w:rsid w:val="00000876"/>
    <w:rsid w:val="000110A8"/>
    <w:rsid w:val="00027421"/>
    <w:rsid w:val="00032A90"/>
    <w:rsid w:val="00035A02"/>
    <w:rsid w:val="00053A0C"/>
    <w:rsid w:val="00053F78"/>
    <w:rsid w:val="00054E46"/>
    <w:rsid w:val="00055EBA"/>
    <w:rsid w:val="00061646"/>
    <w:rsid w:val="00064F36"/>
    <w:rsid w:val="000659E3"/>
    <w:rsid w:val="00066735"/>
    <w:rsid w:val="00074CBA"/>
    <w:rsid w:val="000820B2"/>
    <w:rsid w:val="000A1048"/>
    <w:rsid w:val="000A1F09"/>
    <w:rsid w:val="000B3A20"/>
    <w:rsid w:val="000C33DA"/>
    <w:rsid w:val="000E2B17"/>
    <w:rsid w:val="000E43A9"/>
    <w:rsid w:val="0010188A"/>
    <w:rsid w:val="00117B78"/>
    <w:rsid w:val="0012406E"/>
    <w:rsid w:val="00131777"/>
    <w:rsid w:val="001604C7"/>
    <w:rsid w:val="001668C6"/>
    <w:rsid w:val="001812CA"/>
    <w:rsid w:val="001A01E6"/>
    <w:rsid w:val="001A7181"/>
    <w:rsid w:val="001B2437"/>
    <w:rsid w:val="001B60AC"/>
    <w:rsid w:val="001B790D"/>
    <w:rsid w:val="001B7A1C"/>
    <w:rsid w:val="001C32D8"/>
    <w:rsid w:val="001D5847"/>
    <w:rsid w:val="001D634A"/>
    <w:rsid w:val="001E6649"/>
    <w:rsid w:val="001F059B"/>
    <w:rsid w:val="001F69D9"/>
    <w:rsid w:val="0021641E"/>
    <w:rsid w:val="00221A47"/>
    <w:rsid w:val="002270BF"/>
    <w:rsid w:val="00227B01"/>
    <w:rsid w:val="00243522"/>
    <w:rsid w:val="002615CC"/>
    <w:rsid w:val="00263370"/>
    <w:rsid w:val="00272502"/>
    <w:rsid w:val="002762B0"/>
    <w:rsid w:val="00282841"/>
    <w:rsid w:val="00292D09"/>
    <w:rsid w:val="00294488"/>
    <w:rsid w:val="00296B77"/>
    <w:rsid w:val="002A0EC9"/>
    <w:rsid w:val="002A367E"/>
    <w:rsid w:val="002C43A8"/>
    <w:rsid w:val="002D28E3"/>
    <w:rsid w:val="002D33E8"/>
    <w:rsid w:val="002D4A14"/>
    <w:rsid w:val="002F4991"/>
    <w:rsid w:val="00307867"/>
    <w:rsid w:val="00313E5A"/>
    <w:rsid w:val="00321D8E"/>
    <w:rsid w:val="00333333"/>
    <w:rsid w:val="00341C2B"/>
    <w:rsid w:val="0034616D"/>
    <w:rsid w:val="00362BDC"/>
    <w:rsid w:val="00362F87"/>
    <w:rsid w:val="00386B37"/>
    <w:rsid w:val="003A1946"/>
    <w:rsid w:val="003A516B"/>
    <w:rsid w:val="003D39A1"/>
    <w:rsid w:val="003D5B51"/>
    <w:rsid w:val="003D5CBE"/>
    <w:rsid w:val="003E69AF"/>
    <w:rsid w:val="003F55F6"/>
    <w:rsid w:val="00401E39"/>
    <w:rsid w:val="0041083C"/>
    <w:rsid w:val="00464C54"/>
    <w:rsid w:val="00466745"/>
    <w:rsid w:val="004731D9"/>
    <w:rsid w:val="004817EA"/>
    <w:rsid w:val="004860BB"/>
    <w:rsid w:val="00490A16"/>
    <w:rsid w:val="0049214A"/>
    <w:rsid w:val="004A4951"/>
    <w:rsid w:val="004C5A46"/>
    <w:rsid w:val="004C690A"/>
    <w:rsid w:val="004D1D4D"/>
    <w:rsid w:val="004E01E8"/>
    <w:rsid w:val="004E7ADD"/>
    <w:rsid w:val="004F2D5A"/>
    <w:rsid w:val="005022F7"/>
    <w:rsid w:val="00504392"/>
    <w:rsid w:val="0050745E"/>
    <w:rsid w:val="00561079"/>
    <w:rsid w:val="00561106"/>
    <w:rsid w:val="005611C2"/>
    <w:rsid w:val="00571246"/>
    <w:rsid w:val="00593296"/>
    <w:rsid w:val="00597BCB"/>
    <w:rsid w:val="005A2141"/>
    <w:rsid w:val="005A2305"/>
    <w:rsid w:val="005B1D21"/>
    <w:rsid w:val="005B5154"/>
    <w:rsid w:val="005C014A"/>
    <w:rsid w:val="005C2045"/>
    <w:rsid w:val="005E1C49"/>
    <w:rsid w:val="005F160F"/>
    <w:rsid w:val="005F18DC"/>
    <w:rsid w:val="005F24CC"/>
    <w:rsid w:val="00604B2B"/>
    <w:rsid w:val="006104F4"/>
    <w:rsid w:val="00613B1B"/>
    <w:rsid w:val="00621629"/>
    <w:rsid w:val="006226E4"/>
    <w:rsid w:val="006245BA"/>
    <w:rsid w:val="00634EF7"/>
    <w:rsid w:val="00651FE4"/>
    <w:rsid w:val="00683B8B"/>
    <w:rsid w:val="00687012"/>
    <w:rsid w:val="006A66E9"/>
    <w:rsid w:val="006A70DC"/>
    <w:rsid w:val="006B78F3"/>
    <w:rsid w:val="006D0E06"/>
    <w:rsid w:val="006F6593"/>
    <w:rsid w:val="00705929"/>
    <w:rsid w:val="00712661"/>
    <w:rsid w:val="00745C9E"/>
    <w:rsid w:val="00746241"/>
    <w:rsid w:val="0074697A"/>
    <w:rsid w:val="00746992"/>
    <w:rsid w:val="00751C83"/>
    <w:rsid w:val="0075245E"/>
    <w:rsid w:val="007546C7"/>
    <w:rsid w:val="00755329"/>
    <w:rsid w:val="00755A8A"/>
    <w:rsid w:val="00755D32"/>
    <w:rsid w:val="00782925"/>
    <w:rsid w:val="007A1D75"/>
    <w:rsid w:val="007C3C94"/>
    <w:rsid w:val="007C5EF6"/>
    <w:rsid w:val="007D6AF7"/>
    <w:rsid w:val="007D6EE3"/>
    <w:rsid w:val="007E19C9"/>
    <w:rsid w:val="008028F8"/>
    <w:rsid w:val="00805840"/>
    <w:rsid w:val="00816F4E"/>
    <w:rsid w:val="00820D40"/>
    <w:rsid w:val="00830D58"/>
    <w:rsid w:val="00844F26"/>
    <w:rsid w:val="008548E0"/>
    <w:rsid w:val="008840B7"/>
    <w:rsid w:val="008942D2"/>
    <w:rsid w:val="008D058F"/>
    <w:rsid w:val="008D1D33"/>
    <w:rsid w:val="008D20AD"/>
    <w:rsid w:val="008D4792"/>
    <w:rsid w:val="008E6348"/>
    <w:rsid w:val="00900B97"/>
    <w:rsid w:val="00903E3C"/>
    <w:rsid w:val="009070D1"/>
    <w:rsid w:val="00931DF0"/>
    <w:rsid w:val="0093714B"/>
    <w:rsid w:val="009372D8"/>
    <w:rsid w:val="009411CB"/>
    <w:rsid w:val="00941811"/>
    <w:rsid w:val="00945003"/>
    <w:rsid w:val="0094639B"/>
    <w:rsid w:val="00947D51"/>
    <w:rsid w:val="009529DC"/>
    <w:rsid w:val="0096708F"/>
    <w:rsid w:val="009839AC"/>
    <w:rsid w:val="0099110B"/>
    <w:rsid w:val="00991B64"/>
    <w:rsid w:val="009954A5"/>
    <w:rsid w:val="009C2E77"/>
    <w:rsid w:val="009D08F5"/>
    <w:rsid w:val="009E55FF"/>
    <w:rsid w:val="009F7193"/>
    <w:rsid w:val="00A04173"/>
    <w:rsid w:val="00A263A7"/>
    <w:rsid w:val="00A4051D"/>
    <w:rsid w:val="00A42461"/>
    <w:rsid w:val="00A424CD"/>
    <w:rsid w:val="00A442A3"/>
    <w:rsid w:val="00A44CD0"/>
    <w:rsid w:val="00A55654"/>
    <w:rsid w:val="00A70547"/>
    <w:rsid w:val="00A715EB"/>
    <w:rsid w:val="00A73E6B"/>
    <w:rsid w:val="00A76226"/>
    <w:rsid w:val="00A76293"/>
    <w:rsid w:val="00A84148"/>
    <w:rsid w:val="00A90780"/>
    <w:rsid w:val="00AA4845"/>
    <w:rsid w:val="00AB5A63"/>
    <w:rsid w:val="00AC1649"/>
    <w:rsid w:val="00AC1EA7"/>
    <w:rsid w:val="00AC77C9"/>
    <w:rsid w:val="00AF0338"/>
    <w:rsid w:val="00AF4688"/>
    <w:rsid w:val="00B01F67"/>
    <w:rsid w:val="00B15FD6"/>
    <w:rsid w:val="00B2744A"/>
    <w:rsid w:val="00B37C87"/>
    <w:rsid w:val="00B55EC2"/>
    <w:rsid w:val="00B603F0"/>
    <w:rsid w:val="00B606D4"/>
    <w:rsid w:val="00BA0730"/>
    <w:rsid w:val="00BB24C0"/>
    <w:rsid w:val="00BB3F45"/>
    <w:rsid w:val="00BC7604"/>
    <w:rsid w:val="00BD18EA"/>
    <w:rsid w:val="00BD7410"/>
    <w:rsid w:val="00BE00FF"/>
    <w:rsid w:val="00BE28ED"/>
    <w:rsid w:val="00BE6093"/>
    <w:rsid w:val="00C00170"/>
    <w:rsid w:val="00C11EA4"/>
    <w:rsid w:val="00C25803"/>
    <w:rsid w:val="00C26AF4"/>
    <w:rsid w:val="00C31B08"/>
    <w:rsid w:val="00C52CA8"/>
    <w:rsid w:val="00C5481A"/>
    <w:rsid w:val="00C66B4A"/>
    <w:rsid w:val="00C725D8"/>
    <w:rsid w:val="00C77112"/>
    <w:rsid w:val="00C82DD1"/>
    <w:rsid w:val="00C85F2B"/>
    <w:rsid w:val="00CA4E66"/>
    <w:rsid w:val="00CB0E68"/>
    <w:rsid w:val="00CB1F5B"/>
    <w:rsid w:val="00CB5EED"/>
    <w:rsid w:val="00CF44F4"/>
    <w:rsid w:val="00D1490A"/>
    <w:rsid w:val="00D32D37"/>
    <w:rsid w:val="00D36FC4"/>
    <w:rsid w:val="00D42205"/>
    <w:rsid w:val="00D439B7"/>
    <w:rsid w:val="00D610D9"/>
    <w:rsid w:val="00D704D9"/>
    <w:rsid w:val="00D77B5A"/>
    <w:rsid w:val="00D81A5A"/>
    <w:rsid w:val="00D93016"/>
    <w:rsid w:val="00D93757"/>
    <w:rsid w:val="00D94023"/>
    <w:rsid w:val="00D96C03"/>
    <w:rsid w:val="00DA0E9D"/>
    <w:rsid w:val="00DB0610"/>
    <w:rsid w:val="00DB2AA0"/>
    <w:rsid w:val="00DB7291"/>
    <w:rsid w:val="00DF68F1"/>
    <w:rsid w:val="00E06EB4"/>
    <w:rsid w:val="00E15A4E"/>
    <w:rsid w:val="00E30A30"/>
    <w:rsid w:val="00E60722"/>
    <w:rsid w:val="00E658BE"/>
    <w:rsid w:val="00E70F18"/>
    <w:rsid w:val="00E8044F"/>
    <w:rsid w:val="00E84D68"/>
    <w:rsid w:val="00E92858"/>
    <w:rsid w:val="00E9388E"/>
    <w:rsid w:val="00E97215"/>
    <w:rsid w:val="00EA0C7D"/>
    <w:rsid w:val="00EA1E6D"/>
    <w:rsid w:val="00EB704E"/>
    <w:rsid w:val="00EC0790"/>
    <w:rsid w:val="00EC7F47"/>
    <w:rsid w:val="00ED29CF"/>
    <w:rsid w:val="00ED49B9"/>
    <w:rsid w:val="00EF167C"/>
    <w:rsid w:val="00EF4D28"/>
    <w:rsid w:val="00F06A34"/>
    <w:rsid w:val="00F12784"/>
    <w:rsid w:val="00F2603F"/>
    <w:rsid w:val="00F3038E"/>
    <w:rsid w:val="00F32E68"/>
    <w:rsid w:val="00F465E6"/>
    <w:rsid w:val="00F5273A"/>
    <w:rsid w:val="00F53909"/>
    <w:rsid w:val="00F5594E"/>
    <w:rsid w:val="00F63E75"/>
    <w:rsid w:val="00F65CC9"/>
    <w:rsid w:val="00F96663"/>
    <w:rsid w:val="00FA0937"/>
    <w:rsid w:val="00FA0DA5"/>
    <w:rsid w:val="00FA13B7"/>
    <w:rsid w:val="00FA2FF4"/>
    <w:rsid w:val="00FA376F"/>
    <w:rsid w:val="00FA3E3B"/>
    <w:rsid w:val="00FB2301"/>
    <w:rsid w:val="00FC03FB"/>
    <w:rsid w:val="00FC3113"/>
    <w:rsid w:val="00FC49A4"/>
    <w:rsid w:val="00FC5554"/>
    <w:rsid w:val="00FD3A0A"/>
    <w:rsid w:val="00FD6456"/>
    <w:rsid w:val="0EF00B20"/>
    <w:rsid w:val="174DBDC0"/>
    <w:rsid w:val="233CE18A"/>
    <w:rsid w:val="2FEA5EB4"/>
    <w:rsid w:val="39E2F636"/>
    <w:rsid w:val="67F7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E976"/>
  <w15:chartTrackingRefBased/>
  <w15:docId w15:val="{92F46195-D0E8-464E-9113-B0F6DBF0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0667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6735"/>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066735"/>
    <w:pPr>
      <w:ind w:left="720"/>
      <w:contextualSpacing/>
    </w:pPr>
  </w:style>
  <w:style w:type="character" w:styleId="IntenseEmphasis">
    <w:name w:val="Intense Emphasis"/>
    <w:basedOn w:val="DefaultParagraphFont"/>
    <w:uiPriority w:val="21"/>
    <w:qFormat/>
    <w:rsid w:val="00066735"/>
    <w:rPr>
      <w:i/>
      <w:iCs/>
      <w:color w:val="0F4761" w:themeColor="accent1" w:themeShade="BF"/>
    </w:rPr>
  </w:style>
  <w:style w:type="paragraph" w:styleId="IntenseQuote">
    <w:name w:val="Intense Quote"/>
    <w:basedOn w:val="Normal"/>
    <w:next w:val="Normal"/>
    <w:link w:val="IntenseQuoteChar"/>
    <w:uiPriority w:val="30"/>
    <w:qFormat/>
    <w:rsid w:val="00066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735"/>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066735"/>
    <w:rPr>
      <w:b/>
      <w:bCs/>
      <w:smallCaps/>
      <w:color w:val="0F4761" w:themeColor="accent1" w:themeShade="BF"/>
      <w:spacing w:val="5"/>
    </w:rPr>
  </w:style>
  <w:style w:type="character" w:styleId="FootnoteReference">
    <w:name w:val="footnote reference"/>
    <w:basedOn w:val="DefaultParagraphFont"/>
    <w:uiPriority w:val="99"/>
    <w:unhideWhenUsed/>
    <w:rsid w:val="00D77B5A"/>
    <w:rPr>
      <w:vertAlign w:val="superscript"/>
    </w:rPr>
  </w:style>
  <w:style w:type="paragraph" w:styleId="FootnoteText">
    <w:name w:val="footnote text"/>
    <w:basedOn w:val="Normal"/>
    <w:link w:val="FootnoteTextChar1"/>
    <w:uiPriority w:val="99"/>
    <w:unhideWhenUsed/>
    <w:rsid w:val="00F63E75"/>
    <w:pPr>
      <w:suppressAutoHyphens w:val="0"/>
    </w:pPr>
    <w:rPr>
      <w:rFonts w:ascii="Arial" w:eastAsiaTheme="minorHAnsi" w:hAnsi="Arial" w:cstheme="minorBidi"/>
      <w:kern w:val="0"/>
      <w:sz w:val="18"/>
      <w:szCs w:val="20"/>
      <w14:ligatures w14:val="none"/>
    </w:rPr>
  </w:style>
  <w:style w:type="character" w:customStyle="1" w:styleId="FootnoteTextChar">
    <w:name w:val="Footnote Text Char"/>
    <w:basedOn w:val="DefaultParagraphFont"/>
    <w:uiPriority w:val="99"/>
    <w:rsid w:val="00D77B5A"/>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rsid w:val="00F63E75"/>
    <w:rPr>
      <w:rFonts w:ascii="Arial" w:eastAsiaTheme="minorHAnsi" w:hAnsi="Arial"/>
      <w:kern w:val="0"/>
      <w:sz w:val="18"/>
      <w:szCs w:val="20"/>
      <w14:ligatures w14:val="none"/>
    </w:rPr>
  </w:style>
  <w:style w:type="character" w:customStyle="1" w:styleId="ListParagraphChar">
    <w:name w:val="List Paragraph Char"/>
    <w:basedOn w:val="DefaultParagraphFont"/>
    <w:link w:val="ListParagraph"/>
    <w:uiPriority w:val="34"/>
    <w:rsid w:val="00D77B5A"/>
    <w:rPr>
      <w:rFonts w:ascii="Times New Roman" w:hAnsi="Times New Roman" w:cs="Times New Roman"/>
      <w:sz w:val="24"/>
      <w:szCs w:val="24"/>
    </w:rPr>
  </w:style>
  <w:style w:type="paragraph" w:styleId="Header">
    <w:name w:val="header"/>
    <w:basedOn w:val="Normal"/>
    <w:link w:val="HeaderChar"/>
    <w:uiPriority w:val="99"/>
    <w:unhideWhenUsed/>
    <w:rsid w:val="00D77B5A"/>
    <w:pPr>
      <w:tabs>
        <w:tab w:val="center" w:pos="4680"/>
        <w:tab w:val="right" w:pos="9360"/>
      </w:tabs>
      <w:suppressAutoHyphens w:val="0"/>
    </w:pPr>
    <w:rPr>
      <w:rFonts w:asciiTheme="minorHAnsi" w:eastAsiaTheme="minorHAnsi" w:hAnsiTheme="minorHAnsi" w:cstheme="minorBidi"/>
      <w:kern w:val="0"/>
      <w:sz w:val="22"/>
      <w:szCs w:val="22"/>
      <w14:ligatures w14:val="none"/>
    </w:rPr>
  </w:style>
  <w:style w:type="character" w:customStyle="1" w:styleId="HeaderChar">
    <w:name w:val="Header Char"/>
    <w:basedOn w:val="DefaultParagraphFont"/>
    <w:link w:val="Header"/>
    <w:uiPriority w:val="99"/>
    <w:rsid w:val="00D77B5A"/>
    <w:rPr>
      <w:rFonts w:eastAsiaTheme="minorHAnsi"/>
      <w:kern w:val="0"/>
      <w14:ligatures w14:val="none"/>
    </w:rPr>
  </w:style>
  <w:style w:type="paragraph" w:styleId="Footer">
    <w:name w:val="footer"/>
    <w:basedOn w:val="Normal"/>
    <w:link w:val="FooterChar"/>
    <w:uiPriority w:val="99"/>
    <w:unhideWhenUsed/>
    <w:rsid w:val="00D77B5A"/>
    <w:pPr>
      <w:tabs>
        <w:tab w:val="center" w:pos="4680"/>
        <w:tab w:val="right" w:pos="9360"/>
      </w:tabs>
      <w:suppressAutoHyphens w:val="0"/>
    </w:pPr>
    <w:rPr>
      <w:rFonts w:asciiTheme="minorHAnsi" w:eastAsia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D77B5A"/>
    <w:rPr>
      <w:rFonts w:eastAsiaTheme="minorHAnsi"/>
      <w:kern w:val="0"/>
      <w14:ligatures w14:val="none"/>
    </w:rPr>
  </w:style>
  <w:style w:type="character" w:customStyle="1" w:styleId="DocID">
    <w:name w:val="DocID"/>
    <w:basedOn w:val="DefaultParagraphFont"/>
    <w:uiPriority w:val="1"/>
    <w:rsid w:val="00D77B5A"/>
    <w:rPr>
      <w:rFonts w:ascii="Times New Roman" w:hAnsi="Times New Roman"/>
      <w:sz w:val="16"/>
      <w:szCs w:val="16"/>
    </w:rPr>
  </w:style>
  <w:style w:type="character" w:styleId="CommentReference">
    <w:name w:val="annotation reference"/>
    <w:basedOn w:val="DefaultParagraphFont"/>
    <w:uiPriority w:val="99"/>
    <w:semiHidden/>
    <w:unhideWhenUsed/>
    <w:rsid w:val="00D77B5A"/>
    <w:rPr>
      <w:sz w:val="16"/>
      <w:szCs w:val="16"/>
    </w:rPr>
  </w:style>
  <w:style w:type="paragraph" w:styleId="CommentText">
    <w:name w:val="annotation text"/>
    <w:basedOn w:val="Normal"/>
    <w:link w:val="CommentTextChar"/>
    <w:uiPriority w:val="99"/>
    <w:unhideWhenUsed/>
    <w:rsid w:val="00D77B5A"/>
    <w:pPr>
      <w:suppressAutoHyphens w:val="0"/>
      <w:spacing w:after="160"/>
    </w:pPr>
    <w:rPr>
      <w:rFonts w:asciiTheme="minorHAnsi" w:eastAsia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rsid w:val="00D77B5A"/>
    <w:rPr>
      <w:rFonts w:eastAsia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B5A"/>
    <w:rPr>
      <w:b/>
      <w:bCs/>
    </w:rPr>
  </w:style>
  <w:style w:type="character" w:customStyle="1" w:styleId="CommentSubjectChar">
    <w:name w:val="Comment Subject Char"/>
    <w:basedOn w:val="CommentTextChar"/>
    <w:link w:val="CommentSubject"/>
    <w:uiPriority w:val="99"/>
    <w:semiHidden/>
    <w:rsid w:val="00D77B5A"/>
    <w:rPr>
      <w:rFonts w:eastAsiaTheme="minorHAnsi"/>
      <w:b/>
      <w:bCs/>
      <w:kern w:val="0"/>
      <w:sz w:val="20"/>
      <w:szCs w:val="20"/>
      <w14:ligatures w14:val="none"/>
    </w:rPr>
  </w:style>
  <w:style w:type="table" w:styleId="TableGrid">
    <w:name w:val="Table Grid"/>
    <w:basedOn w:val="TableNormal"/>
    <w:uiPriority w:val="59"/>
    <w:rsid w:val="00D77B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B5A"/>
    <w:rPr>
      <w:color w:val="0563C1"/>
      <w:u w:val="single"/>
    </w:rPr>
  </w:style>
  <w:style w:type="paragraph" w:styleId="Revision">
    <w:name w:val="Revision"/>
    <w:hidden/>
    <w:uiPriority w:val="99"/>
    <w:semiHidden/>
    <w:rsid w:val="00D77B5A"/>
    <w:pPr>
      <w:spacing w:after="0" w:line="240" w:lineRule="auto"/>
    </w:pPr>
    <w:rPr>
      <w:rFonts w:eastAsiaTheme="minorHAnsi"/>
      <w:kern w:val="0"/>
      <w14:ligatures w14:val="none"/>
    </w:rPr>
  </w:style>
  <w:style w:type="character" w:styleId="UnresolvedMention">
    <w:name w:val="Unresolved Mention"/>
    <w:basedOn w:val="DefaultParagraphFont"/>
    <w:uiPriority w:val="99"/>
    <w:semiHidden/>
    <w:unhideWhenUsed/>
    <w:rsid w:val="00D77B5A"/>
    <w:rPr>
      <w:color w:val="605E5C"/>
      <w:shd w:val="clear" w:color="auto" w:fill="E1DFDD"/>
    </w:rPr>
  </w:style>
  <w:style w:type="character" w:styleId="FollowedHyperlink">
    <w:name w:val="FollowedHyperlink"/>
    <w:basedOn w:val="DefaultParagraphFont"/>
    <w:uiPriority w:val="99"/>
    <w:semiHidden/>
    <w:unhideWhenUsed/>
    <w:rsid w:val="00D77B5A"/>
    <w:rPr>
      <w:color w:val="96607D" w:themeColor="followedHyperlink"/>
      <w:u w:val="single"/>
    </w:rPr>
  </w:style>
  <w:style w:type="paragraph" w:styleId="BodyText">
    <w:name w:val="Body Text"/>
    <w:basedOn w:val="Normal"/>
    <w:link w:val="BodyTextChar"/>
    <w:uiPriority w:val="1"/>
    <w:qFormat/>
    <w:rsid w:val="00307867"/>
    <w:pPr>
      <w:widowControl w:val="0"/>
      <w:suppressAutoHyphens w:val="0"/>
      <w:spacing w:before="10"/>
      <w:ind w:left="20"/>
    </w:pPr>
    <w:rPr>
      <w:rFonts w:cstheme="minorBidi"/>
      <w:kern w:val="0"/>
      <w:sz w:val="19"/>
      <w:szCs w:val="19"/>
      <w14:ligatures w14:val="none"/>
    </w:rPr>
  </w:style>
  <w:style w:type="character" w:customStyle="1" w:styleId="BodyTextChar">
    <w:name w:val="Body Text Char"/>
    <w:basedOn w:val="DefaultParagraphFont"/>
    <w:link w:val="BodyText"/>
    <w:uiPriority w:val="1"/>
    <w:rsid w:val="00307867"/>
    <w:rPr>
      <w:rFonts w:ascii="Times New Roman" w:hAnsi="Times New Roman"/>
      <w:kern w:val="0"/>
      <w:sz w:val="19"/>
      <w:szCs w:val="19"/>
      <w14:ligatures w14:val="none"/>
    </w:rPr>
  </w:style>
  <w:style w:type="paragraph" w:styleId="BodyText2">
    <w:name w:val="Body Text 2"/>
    <w:basedOn w:val="Normal"/>
    <w:link w:val="BodyText2Char"/>
    <w:uiPriority w:val="99"/>
    <w:unhideWhenUsed/>
    <w:rsid w:val="00307867"/>
    <w:pPr>
      <w:suppressAutoHyphens w:val="0"/>
      <w:jc w:val="both"/>
    </w:pPr>
    <w:rPr>
      <w:rFonts w:ascii="Arial" w:hAnsi="Arial" w:cs="Arial"/>
      <w:sz w:val="20"/>
      <w:szCs w:val="20"/>
      <w14:ligatures w14:val="none"/>
    </w:rPr>
  </w:style>
  <w:style w:type="character" w:customStyle="1" w:styleId="BodyText2Char">
    <w:name w:val="Body Text 2 Char"/>
    <w:basedOn w:val="DefaultParagraphFont"/>
    <w:link w:val="BodyText2"/>
    <w:uiPriority w:val="99"/>
    <w:rsid w:val="00307867"/>
    <w:rPr>
      <w:rFonts w:ascii="Arial" w:hAnsi="Arial" w:cs="Arial"/>
      <w:sz w:val="20"/>
      <w:szCs w:val="20"/>
      <w14:ligatures w14:val="none"/>
    </w:rPr>
  </w:style>
  <w:style w:type="paragraph" w:styleId="BalloonText">
    <w:name w:val="Balloon Text"/>
    <w:basedOn w:val="Normal"/>
    <w:link w:val="BalloonTextChar"/>
    <w:uiPriority w:val="99"/>
    <w:semiHidden/>
    <w:unhideWhenUsed/>
    <w:rsid w:val="00A70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5009">
      <w:bodyDiv w:val="1"/>
      <w:marLeft w:val="0"/>
      <w:marRight w:val="0"/>
      <w:marTop w:val="0"/>
      <w:marBottom w:val="0"/>
      <w:divBdr>
        <w:top w:val="none" w:sz="0" w:space="0" w:color="auto"/>
        <w:left w:val="none" w:sz="0" w:space="0" w:color="auto"/>
        <w:bottom w:val="none" w:sz="0" w:space="0" w:color="auto"/>
        <w:right w:val="none" w:sz="0" w:space="0" w:color="auto"/>
      </w:divBdr>
    </w:div>
    <w:div w:id="21176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105-cmr-130-hospital-licensure/download" TargetMode="External"/><Relationship Id="rId13" Type="http://schemas.openxmlformats.org/officeDocument/2006/relationships/hyperlink" Target="https://pmc.ncbi.nlm.nih.gov/articles/PMC5133747/" TargetMode="External"/><Relationship Id="rId18" Type="http://schemas.openxmlformats.org/officeDocument/2006/relationships/hyperlink" Target="https://www.glmi.com/blog/what-are-the-risks-of-delaying-an-mri" TargetMode="External"/><Relationship Id="rId26" Type="http://schemas.openxmlformats.org/officeDocument/2006/relationships/hyperlink" Target="https://med.stanford.edu/news/all-news/2006/11/mri-analysis-could-prevent-brain-damage-from-stroke-stanford-study-finds.html" TargetMode="External"/><Relationship Id="rId3" Type="http://schemas.openxmlformats.org/officeDocument/2006/relationships/hyperlink" Target="https://donahue.umass.edu/business-groups/economic-public-policy-research/massachusetts-population-estimates-program/population-estimates-by-massachusetts-geography/by-county" TargetMode="External"/><Relationship Id="rId21" Type="http://schemas.openxmlformats.org/officeDocument/2006/relationships/hyperlink" Target="https://pmc.ncbi.nlm.nih.gov/articles/PMC8470916/" TargetMode="External"/><Relationship Id="rId7" Type="http://schemas.openxmlformats.org/officeDocument/2006/relationships/hyperlink" Target="https://acsearch.acr.org/list" TargetMode="External"/><Relationship Id="rId12" Type="http://schemas.openxmlformats.org/officeDocument/2006/relationships/hyperlink" Target="https://pmc.ncbi.nlm.nih.gov/articles/PMC5133747/" TargetMode="External"/><Relationship Id="rId17" Type="http://schemas.openxmlformats.org/officeDocument/2006/relationships/hyperlink" Target="https://pubmed.ncbi.nlm.nih.gov/27210242/" TargetMode="External"/><Relationship Id="rId25" Type="http://schemas.openxmlformats.org/officeDocument/2006/relationships/hyperlink" Target="https://www.aan.com/PressRoom/Home/PressRelease/849" TargetMode="External"/><Relationship Id="rId2" Type="http://schemas.openxmlformats.org/officeDocument/2006/relationships/hyperlink" Target="https://www.mass.gov/info-details/cape-cod-healthcare-inc-amendment" TargetMode="External"/><Relationship Id="rId16" Type="http://schemas.openxmlformats.org/officeDocument/2006/relationships/hyperlink" Target="https://pubmed.ncbi.nlm.nih.gov/27210242/" TargetMode="External"/><Relationship Id="rId20" Type="http://schemas.openxmlformats.org/officeDocument/2006/relationships/hyperlink" Target="https://pmc.ncbi.nlm.nih.gov/articles/PMC8470916/" TargetMode="External"/><Relationship Id="rId29" Type="http://schemas.openxmlformats.org/officeDocument/2006/relationships/hyperlink" Target="https://www.nm.org/conditions-and-care-areas/tests/magnetic-resonance-imaging-for-stroke" TargetMode="External"/><Relationship Id="rId1" Type="http://schemas.openxmlformats.org/officeDocument/2006/relationships/hyperlink" Target="https://www.mass.gov/info-details/cape-cod-healthcare-inc-amendment" TargetMode="External"/><Relationship Id="rId6" Type="http://schemas.openxmlformats.org/officeDocument/2006/relationships/hyperlink" Target="https://acsearch.acr.org/list" TargetMode="External"/><Relationship Id="rId11" Type="http://schemas.openxmlformats.org/officeDocument/2006/relationships/hyperlink" Target="https://my.clevelandclinic.org/health/treatments/22897-thrombectomy" TargetMode="External"/><Relationship Id="rId24" Type="http://schemas.openxmlformats.org/officeDocument/2006/relationships/hyperlink" Target="https://www.aan.com/PressRoom/Home/PressRelease/849" TargetMode="External"/><Relationship Id="rId5" Type="http://schemas.openxmlformats.org/officeDocument/2006/relationships/hyperlink" Target="https://donahue.umass.edu/business-groups/economic-public-policy-research/massachusetts-population-estimates-program/population-projections" TargetMode="External"/><Relationship Id="rId15" Type="http://schemas.openxmlformats.org/officeDocument/2006/relationships/hyperlink" Target="https://www.sciencedirect.com/science/article/abs/pii/S1546144018300498" TargetMode="External"/><Relationship Id="rId23" Type="http://schemas.openxmlformats.org/officeDocument/2006/relationships/hyperlink" Target="https://www.sciencedirect.com/science/article/pii/S1078817424000944" TargetMode="External"/><Relationship Id="rId28" Type="http://schemas.openxmlformats.org/officeDocument/2006/relationships/hyperlink" Target="https://www.nm.org/conditions-and-care-areas/tests/magnetic-resonance-imaging-for-stroke." TargetMode="External"/><Relationship Id="rId10" Type="http://schemas.openxmlformats.org/officeDocument/2006/relationships/hyperlink" Target="https://my.clevelandclinic.org/health/treatments/22897-thrombectomy" TargetMode="External"/><Relationship Id="rId19" Type="http://schemas.openxmlformats.org/officeDocument/2006/relationships/hyperlink" Target="https://www.glmi.com/blog/what-are-the-risks-of-delaying-an-mri" TargetMode="External"/><Relationship Id="rId4" Type="http://schemas.openxmlformats.org/officeDocument/2006/relationships/hyperlink" Target="https://donahue.umass.edu/business-groups/economic-public-policy-research/massachusetts-population-estimates-program/population-estimates-by-massachusetts-geography/by-county" TargetMode="External"/><Relationship Id="rId9" Type="http://schemas.openxmlformats.org/officeDocument/2006/relationships/hyperlink" Target="https://www.mass.gov/doc/105-cmr-130-hospital-licensure/download" TargetMode="External"/><Relationship Id="rId14" Type="http://schemas.openxmlformats.org/officeDocument/2006/relationships/hyperlink" Target="https://www.sciencedirect.com/science/article/abs/pii/S1546144018300498" TargetMode="External"/><Relationship Id="rId22" Type="http://schemas.openxmlformats.org/officeDocument/2006/relationships/hyperlink" Target="https://www.sciencedirect.com/science/article/pii/S1078817424000944" TargetMode="External"/><Relationship Id="rId27" Type="http://schemas.openxmlformats.org/officeDocument/2006/relationships/hyperlink" Target="https://med.stanford.edu/news/all-news/2006/11/mri-analysis-could-prevent-brain-damage-from-stroke-stanford-study-fi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70953a-a957-44d9-8309-769cd8ce5433" xsi:nil="true"/>
    <lcf76f155ced4ddcb4097134ff3c332f xmlns="13aacd76-5819-4f9f-a893-b2764d93f2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0818695F93FB41A11F87CE510431C1" ma:contentTypeVersion="13" ma:contentTypeDescription="Create a new document." ma:contentTypeScope="" ma:versionID="4232f2d4d47f19d89200eb8c0df072b2">
  <xsd:schema xmlns:xsd="http://www.w3.org/2001/XMLSchema" xmlns:xs="http://www.w3.org/2001/XMLSchema" xmlns:p="http://schemas.microsoft.com/office/2006/metadata/properties" xmlns:ns2="13aacd76-5819-4f9f-a893-b2764d93f25a" xmlns:ns3="1670953a-a957-44d9-8309-769cd8ce5433" targetNamespace="http://schemas.microsoft.com/office/2006/metadata/properties" ma:root="true" ma:fieldsID="6a6a5cee6fea79bc8d7354873caf0bde" ns2:_="" ns3:_="">
    <xsd:import namespace="13aacd76-5819-4f9f-a893-b2764d93f25a"/>
    <xsd:import namespace="1670953a-a957-44d9-8309-769cd8ce5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acd76-5819-4f9f-a893-b2764d93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cf363-7f32-4e9b-bfa5-760c15ec11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0953a-a957-44d9-8309-769cd8ce54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d85ad9-adc0-4391-bcfe-cf2b455bfbb0}" ma:internalName="TaxCatchAll" ma:showField="CatchAllData" ma:web="1670953a-a957-44d9-8309-769cd8ce5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C64B5-09C3-41F9-AFE4-E4DAA0830CB3}">
  <ds:schemaRefs>
    <ds:schemaRef ds:uri="http://schemas.microsoft.com/sharepoint/v3/contenttype/forms"/>
  </ds:schemaRefs>
</ds:datastoreItem>
</file>

<file path=customXml/itemProps2.xml><?xml version="1.0" encoding="utf-8"?>
<ds:datastoreItem xmlns:ds="http://schemas.openxmlformats.org/officeDocument/2006/customXml" ds:itemID="{C0451662-D237-4DAD-998E-616E6517A63C}">
  <ds:schemaRefs>
    <ds:schemaRef ds:uri="http://schemas.microsoft.com/office/2006/metadata/properties"/>
    <ds:schemaRef ds:uri="http://schemas.microsoft.com/office/infopath/2007/PartnerControls"/>
    <ds:schemaRef ds:uri="1670953a-a957-44d9-8309-769cd8ce5433"/>
    <ds:schemaRef ds:uri="13aacd76-5819-4f9f-a893-b2764d93f25a"/>
  </ds:schemaRefs>
</ds:datastoreItem>
</file>

<file path=customXml/itemProps3.xml><?xml version="1.0" encoding="utf-8"?>
<ds:datastoreItem xmlns:ds="http://schemas.openxmlformats.org/officeDocument/2006/customXml" ds:itemID="{7693CC40-36AA-4616-B082-18FD75E1067A}">
  <ds:schemaRefs>
    <ds:schemaRef ds:uri="http://schemas.openxmlformats.org/officeDocument/2006/bibliography"/>
  </ds:schemaRefs>
</ds:datastoreItem>
</file>

<file path=customXml/itemProps4.xml><?xml version="1.0" encoding="utf-8"?>
<ds:datastoreItem xmlns:ds="http://schemas.openxmlformats.org/officeDocument/2006/customXml" ds:itemID="{4AB33C25-A699-4241-AE79-4403A863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acd76-5819-4f9f-a893-b2764d93f25a"/>
    <ds:schemaRef ds:uri="1670953a-a957-44d9-8309-769cd8ce5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25</Pages>
  <Words>9045</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Healy, Terry</dc:creator>
  <cp:lastModifiedBy>Marks, Brett (DPH)</cp:lastModifiedBy>
  <cp:revision>26</cp:revision>
  <cp:lastPrinted>2025-12-23T16:58:00Z</cp:lastPrinted>
  <dcterms:created xsi:type="dcterms:W3CDTF">2025-12-23T17:03:00Z</dcterms:created>
  <dcterms:modified xsi:type="dcterms:W3CDTF">2026-01-14T15:11:00Z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0x010100E00818695F93FB41A11F87CE510431C1</vt:lpwstr>
  </property>
  <property fmtid="{D5CDD505-2E9C-101B-9397-08002B2CF9AE}" pid="3" name="MediaServiceImageTags">
    <vt:lpwstr/>
  </property>
  <property fmtid="{D5CDD505-2E9C-101B-9397-08002B2CF9AE}" pid="4" name="DOCXDOCID">
    <vt:lpwstr>HB: 4910-0218-4051.8</vt:lpwstr>
  </property>
  <property fmtid="{D5CDD505-2E9C-101B-9397-08002B2CF9AE}" pid="5" name="DocXFormat">
    <vt:lpwstr>HB DocID w/ver w/HB Label</vt:lpwstr>
  </property>
  <property fmtid="{D5CDD505-2E9C-101B-9397-08002B2CF9AE}" pid="6" name="DocXLocation">
    <vt:lpwstr>NoDocId</vt:lpwstr>
  </property>
  <property fmtid="{D5CDD505-2E9C-101B-9397-08002B2CF9AE}" pid="7" name="ndDocumentId">
    <vt:lpwstr>4910-0218-4051</vt:lpwstr>
  </property>
</Properties>
</file>