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C4EC" w14:textId="77777777" w:rsidR="009F5152" w:rsidRPr="00376F1F" w:rsidRDefault="009F5152" w:rsidP="00376F1F">
      <w:pPr>
        <w:spacing w:before="120" w:after="120"/>
        <w:rPr>
          <w:b/>
          <w:bCs/>
          <w:sz w:val="22"/>
          <w:szCs w:val="22"/>
        </w:rPr>
      </w:pPr>
      <w:r w:rsidRPr="00376F1F">
        <w:rPr>
          <w:b/>
          <w:bCs/>
          <w:sz w:val="22"/>
          <w:szCs w:val="22"/>
        </w:rPr>
        <w:t>2. Project Description</w:t>
      </w:r>
    </w:p>
    <w:p w14:paraId="5CD3BB85" w14:textId="5AB8EAA2" w:rsidR="009F5152" w:rsidRPr="00376F1F" w:rsidRDefault="009F5152" w:rsidP="004019C6">
      <w:pPr>
        <w:suppressAutoHyphens w:val="0"/>
        <w:autoSpaceDE w:val="0"/>
        <w:autoSpaceDN w:val="0"/>
        <w:adjustRightInd w:val="0"/>
        <w:spacing w:before="120" w:after="120"/>
        <w:jc w:val="both"/>
        <w:rPr>
          <w:sz w:val="22"/>
          <w:szCs w:val="22"/>
        </w:rPr>
      </w:pPr>
      <w:r w:rsidRPr="00376F1F">
        <w:rPr>
          <w:sz w:val="22"/>
          <w:szCs w:val="22"/>
        </w:rPr>
        <w:t xml:space="preserve">Mass General Brigham Incorporated (the “Holder” or “MGB”), on behalf of Massachusetts General Hospital (“MGH”) for its licensed satellite, Mass General Waltham (“MG Waltham”), located at 52 Second Avenue, Waltham, Massachusetts 02451, requests approval for a Significant Change to the previously issued Determination of Need (“DoN”) Application #PHS-18022210-HE to build out approved shell space to accommodate three (3) outpatient operating rooms (“OR”) and eleven peri-operative bays (the “Proposed Change”). The capital expenditure </w:t>
      </w:r>
      <w:r w:rsidR="00C05E00" w:rsidRPr="00376F1F">
        <w:rPr>
          <w:sz w:val="22"/>
          <w:szCs w:val="22"/>
        </w:rPr>
        <w:t xml:space="preserve">associated with the Proposed Change </w:t>
      </w:r>
      <w:r w:rsidRPr="00376F1F">
        <w:rPr>
          <w:sz w:val="22"/>
          <w:szCs w:val="22"/>
        </w:rPr>
        <w:t xml:space="preserve">is $21,156,000, resulting in a new total maximum capital expenditure (“MCE”) of </w:t>
      </w:r>
      <w:bookmarkStart w:id="0" w:name="_Hlk153373240"/>
      <w:r w:rsidRPr="00376F1F">
        <w:rPr>
          <w:sz w:val="22"/>
          <w:szCs w:val="22"/>
        </w:rPr>
        <w:t xml:space="preserve">$51,660,587. </w:t>
      </w:r>
      <w:bookmarkEnd w:id="0"/>
    </w:p>
    <w:p w14:paraId="41CDC671" w14:textId="77777777" w:rsidR="009F5152" w:rsidRPr="00376F1F" w:rsidRDefault="009F5152" w:rsidP="00376F1F">
      <w:pPr>
        <w:spacing w:before="120" w:after="120"/>
        <w:rPr>
          <w:b/>
          <w:bCs/>
          <w:sz w:val="22"/>
          <w:szCs w:val="22"/>
        </w:rPr>
      </w:pPr>
      <w:r w:rsidRPr="00376F1F">
        <w:rPr>
          <w:b/>
          <w:bCs/>
          <w:sz w:val="22"/>
          <w:szCs w:val="22"/>
        </w:rPr>
        <w:t>10. Amendment</w:t>
      </w:r>
    </w:p>
    <w:p w14:paraId="0E42B0D3" w14:textId="77777777" w:rsidR="009F5152" w:rsidRPr="00637887" w:rsidRDefault="009F5152" w:rsidP="009F5152">
      <w:pPr>
        <w:suppressAutoHyphens w:val="0"/>
        <w:autoSpaceDE w:val="0"/>
        <w:autoSpaceDN w:val="0"/>
        <w:adjustRightInd w:val="0"/>
        <w:spacing w:before="120" w:after="120"/>
        <w:jc w:val="both"/>
        <w:rPr>
          <w:b/>
          <w:bCs/>
          <w:sz w:val="22"/>
          <w:szCs w:val="22"/>
        </w:rPr>
      </w:pPr>
      <w:r w:rsidRPr="00637887">
        <w:rPr>
          <w:b/>
          <w:bCs/>
          <w:sz w:val="22"/>
          <w:szCs w:val="22"/>
        </w:rPr>
        <w:t>10.5.a Describe the proposed change.</w:t>
      </w:r>
    </w:p>
    <w:p w14:paraId="2F8644FA" w14:textId="6BDC9120" w:rsidR="009F5152" w:rsidRPr="00637887" w:rsidRDefault="005E1EBE" w:rsidP="009F5152">
      <w:pPr>
        <w:suppressAutoHyphens w:val="0"/>
        <w:autoSpaceDE w:val="0"/>
        <w:autoSpaceDN w:val="0"/>
        <w:adjustRightInd w:val="0"/>
        <w:spacing w:before="120" w:after="120"/>
        <w:jc w:val="both"/>
        <w:rPr>
          <w:sz w:val="22"/>
          <w:szCs w:val="22"/>
        </w:rPr>
      </w:pPr>
      <w:r w:rsidRPr="00637887">
        <w:rPr>
          <w:sz w:val="22"/>
          <w:szCs w:val="22"/>
        </w:rPr>
        <w:t>The previously issued DoN</w:t>
      </w:r>
      <w:r w:rsidRPr="00637887">
        <w:rPr>
          <w:rFonts w:eastAsiaTheme="minorHAnsi"/>
          <w:sz w:val="22"/>
          <w:szCs w:val="22"/>
        </w:rPr>
        <w:t xml:space="preserve"> </w:t>
      </w:r>
      <w:r w:rsidRPr="00637887">
        <w:rPr>
          <w:sz w:val="22"/>
          <w:szCs w:val="22"/>
        </w:rPr>
        <w:t xml:space="preserve">approved the expansion of ambulatory surgical services </w:t>
      </w:r>
      <w:r>
        <w:rPr>
          <w:sz w:val="22"/>
          <w:szCs w:val="22"/>
        </w:rPr>
        <w:t xml:space="preserve">at MG Waltham </w:t>
      </w:r>
      <w:r w:rsidRPr="00637887">
        <w:rPr>
          <w:sz w:val="22"/>
          <w:szCs w:val="22"/>
        </w:rPr>
        <w:t xml:space="preserve">through the construction of six (6) additional operating rooms, for a total of ten operating rooms </w:t>
      </w:r>
      <w:r>
        <w:rPr>
          <w:sz w:val="22"/>
          <w:szCs w:val="22"/>
        </w:rPr>
        <w:t>and included</w:t>
      </w:r>
      <w:r w:rsidRPr="00637887">
        <w:rPr>
          <w:sz w:val="22"/>
          <w:szCs w:val="22"/>
        </w:rPr>
        <w:t xml:space="preserve"> </w:t>
      </w:r>
      <w:r w:rsidRPr="004019C6">
        <w:rPr>
          <w:b/>
          <w:bCs/>
          <w:sz w:val="22"/>
          <w:szCs w:val="22"/>
        </w:rPr>
        <w:t>s</w:t>
      </w:r>
      <w:r w:rsidRPr="004019C6">
        <w:rPr>
          <w:sz w:val="22"/>
          <w:szCs w:val="22"/>
        </w:rPr>
        <w:t>hell</w:t>
      </w:r>
      <w:r w:rsidRPr="00637887">
        <w:rPr>
          <w:sz w:val="22"/>
          <w:szCs w:val="22"/>
        </w:rPr>
        <w:t xml:space="preserve"> space for future build out</w:t>
      </w:r>
      <w:r>
        <w:rPr>
          <w:sz w:val="22"/>
          <w:szCs w:val="22"/>
        </w:rPr>
        <w:t xml:space="preserve"> as demand dictates</w:t>
      </w:r>
      <w:r w:rsidRPr="00637887">
        <w:rPr>
          <w:sz w:val="22"/>
          <w:szCs w:val="22"/>
        </w:rPr>
        <w:t xml:space="preserve"> (the “Project”). </w:t>
      </w:r>
      <w:r w:rsidR="009F5152">
        <w:rPr>
          <w:sz w:val="22"/>
          <w:szCs w:val="22"/>
        </w:rPr>
        <w:t xml:space="preserve">Even with the </w:t>
      </w:r>
      <w:r w:rsidR="00C05E00">
        <w:rPr>
          <w:sz w:val="22"/>
          <w:szCs w:val="22"/>
        </w:rPr>
        <w:t>implementation of its D</w:t>
      </w:r>
      <w:r>
        <w:rPr>
          <w:sz w:val="22"/>
          <w:szCs w:val="22"/>
        </w:rPr>
        <w:t>o</w:t>
      </w:r>
      <w:r w:rsidR="00C05E00">
        <w:rPr>
          <w:sz w:val="22"/>
          <w:szCs w:val="22"/>
        </w:rPr>
        <w:t xml:space="preserve">N </w:t>
      </w:r>
      <w:r w:rsidR="009F5152">
        <w:rPr>
          <w:sz w:val="22"/>
          <w:szCs w:val="22"/>
        </w:rPr>
        <w:t>in FY2022</w:t>
      </w:r>
      <w:r w:rsidR="009F5152" w:rsidRPr="00637887">
        <w:rPr>
          <w:sz w:val="22"/>
          <w:szCs w:val="22"/>
        </w:rPr>
        <w:t xml:space="preserve"> at MG Waltham, patients at both </w:t>
      </w:r>
      <w:r w:rsidR="009F5152">
        <w:rPr>
          <w:sz w:val="22"/>
          <w:szCs w:val="22"/>
        </w:rPr>
        <w:t xml:space="preserve">MG Waltham </w:t>
      </w:r>
      <w:r w:rsidR="009F5152" w:rsidRPr="00637887">
        <w:rPr>
          <w:sz w:val="22"/>
          <w:szCs w:val="22"/>
        </w:rPr>
        <w:t>and</w:t>
      </w:r>
      <w:r w:rsidR="009F5152">
        <w:rPr>
          <w:sz w:val="22"/>
          <w:szCs w:val="22"/>
        </w:rPr>
        <w:t xml:space="preserve"> </w:t>
      </w:r>
      <w:r w:rsidR="009F5152" w:rsidRPr="00637887">
        <w:rPr>
          <w:sz w:val="22"/>
          <w:szCs w:val="22"/>
        </w:rPr>
        <w:t>MGH</w:t>
      </w:r>
      <w:r w:rsidR="009F5152">
        <w:rPr>
          <w:sz w:val="22"/>
          <w:szCs w:val="22"/>
        </w:rPr>
        <w:t>’s</w:t>
      </w:r>
      <w:r w:rsidR="009F5152" w:rsidRPr="00637887">
        <w:rPr>
          <w:sz w:val="22"/>
          <w:szCs w:val="22"/>
        </w:rPr>
        <w:t xml:space="preserve"> </w:t>
      </w:r>
      <w:r w:rsidR="00C05E00">
        <w:rPr>
          <w:sz w:val="22"/>
          <w:szCs w:val="22"/>
        </w:rPr>
        <w:t>main</w:t>
      </w:r>
      <w:r w:rsidR="009F5152" w:rsidRPr="00637887">
        <w:rPr>
          <w:sz w:val="22"/>
          <w:szCs w:val="22"/>
        </w:rPr>
        <w:t xml:space="preserve"> </w:t>
      </w:r>
      <w:r w:rsidR="00C05E00">
        <w:rPr>
          <w:sz w:val="22"/>
          <w:szCs w:val="22"/>
        </w:rPr>
        <w:t>campus</w:t>
      </w:r>
      <w:r w:rsidR="009F5152" w:rsidRPr="00637887">
        <w:rPr>
          <w:sz w:val="22"/>
          <w:szCs w:val="22"/>
        </w:rPr>
        <w:t xml:space="preserve"> </w:t>
      </w:r>
      <w:r w:rsidR="009F5152">
        <w:rPr>
          <w:sz w:val="22"/>
          <w:szCs w:val="22"/>
        </w:rPr>
        <w:t xml:space="preserve">in Boston (“MGH </w:t>
      </w:r>
      <w:r w:rsidR="00C05E00">
        <w:rPr>
          <w:sz w:val="22"/>
          <w:szCs w:val="22"/>
        </w:rPr>
        <w:t>Main</w:t>
      </w:r>
      <w:r w:rsidR="009F5152">
        <w:rPr>
          <w:sz w:val="22"/>
          <w:szCs w:val="22"/>
        </w:rPr>
        <w:t xml:space="preserve"> </w:t>
      </w:r>
      <w:r w:rsidR="00C05E00">
        <w:rPr>
          <w:sz w:val="22"/>
          <w:szCs w:val="22"/>
        </w:rPr>
        <w:t>Campus</w:t>
      </w:r>
      <w:r w:rsidR="009F5152">
        <w:rPr>
          <w:sz w:val="22"/>
          <w:szCs w:val="22"/>
        </w:rPr>
        <w:t>”) continue to experience</w:t>
      </w:r>
      <w:r w:rsidR="009F5152" w:rsidRPr="00637887">
        <w:rPr>
          <w:sz w:val="22"/>
          <w:szCs w:val="22"/>
        </w:rPr>
        <w:t xml:space="preserve"> significant wait times for surgical services. </w:t>
      </w:r>
      <w:r w:rsidR="009F5152">
        <w:rPr>
          <w:sz w:val="22"/>
          <w:szCs w:val="22"/>
        </w:rPr>
        <w:t xml:space="preserve">Further expanding capacity at MG Waltham offers a convenient, cost-effective setting to address </w:t>
      </w:r>
      <w:r w:rsidR="00173E99">
        <w:rPr>
          <w:sz w:val="22"/>
          <w:szCs w:val="22"/>
        </w:rPr>
        <w:t xml:space="preserve">current </w:t>
      </w:r>
      <w:r w:rsidR="009F5152">
        <w:rPr>
          <w:sz w:val="22"/>
          <w:szCs w:val="22"/>
        </w:rPr>
        <w:t>patient demand</w:t>
      </w:r>
      <w:r w:rsidR="00173E99">
        <w:rPr>
          <w:sz w:val="22"/>
          <w:szCs w:val="22"/>
        </w:rPr>
        <w:t xml:space="preserve"> and aligns with future projections </w:t>
      </w:r>
      <w:r w:rsidR="00110B2A">
        <w:rPr>
          <w:sz w:val="22"/>
          <w:szCs w:val="22"/>
        </w:rPr>
        <w:t xml:space="preserve">driven by aging population and </w:t>
      </w:r>
      <w:r w:rsidR="00173E99">
        <w:rPr>
          <w:sz w:val="22"/>
          <w:szCs w:val="22"/>
        </w:rPr>
        <w:t>even more surgical care migrating from inpatient to outpatient care settings</w:t>
      </w:r>
      <w:r w:rsidR="009F5152">
        <w:rPr>
          <w:sz w:val="22"/>
          <w:szCs w:val="22"/>
        </w:rPr>
        <w:t>.</w:t>
      </w:r>
      <w:r w:rsidR="009F5152" w:rsidRPr="00637887">
        <w:rPr>
          <w:sz w:val="22"/>
          <w:szCs w:val="22"/>
        </w:rPr>
        <w:t xml:space="preserve"> </w:t>
      </w:r>
      <w:r>
        <w:rPr>
          <w:sz w:val="22"/>
          <w:szCs w:val="22"/>
        </w:rPr>
        <w:t>MGH</w:t>
      </w:r>
      <w:r w:rsidRPr="00637887">
        <w:rPr>
          <w:sz w:val="22"/>
          <w:szCs w:val="22"/>
        </w:rPr>
        <w:t xml:space="preserve"> </w:t>
      </w:r>
      <w:r>
        <w:rPr>
          <w:sz w:val="22"/>
          <w:szCs w:val="22"/>
        </w:rPr>
        <w:t xml:space="preserve">determined that additional </w:t>
      </w:r>
      <w:r w:rsidRPr="00637887">
        <w:rPr>
          <w:sz w:val="22"/>
          <w:szCs w:val="22"/>
        </w:rPr>
        <w:t>outpatient surgical capacity at MG Waltham</w:t>
      </w:r>
      <w:r>
        <w:rPr>
          <w:sz w:val="22"/>
          <w:szCs w:val="22"/>
        </w:rPr>
        <w:t xml:space="preserve"> will assist in alleviating</w:t>
      </w:r>
      <w:r w:rsidRPr="00637887">
        <w:rPr>
          <w:sz w:val="22"/>
          <w:szCs w:val="22"/>
        </w:rPr>
        <w:t xml:space="preserve"> capacity constraints</w:t>
      </w:r>
      <w:r>
        <w:rPr>
          <w:sz w:val="22"/>
          <w:szCs w:val="22"/>
        </w:rPr>
        <w:t xml:space="preserve"> in a convenient, cost-effective setting</w:t>
      </w:r>
      <w:r w:rsidRPr="00637887">
        <w:rPr>
          <w:sz w:val="22"/>
          <w:szCs w:val="22"/>
        </w:rPr>
        <w:t>.</w:t>
      </w:r>
      <w:r>
        <w:rPr>
          <w:sz w:val="22"/>
          <w:szCs w:val="22"/>
        </w:rPr>
        <w:t xml:space="preserve"> </w:t>
      </w:r>
      <w:r w:rsidR="009F5152" w:rsidRPr="00637887">
        <w:rPr>
          <w:sz w:val="22"/>
          <w:szCs w:val="22"/>
        </w:rPr>
        <w:t xml:space="preserve">To that end, </w:t>
      </w:r>
      <w:r w:rsidR="009F5152">
        <w:rPr>
          <w:sz w:val="22"/>
          <w:szCs w:val="22"/>
        </w:rPr>
        <w:t>MGH</w:t>
      </w:r>
      <w:r w:rsidR="009F5152" w:rsidRPr="00637887">
        <w:rPr>
          <w:sz w:val="22"/>
          <w:szCs w:val="22"/>
        </w:rPr>
        <w:t xml:space="preserve"> </w:t>
      </w:r>
      <w:r w:rsidR="00C05E00">
        <w:rPr>
          <w:sz w:val="22"/>
          <w:szCs w:val="22"/>
        </w:rPr>
        <w:t>seeks</w:t>
      </w:r>
      <w:r w:rsidR="009F5152" w:rsidRPr="00637887">
        <w:rPr>
          <w:sz w:val="22"/>
          <w:szCs w:val="22"/>
        </w:rPr>
        <w:t xml:space="preserve"> to build out 9,881 square </w:t>
      </w:r>
      <w:r w:rsidR="00C05E00">
        <w:rPr>
          <w:sz w:val="22"/>
          <w:szCs w:val="22"/>
        </w:rPr>
        <w:t xml:space="preserve">feet </w:t>
      </w:r>
      <w:r w:rsidR="009F5152" w:rsidRPr="00637887">
        <w:rPr>
          <w:sz w:val="22"/>
          <w:szCs w:val="22"/>
        </w:rPr>
        <w:t xml:space="preserve">of </w:t>
      </w:r>
      <w:r w:rsidR="009F5152">
        <w:rPr>
          <w:sz w:val="22"/>
          <w:szCs w:val="22"/>
        </w:rPr>
        <w:t xml:space="preserve">approved </w:t>
      </w:r>
      <w:r w:rsidR="009F5152" w:rsidRPr="00637887">
        <w:rPr>
          <w:sz w:val="22"/>
          <w:szCs w:val="22"/>
        </w:rPr>
        <w:t>shell space for the addition of three</w:t>
      </w:r>
      <w:r w:rsidR="009F5152">
        <w:rPr>
          <w:sz w:val="22"/>
          <w:szCs w:val="22"/>
        </w:rPr>
        <w:t xml:space="preserve"> (3)</w:t>
      </w:r>
      <w:r w:rsidR="009F5152" w:rsidRPr="00637887">
        <w:rPr>
          <w:sz w:val="22"/>
          <w:szCs w:val="22"/>
        </w:rPr>
        <w:t xml:space="preserve"> operating rooms and 11 perioperative bays. </w:t>
      </w:r>
    </w:p>
    <w:p w14:paraId="4D10F8BF" w14:textId="77777777" w:rsidR="009F5152" w:rsidRPr="00637887" w:rsidRDefault="009F5152" w:rsidP="009F5152">
      <w:pPr>
        <w:suppressAutoHyphens w:val="0"/>
        <w:autoSpaceDE w:val="0"/>
        <w:autoSpaceDN w:val="0"/>
        <w:adjustRightInd w:val="0"/>
        <w:spacing w:before="120" w:after="120"/>
        <w:jc w:val="both"/>
        <w:rPr>
          <w:b/>
          <w:bCs/>
          <w:sz w:val="22"/>
          <w:szCs w:val="22"/>
        </w:rPr>
      </w:pPr>
      <w:r w:rsidRPr="00637887">
        <w:rPr>
          <w:b/>
          <w:bCs/>
          <w:sz w:val="22"/>
          <w:szCs w:val="22"/>
        </w:rPr>
        <w:t>10.5.b Describe the associated cost implications to the Holder.</w:t>
      </w:r>
    </w:p>
    <w:p w14:paraId="033F9B6F" w14:textId="189AAEC7" w:rsidR="002E4DFD" w:rsidRPr="002E4DFD" w:rsidRDefault="009F5152" w:rsidP="00A2097F">
      <w:pPr>
        <w:jc w:val="both"/>
        <w:rPr>
          <w:sz w:val="22"/>
          <w:szCs w:val="22"/>
        </w:rPr>
      </w:pPr>
      <w:r w:rsidRPr="002E4DFD">
        <w:rPr>
          <w:sz w:val="22"/>
          <w:szCs w:val="22"/>
        </w:rPr>
        <w:t xml:space="preserve">The Proposed Change represents a cost-effective approach to adding outpatient surgical capacity in the community by building out shell space in an existing facility that has the required infrastructure. Moreover, this approach will create additional access to ambulatory surgery at an outpatient facility that is reimbursed at a lower rate than outpatient surgeries performed at the MGH </w:t>
      </w:r>
      <w:r w:rsidR="00C05E00" w:rsidRPr="002E4DFD">
        <w:rPr>
          <w:sz w:val="22"/>
          <w:szCs w:val="22"/>
        </w:rPr>
        <w:t>Main</w:t>
      </w:r>
      <w:r w:rsidRPr="002E4DFD">
        <w:rPr>
          <w:sz w:val="22"/>
          <w:szCs w:val="22"/>
        </w:rPr>
        <w:t xml:space="preserve"> </w:t>
      </w:r>
      <w:r w:rsidR="00C05E00" w:rsidRPr="002E4DFD">
        <w:rPr>
          <w:sz w:val="22"/>
          <w:szCs w:val="22"/>
        </w:rPr>
        <w:t>Campus</w:t>
      </w:r>
      <w:r w:rsidRPr="002E4DFD">
        <w:rPr>
          <w:sz w:val="22"/>
          <w:szCs w:val="22"/>
        </w:rPr>
        <w:t xml:space="preserve">. </w:t>
      </w:r>
      <w:r w:rsidR="002E4DFD" w:rsidRPr="007144A6">
        <w:rPr>
          <w:sz w:val="22"/>
          <w:szCs w:val="22"/>
        </w:rPr>
        <w:t xml:space="preserve">Lastly, the Proposed Change is expected to result in incremental operating expenses ($14,500,000 annually) driven by the additional OR case </w:t>
      </w:r>
      <w:r w:rsidR="0067172D" w:rsidRPr="0067172D">
        <w:rPr>
          <w:sz w:val="22"/>
          <w:szCs w:val="22"/>
        </w:rPr>
        <w:t>volume,</w:t>
      </w:r>
      <w:r w:rsidR="002E4DFD" w:rsidRPr="007144A6">
        <w:rPr>
          <w:sz w:val="22"/>
          <w:szCs w:val="22"/>
        </w:rPr>
        <w:t xml:space="preserve"> but these projected costs would be less than providing the service at the MGH main campus due to the overhead associated with a full-service academic medical center.  </w:t>
      </w:r>
    </w:p>
    <w:p w14:paraId="31FD35F3" w14:textId="77777777" w:rsidR="009F5152" w:rsidRPr="00637887" w:rsidRDefault="009F5152" w:rsidP="009F5152">
      <w:pPr>
        <w:suppressAutoHyphens w:val="0"/>
        <w:autoSpaceDE w:val="0"/>
        <w:autoSpaceDN w:val="0"/>
        <w:adjustRightInd w:val="0"/>
        <w:spacing w:before="120" w:after="120"/>
        <w:jc w:val="both"/>
        <w:rPr>
          <w:b/>
          <w:bCs/>
          <w:sz w:val="22"/>
          <w:szCs w:val="22"/>
        </w:rPr>
      </w:pPr>
      <w:r w:rsidRPr="00637887">
        <w:rPr>
          <w:b/>
          <w:bCs/>
          <w:sz w:val="22"/>
          <w:szCs w:val="22"/>
        </w:rPr>
        <w:t>10.5.c Describe the associated cost implications to the Holder’s existing Patient Panel</w:t>
      </w:r>
    </w:p>
    <w:p w14:paraId="5A0B8AA9" w14:textId="76BF89AC" w:rsidR="009F5152" w:rsidRPr="00637887" w:rsidRDefault="009F5152" w:rsidP="009F5152">
      <w:pPr>
        <w:suppressAutoHyphens w:val="0"/>
        <w:autoSpaceDE w:val="0"/>
        <w:autoSpaceDN w:val="0"/>
        <w:adjustRightInd w:val="0"/>
        <w:spacing w:before="120" w:after="120"/>
        <w:jc w:val="both"/>
        <w:rPr>
          <w:sz w:val="22"/>
          <w:szCs w:val="22"/>
        </w:rPr>
      </w:pPr>
      <w:r>
        <w:rPr>
          <w:sz w:val="22"/>
          <w:szCs w:val="22"/>
        </w:rPr>
        <w:t xml:space="preserve">The Proposed Change will not increase costs for patients who receive services at MG Waltham and </w:t>
      </w:r>
      <w:r w:rsidR="00391E7A">
        <w:rPr>
          <w:sz w:val="22"/>
          <w:szCs w:val="22"/>
        </w:rPr>
        <w:t>moreover</w:t>
      </w:r>
      <w:r w:rsidR="00C05E00">
        <w:rPr>
          <w:sz w:val="22"/>
          <w:szCs w:val="22"/>
        </w:rPr>
        <w:t>,</w:t>
      </w:r>
      <w:r w:rsidR="00391E7A">
        <w:rPr>
          <w:sz w:val="22"/>
          <w:szCs w:val="22"/>
        </w:rPr>
        <w:t xml:space="preserve"> </w:t>
      </w:r>
      <w:r>
        <w:rPr>
          <w:sz w:val="22"/>
          <w:szCs w:val="22"/>
        </w:rPr>
        <w:t xml:space="preserve">the same services will be provided at lower costs to patients compared to the MGH </w:t>
      </w:r>
      <w:r w:rsidR="00C05E00">
        <w:rPr>
          <w:sz w:val="22"/>
          <w:szCs w:val="22"/>
        </w:rPr>
        <w:t>Main</w:t>
      </w:r>
      <w:r>
        <w:rPr>
          <w:sz w:val="22"/>
          <w:szCs w:val="22"/>
        </w:rPr>
        <w:t xml:space="preserve"> </w:t>
      </w:r>
      <w:r w:rsidR="00C05E00">
        <w:rPr>
          <w:sz w:val="22"/>
          <w:szCs w:val="22"/>
        </w:rPr>
        <w:t>Campus</w:t>
      </w:r>
      <w:r>
        <w:rPr>
          <w:sz w:val="22"/>
          <w:szCs w:val="22"/>
        </w:rPr>
        <w:t xml:space="preserve">. MGH recently amended its </w:t>
      </w:r>
      <w:r w:rsidR="00173E99">
        <w:rPr>
          <w:sz w:val="22"/>
          <w:szCs w:val="22"/>
        </w:rPr>
        <w:t xml:space="preserve">contracts </w:t>
      </w:r>
      <w:r>
        <w:rPr>
          <w:sz w:val="22"/>
          <w:szCs w:val="22"/>
        </w:rPr>
        <w:t xml:space="preserve">with commercial </w:t>
      </w:r>
      <w:r w:rsidR="00173E99">
        <w:rPr>
          <w:sz w:val="22"/>
          <w:szCs w:val="22"/>
        </w:rPr>
        <w:t xml:space="preserve">insurers </w:t>
      </w:r>
      <w:r>
        <w:rPr>
          <w:sz w:val="22"/>
          <w:szCs w:val="22"/>
        </w:rPr>
        <w:t xml:space="preserve">to accept community hospital </w:t>
      </w:r>
      <w:r w:rsidR="00110B2A">
        <w:rPr>
          <w:sz w:val="22"/>
          <w:szCs w:val="22"/>
        </w:rPr>
        <w:t xml:space="preserve">payment </w:t>
      </w:r>
      <w:r>
        <w:rPr>
          <w:sz w:val="22"/>
          <w:szCs w:val="22"/>
        </w:rPr>
        <w:t xml:space="preserve">rates for services at MG Waltham. As a result, costs to insurers and patients are lower for patients who choose to have surgery performed at MG Waltham instead of at the MGH </w:t>
      </w:r>
      <w:r w:rsidR="00C05E00">
        <w:rPr>
          <w:sz w:val="22"/>
          <w:szCs w:val="22"/>
        </w:rPr>
        <w:t>Main</w:t>
      </w:r>
      <w:r>
        <w:rPr>
          <w:sz w:val="22"/>
          <w:szCs w:val="22"/>
        </w:rPr>
        <w:t xml:space="preserve"> </w:t>
      </w:r>
      <w:r w:rsidR="00C05E00">
        <w:rPr>
          <w:sz w:val="22"/>
          <w:szCs w:val="22"/>
        </w:rPr>
        <w:t>Campus</w:t>
      </w:r>
      <w:r>
        <w:rPr>
          <w:sz w:val="22"/>
          <w:szCs w:val="22"/>
        </w:rPr>
        <w:t xml:space="preserve">. </w:t>
      </w:r>
      <w:r w:rsidR="00202D38" w:rsidRPr="00202D38">
        <w:rPr>
          <w:sz w:val="22"/>
          <w:szCs w:val="22"/>
        </w:rPr>
        <w:t xml:space="preserve">With respect to Medicare beneficiaries, services provided in the three additional MG Waltham ORs will be billed under the Medicare </w:t>
      </w:r>
      <w:r w:rsidR="00202D38">
        <w:rPr>
          <w:sz w:val="22"/>
          <w:szCs w:val="22"/>
        </w:rPr>
        <w:t>A</w:t>
      </w:r>
      <w:r w:rsidR="00202D38" w:rsidRPr="00202D38">
        <w:rPr>
          <w:sz w:val="22"/>
          <w:szCs w:val="22"/>
        </w:rPr>
        <w:t xml:space="preserve">mbulatory </w:t>
      </w:r>
      <w:r w:rsidR="00202D38">
        <w:rPr>
          <w:sz w:val="22"/>
          <w:szCs w:val="22"/>
        </w:rPr>
        <w:t>S</w:t>
      </w:r>
      <w:r w:rsidR="00202D38" w:rsidRPr="00202D38">
        <w:rPr>
          <w:sz w:val="22"/>
          <w:szCs w:val="22"/>
        </w:rPr>
        <w:t xml:space="preserve">urgery </w:t>
      </w:r>
      <w:r w:rsidR="00202D38">
        <w:rPr>
          <w:sz w:val="22"/>
          <w:szCs w:val="22"/>
        </w:rPr>
        <w:t>C</w:t>
      </w:r>
      <w:r w:rsidR="00202D38" w:rsidRPr="00202D38">
        <w:rPr>
          <w:sz w:val="22"/>
          <w:szCs w:val="22"/>
        </w:rPr>
        <w:t xml:space="preserve">enter </w:t>
      </w:r>
      <w:r w:rsidR="00202D38">
        <w:rPr>
          <w:sz w:val="22"/>
          <w:szCs w:val="22"/>
        </w:rPr>
        <w:t>F</w:t>
      </w:r>
      <w:r w:rsidR="00202D38" w:rsidRPr="00202D38">
        <w:rPr>
          <w:sz w:val="22"/>
          <w:szCs w:val="22"/>
        </w:rPr>
        <w:t xml:space="preserve">ee </w:t>
      </w:r>
      <w:r w:rsidR="00202D38">
        <w:rPr>
          <w:sz w:val="22"/>
          <w:szCs w:val="22"/>
        </w:rPr>
        <w:t>S</w:t>
      </w:r>
      <w:r w:rsidR="00202D38" w:rsidRPr="00202D38">
        <w:rPr>
          <w:sz w:val="22"/>
          <w:szCs w:val="22"/>
        </w:rPr>
        <w:t>chedule which typically reimburse</w:t>
      </w:r>
      <w:r w:rsidR="00202D38">
        <w:rPr>
          <w:sz w:val="22"/>
          <w:szCs w:val="22"/>
        </w:rPr>
        <w:t>s at</w:t>
      </w:r>
      <w:r w:rsidR="00202D38" w:rsidRPr="00202D38">
        <w:rPr>
          <w:sz w:val="22"/>
          <w:szCs w:val="22"/>
        </w:rPr>
        <w:t xml:space="preserve"> 5</w:t>
      </w:r>
      <w:r w:rsidR="006942E2">
        <w:rPr>
          <w:sz w:val="22"/>
          <w:szCs w:val="22"/>
        </w:rPr>
        <w:t>3</w:t>
      </w:r>
      <w:r w:rsidR="00202D38" w:rsidRPr="00202D38">
        <w:rPr>
          <w:sz w:val="22"/>
          <w:szCs w:val="22"/>
        </w:rPr>
        <w:t>% of the amount paid for the same services provided by a hospital</w:t>
      </w:r>
      <w:r w:rsidRPr="00637887">
        <w:rPr>
          <w:sz w:val="22"/>
          <w:szCs w:val="22"/>
        </w:rPr>
        <w:t>.</w:t>
      </w:r>
      <w:r>
        <w:rPr>
          <w:rStyle w:val="FootnoteReference"/>
          <w:sz w:val="22"/>
          <w:szCs w:val="22"/>
        </w:rPr>
        <w:footnoteReference w:id="1"/>
      </w:r>
      <w:r w:rsidRPr="00637887">
        <w:rPr>
          <w:sz w:val="22"/>
          <w:szCs w:val="22"/>
        </w:rPr>
        <w:t xml:space="preserve"> Accordingly, </w:t>
      </w:r>
      <w:r>
        <w:rPr>
          <w:sz w:val="22"/>
          <w:szCs w:val="22"/>
        </w:rPr>
        <w:t>MG Waltham provides</w:t>
      </w:r>
      <w:r w:rsidRPr="00637887">
        <w:rPr>
          <w:sz w:val="22"/>
          <w:szCs w:val="22"/>
        </w:rPr>
        <w:t xml:space="preserve"> </w:t>
      </w:r>
      <w:r>
        <w:rPr>
          <w:sz w:val="22"/>
          <w:szCs w:val="22"/>
        </w:rPr>
        <w:t>MGH</w:t>
      </w:r>
      <w:r w:rsidRPr="00637887">
        <w:rPr>
          <w:sz w:val="22"/>
          <w:szCs w:val="22"/>
        </w:rPr>
        <w:t xml:space="preserve">’s </w:t>
      </w:r>
      <w:r>
        <w:rPr>
          <w:sz w:val="22"/>
          <w:szCs w:val="22"/>
        </w:rPr>
        <w:t>patients</w:t>
      </w:r>
      <w:r w:rsidRPr="00637887">
        <w:rPr>
          <w:sz w:val="22"/>
          <w:szCs w:val="22"/>
        </w:rPr>
        <w:t xml:space="preserve"> a lower cost alternative </w:t>
      </w:r>
      <w:r w:rsidR="00C05E00">
        <w:rPr>
          <w:sz w:val="22"/>
          <w:szCs w:val="22"/>
        </w:rPr>
        <w:t>for receiving</w:t>
      </w:r>
      <w:r w:rsidRPr="00637887">
        <w:rPr>
          <w:sz w:val="22"/>
          <w:szCs w:val="22"/>
        </w:rPr>
        <w:t xml:space="preserve"> high-quality surgical services</w:t>
      </w:r>
      <w:r>
        <w:rPr>
          <w:sz w:val="22"/>
          <w:szCs w:val="22"/>
        </w:rPr>
        <w:t xml:space="preserve">. </w:t>
      </w:r>
    </w:p>
    <w:p w14:paraId="22490686" w14:textId="77777777" w:rsidR="00A2097F" w:rsidRDefault="00A2097F" w:rsidP="00391E7A">
      <w:pPr>
        <w:suppressAutoHyphens w:val="0"/>
        <w:autoSpaceDE w:val="0"/>
        <w:autoSpaceDN w:val="0"/>
        <w:adjustRightInd w:val="0"/>
        <w:spacing w:after="120"/>
        <w:rPr>
          <w:b/>
          <w:bCs/>
          <w:sz w:val="22"/>
          <w:szCs w:val="22"/>
        </w:rPr>
      </w:pPr>
    </w:p>
    <w:p w14:paraId="402D7EB0" w14:textId="77777777" w:rsidR="00A2097F" w:rsidRDefault="00A2097F" w:rsidP="00391E7A">
      <w:pPr>
        <w:suppressAutoHyphens w:val="0"/>
        <w:autoSpaceDE w:val="0"/>
        <w:autoSpaceDN w:val="0"/>
        <w:adjustRightInd w:val="0"/>
        <w:spacing w:after="120"/>
        <w:rPr>
          <w:b/>
          <w:bCs/>
          <w:sz w:val="22"/>
          <w:szCs w:val="22"/>
        </w:rPr>
      </w:pPr>
    </w:p>
    <w:p w14:paraId="07D35801" w14:textId="6A545428" w:rsidR="009F5152" w:rsidRPr="00637887" w:rsidRDefault="00C05E00" w:rsidP="00391E7A">
      <w:pPr>
        <w:suppressAutoHyphens w:val="0"/>
        <w:autoSpaceDE w:val="0"/>
        <w:autoSpaceDN w:val="0"/>
        <w:adjustRightInd w:val="0"/>
        <w:spacing w:after="120"/>
        <w:rPr>
          <w:b/>
          <w:bCs/>
          <w:sz w:val="22"/>
          <w:szCs w:val="22"/>
        </w:rPr>
      </w:pPr>
      <w:r>
        <w:rPr>
          <w:b/>
          <w:bCs/>
          <w:sz w:val="22"/>
          <w:szCs w:val="22"/>
        </w:rPr>
        <w:lastRenderedPageBreak/>
        <w:t>1</w:t>
      </w:r>
      <w:r w:rsidR="009F5152" w:rsidRPr="00637887">
        <w:rPr>
          <w:b/>
          <w:bCs/>
          <w:sz w:val="22"/>
          <w:szCs w:val="22"/>
        </w:rPr>
        <w:t>0.5.d Provide a detailed narrative, comparing the approved project to the proposed Significant Change, and the rationale for such change.</w:t>
      </w:r>
    </w:p>
    <w:p w14:paraId="51E3D356" w14:textId="2F926A13" w:rsidR="009F5152" w:rsidRDefault="009F5152" w:rsidP="00391E7A">
      <w:pPr>
        <w:suppressAutoHyphens w:val="0"/>
        <w:autoSpaceDE w:val="0"/>
        <w:autoSpaceDN w:val="0"/>
        <w:adjustRightInd w:val="0"/>
        <w:spacing w:after="120"/>
        <w:jc w:val="both"/>
        <w:rPr>
          <w:sz w:val="22"/>
          <w:szCs w:val="22"/>
        </w:rPr>
      </w:pPr>
      <w:r>
        <w:rPr>
          <w:sz w:val="22"/>
          <w:szCs w:val="22"/>
        </w:rPr>
        <w:t xml:space="preserve">MGH achieved </w:t>
      </w:r>
      <w:r w:rsidR="004F40A2">
        <w:rPr>
          <w:sz w:val="22"/>
          <w:szCs w:val="22"/>
        </w:rPr>
        <w:t xml:space="preserve">the </w:t>
      </w:r>
      <w:r w:rsidR="00C05E00">
        <w:rPr>
          <w:sz w:val="22"/>
          <w:szCs w:val="22"/>
        </w:rPr>
        <w:t xml:space="preserve">objective </w:t>
      </w:r>
      <w:r w:rsidR="004F40A2">
        <w:rPr>
          <w:sz w:val="22"/>
          <w:szCs w:val="22"/>
        </w:rPr>
        <w:t xml:space="preserve">of the DoN </w:t>
      </w:r>
      <w:r>
        <w:rPr>
          <w:sz w:val="22"/>
          <w:szCs w:val="22"/>
        </w:rPr>
        <w:t xml:space="preserve">by shifting volume from </w:t>
      </w:r>
      <w:r w:rsidR="004F40A2">
        <w:rPr>
          <w:sz w:val="22"/>
          <w:szCs w:val="22"/>
        </w:rPr>
        <w:t xml:space="preserve">the </w:t>
      </w:r>
      <w:r>
        <w:rPr>
          <w:sz w:val="22"/>
          <w:szCs w:val="22"/>
        </w:rPr>
        <w:t xml:space="preserve">MGH </w:t>
      </w:r>
      <w:r w:rsidR="00C05E00">
        <w:rPr>
          <w:sz w:val="22"/>
          <w:szCs w:val="22"/>
        </w:rPr>
        <w:t>Main</w:t>
      </w:r>
      <w:r>
        <w:rPr>
          <w:sz w:val="22"/>
          <w:szCs w:val="22"/>
        </w:rPr>
        <w:t xml:space="preserve"> </w:t>
      </w:r>
      <w:r w:rsidR="00C05E00">
        <w:rPr>
          <w:sz w:val="22"/>
          <w:szCs w:val="22"/>
        </w:rPr>
        <w:t>Campus</w:t>
      </w:r>
      <w:r>
        <w:rPr>
          <w:sz w:val="22"/>
          <w:szCs w:val="22"/>
        </w:rPr>
        <w:t xml:space="preserve"> to MG Waltham and expanding access to multiple specialties in the community. However, after two years of operation, the MG Waltham ORs are operating at capacity requiring patients to </w:t>
      </w:r>
      <w:r w:rsidRPr="00637887">
        <w:rPr>
          <w:sz w:val="22"/>
          <w:szCs w:val="22"/>
        </w:rPr>
        <w:t xml:space="preserve">wait weeks to be scheduled for medically necessary outpatient surgery. </w:t>
      </w:r>
      <w:r>
        <w:rPr>
          <w:sz w:val="22"/>
          <w:szCs w:val="22"/>
        </w:rPr>
        <w:t>Moreover, the capacity constraints at MG Waltham</w:t>
      </w:r>
      <w:r w:rsidR="00C05E00">
        <w:rPr>
          <w:sz w:val="22"/>
          <w:szCs w:val="22"/>
        </w:rPr>
        <w:t xml:space="preserve"> impact the ability to sh</w:t>
      </w:r>
      <w:r>
        <w:rPr>
          <w:sz w:val="22"/>
          <w:szCs w:val="22"/>
        </w:rPr>
        <w:t xml:space="preserve">ift additional clinically appropriate cases from the MGH </w:t>
      </w:r>
      <w:r w:rsidR="00C05E00">
        <w:rPr>
          <w:sz w:val="22"/>
          <w:szCs w:val="22"/>
        </w:rPr>
        <w:t>Main</w:t>
      </w:r>
      <w:r>
        <w:rPr>
          <w:sz w:val="22"/>
          <w:szCs w:val="22"/>
        </w:rPr>
        <w:t xml:space="preserve"> </w:t>
      </w:r>
      <w:r w:rsidR="00C05E00">
        <w:rPr>
          <w:sz w:val="22"/>
          <w:szCs w:val="22"/>
        </w:rPr>
        <w:t>Campus</w:t>
      </w:r>
      <w:r>
        <w:rPr>
          <w:sz w:val="22"/>
          <w:szCs w:val="22"/>
        </w:rPr>
        <w:t xml:space="preserve">. </w:t>
      </w:r>
      <w:r w:rsidR="00C05E00">
        <w:rPr>
          <w:sz w:val="22"/>
          <w:szCs w:val="22"/>
        </w:rPr>
        <w:t>In</w:t>
      </w:r>
      <w:r>
        <w:rPr>
          <w:sz w:val="22"/>
          <w:szCs w:val="22"/>
        </w:rPr>
        <w:t xml:space="preserve"> turn</w:t>
      </w:r>
      <w:r w:rsidR="005E1EBE">
        <w:rPr>
          <w:sz w:val="22"/>
          <w:szCs w:val="22"/>
        </w:rPr>
        <w:t>,</w:t>
      </w:r>
      <w:r>
        <w:rPr>
          <w:sz w:val="22"/>
          <w:szCs w:val="22"/>
        </w:rPr>
        <w:t xml:space="preserve"> </w:t>
      </w:r>
      <w:r w:rsidR="004F40A2">
        <w:rPr>
          <w:sz w:val="22"/>
          <w:szCs w:val="22"/>
        </w:rPr>
        <w:t>patients</w:t>
      </w:r>
      <w:r>
        <w:rPr>
          <w:sz w:val="22"/>
          <w:szCs w:val="22"/>
        </w:rPr>
        <w:t xml:space="preserve"> requiring surgery at MGH </w:t>
      </w:r>
      <w:r w:rsidR="00C05E00">
        <w:rPr>
          <w:sz w:val="22"/>
          <w:szCs w:val="22"/>
        </w:rPr>
        <w:t>Main</w:t>
      </w:r>
      <w:r>
        <w:rPr>
          <w:sz w:val="22"/>
          <w:szCs w:val="22"/>
        </w:rPr>
        <w:t xml:space="preserve"> </w:t>
      </w:r>
      <w:r w:rsidR="00C05E00">
        <w:rPr>
          <w:sz w:val="22"/>
          <w:szCs w:val="22"/>
        </w:rPr>
        <w:t>Campus</w:t>
      </w:r>
      <w:r w:rsidR="00173E99">
        <w:rPr>
          <w:sz w:val="22"/>
          <w:szCs w:val="22"/>
        </w:rPr>
        <w:t xml:space="preserve"> also</w:t>
      </w:r>
      <w:r w:rsidR="005E1EBE">
        <w:rPr>
          <w:sz w:val="22"/>
          <w:szCs w:val="22"/>
        </w:rPr>
        <w:t xml:space="preserve"> experience increasingly longer wait tim</w:t>
      </w:r>
      <w:r w:rsidR="00D97544">
        <w:rPr>
          <w:sz w:val="22"/>
          <w:szCs w:val="22"/>
        </w:rPr>
        <w:t xml:space="preserve">es. </w:t>
      </w:r>
      <w:r>
        <w:rPr>
          <w:sz w:val="22"/>
          <w:szCs w:val="22"/>
        </w:rPr>
        <w:t xml:space="preserve">The Proposed Change will </w:t>
      </w:r>
      <w:r w:rsidR="005E1EBE">
        <w:rPr>
          <w:sz w:val="22"/>
          <w:szCs w:val="22"/>
        </w:rPr>
        <w:t>expand</w:t>
      </w:r>
      <w:r w:rsidRPr="00637887">
        <w:rPr>
          <w:sz w:val="22"/>
          <w:szCs w:val="22"/>
        </w:rPr>
        <w:t xml:space="preserve"> </w:t>
      </w:r>
      <w:r>
        <w:rPr>
          <w:sz w:val="22"/>
          <w:szCs w:val="22"/>
        </w:rPr>
        <w:t xml:space="preserve">outpatient surgical </w:t>
      </w:r>
      <w:r w:rsidRPr="00637887">
        <w:rPr>
          <w:sz w:val="22"/>
          <w:szCs w:val="22"/>
        </w:rPr>
        <w:t xml:space="preserve">capacity at MG </w:t>
      </w:r>
      <w:r w:rsidRPr="004F40A2">
        <w:rPr>
          <w:sz w:val="22"/>
          <w:szCs w:val="22"/>
        </w:rPr>
        <w:t xml:space="preserve">Waltham, </w:t>
      </w:r>
      <w:r w:rsidR="00D97544">
        <w:rPr>
          <w:sz w:val="22"/>
          <w:szCs w:val="22"/>
        </w:rPr>
        <w:t xml:space="preserve">allowing for the continued shift of appropriate cases in </w:t>
      </w:r>
      <w:r w:rsidRPr="00637887">
        <w:rPr>
          <w:sz w:val="22"/>
          <w:szCs w:val="22"/>
        </w:rPr>
        <w:t xml:space="preserve">a </w:t>
      </w:r>
      <w:r>
        <w:rPr>
          <w:sz w:val="22"/>
          <w:szCs w:val="22"/>
        </w:rPr>
        <w:t>geographically</w:t>
      </w:r>
      <w:r w:rsidRPr="00637887">
        <w:rPr>
          <w:sz w:val="22"/>
          <w:szCs w:val="22"/>
        </w:rPr>
        <w:t xml:space="preserve"> convenient </w:t>
      </w:r>
      <w:r>
        <w:rPr>
          <w:sz w:val="22"/>
          <w:szCs w:val="22"/>
        </w:rPr>
        <w:t xml:space="preserve">location </w:t>
      </w:r>
      <w:r w:rsidRPr="00637887">
        <w:rPr>
          <w:sz w:val="22"/>
          <w:szCs w:val="22"/>
        </w:rPr>
        <w:t xml:space="preserve">and lower cost </w:t>
      </w:r>
      <w:r>
        <w:rPr>
          <w:sz w:val="22"/>
          <w:szCs w:val="22"/>
        </w:rPr>
        <w:t>setting</w:t>
      </w:r>
      <w:r w:rsidR="00D97544">
        <w:rPr>
          <w:sz w:val="22"/>
          <w:szCs w:val="22"/>
        </w:rPr>
        <w:t xml:space="preserve"> and</w:t>
      </w:r>
      <w:r>
        <w:rPr>
          <w:sz w:val="22"/>
          <w:szCs w:val="22"/>
        </w:rPr>
        <w:t xml:space="preserve"> thereby addressing the needs of the patient panel at multiple locations</w:t>
      </w:r>
      <w:r w:rsidRPr="00637887">
        <w:rPr>
          <w:sz w:val="22"/>
          <w:szCs w:val="22"/>
        </w:rPr>
        <w:t xml:space="preserve">. </w:t>
      </w:r>
    </w:p>
    <w:p w14:paraId="35BB90DB" w14:textId="5B50112B" w:rsidR="009F5152" w:rsidRPr="00A45818" w:rsidRDefault="009F5152" w:rsidP="00D97544">
      <w:pPr>
        <w:suppressAutoHyphens w:val="0"/>
        <w:autoSpaceDE w:val="0"/>
        <w:autoSpaceDN w:val="0"/>
        <w:adjustRightInd w:val="0"/>
        <w:spacing w:after="120"/>
        <w:jc w:val="both"/>
        <w:rPr>
          <w:sz w:val="22"/>
          <w:szCs w:val="22"/>
        </w:rPr>
      </w:pPr>
      <w:r w:rsidRPr="00A45818">
        <w:rPr>
          <w:sz w:val="22"/>
          <w:szCs w:val="22"/>
        </w:rPr>
        <w:t xml:space="preserve">MG Waltham’s expansion opened in FY2022 and enabled MGH </w:t>
      </w:r>
      <w:r w:rsidR="005E1EBE">
        <w:rPr>
          <w:sz w:val="22"/>
          <w:szCs w:val="22"/>
        </w:rPr>
        <w:t>not only</w:t>
      </w:r>
      <w:r w:rsidR="00D97544">
        <w:rPr>
          <w:sz w:val="22"/>
          <w:szCs w:val="22"/>
        </w:rPr>
        <w:t xml:space="preserve"> to</w:t>
      </w:r>
      <w:r w:rsidR="005E1EBE">
        <w:rPr>
          <w:sz w:val="22"/>
          <w:szCs w:val="22"/>
        </w:rPr>
        <w:t xml:space="preserve"> shift pa</w:t>
      </w:r>
      <w:r w:rsidRPr="00A45818">
        <w:rPr>
          <w:sz w:val="22"/>
          <w:szCs w:val="22"/>
        </w:rPr>
        <w:t xml:space="preserve">tients </w:t>
      </w:r>
      <w:r w:rsidR="005E1EBE">
        <w:rPr>
          <w:sz w:val="22"/>
          <w:szCs w:val="22"/>
        </w:rPr>
        <w:t xml:space="preserve">from the MGH Main Campus </w:t>
      </w:r>
      <w:r w:rsidR="00D97544">
        <w:rPr>
          <w:sz w:val="22"/>
          <w:szCs w:val="22"/>
        </w:rPr>
        <w:t xml:space="preserve">but also allowed MGH to provide access to more </w:t>
      </w:r>
      <w:r w:rsidRPr="00A45818">
        <w:rPr>
          <w:sz w:val="22"/>
          <w:szCs w:val="22"/>
        </w:rPr>
        <w:t xml:space="preserve">surgical specialties </w:t>
      </w:r>
      <w:r w:rsidR="00D97544">
        <w:rPr>
          <w:sz w:val="22"/>
          <w:szCs w:val="22"/>
        </w:rPr>
        <w:t xml:space="preserve">than were historically </w:t>
      </w:r>
      <w:r w:rsidRPr="00A45818">
        <w:rPr>
          <w:sz w:val="22"/>
          <w:szCs w:val="22"/>
        </w:rPr>
        <w:t xml:space="preserve">offered at MG Waltham. The expanded surgical specialties offered at MG Waltham, including gynecology, reconstructive surgery, oral maxillofacial, oncology, radiology, </w:t>
      </w:r>
      <w:r w:rsidR="00391E7A">
        <w:rPr>
          <w:sz w:val="22"/>
          <w:szCs w:val="22"/>
        </w:rPr>
        <w:t xml:space="preserve">and </w:t>
      </w:r>
      <w:r w:rsidRPr="00A45818">
        <w:rPr>
          <w:sz w:val="22"/>
          <w:szCs w:val="22"/>
        </w:rPr>
        <w:t xml:space="preserve">oncology, now comprise 48% of all surgeries at MG Waltham.  The following table provides a detailed view of the impact of the MGH Waltham expansion on providing access in the community to surgeries that historically were provided at the MGH </w:t>
      </w:r>
      <w:r w:rsidR="00C05E00">
        <w:rPr>
          <w:sz w:val="22"/>
          <w:szCs w:val="22"/>
        </w:rPr>
        <w:t>Main</w:t>
      </w:r>
      <w:r w:rsidRPr="00A45818">
        <w:rPr>
          <w:sz w:val="22"/>
          <w:szCs w:val="22"/>
        </w:rPr>
        <w:t xml:space="preserve"> </w:t>
      </w:r>
      <w:r w:rsidR="00C05E00">
        <w:rPr>
          <w:sz w:val="22"/>
          <w:szCs w:val="22"/>
        </w:rPr>
        <w:t>Campus</w:t>
      </w:r>
      <w:r w:rsidRPr="00A45818">
        <w:rPr>
          <w:sz w:val="22"/>
          <w:szCs w:val="22"/>
        </w:rPr>
        <w:t>.</w:t>
      </w:r>
    </w:p>
    <w:p w14:paraId="615DAA8C" w14:textId="77777777" w:rsidR="004C6A11" w:rsidRDefault="009F5152" w:rsidP="009F5152">
      <w:pPr>
        <w:suppressAutoHyphens w:val="0"/>
        <w:autoSpaceDE w:val="0"/>
        <w:autoSpaceDN w:val="0"/>
        <w:adjustRightInd w:val="0"/>
        <w:spacing w:before="120" w:after="120"/>
        <w:rPr>
          <w:b/>
          <w:bCs/>
          <w:sz w:val="22"/>
          <w:szCs w:val="22"/>
        </w:rPr>
      </w:pPr>
      <w:r w:rsidRPr="00637887">
        <w:rPr>
          <w:b/>
          <w:bCs/>
          <w:sz w:val="22"/>
          <w:szCs w:val="22"/>
        </w:rPr>
        <w:t xml:space="preserve">Table </w:t>
      </w:r>
      <w:r>
        <w:rPr>
          <w:b/>
          <w:bCs/>
          <w:sz w:val="22"/>
          <w:szCs w:val="22"/>
        </w:rPr>
        <w:t>1</w:t>
      </w:r>
      <w:r w:rsidRPr="00637887">
        <w:rPr>
          <w:b/>
          <w:bCs/>
          <w:sz w:val="22"/>
          <w:szCs w:val="22"/>
        </w:rPr>
        <w:t>. MG Waltham Historical Surgical Volume</w:t>
      </w:r>
      <w:r>
        <w:rPr>
          <w:b/>
          <w:bCs/>
          <w:sz w:val="22"/>
          <w:szCs w:val="22"/>
        </w:rPr>
        <w:t xml:space="preserve"> by Specialty </w:t>
      </w:r>
    </w:p>
    <w:tbl>
      <w:tblPr>
        <w:tblStyle w:val="TableGrid"/>
        <w:tblW w:w="0" w:type="auto"/>
        <w:tblLook w:val="04A0" w:firstRow="1" w:lastRow="0" w:firstColumn="1" w:lastColumn="0" w:noHBand="0" w:noVBand="1"/>
      </w:tblPr>
      <w:tblGrid>
        <w:gridCol w:w="2965"/>
        <w:gridCol w:w="1260"/>
        <w:gridCol w:w="1260"/>
        <w:gridCol w:w="1260"/>
        <w:gridCol w:w="1260"/>
        <w:gridCol w:w="1345"/>
      </w:tblGrid>
      <w:tr w:rsidR="004C6A11" w14:paraId="77D94892" w14:textId="77777777" w:rsidTr="00EB0276">
        <w:trPr>
          <w:cantSplit/>
          <w:tblHeader/>
        </w:trPr>
        <w:tc>
          <w:tcPr>
            <w:tcW w:w="2965" w:type="dxa"/>
            <w:shd w:val="clear" w:color="auto" w:fill="D9E2F3" w:themeFill="accent1" w:themeFillTint="33"/>
            <w:vAlign w:val="center"/>
          </w:tcPr>
          <w:p w14:paraId="059AB03C" w14:textId="42B9FD15" w:rsidR="004C6A11" w:rsidRDefault="004C6A11" w:rsidP="004019C6">
            <w:pPr>
              <w:suppressAutoHyphens w:val="0"/>
              <w:autoSpaceDE w:val="0"/>
              <w:autoSpaceDN w:val="0"/>
              <w:adjustRightInd w:val="0"/>
              <w:rPr>
                <w:b/>
                <w:bCs/>
                <w:sz w:val="22"/>
                <w:szCs w:val="22"/>
              </w:rPr>
            </w:pPr>
            <w:r w:rsidRPr="00637887">
              <w:rPr>
                <w:b/>
                <w:bCs/>
                <w:color w:val="000000"/>
                <w:sz w:val="22"/>
                <w:szCs w:val="22"/>
              </w:rPr>
              <w:t>Case Type</w:t>
            </w:r>
          </w:p>
        </w:tc>
        <w:tc>
          <w:tcPr>
            <w:tcW w:w="1260" w:type="dxa"/>
            <w:shd w:val="clear" w:color="auto" w:fill="D9E2F3" w:themeFill="accent1" w:themeFillTint="33"/>
            <w:vAlign w:val="center"/>
          </w:tcPr>
          <w:p w14:paraId="742EF81E" w14:textId="77777777" w:rsidR="004C6A11" w:rsidRDefault="004C6A11" w:rsidP="004019C6">
            <w:pPr>
              <w:suppressAutoHyphens w:val="0"/>
              <w:jc w:val="center"/>
              <w:rPr>
                <w:b/>
                <w:bCs/>
                <w:color w:val="000000"/>
                <w:sz w:val="22"/>
                <w:szCs w:val="22"/>
              </w:rPr>
            </w:pPr>
            <w:r w:rsidRPr="00637887">
              <w:rPr>
                <w:b/>
                <w:bCs/>
                <w:color w:val="000000"/>
                <w:sz w:val="22"/>
                <w:szCs w:val="22"/>
              </w:rPr>
              <w:t xml:space="preserve">FY19 Volume </w:t>
            </w:r>
          </w:p>
          <w:p w14:paraId="1A678E3E" w14:textId="48F17E39" w:rsidR="004C6A11" w:rsidRDefault="004C6A11" w:rsidP="004019C6">
            <w:pPr>
              <w:suppressAutoHyphens w:val="0"/>
              <w:autoSpaceDE w:val="0"/>
              <w:autoSpaceDN w:val="0"/>
              <w:adjustRightInd w:val="0"/>
              <w:rPr>
                <w:b/>
                <w:bCs/>
                <w:sz w:val="22"/>
                <w:szCs w:val="22"/>
              </w:rPr>
            </w:pPr>
            <w:r w:rsidRPr="00637887">
              <w:rPr>
                <w:b/>
                <w:bCs/>
                <w:color w:val="000000"/>
                <w:sz w:val="22"/>
                <w:szCs w:val="22"/>
              </w:rPr>
              <w:t>(4</w:t>
            </w:r>
            <w:r>
              <w:rPr>
                <w:b/>
                <w:bCs/>
                <w:color w:val="000000"/>
                <w:sz w:val="22"/>
                <w:szCs w:val="22"/>
              </w:rPr>
              <w:t xml:space="preserve"> </w:t>
            </w:r>
            <w:r w:rsidRPr="00637887">
              <w:rPr>
                <w:b/>
                <w:bCs/>
                <w:color w:val="000000"/>
                <w:sz w:val="22"/>
                <w:szCs w:val="22"/>
              </w:rPr>
              <w:t>ORs)</w:t>
            </w:r>
          </w:p>
        </w:tc>
        <w:tc>
          <w:tcPr>
            <w:tcW w:w="1260" w:type="dxa"/>
            <w:shd w:val="clear" w:color="auto" w:fill="D9E2F3" w:themeFill="accent1" w:themeFillTint="33"/>
            <w:vAlign w:val="center"/>
          </w:tcPr>
          <w:p w14:paraId="11C8ACF4" w14:textId="73843D20" w:rsidR="004C6A11" w:rsidRDefault="004C6A11" w:rsidP="004019C6">
            <w:pPr>
              <w:suppressAutoHyphens w:val="0"/>
              <w:autoSpaceDE w:val="0"/>
              <w:autoSpaceDN w:val="0"/>
              <w:adjustRightInd w:val="0"/>
              <w:rPr>
                <w:b/>
                <w:bCs/>
                <w:sz w:val="22"/>
                <w:szCs w:val="22"/>
              </w:rPr>
            </w:pPr>
            <w:r w:rsidRPr="00637887">
              <w:rPr>
                <w:b/>
                <w:bCs/>
                <w:color w:val="000000"/>
                <w:sz w:val="22"/>
                <w:szCs w:val="22"/>
              </w:rPr>
              <w:t>FY22 Volume (10 ORs)</w:t>
            </w:r>
          </w:p>
        </w:tc>
        <w:tc>
          <w:tcPr>
            <w:tcW w:w="1260" w:type="dxa"/>
            <w:shd w:val="clear" w:color="auto" w:fill="D9E2F3" w:themeFill="accent1" w:themeFillTint="33"/>
            <w:vAlign w:val="center"/>
          </w:tcPr>
          <w:p w14:paraId="5A9FCA9B" w14:textId="3329EE76" w:rsidR="004C6A11" w:rsidRDefault="004C6A11" w:rsidP="004019C6">
            <w:pPr>
              <w:suppressAutoHyphens w:val="0"/>
              <w:autoSpaceDE w:val="0"/>
              <w:autoSpaceDN w:val="0"/>
              <w:adjustRightInd w:val="0"/>
              <w:rPr>
                <w:b/>
                <w:bCs/>
                <w:sz w:val="22"/>
                <w:szCs w:val="22"/>
              </w:rPr>
            </w:pPr>
            <w:r w:rsidRPr="00637887">
              <w:rPr>
                <w:b/>
                <w:bCs/>
                <w:color w:val="000000"/>
                <w:sz w:val="22"/>
                <w:szCs w:val="22"/>
              </w:rPr>
              <w:t>FY23 Volume (10 ORs)</w:t>
            </w:r>
          </w:p>
        </w:tc>
        <w:tc>
          <w:tcPr>
            <w:tcW w:w="1260" w:type="dxa"/>
            <w:shd w:val="clear" w:color="auto" w:fill="D9E2F3" w:themeFill="accent1" w:themeFillTint="33"/>
            <w:vAlign w:val="center"/>
          </w:tcPr>
          <w:p w14:paraId="3F2C7E77" w14:textId="6AADE5D4" w:rsidR="004C6A11" w:rsidRDefault="004C6A11" w:rsidP="004019C6">
            <w:pPr>
              <w:suppressAutoHyphens w:val="0"/>
              <w:autoSpaceDE w:val="0"/>
              <w:autoSpaceDN w:val="0"/>
              <w:adjustRightInd w:val="0"/>
              <w:rPr>
                <w:b/>
                <w:bCs/>
                <w:sz w:val="22"/>
                <w:szCs w:val="22"/>
              </w:rPr>
            </w:pPr>
            <w:r w:rsidRPr="00637887">
              <w:rPr>
                <w:b/>
                <w:bCs/>
                <w:color w:val="000000"/>
                <w:sz w:val="22"/>
                <w:szCs w:val="22"/>
              </w:rPr>
              <w:t>Volume Change (FY23 - FY19)</w:t>
            </w:r>
          </w:p>
        </w:tc>
        <w:tc>
          <w:tcPr>
            <w:tcW w:w="1345" w:type="dxa"/>
            <w:shd w:val="clear" w:color="auto" w:fill="D9E2F3" w:themeFill="accent1" w:themeFillTint="33"/>
            <w:vAlign w:val="center"/>
          </w:tcPr>
          <w:p w14:paraId="28FC7320" w14:textId="2C56E25D" w:rsidR="004C6A11" w:rsidRDefault="004C6A11" w:rsidP="004019C6">
            <w:pPr>
              <w:suppressAutoHyphens w:val="0"/>
              <w:autoSpaceDE w:val="0"/>
              <w:autoSpaceDN w:val="0"/>
              <w:adjustRightInd w:val="0"/>
              <w:rPr>
                <w:b/>
                <w:bCs/>
                <w:sz w:val="22"/>
                <w:szCs w:val="22"/>
              </w:rPr>
            </w:pPr>
            <w:r w:rsidRPr="00637887">
              <w:rPr>
                <w:b/>
                <w:bCs/>
                <w:color w:val="000000"/>
                <w:sz w:val="22"/>
                <w:szCs w:val="22"/>
              </w:rPr>
              <w:t>% Change (FY23 - FY19)</w:t>
            </w:r>
          </w:p>
        </w:tc>
      </w:tr>
      <w:tr w:rsidR="004C6A11" w14:paraId="67D080FB" w14:textId="77777777" w:rsidTr="00EB0276">
        <w:trPr>
          <w:cantSplit/>
          <w:trHeight w:val="288"/>
        </w:trPr>
        <w:tc>
          <w:tcPr>
            <w:tcW w:w="2965" w:type="dxa"/>
            <w:vAlign w:val="bottom"/>
          </w:tcPr>
          <w:p w14:paraId="65C200D9" w14:textId="7A6B422B" w:rsidR="004C6A11" w:rsidRDefault="004C6A11" w:rsidP="004C6A11">
            <w:pPr>
              <w:suppressAutoHyphens w:val="0"/>
              <w:autoSpaceDE w:val="0"/>
              <w:autoSpaceDN w:val="0"/>
              <w:adjustRightInd w:val="0"/>
              <w:rPr>
                <w:b/>
                <w:bCs/>
                <w:sz w:val="22"/>
                <w:szCs w:val="22"/>
              </w:rPr>
            </w:pPr>
            <w:r w:rsidRPr="00637887">
              <w:rPr>
                <w:color w:val="000000"/>
                <w:sz w:val="22"/>
                <w:szCs w:val="22"/>
              </w:rPr>
              <w:t>Burn</w:t>
            </w:r>
          </w:p>
        </w:tc>
        <w:tc>
          <w:tcPr>
            <w:tcW w:w="1260" w:type="dxa"/>
            <w:vAlign w:val="bottom"/>
          </w:tcPr>
          <w:p w14:paraId="5EA76FC1" w14:textId="7FD66B4C" w:rsidR="004C6A11" w:rsidRDefault="004C6A11" w:rsidP="004C6A11">
            <w:pPr>
              <w:suppressAutoHyphens w:val="0"/>
              <w:autoSpaceDE w:val="0"/>
              <w:autoSpaceDN w:val="0"/>
              <w:adjustRightInd w:val="0"/>
              <w:rPr>
                <w:b/>
                <w:bCs/>
                <w:sz w:val="22"/>
                <w:szCs w:val="22"/>
              </w:rPr>
            </w:pPr>
            <w:r w:rsidRPr="00637887">
              <w:rPr>
                <w:color w:val="000000"/>
                <w:sz w:val="22"/>
                <w:szCs w:val="22"/>
              </w:rPr>
              <w:t>0</w:t>
            </w:r>
          </w:p>
        </w:tc>
        <w:tc>
          <w:tcPr>
            <w:tcW w:w="1260" w:type="dxa"/>
            <w:vAlign w:val="bottom"/>
          </w:tcPr>
          <w:p w14:paraId="587720AB" w14:textId="5FDF303A" w:rsidR="004C6A11" w:rsidRDefault="004C6A11" w:rsidP="004C6A11">
            <w:pPr>
              <w:suppressAutoHyphens w:val="0"/>
              <w:autoSpaceDE w:val="0"/>
              <w:autoSpaceDN w:val="0"/>
              <w:adjustRightInd w:val="0"/>
              <w:rPr>
                <w:b/>
                <w:bCs/>
                <w:sz w:val="22"/>
                <w:szCs w:val="22"/>
              </w:rPr>
            </w:pPr>
            <w:r w:rsidRPr="00637887">
              <w:rPr>
                <w:color w:val="000000"/>
                <w:sz w:val="22"/>
                <w:szCs w:val="22"/>
              </w:rPr>
              <w:t>51</w:t>
            </w:r>
          </w:p>
        </w:tc>
        <w:tc>
          <w:tcPr>
            <w:tcW w:w="1260" w:type="dxa"/>
            <w:vAlign w:val="bottom"/>
          </w:tcPr>
          <w:p w14:paraId="6D2D2CFD" w14:textId="104A1763" w:rsidR="004C6A11" w:rsidRDefault="004C6A11" w:rsidP="004C6A11">
            <w:pPr>
              <w:suppressAutoHyphens w:val="0"/>
              <w:autoSpaceDE w:val="0"/>
              <w:autoSpaceDN w:val="0"/>
              <w:adjustRightInd w:val="0"/>
              <w:rPr>
                <w:b/>
                <w:bCs/>
                <w:sz w:val="22"/>
                <w:szCs w:val="22"/>
              </w:rPr>
            </w:pPr>
            <w:r w:rsidRPr="00637887">
              <w:rPr>
                <w:color w:val="000000"/>
                <w:sz w:val="22"/>
                <w:szCs w:val="22"/>
              </w:rPr>
              <w:t>30</w:t>
            </w:r>
          </w:p>
        </w:tc>
        <w:tc>
          <w:tcPr>
            <w:tcW w:w="1260" w:type="dxa"/>
            <w:vAlign w:val="bottom"/>
          </w:tcPr>
          <w:p w14:paraId="7923E330" w14:textId="056FDD2D" w:rsidR="004C6A11" w:rsidRDefault="004C6A11" w:rsidP="004C6A11">
            <w:pPr>
              <w:suppressAutoHyphens w:val="0"/>
              <w:autoSpaceDE w:val="0"/>
              <w:autoSpaceDN w:val="0"/>
              <w:adjustRightInd w:val="0"/>
              <w:rPr>
                <w:b/>
                <w:bCs/>
                <w:sz w:val="22"/>
                <w:szCs w:val="22"/>
              </w:rPr>
            </w:pPr>
            <w:r w:rsidRPr="00637887">
              <w:rPr>
                <w:color w:val="000000"/>
                <w:sz w:val="22"/>
                <w:szCs w:val="22"/>
              </w:rPr>
              <w:t>30</w:t>
            </w:r>
          </w:p>
        </w:tc>
        <w:tc>
          <w:tcPr>
            <w:tcW w:w="1345" w:type="dxa"/>
            <w:vAlign w:val="bottom"/>
          </w:tcPr>
          <w:p w14:paraId="70CF9D40" w14:textId="2F84C145" w:rsidR="004C6A11" w:rsidRDefault="004C6A11" w:rsidP="004C6A11">
            <w:pPr>
              <w:suppressAutoHyphens w:val="0"/>
              <w:autoSpaceDE w:val="0"/>
              <w:autoSpaceDN w:val="0"/>
              <w:adjustRightInd w:val="0"/>
              <w:rPr>
                <w:b/>
                <w:bCs/>
                <w:sz w:val="22"/>
                <w:szCs w:val="22"/>
              </w:rPr>
            </w:pPr>
            <w:r w:rsidRPr="00637887">
              <w:rPr>
                <w:color w:val="000000"/>
                <w:sz w:val="22"/>
                <w:szCs w:val="22"/>
              </w:rPr>
              <w:t>N/A</w:t>
            </w:r>
          </w:p>
        </w:tc>
      </w:tr>
      <w:tr w:rsidR="004C6A11" w14:paraId="663A7FA6" w14:textId="77777777" w:rsidTr="00EB0276">
        <w:trPr>
          <w:cantSplit/>
          <w:trHeight w:val="288"/>
        </w:trPr>
        <w:tc>
          <w:tcPr>
            <w:tcW w:w="2965" w:type="dxa"/>
            <w:vAlign w:val="bottom"/>
          </w:tcPr>
          <w:p w14:paraId="44F10A34" w14:textId="12F73735" w:rsidR="004C6A11" w:rsidRDefault="004C6A11" w:rsidP="004C6A11">
            <w:pPr>
              <w:suppressAutoHyphens w:val="0"/>
              <w:autoSpaceDE w:val="0"/>
              <w:autoSpaceDN w:val="0"/>
              <w:adjustRightInd w:val="0"/>
              <w:rPr>
                <w:b/>
                <w:bCs/>
                <w:sz w:val="22"/>
                <w:szCs w:val="22"/>
              </w:rPr>
            </w:pPr>
            <w:r w:rsidRPr="00637887">
              <w:rPr>
                <w:color w:val="000000"/>
                <w:sz w:val="22"/>
                <w:szCs w:val="22"/>
              </w:rPr>
              <w:t>Endoscopy</w:t>
            </w:r>
          </w:p>
        </w:tc>
        <w:tc>
          <w:tcPr>
            <w:tcW w:w="1260" w:type="dxa"/>
            <w:vAlign w:val="bottom"/>
          </w:tcPr>
          <w:p w14:paraId="6E2151BE" w14:textId="310D9624" w:rsidR="004C6A11" w:rsidRDefault="004C6A11" w:rsidP="004C6A11">
            <w:pPr>
              <w:suppressAutoHyphens w:val="0"/>
              <w:autoSpaceDE w:val="0"/>
              <w:autoSpaceDN w:val="0"/>
              <w:adjustRightInd w:val="0"/>
              <w:rPr>
                <w:b/>
                <w:bCs/>
                <w:sz w:val="22"/>
                <w:szCs w:val="22"/>
              </w:rPr>
            </w:pPr>
            <w:r w:rsidRPr="00637887">
              <w:rPr>
                <w:color w:val="000000"/>
                <w:sz w:val="22"/>
                <w:szCs w:val="22"/>
              </w:rPr>
              <w:t>0</w:t>
            </w:r>
          </w:p>
        </w:tc>
        <w:tc>
          <w:tcPr>
            <w:tcW w:w="1260" w:type="dxa"/>
            <w:vAlign w:val="bottom"/>
          </w:tcPr>
          <w:p w14:paraId="0F49D299" w14:textId="7145AB28" w:rsidR="004C6A11" w:rsidRDefault="004C6A11" w:rsidP="004C6A11">
            <w:pPr>
              <w:suppressAutoHyphens w:val="0"/>
              <w:autoSpaceDE w:val="0"/>
              <w:autoSpaceDN w:val="0"/>
              <w:adjustRightInd w:val="0"/>
              <w:rPr>
                <w:b/>
                <w:bCs/>
                <w:sz w:val="22"/>
                <w:szCs w:val="22"/>
              </w:rPr>
            </w:pPr>
            <w:r w:rsidRPr="00637887">
              <w:rPr>
                <w:color w:val="000000"/>
                <w:sz w:val="22"/>
                <w:szCs w:val="22"/>
              </w:rPr>
              <w:t>1,235</w:t>
            </w:r>
          </w:p>
        </w:tc>
        <w:tc>
          <w:tcPr>
            <w:tcW w:w="1260" w:type="dxa"/>
            <w:vAlign w:val="bottom"/>
          </w:tcPr>
          <w:p w14:paraId="1E20F2B4" w14:textId="18C413B2" w:rsidR="004C6A11" w:rsidRDefault="004C6A11" w:rsidP="004C6A11">
            <w:pPr>
              <w:suppressAutoHyphens w:val="0"/>
              <w:autoSpaceDE w:val="0"/>
              <w:autoSpaceDN w:val="0"/>
              <w:adjustRightInd w:val="0"/>
              <w:rPr>
                <w:b/>
                <w:bCs/>
                <w:sz w:val="22"/>
                <w:szCs w:val="22"/>
              </w:rPr>
            </w:pPr>
            <w:r w:rsidRPr="00637887">
              <w:rPr>
                <w:color w:val="000000"/>
                <w:sz w:val="22"/>
                <w:szCs w:val="22"/>
              </w:rPr>
              <w:t>1,324</w:t>
            </w:r>
          </w:p>
        </w:tc>
        <w:tc>
          <w:tcPr>
            <w:tcW w:w="1260" w:type="dxa"/>
            <w:vAlign w:val="bottom"/>
          </w:tcPr>
          <w:p w14:paraId="710BA2ED" w14:textId="35345860" w:rsidR="004C6A11" w:rsidRDefault="004C6A11" w:rsidP="004C6A11">
            <w:pPr>
              <w:suppressAutoHyphens w:val="0"/>
              <w:autoSpaceDE w:val="0"/>
              <w:autoSpaceDN w:val="0"/>
              <w:adjustRightInd w:val="0"/>
              <w:rPr>
                <w:b/>
                <w:bCs/>
                <w:sz w:val="22"/>
                <w:szCs w:val="22"/>
              </w:rPr>
            </w:pPr>
            <w:r w:rsidRPr="00637887">
              <w:rPr>
                <w:color w:val="000000"/>
                <w:sz w:val="22"/>
                <w:szCs w:val="22"/>
              </w:rPr>
              <w:t>1,324</w:t>
            </w:r>
          </w:p>
        </w:tc>
        <w:tc>
          <w:tcPr>
            <w:tcW w:w="1345" w:type="dxa"/>
            <w:vAlign w:val="bottom"/>
          </w:tcPr>
          <w:p w14:paraId="66765F7F" w14:textId="342F2402" w:rsidR="004C6A11" w:rsidRDefault="004C6A11" w:rsidP="004C6A11">
            <w:pPr>
              <w:suppressAutoHyphens w:val="0"/>
              <w:autoSpaceDE w:val="0"/>
              <w:autoSpaceDN w:val="0"/>
              <w:adjustRightInd w:val="0"/>
              <w:rPr>
                <w:b/>
                <w:bCs/>
                <w:sz w:val="22"/>
                <w:szCs w:val="22"/>
              </w:rPr>
            </w:pPr>
            <w:r w:rsidRPr="00637887">
              <w:rPr>
                <w:color w:val="000000"/>
                <w:sz w:val="22"/>
                <w:szCs w:val="22"/>
              </w:rPr>
              <w:t>N/A</w:t>
            </w:r>
          </w:p>
        </w:tc>
      </w:tr>
      <w:tr w:rsidR="004C6A11" w14:paraId="3150EBE9" w14:textId="77777777" w:rsidTr="00EB0276">
        <w:trPr>
          <w:cantSplit/>
          <w:trHeight w:val="288"/>
        </w:trPr>
        <w:tc>
          <w:tcPr>
            <w:tcW w:w="2965" w:type="dxa"/>
            <w:vAlign w:val="bottom"/>
          </w:tcPr>
          <w:p w14:paraId="6D3FEE73" w14:textId="0F851EFF" w:rsidR="004C6A11" w:rsidRDefault="004C6A11" w:rsidP="004C6A11">
            <w:pPr>
              <w:suppressAutoHyphens w:val="0"/>
              <w:autoSpaceDE w:val="0"/>
              <w:autoSpaceDN w:val="0"/>
              <w:adjustRightInd w:val="0"/>
              <w:rPr>
                <w:b/>
                <w:bCs/>
                <w:sz w:val="22"/>
                <w:szCs w:val="22"/>
              </w:rPr>
            </w:pPr>
            <w:r w:rsidRPr="00637887">
              <w:rPr>
                <w:color w:val="000000"/>
                <w:sz w:val="22"/>
                <w:szCs w:val="22"/>
              </w:rPr>
              <w:t>Surgical Oncology</w:t>
            </w:r>
          </w:p>
        </w:tc>
        <w:tc>
          <w:tcPr>
            <w:tcW w:w="1260" w:type="dxa"/>
            <w:vAlign w:val="bottom"/>
          </w:tcPr>
          <w:p w14:paraId="48ABA83D" w14:textId="0102CDF2" w:rsidR="004C6A11" w:rsidRDefault="004C6A11" w:rsidP="004C6A11">
            <w:pPr>
              <w:suppressAutoHyphens w:val="0"/>
              <w:autoSpaceDE w:val="0"/>
              <w:autoSpaceDN w:val="0"/>
              <w:adjustRightInd w:val="0"/>
              <w:rPr>
                <w:b/>
                <w:bCs/>
                <w:sz w:val="22"/>
                <w:szCs w:val="22"/>
              </w:rPr>
            </w:pPr>
            <w:r w:rsidRPr="00637887">
              <w:rPr>
                <w:color w:val="000000"/>
                <w:sz w:val="22"/>
                <w:szCs w:val="22"/>
              </w:rPr>
              <w:t>12</w:t>
            </w:r>
          </w:p>
        </w:tc>
        <w:tc>
          <w:tcPr>
            <w:tcW w:w="1260" w:type="dxa"/>
            <w:vAlign w:val="bottom"/>
          </w:tcPr>
          <w:p w14:paraId="7C620CBD" w14:textId="63A35DF5" w:rsidR="004C6A11" w:rsidRDefault="004C6A11" w:rsidP="004C6A11">
            <w:pPr>
              <w:suppressAutoHyphens w:val="0"/>
              <w:autoSpaceDE w:val="0"/>
              <w:autoSpaceDN w:val="0"/>
              <w:adjustRightInd w:val="0"/>
              <w:rPr>
                <w:b/>
                <w:bCs/>
                <w:sz w:val="22"/>
                <w:szCs w:val="22"/>
              </w:rPr>
            </w:pPr>
            <w:r w:rsidRPr="00637887">
              <w:rPr>
                <w:color w:val="000000"/>
                <w:sz w:val="22"/>
                <w:szCs w:val="22"/>
              </w:rPr>
              <w:t>455</w:t>
            </w:r>
          </w:p>
        </w:tc>
        <w:tc>
          <w:tcPr>
            <w:tcW w:w="1260" w:type="dxa"/>
            <w:vAlign w:val="bottom"/>
          </w:tcPr>
          <w:p w14:paraId="588FB408" w14:textId="0D585DD2" w:rsidR="004C6A11" w:rsidRDefault="004C6A11" w:rsidP="004C6A11">
            <w:pPr>
              <w:suppressAutoHyphens w:val="0"/>
              <w:autoSpaceDE w:val="0"/>
              <w:autoSpaceDN w:val="0"/>
              <w:adjustRightInd w:val="0"/>
              <w:rPr>
                <w:b/>
                <w:bCs/>
                <w:sz w:val="22"/>
                <w:szCs w:val="22"/>
              </w:rPr>
            </w:pPr>
            <w:r w:rsidRPr="00637887">
              <w:rPr>
                <w:color w:val="000000"/>
                <w:sz w:val="22"/>
                <w:szCs w:val="22"/>
              </w:rPr>
              <w:t>1,153</w:t>
            </w:r>
          </w:p>
        </w:tc>
        <w:tc>
          <w:tcPr>
            <w:tcW w:w="1260" w:type="dxa"/>
            <w:vAlign w:val="bottom"/>
          </w:tcPr>
          <w:p w14:paraId="1BFA7D09" w14:textId="1213E9C1" w:rsidR="004C6A11" w:rsidRDefault="004C6A11" w:rsidP="004C6A11">
            <w:pPr>
              <w:suppressAutoHyphens w:val="0"/>
              <w:autoSpaceDE w:val="0"/>
              <w:autoSpaceDN w:val="0"/>
              <w:adjustRightInd w:val="0"/>
              <w:rPr>
                <w:b/>
                <w:bCs/>
                <w:sz w:val="22"/>
                <w:szCs w:val="22"/>
              </w:rPr>
            </w:pPr>
            <w:r w:rsidRPr="00637887">
              <w:rPr>
                <w:color w:val="000000"/>
                <w:sz w:val="22"/>
                <w:szCs w:val="22"/>
              </w:rPr>
              <w:t>1,141</w:t>
            </w:r>
          </w:p>
        </w:tc>
        <w:tc>
          <w:tcPr>
            <w:tcW w:w="1345" w:type="dxa"/>
            <w:vAlign w:val="bottom"/>
          </w:tcPr>
          <w:p w14:paraId="739B8BD9" w14:textId="20FB47E3" w:rsidR="004C6A11" w:rsidRDefault="004C6A11" w:rsidP="004C6A11">
            <w:pPr>
              <w:suppressAutoHyphens w:val="0"/>
              <w:autoSpaceDE w:val="0"/>
              <w:autoSpaceDN w:val="0"/>
              <w:adjustRightInd w:val="0"/>
              <w:rPr>
                <w:b/>
                <w:bCs/>
                <w:sz w:val="22"/>
                <w:szCs w:val="22"/>
              </w:rPr>
            </w:pPr>
            <w:r w:rsidRPr="00637887">
              <w:rPr>
                <w:color w:val="000000"/>
                <w:sz w:val="22"/>
                <w:szCs w:val="22"/>
              </w:rPr>
              <w:t>9508%</w:t>
            </w:r>
          </w:p>
        </w:tc>
      </w:tr>
      <w:tr w:rsidR="004C6A11" w14:paraId="6CB1880F" w14:textId="77777777" w:rsidTr="00EB0276">
        <w:trPr>
          <w:cantSplit/>
          <w:trHeight w:val="288"/>
        </w:trPr>
        <w:tc>
          <w:tcPr>
            <w:tcW w:w="2965" w:type="dxa"/>
            <w:vAlign w:val="bottom"/>
          </w:tcPr>
          <w:p w14:paraId="087708AA" w14:textId="6301A0D6" w:rsidR="004C6A11" w:rsidRDefault="004C6A11" w:rsidP="004C6A11">
            <w:pPr>
              <w:suppressAutoHyphens w:val="0"/>
              <w:autoSpaceDE w:val="0"/>
              <w:autoSpaceDN w:val="0"/>
              <w:adjustRightInd w:val="0"/>
              <w:rPr>
                <w:b/>
                <w:bCs/>
                <w:sz w:val="22"/>
                <w:szCs w:val="22"/>
              </w:rPr>
            </w:pPr>
            <w:r w:rsidRPr="00637887">
              <w:rPr>
                <w:color w:val="000000"/>
                <w:sz w:val="22"/>
                <w:szCs w:val="22"/>
              </w:rPr>
              <w:t>Gynecology</w:t>
            </w:r>
          </w:p>
        </w:tc>
        <w:tc>
          <w:tcPr>
            <w:tcW w:w="1260" w:type="dxa"/>
            <w:vAlign w:val="bottom"/>
          </w:tcPr>
          <w:p w14:paraId="59940C04" w14:textId="5084159F" w:rsidR="004C6A11" w:rsidRDefault="004C6A11" w:rsidP="004C6A11">
            <w:pPr>
              <w:suppressAutoHyphens w:val="0"/>
              <w:autoSpaceDE w:val="0"/>
              <w:autoSpaceDN w:val="0"/>
              <w:adjustRightInd w:val="0"/>
              <w:rPr>
                <w:b/>
                <w:bCs/>
                <w:sz w:val="22"/>
                <w:szCs w:val="22"/>
              </w:rPr>
            </w:pPr>
            <w:r w:rsidRPr="00637887">
              <w:rPr>
                <w:color w:val="000000"/>
                <w:sz w:val="22"/>
                <w:szCs w:val="22"/>
              </w:rPr>
              <w:t>0</w:t>
            </w:r>
          </w:p>
        </w:tc>
        <w:tc>
          <w:tcPr>
            <w:tcW w:w="1260" w:type="dxa"/>
            <w:vAlign w:val="bottom"/>
          </w:tcPr>
          <w:p w14:paraId="1F9DE061" w14:textId="763E5378" w:rsidR="004C6A11" w:rsidRDefault="004C6A11" w:rsidP="004C6A11">
            <w:pPr>
              <w:suppressAutoHyphens w:val="0"/>
              <w:autoSpaceDE w:val="0"/>
              <w:autoSpaceDN w:val="0"/>
              <w:adjustRightInd w:val="0"/>
              <w:rPr>
                <w:b/>
                <w:bCs/>
                <w:sz w:val="22"/>
                <w:szCs w:val="22"/>
              </w:rPr>
            </w:pPr>
            <w:r w:rsidRPr="00637887">
              <w:rPr>
                <w:color w:val="000000"/>
                <w:sz w:val="22"/>
                <w:szCs w:val="22"/>
              </w:rPr>
              <w:t>351</w:t>
            </w:r>
          </w:p>
        </w:tc>
        <w:tc>
          <w:tcPr>
            <w:tcW w:w="1260" w:type="dxa"/>
            <w:vAlign w:val="bottom"/>
          </w:tcPr>
          <w:p w14:paraId="06B5A46F" w14:textId="50151336" w:rsidR="004C6A11" w:rsidRDefault="004C6A11" w:rsidP="004C6A11">
            <w:pPr>
              <w:suppressAutoHyphens w:val="0"/>
              <w:autoSpaceDE w:val="0"/>
              <w:autoSpaceDN w:val="0"/>
              <w:adjustRightInd w:val="0"/>
              <w:rPr>
                <w:b/>
                <w:bCs/>
                <w:sz w:val="22"/>
                <w:szCs w:val="22"/>
              </w:rPr>
            </w:pPr>
            <w:r w:rsidRPr="00637887">
              <w:rPr>
                <w:color w:val="000000"/>
                <w:sz w:val="22"/>
                <w:szCs w:val="22"/>
              </w:rPr>
              <w:t>366</w:t>
            </w:r>
          </w:p>
        </w:tc>
        <w:tc>
          <w:tcPr>
            <w:tcW w:w="1260" w:type="dxa"/>
            <w:vAlign w:val="bottom"/>
          </w:tcPr>
          <w:p w14:paraId="0171FCD6" w14:textId="538ED8C1" w:rsidR="004C6A11" w:rsidRDefault="004C6A11" w:rsidP="004C6A11">
            <w:pPr>
              <w:suppressAutoHyphens w:val="0"/>
              <w:autoSpaceDE w:val="0"/>
              <w:autoSpaceDN w:val="0"/>
              <w:adjustRightInd w:val="0"/>
              <w:rPr>
                <w:b/>
                <w:bCs/>
                <w:sz w:val="22"/>
                <w:szCs w:val="22"/>
              </w:rPr>
            </w:pPr>
            <w:r w:rsidRPr="00637887">
              <w:rPr>
                <w:color w:val="000000"/>
                <w:sz w:val="22"/>
                <w:szCs w:val="22"/>
              </w:rPr>
              <w:t>366</w:t>
            </w:r>
          </w:p>
        </w:tc>
        <w:tc>
          <w:tcPr>
            <w:tcW w:w="1345" w:type="dxa"/>
            <w:vAlign w:val="bottom"/>
          </w:tcPr>
          <w:p w14:paraId="0CFD4E4D" w14:textId="2A1E51A9" w:rsidR="004C6A11" w:rsidRDefault="004C6A11" w:rsidP="004C6A11">
            <w:pPr>
              <w:suppressAutoHyphens w:val="0"/>
              <w:autoSpaceDE w:val="0"/>
              <w:autoSpaceDN w:val="0"/>
              <w:adjustRightInd w:val="0"/>
              <w:rPr>
                <w:b/>
                <w:bCs/>
                <w:sz w:val="22"/>
                <w:szCs w:val="22"/>
              </w:rPr>
            </w:pPr>
            <w:r w:rsidRPr="00637887">
              <w:rPr>
                <w:color w:val="000000"/>
                <w:sz w:val="22"/>
                <w:szCs w:val="22"/>
              </w:rPr>
              <w:t>N/A</w:t>
            </w:r>
          </w:p>
        </w:tc>
      </w:tr>
      <w:tr w:rsidR="004C6A11" w14:paraId="1BF84736" w14:textId="77777777" w:rsidTr="00EB0276">
        <w:trPr>
          <w:cantSplit/>
          <w:trHeight w:val="288"/>
        </w:trPr>
        <w:tc>
          <w:tcPr>
            <w:tcW w:w="2965" w:type="dxa"/>
            <w:vAlign w:val="bottom"/>
          </w:tcPr>
          <w:p w14:paraId="71BD939B" w14:textId="682F894C" w:rsidR="004C6A11" w:rsidRDefault="004C6A11" w:rsidP="004C6A11">
            <w:pPr>
              <w:suppressAutoHyphens w:val="0"/>
              <w:autoSpaceDE w:val="0"/>
              <w:autoSpaceDN w:val="0"/>
              <w:adjustRightInd w:val="0"/>
              <w:rPr>
                <w:b/>
                <w:bCs/>
                <w:sz w:val="22"/>
                <w:szCs w:val="22"/>
              </w:rPr>
            </w:pPr>
            <w:r w:rsidRPr="00637887">
              <w:rPr>
                <w:color w:val="000000"/>
                <w:sz w:val="22"/>
                <w:szCs w:val="22"/>
              </w:rPr>
              <w:t>Neurosurgery</w:t>
            </w:r>
          </w:p>
        </w:tc>
        <w:tc>
          <w:tcPr>
            <w:tcW w:w="1260" w:type="dxa"/>
            <w:vAlign w:val="bottom"/>
          </w:tcPr>
          <w:p w14:paraId="10D495FA" w14:textId="02B31EB3" w:rsidR="004C6A11" w:rsidRDefault="004C6A11" w:rsidP="004C6A11">
            <w:pPr>
              <w:suppressAutoHyphens w:val="0"/>
              <w:autoSpaceDE w:val="0"/>
              <w:autoSpaceDN w:val="0"/>
              <w:adjustRightInd w:val="0"/>
              <w:rPr>
                <w:b/>
                <w:bCs/>
                <w:sz w:val="22"/>
                <w:szCs w:val="22"/>
              </w:rPr>
            </w:pPr>
            <w:r w:rsidRPr="00637887">
              <w:rPr>
                <w:color w:val="000000"/>
                <w:sz w:val="22"/>
                <w:szCs w:val="22"/>
              </w:rPr>
              <w:t>1</w:t>
            </w:r>
          </w:p>
        </w:tc>
        <w:tc>
          <w:tcPr>
            <w:tcW w:w="1260" w:type="dxa"/>
            <w:vAlign w:val="bottom"/>
          </w:tcPr>
          <w:p w14:paraId="468A4441" w14:textId="2CAD76B2" w:rsidR="004C6A11" w:rsidRDefault="004C6A11" w:rsidP="004C6A11">
            <w:pPr>
              <w:suppressAutoHyphens w:val="0"/>
              <w:autoSpaceDE w:val="0"/>
              <w:autoSpaceDN w:val="0"/>
              <w:adjustRightInd w:val="0"/>
              <w:rPr>
                <w:b/>
                <w:bCs/>
                <w:sz w:val="22"/>
                <w:szCs w:val="22"/>
              </w:rPr>
            </w:pPr>
            <w:r w:rsidRPr="00637887">
              <w:rPr>
                <w:color w:val="000000"/>
                <w:sz w:val="22"/>
                <w:szCs w:val="22"/>
              </w:rPr>
              <w:t>30</w:t>
            </w:r>
          </w:p>
        </w:tc>
        <w:tc>
          <w:tcPr>
            <w:tcW w:w="1260" w:type="dxa"/>
            <w:vAlign w:val="bottom"/>
          </w:tcPr>
          <w:p w14:paraId="41694070" w14:textId="15AF50F4" w:rsidR="004C6A11" w:rsidRDefault="004C6A11" w:rsidP="004C6A11">
            <w:pPr>
              <w:suppressAutoHyphens w:val="0"/>
              <w:autoSpaceDE w:val="0"/>
              <w:autoSpaceDN w:val="0"/>
              <w:adjustRightInd w:val="0"/>
              <w:rPr>
                <w:b/>
                <w:bCs/>
                <w:sz w:val="22"/>
                <w:szCs w:val="22"/>
              </w:rPr>
            </w:pPr>
            <w:r w:rsidRPr="00637887">
              <w:rPr>
                <w:color w:val="000000"/>
                <w:sz w:val="22"/>
                <w:szCs w:val="22"/>
              </w:rPr>
              <w:t>14</w:t>
            </w:r>
          </w:p>
        </w:tc>
        <w:tc>
          <w:tcPr>
            <w:tcW w:w="1260" w:type="dxa"/>
            <w:vAlign w:val="bottom"/>
          </w:tcPr>
          <w:p w14:paraId="7DD9E5D2" w14:textId="01C1534C" w:rsidR="004C6A11" w:rsidRDefault="004C6A11" w:rsidP="004C6A11">
            <w:pPr>
              <w:suppressAutoHyphens w:val="0"/>
              <w:autoSpaceDE w:val="0"/>
              <w:autoSpaceDN w:val="0"/>
              <w:adjustRightInd w:val="0"/>
              <w:rPr>
                <w:b/>
                <w:bCs/>
                <w:sz w:val="22"/>
                <w:szCs w:val="22"/>
              </w:rPr>
            </w:pPr>
            <w:r w:rsidRPr="00637887">
              <w:rPr>
                <w:color w:val="000000"/>
                <w:sz w:val="22"/>
                <w:szCs w:val="22"/>
              </w:rPr>
              <w:t>13</w:t>
            </w:r>
          </w:p>
        </w:tc>
        <w:tc>
          <w:tcPr>
            <w:tcW w:w="1345" w:type="dxa"/>
            <w:vAlign w:val="bottom"/>
          </w:tcPr>
          <w:p w14:paraId="2B52A107" w14:textId="70A535FD" w:rsidR="004C6A11" w:rsidRDefault="004C6A11" w:rsidP="004C6A11">
            <w:pPr>
              <w:suppressAutoHyphens w:val="0"/>
              <w:autoSpaceDE w:val="0"/>
              <w:autoSpaceDN w:val="0"/>
              <w:adjustRightInd w:val="0"/>
              <w:rPr>
                <w:b/>
                <w:bCs/>
                <w:sz w:val="22"/>
                <w:szCs w:val="22"/>
              </w:rPr>
            </w:pPr>
            <w:r w:rsidRPr="00637887">
              <w:rPr>
                <w:color w:val="000000"/>
                <w:sz w:val="22"/>
                <w:szCs w:val="22"/>
              </w:rPr>
              <w:t>1300%</w:t>
            </w:r>
          </w:p>
        </w:tc>
      </w:tr>
      <w:tr w:rsidR="004C6A11" w14:paraId="6FFB5719" w14:textId="77777777" w:rsidTr="00EB0276">
        <w:trPr>
          <w:cantSplit/>
          <w:trHeight w:val="288"/>
        </w:trPr>
        <w:tc>
          <w:tcPr>
            <w:tcW w:w="2965" w:type="dxa"/>
            <w:vAlign w:val="bottom"/>
          </w:tcPr>
          <w:p w14:paraId="1ED0A8E7" w14:textId="0D1531A3" w:rsidR="004C6A11" w:rsidRDefault="004C6A11" w:rsidP="004C6A11">
            <w:pPr>
              <w:suppressAutoHyphens w:val="0"/>
              <w:autoSpaceDE w:val="0"/>
              <w:autoSpaceDN w:val="0"/>
              <w:adjustRightInd w:val="0"/>
              <w:rPr>
                <w:b/>
                <w:bCs/>
                <w:sz w:val="22"/>
                <w:szCs w:val="22"/>
              </w:rPr>
            </w:pPr>
            <w:r w:rsidRPr="00637887">
              <w:rPr>
                <w:color w:val="000000"/>
                <w:sz w:val="22"/>
                <w:szCs w:val="22"/>
              </w:rPr>
              <w:t>Oral Maxillofacial Surg</w:t>
            </w:r>
          </w:p>
        </w:tc>
        <w:tc>
          <w:tcPr>
            <w:tcW w:w="1260" w:type="dxa"/>
            <w:vAlign w:val="bottom"/>
          </w:tcPr>
          <w:p w14:paraId="45EC67EE" w14:textId="011DF50A" w:rsidR="004C6A11" w:rsidRDefault="004C6A11" w:rsidP="004C6A11">
            <w:pPr>
              <w:suppressAutoHyphens w:val="0"/>
              <w:autoSpaceDE w:val="0"/>
              <w:autoSpaceDN w:val="0"/>
              <w:adjustRightInd w:val="0"/>
              <w:rPr>
                <w:b/>
                <w:bCs/>
                <w:sz w:val="22"/>
                <w:szCs w:val="22"/>
              </w:rPr>
            </w:pPr>
            <w:r w:rsidRPr="00637887">
              <w:rPr>
                <w:color w:val="000000"/>
                <w:sz w:val="22"/>
                <w:szCs w:val="22"/>
              </w:rPr>
              <w:t>0</w:t>
            </w:r>
          </w:p>
        </w:tc>
        <w:tc>
          <w:tcPr>
            <w:tcW w:w="1260" w:type="dxa"/>
            <w:vAlign w:val="bottom"/>
          </w:tcPr>
          <w:p w14:paraId="195BF047" w14:textId="754E244C" w:rsidR="004C6A11" w:rsidRDefault="004C6A11" w:rsidP="004C6A11">
            <w:pPr>
              <w:suppressAutoHyphens w:val="0"/>
              <w:autoSpaceDE w:val="0"/>
              <w:autoSpaceDN w:val="0"/>
              <w:adjustRightInd w:val="0"/>
              <w:rPr>
                <w:b/>
                <w:bCs/>
                <w:sz w:val="22"/>
                <w:szCs w:val="22"/>
              </w:rPr>
            </w:pPr>
            <w:r w:rsidRPr="00637887">
              <w:rPr>
                <w:color w:val="000000"/>
                <w:sz w:val="22"/>
                <w:szCs w:val="22"/>
              </w:rPr>
              <w:t>77</w:t>
            </w:r>
          </w:p>
        </w:tc>
        <w:tc>
          <w:tcPr>
            <w:tcW w:w="1260" w:type="dxa"/>
            <w:vAlign w:val="bottom"/>
          </w:tcPr>
          <w:p w14:paraId="771D8CF6" w14:textId="51D36322" w:rsidR="004C6A11" w:rsidRDefault="004C6A11" w:rsidP="004C6A11">
            <w:pPr>
              <w:suppressAutoHyphens w:val="0"/>
              <w:autoSpaceDE w:val="0"/>
              <w:autoSpaceDN w:val="0"/>
              <w:adjustRightInd w:val="0"/>
              <w:rPr>
                <w:b/>
                <w:bCs/>
                <w:sz w:val="22"/>
                <w:szCs w:val="22"/>
              </w:rPr>
            </w:pPr>
            <w:r w:rsidRPr="00637887">
              <w:rPr>
                <w:color w:val="000000"/>
                <w:sz w:val="22"/>
                <w:szCs w:val="22"/>
              </w:rPr>
              <w:t>132</w:t>
            </w:r>
          </w:p>
        </w:tc>
        <w:tc>
          <w:tcPr>
            <w:tcW w:w="1260" w:type="dxa"/>
            <w:vAlign w:val="bottom"/>
          </w:tcPr>
          <w:p w14:paraId="43B5A9E9" w14:textId="358EE78B" w:rsidR="004C6A11" w:rsidRDefault="004C6A11" w:rsidP="004C6A11">
            <w:pPr>
              <w:suppressAutoHyphens w:val="0"/>
              <w:autoSpaceDE w:val="0"/>
              <w:autoSpaceDN w:val="0"/>
              <w:adjustRightInd w:val="0"/>
              <w:rPr>
                <w:b/>
                <w:bCs/>
                <w:sz w:val="22"/>
                <w:szCs w:val="22"/>
              </w:rPr>
            </w:pPr>
            <w:r w:rsidRPr="00637887">
              <w:rPr>
                <w:color w:val="000000"/>
                <w:sz w:val="22"/>
                <w:szCs w:val="22"/>
              </w:rPr>
              <w:t>132</w:t>
            </w:r>
          </w:p>
        </w:tc>
        <w:tc>
          <w:tcPr>
            <w:tcW w:w="1345" w:type="dxa"/>
            <w:vAlign w:val="bottom"/>
          </w:tcPr>
          <w:p w14:paraId="2B4422E4" w14:textId="46559151" w:rsidR="004C6A11" w:rsidRDefault="004C6A11" w:rsidP="004C6A11">
            <w:pPr>
              <w:suppressAutoHyphens w:val="0"/>
              <w:autoSpaceDE w:val="0"/>
              <w:autoSpaceDN w:val="0"/>
              <w:adjustRightInd w:val="0"/>
              <w:rPr>
                <w:b/>
                <w:bCs/>
                <w:sz w:val="22"/>
                <w:szCs w:val="22"/>
              </w:rPr>
            </w:pPr>
            <w:r w:rsidRPr="00637887">
              <w:rPr>
                <w:color w:val="000000"/>
                <w:sz w:val="22"/>
                <w:szCs w:val="22"/>
              </w:rPr>
              <w:t>N/A</w:t>
            </w:r>
          </w:p>
        </w:tc>
      </w:tr>
      <w:tr w:rsidR="004C6A11" w14:paraId="7F7CC01A" w14:textId="77777777" w:rsidTr="00EB0276">
        <w:trPr>
          <w:cantSplit/>
          <w:trHeight w:val="288"/>
        </w:trPr>
        <w:tc>
          <w:tcPr>
            <w:tcW w:w="2965" w:type="dxa"/>
            <w:vAlign w:val="bottom"/>
          </w:tcPr>
          <w:p w14:paraId="184944DC" w14:textId="5BB4B7C0" w:rsidR="004C6A11" w:rsidRDefault="004C6A11" w:rsidP="004C6A11">
            <w:pPr>
              <w:suppressAutoHyphens w:val="0"/>
              <w:autoSpaceDE w:val="0"/>
              <w:autoSpaceDN w:val="0"/>
              <w:adjustRightInd w:val="0"/>
              <w:rPr>
                <w:b/>
                <w:bCs/>
                <w:sz w:val="22"/>
                <w:szCs w:val="22"/>
              </w:rPr>
            </w:pPr>
            <w:r w:rsidRPr="00637887">
              <w:rPr>
                <w:color w:val="000000"/>
                <w:sz w:val="22"/>
                <w:szCs w:val="22"/>
              </w:rPr>
              <w:t>Orthopedic Surgery</w:t>
            </w:r>
          </w:p>
        </w:tc>
        <w:tc>
          <w:tcPr>
            <w:tcW w:w="1260" w:type="dxa"/>
            <w:vAlign w:val="bottom"/>
          </w:tcPr>
          <w:p w14:paraId="4DE35941" w14:textId="3EFA2D19" w:rsidR="004C6A11" w:rsidRDefault="004C6A11" w:rsidP="004C6A11">
            <w:pPr>
              <w:suppressAutoHyphens w:val="0"/>
              <w:autoSpaceDE w:val="0"/>
              <w:autoSpaceDN w:val="0"/>
              <w:adjustRightInd w:val="0"/>
              <w:rPr>
                <w:b/>
                <w:bCs/>
                <w:sz w:val="22"/>
                <w:szCs w:val="22"/>
              </w:rPr>
            </w:pPr>
            <w:r w:rsidRPr="00637887">
              <w:rPr>
                <w:color w:val="000000"/>
                <w:sz w:val="22"/>
                <w:szCs w:val="22"/>
              </w:rPr>
              <w:t>3,095</w:t>
            </w:r>
          </w:p>
        </w:tc>
        <w:tc>
          <w:tcPr>
            <w:tcW w:w="1260" w:type="dxa"/>
            <w:vAlign w:val="bottom"/>
          </w:tcPr>
          <w:p w14:paraId="25E3E855" w14:textId="1EA0E496" w:rsidR="004C6A11" w:rsidRDefault="004C6A11" w:rsidP="004C6A11">
            <w:pPr>
              <w:suppressAutoHyphens w:val="0"/>
              <w:autoSpaceDE w:val="0"/>
              <w:autoSpaceDN w:val="0"/>
              <w:adjustRightInd w:val="0"/>
              <w:rPr>
                <w:b/>
                <w:bCs/>
                <w:sz w:val="22"/>
                <w:szCs w:val="22"/>
              </w:rPr>
            </w:pPr>
            <w:r w:rsidRPr="00637887">
              <w:rPr>
                <w:color w:val="000000"/>
                <w:sz w:val="22"/>
                <w:szCs w:val="22"/>
              </w:rPr>
              <w:t>4,804</w:t>
            </w:r>
          </w:p>
        </w:tc>
        <w:tc>
          <w:tcPr>
            <w:tcW w:w="1260" w:type="dxa"/>
            <w:vAlign w:val="bottom"/>
          </w:tcPr>
          <w:p w14:paraId="3354D6ED" w14:textId="1D6E136E" w:rsidR="004C6A11" w:rsidRDefault="004C6A11" w:rsidP="004C6A11">
            <w:pPr>
              <w:suppressAutoHyphens w:val="0"/>
              <w:autoSpaceDE w:val="0"/>
              <w:autoSpaceDN w:val="0"/>
              <w:adjustRightInd w:val="0"/>
              <w:rPr>
                <w:b/>
                <w:bCs/>
                <w:sz w:val="22"/>
                <w:szCs w:val="22"/>
              </w:rPr>
            </w:pPr>
            <w:r w:rsidRPr="00637887">
              <w:rPr>
                <w:color w:val="000000"/>
                <w:sz w:val="22"/>
                <w:szCs w:val="22"/>
              </w:rPr>
              <w:t>4,959</w:t>
            </w:r>
          </w:p>
        </w:tc>
        <w:tc>
          <w:tcPr>
            <w:tcW w:w="1260" w:type="dxa"/>
            <w:vAlign w:val="bottom"/>
          </w:tcPr>
          <w:p w14:paraId="58C617F7" w14:textId="22EC1AA2" w:rsidR="004C6A11" w:rsidRDefault="004C6A11" w:rsidP="004C6A11">
            <w:pPr>
              <w:suppressAutoHyphens w:val="0"/>
              <w:autoSpaceDE w:val="0"/>
              <w:autoSpaceDN w:val="0"/>
              <w:adjustRightInd w:val="0"/>
              <w:rPr>
                <w:b/>
                <w:bCs/>
                <w:sz w:val="22"/>
                <w:szCs w:val="22"/>
              </w:rPr>
            </w:pPr>
            <w:r w:rsidRPr="00637887">
              <w:rPr>
                <w:color w:val="000000"/>
                <w:sz w:val="22"/>
                <w:szCs w:val="22"/>
              </w:rPr>
              <w:t>1,864</w:t>
            </w:r>
          </w:p>
        </w:tc>
        <w:tc>
          <w:tcPr>
            <w:tcW w:w="1345" w:type="dxa"/>
            <w:vAlign w:val="bottom"/>
          </w:tcPr>
          <w:p w14:paraId="42923EB7" w14:textId="56C6911E" w:rsidR="004C6A11" w:rsidRDefault="004C6A11" w:rsidP="004C6A11">
            <w:pPr>
              <w:suppressAutoHyphens w:val="0"/>
              <w:autoSpaceDE w:val="0"/>
              <w:autoSpaceDN w:val="0"/>
              <w:adjustRightInd w:val="0"/>
              <w:rPr>
                <w:b/>
                <w:bCs/>
                <w:sz w:val="22"/>
                <w:szCs w:val="22"/>
              </w:rPr>
            </w:pPr>
            <w:r w:rsidRPr="00637887">
              <w:rPr>
                <w:color w:val="000000"/>
                <w:sz w:val="22"/>
                <w:szCs w:val="22"/>
              </w:rPr>
              <w:t>60%</w:t>
            </w:r>
          </w:p>
        </w:tc>
      </w:tr>
      <w:tr w:rsidR="004C6A11" w14:paraId="0F88227F" w14:textId="77777777" w:rsidTr="00EB0276">
        <w:trPr>
          <w:cantSplit/>
          <w:trHeight w:val="288"/>
        </w:trPr>
        <w:tc>
          <w:tcPr>
            <w:tcW w:w="2965" w:type="dxa"/>
            <w:vAlign w:val="bottom"/>
          </w:tcPr>
          <w:p w14:paraId="4C01F5BE" w14:textId="74A014C9"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Reconstructive Surgery</w:t>
            </w:r>
          </w:p>
        </w:tc>
        <w:tc>
          <w:tcPr>
            <w:tcW w:w="1260" w:type="dxa"/>
            <w:vAlign w:val="bottom"/>
          </w:tcPr>
          <w:p w14:paraId="023D5B5C" w14:textId="3C4A5B21"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122</w:t>
            </w:r>
          </w:p>
        </w:tc>
        <w:tc>
          <w:tcPr>
            <w:tcW w:w="1260" w:type="dxa"/>
            <w:vAlign w:val="bottom"/>
          </w:tcPr>
          <w:p w14:paraId="06E68A07" w14:textId="0B96E16D"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235</w:t>
            </w:r>
          </w:p>
        </w:tc>
        <w:tc>
          <w:tcPr>
            <w:tcW w:w="1260" w:type="dxa"/>
            <w:vAlign w:val="bottom"/>
          </w:tcPr>
          <w:p w14:paraId="5549EB76" w14:textId="3652BD4F"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301</w:t>
            </w:r>
          </w:p>
        </w:tc>
        <w:tc>
          <w:tcPr>
            <w:tcW w:w="1260" w:type="dxa"/>
            <w:vAlign w:val="bottom"/>
          </w:tcPr>
          <w:p w14:paraId="0FDAF231" w14:textId="1F3547B5"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179</w:t>
            </w:r>
          </w:p>
        </w:tc>
        <w:tc>
          <w:tcPr>
            <w:tcW w:w="1345" w:type="dxa"/>
            <w:vAlign w:val="bottom"/>
          </w:tcPr>
          <w:p w14:paraId="5D89EE4F" w14:textId="5A0CB395"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147%</w:t>
            </w:r>
          </w:p>
        </w:tc>
      </w:tr>
      <w:tr w:rsidR="004C6A11" w14:paraId="4EC9E67B" w14:textId="77777777" w:rsidTr="00EB0276">
        <w:trPr>
          <w:cantSplit/>
          <w:trHeight w:val="288"/>
        </w:trPr>
        <w:tc>
          <w:tcPr>
            <w:tcW w:w="2965" w:type="dxa"/>
            <w:vAlign w:val="bottom"/>
          </w:tcPr>
          <w:p w14:paraId="42C0E055" w14:textId="329BCD62"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Podiatry</w:t>
            </w:r>
          </w:p>
        </w:tc>
        <w:tc>
          <w:tcPr>
            <w:tcW w:w="1260" w:type="dxa"/>
            <w:vAlign w:val="bottom"/>
          </w:tcPr>
          <w:p w14:paraId="7C6AE3FC" w14:textId="1E22F422"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0</w:t>
            </w:r>
          </w:p>
        </w:tc>
        <w:tc>
          <w:tcPr>
            <w:tcW w:w="1260" w:type="dxa"/>
            <w:vAlign w:val="bottom"/>
          </w:tcPr>
          <w:p w14:paraId="2BB922D9" w14:textId="3DFC736D"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1</w:t>
            </w:r>
          </w:p>
        </w:tc>
        <w:tc>
          <w:tcPr>
            <w:tcW w:w="1260" w:type="dxa"/>
            <w:vAlign w:val="bottom"/>
          </w:tcPr>
          <w:p w14:paraId="787AB2AC" w14:textId="18E4E37C"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2</w:t>
            </w:r>
          </w:p>
        </w:tc>
        <w:tc>
          <w:tcPr>
            <w:tcW w:w="1260" w:type="dxa"/>
            <w:vAlign w:val="bottom"/>
          </w:tcPr>
          <w:p w14:paraId="16257A81" w14:textId="1FF7B915"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2</w:t>
            </w:r>
          </w:p>
        </w:tc>
        <w:tc>
          <w:tcPr>
            <w:tcW w:w="1345" w:type="dxa"/>
            <w:vAlign w:val="bottom"/>
          </w:tcPr>
          <w:p w14:paraId="36D970D2" w14:textId="7D841478"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N/A</w:t>
            </w:r>
          </w:p>
        </w:tc>
      </w:tr>
      <w:tr w:rsidR="004C6A11" w14:paraId="5B5F3776" w14:textId="77777777" w:rsidTr="00EB0276">
        <w:trPr>
          <w:cantSplit/>
          <w:trHeight w:val="288"/>
        </w:trPr>
        <w:tc>
          <w:tcPr>
            <w:tcW w:w="2965" w:type="dxa"/>
            <w:vAlign w:val="bottom"/>
          </w:tcPr>
          <w:p w14:paraId="6980C1E1" w14:textId="6EDF8A72"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Radiology</w:t>
            </w:r>
          </w:p>
        </w:tc>
        <w:tc>
          <w:tcPr>
            <w:tcW w:w="1260" w:type="dxa"/>
            <w:vAlign w:val="bottom"/>
          </w:tcPr>
          <w:p w14:paraId="0B9AC8A8" w14:textId="10CF3CCA"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0</w:t>
            </w:r>
          </w:p>
        </w:tc>
        <w:tc>
          <w:tcPr>
            <w:tcW w:w="1260" w:type="dxa"/>
            <w:vAlign w:val="bottom"/>
          </w:tcPr>
          <w:p w14:paraId="4C10886F" w14:textId="795BD125"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293</w:t>
            </w:r>
          </w:p>
        </w:tc>
        <w:tc>
          <w:tcPr>
            <w:tcW w:w="1260" w:type="dxa"/>
            <w:vAlign w:val="bottom"/>
          </w:tcPr>
          <w:p w14:paraId="314ED507" w14:textId="52736862"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283</w:t>
            </w:r>
          </w:p>
        </w:tc>
        <w:tc>
          <w:tcPr>
            <w:tcW w:w="1260" w:type="dxa"/>
            <w:vAlign w:val="bottom"/>
          </w:tcPr>
          <w:p w14:paraId="384F4B0E" w14:textId="30785FD4"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283</w:t>
            </w:r>
          </w:p>
        </w:tc>
        <w:tc>
          <w:tcPr>
            <w:tcW w:w="1345" w:type="dxa"/>
            <w:vAlign w:val="bottom"/>
          </w:tcPr>
          <w:p w14:paraId="54FF25EF" w14:textId="150114E5"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N/A</w:t>
            </w:r>
          </w:p>
        </w:tc>
      </w:tr>
      <w:tr w:rsidR="004C6A11" w14:paraId="3111EB2D" w14:textId="77777777" w:rsidTr="00EB0276">
        <w:trPr>
          <w:cantSplit/>
          <w:trHeight w:val="288"/>
        </w:trPr>
        <w:tc>
          <w:tcPr>
            <w:tcW w:w="2965" w:type="dxa"/>
            <w:vAlign w:val="bottom"/>
          </w:tcPr>
          <w:p w14:paraId="33658D8C" w14:textId="1777EE33"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Urology</w:t>
            </w:r>
          </w:p>
        </w:tc>
        <w:tc>
          <w:tcPr>
            <w:tcW w:w="1260" w:type="dxa"/>
            <w:vAlign w:val="bottom"/>
          </w:tcPr>
          <w:p w14:paraId="59F3F605" w14:textId="6EF9CDA0"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0</w:t>
            </w:r>
          </w:p>
        </w:tc>
        <w:tc>
          <w:tcPr>
            <w:tcW w:w="1260" w:type="dxa"/>
            <w:vAlign w:val="bottom"/>
          </w:tcPr>
          <w:p w14:paraId="7F320690" w14:textId="00526EB0"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742</w:t>
            </w:r>
          </w:p>
        </w:tc>
        <w:tc>
          <w:tcPr>
            <w:tcW w:w="1260" w:type="dxa"/>
            <w:vAlign w:val="bottom"/>
          </w:tcPr>
          <w:p w14:paraId="3D32BFF8" w14:textId="756CF747"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949</w:t>
            </w:r>
          </w:p>
        </w:tc>
        <w:tc>
          <w:tcPr>
            <w:tcW w:w="1260" w:type="dxa"/>
            <w:vAlign w:val="bottom"/>
          </w:tcPr>
          <w:p w14:paraId="5EFB5818" w14:textId="7057587A"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949</w:t>
            </w:r>
          </w:p>
        </w:tc>
        <w:tc>
          <w:tcPr>
            <w:tcW w:w="1345" w:type="dxa"/>
            <w:vAlign w:val="bottom"/>
          </w:tcPr>
          <w:p w14:paraId="6B6F8A1A" w14:textId="61EA27F2" w:rsidR="004C6A11" w:rsidRPr="00637887" w:rsidRDefault="004C6A11" w:rsidP="004C6A11">
            <w:pPr>
              <w:suppressAutoHyphens w:val="0"/>
              <w:autoSpaceDE w:val="0"/>
              <w:autoSpaceDN w:val="0"/>
              <w:adjustRightInd w:val="0"/>
              <w:rPr>
                <w:color w:val="000000"/>
                <w:sz w:val="22"/>
                <w:szCs w:val="22"/>
              </w:rPr>
            </w:pPr>
            <w:r w:rsidRPr="00637887">
              <w:rPr>
                <w:color w:val="000000"/>
                <w:sz w:val="22"/>
                <w:szCs w:val="22"/>
              </w:rPr>
              <w:t>N/A</w:t>
            </w:r>
          </w:p>
        </w:tc>
      </w:tr>
      <w:tr w:rsidR="004C6A11" w14:paraId="40EE34C6" w14:textId="77777777" w:rsidTr="00EB0276">
        <w:trPr>
          <w:cantSplit/>
          <w:trHeight w:val="288"/>
        </w:trPr>
        <w:tc>
          <w:tcPr>
            <w:tcW w:w="2965" w:type="dxa"/>
            <w:shd w:val="clear" w:color="auto" w:fill="D9E2F3" w:themeFill="accent1" w:themeFillTint="33"/>
            <w:vAlign w:val="bottom"/>
          </w:tcPr>
          <w:p w14:paraId="1DDE864C" w14:textId="0D6B6DE5" w:rsidR="004C6A11" w:rsidRPr="00637887" w:rsidRDefault="004C6A11" w:rsidP="004C6A11">
            <w:pPr>
              <w:suppressAutoHyphens w:val="0"/>
              <w:autoSpaceDE w:val="0"/>
              <w:autoSpaceDN w:val="0"/>
              <w:adjustRightInd w:val="0"/>
              <w:rPr>
                <w:color w:val="000000"/>
                <w:sz w:val="22"/>
                <w:szCs w:val="22"/>
              </w:rPr>
            </w:pPr>
            <w:r w:rsidRPr="00637887">
              <w:rPr>
                <w:b/>
                <w:bCs/>
                <w:color w:val="000000"/>
                <w:sz w:val="22"/>
                <w:szCs w:val="22"/>
              </w:rPr>
              <w:t>Grand Total</w:t>
            </w:r>
          </w:p>
        </w:tc>
        <w:tc>
          <w:tcPr>
            <w:tcW w:w="1260" w:type="dxa"/>
            <w:shd w:val="clear" w:color="auto" w:fill="D9E2F3" w:themeFill="accent1" w:themeFillTint="33"/>
            <w:vAlign w:val="bottom"/>
          </w:tcPr>
          <w:p w14:paraId="7CD2CE39" w14:textId="6D63951F" w:rsidR="004C6A11" w:rsidRPr="00637887" w:rsidRDefault="004C6A11" w:rsidP="004C6A11">
            <w:pPr>
              <w:suppressAutoHyphens w:val="0"/>
              <w:autoSpaceDE w:val="0"/>
              <w:autoSpaceDN w:val="0"/>
              <w:adjustRightInd w:val="0"/>
              <w:rPr>
                <w:color w:val="000000"/>
                <w:sz w:val="22"/>
                <w:szCs w:val="22"/>
              </w:rPr>
            </w:pPr>
            <w:r w:rsidRPr="00637887">
              <w:rPr>
                <w:b/>
                <w:bCs/>
                <w:color w:val="000000"/>
                <w:sz w:val="22"/>
                <w:szCs w:val="22"/>
              </w:rPr>
              <w:t>3,230</w:t>
            </w:r>
          </w:p>
        </w:tc>
        <w:tc>
          <w:tcPr>
            <w:tcW w:w="1260" w:type="dxa"/>
            <w:shd w:val="clear" w:color="auto" w:fill="D9E2F3" w:themeFill="accent1" w:themeFillTint="33"/>
            <w:vAlign w:val="bottom"/>
          </w:tcPr>
          <w:p w14:paraId="3E3E5EE3" w14:textId="205CC98A" w:rsidR="004C6A11" w:rsidRPr="00637887" w:rsidRDefault="004C6A11" w:rsidP="004C6A11">
            <w:pPr>
              <w:suppressAutoHyphens w:val="0"/>
              <w:autoSpaceDE w:val="0"/>
              <w:autoSpaceDN w:val="0"/>
              <w:adjustRightInd w:val="0"/>
              <w:rPr>
                <w:color w:val="000000"/>
                <w:sz w:val="22"/>
                <w:szCs w:val="22"/>
              </w:rPr>
            </w:pPr>
            <w:r w:rsidRPr="00637887">
              <w:rPr>
                <w:b/>
                <w:bCs/>
                <w:color w:val="000000"/>
                <w:sz w:val="22"/>
                <w:szCs w:val="22"/>
              </w:rPr>
              <w:t>8,274</w:t>
            </w:r>
          </w:p>
        </w:tc>
        <w:tc>
          <w:tcPr>
            <w:tcW w:w="1260" w:type="dxa"/>
            <w:shd w:val="clear" w:color="auto" w:fill="D9E2F3" w:themeFill="accent1" w:themeFillTint="33"/>
            <w:vAlign w:val="bottom"/>
          </w:tcPr>
          <w:p w14:paraId="79CAFFCE" w14:textId="22AC6F9A" w:rsidR="004C6A11" w:rsidRPr="00637887" w:rsidRDefault="004C6A11" w:rsidP="004C6A11">
            <w:pPr>
              <w:suppressAutoHyphens w:val="0"/>
              <w:autoSpaceDE w:val="0"/>
              <w:autoSpaceDN w:val="0"/>
              <w:adjustRightInd w:val="0"/>
              <w:rPr>
                <w:color w:val="000000"/>
                <w:sz w:val="22"/>
                <w:szCs w:val="22"/>
              </w:rPr>
            </w:pPr>
            <w:r w:rsidRPr="00637887">
              <w:rPr>
                <w:b/>
                <w:bCs/>
                <w:color w:val="000000"/>
                <w:sz w:val="22"/>
                <w:szCs w:val="22"/>
              </w:rPr>
              <w:t>9,513</w:t>
            </w:r>
          </w:p>
        </w:tc>
        <w:tc>
          <w:tcPr>
            <w:tcW w:w="1260" w:type="dxa"/>
            <w:shd w:val="clear" w:color="auto" w:fill="D9E2F3" w:themeFill="accent1" w:themeFillTint="33"/>
            <w:vAlign w:val="bottom"/>
          </w:tcPr>
          <w:p w14:paraId="7BC47DC4" w14:textId="4C4230D3" w:rsidR="004C6A11" w:rsidRPr="00637887" w:rsidRDefault="004C6A11" w:rsidP="004C6A11">
            <w:pPr>
              <w:suppressAutoHyphens w:val="0"/>
              <w:autoSpaceDE w:val="0"/>
              <w:autoSpaceDN w:val="0"/>
              <w:adjustRightInd w:val="0"/>
              <w:rPr>
                <w:color w:val="000000"/>
                <w:sz w:val="22"/>
                <w:szCs w:val="22"/>
              </w:rPr>
            </w:pPr>
            <w:r w:rsidRPr="00637887">
              <w:rPr>
                <w:b/>
                <w:bCs/>
                <w:color w:val="000000"/>
                <w:sz w:val="22"/>
                <w:szCs w:val="22"/>
              </w:rPr>
              <w:t>6,283</w:t>
            </w:r>
          </w:p>
        </w:tc>
        <w:tc>
          <w:tcPr>
            <w:tcW w:w="1345" w:type="dxa"/>
            <w:shd w:val="clear" w:color="auto" w:fill="D9E2F3" w:themeFill="accent1" w:themeFillTint="33"/>
            <w:vAlign w:val="bottom"/>
          </w:tcPr>
          <w:p w14:paraId="3C19B2D4" w14:textId="2257EC3D" w:rsidR="004C6A11" w:rsidRPr="00637887" w:rsidRDefault="004C6A11" w:rsidP="004C6A11">
            <w:pPr>
              <w:suppressAutoHyphens w:val="0"/>
              <w:autoSpaceDE w:val="0"/>
              <w:autoSpaceDN w:val="0"/>
              <w:adjustRightInd w:val="0"/>
              <w:rPr>
                <w:color w:val="000000"/>
                <w:sz w:val="22"/>
                <w:szCs w:val="22"/>
              </w:rPr>
            </w:pPr>
            <w:r w:rsidRPr="00637887">
              <w:rPr>
                <w:b/>
                <w:bCs/>
                <w:color w:val="000000"/>
                <w:sz w:val="22"/>
                <w:szCs w:val="22"/>
              </w:rPr>
              <w:t>195%</w:t>
            </w:r>
          </w:p>
        </w:tc>
      </w:tr>
    </w:tbl>
    <w:p w14:paraId="09140D82" w14:textId="210F54E1" w:rsidR="009F5152" w:rsidRPr="00A45818" w:rsidRDefault="009F5152" w:rsidP="004C6A11">
      <w:pPr>
        <w:suppressAutoHyphens w:val="0"/>
        <w:autoSpaceDE w:val="0"/>
        <w:autoSpaceDN w:val="0"/>
        <w:adjustRightInd w:val="0"/>
        <w:spacing w:before="120" w:after="120"/>
        <w:rPr>
          <w:rStyle w:val="cf01"/>
          <w:rFonts w:ascii="Times New Roman" w:hAnsi="Times New Roman" w:cs="Times New Roman"/>
          <w:sz w:val="22"/>
          <w:szCs w:val="22"/>
        </w:rPr>
      </w:pPr>
      <w:r w:rsidRPr="00A45818">
        <w:rPr>
          <w:rStyle w:val="cf01"/>
          <w:rFonts w:ascii="Times New Roman" w:hAnsi="Times New Roman" w:cs="Times New Roman"/>
          <w:sz w:val="22"/>
          <w:szCs w:val="22"/>
        </w:rPr>
        <w:t xml:space="preserve">Despite the expansion, MG Waltham is operating at capacity due to the types and complexity of cases it performs. This is evidenced through growing wait times. </w:t>
      </w:r>
      <w:r w:rsidRPr="00A45818">
        <w:rPr>
          <w:sz w:val="22"/>
          <w:szCs w:val="22"/>
        </w:rPr>
        <w:t>The median number of days from the time a case was requested at MG Waltham to when the surgery was performed increased from 23 days to 29 days in FY2023 compared to FY2022,</w:t>
      </w:r>
      <w:r w:rsidR="00E845D2">
        <w:rPr>
          <w:sz w:val="22"/>
          <w:szCs w:val="22"/>
        </w:rPr>
        <w:t xml:space="preserve"> </w:t>
      </w:r>
      <w:r w:rsidR="00D97544">
        <w:rPr>
          <w:sz w:val="22"/>
          <w:szCs w:val="22"/>
        </w:rPr>
        <w:t xml:space="preserve">or </w:t>
      </w:r>
      <w:r w:rsidRPr="00A45818">
        <w:rPr>
          <w:sz w:val="22"/>
          <w:szCs w:val="22"/>
        </w:rPr>
        <w:t>a 24% increase.</w:t>
      </w:r>
      <w:r w:rsidRPr="00A45818">
        <w:rPr>
          <w:rStyle w:val="cf01"/>
          <w:rFonts w:ascii="Times New Roman" w:hAnsi="Times New Roman" w:cs="Times New Roman"/>
          <w:sz w:val="22"/>
          <w:szCs w:val="22"/>
        </w:rPr>
        <w:t xml:space="preserve"> </w:t>
      </w:r>
      <w:r w:rsidRPr="00A45818">
        <w:rPr>
          <w:sz w:val="22"/>
          <w:szCs w:val="22"/>
        </w:rPr>
        <w:t xml:space="preserve">Similarly, the median wait time at the MGH </w:t>
      </w:r>
      <w:r w:rsidR="00C05E00">
        <w:rPr>
          <w:sz w:val="22"/>
          <w:szCs w:val="22"/>
        </w:rPr>
        <w:t>Main</w:t>
      </w:r>
      <w:r w:rsidRPr="00A45818">
        <w:rPr>
          <w:sz w:val="22"/>
          <w:szCs w:val="22"/>
        </w:rPr>
        <w:t xml:space="preserve"> </w:t>
      </w:r>
      <w:r w:rsidR="00C05E00">
        <w:rPr>
          <w:sz w:val="22"/>
          <w:szCs w:val="22"/>
        </w:rPr>
        <w:t>Campus</w:t>
      </w:r>
      <w:r w:rsidRPr="00A45818">
        <w:rPr>
          <w:sz w:val="22"/>
          <w:szCs w:val="22"/>
        </w:rPr>
        <w:t xml:space="preserve"> was 29 days in FY2023 compared to 24 days in FY2022, a 22% increase. </w:t>
      </w:r>
      <w:r w:rsidR="00D97544">
        <w:rPr>
          <w:sz w:val="22"/>
          <w:szCs w:val="22"/>
        </w:rPr>
        <w:t xml:space="preserve">MG Waltham is unable to accept a meaningful number of additional patients, which impacts access at both locations. </w:t>
      </w:r>
    </w:p>
    <w:p w14:paraId="6156D98A" w14:textId="74E648CD" w:rsidR="009F5152" w:rsidRPr="00A45818" w:rsidRDefault="00D97544" w:rsidP="00391E7A">
      <w:pPr>
        <w:pStyle w:val="pf0"/>
        <w:spacing w:before="0" w:beforeAutospacing="0" w:after="120" w:afterAutospacing="0"/>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With adequate capacity, more patients could receive their care at MG Waltham. </w:t>
      </w:r>
      <w:r w:rsidR="009F5152" w:rsidRPr="00A45818">
        <w:rPr>
          <w:rStyle w:val="cf01"/>
          <w:rFonts w:ascii="Times New Roman" w:hAnsi="Times New Roman" w:cs="Times New Roman"/>
          <w:sz w:val="22"/>
          <w:szCs w:val="22"/>
        </w:rPr>
        <w:t xml:space="preserve">In FY2023, the MGH </w:t>
      </w:r>
      <w:r w:rsidR="00C05E00">
        <w:rPr>
          <w:rStyle w:val="cf01"/>
          <w:rFonts w:ascii="Times New Roman" w:hAnsi="Times New Roman" w:cs="Times New Roman"/>
          <w:sz w:val="22"/>
          <w:szCs w:val="22"/>
        </w:rPr>
        <w:t>Main</w:t>
      </w:r>
      <w:r w:rsidR="009F5152" w:rsidRPr="00A45818">
        <w:rPr>
          <w:rStyle w:val="cf01"/>
          <w:rFonts w:ascii="Times New Roman" w:hAnsi="Times New Roman" w:cs="Times New Roman"/>
          <w:sz w:val="22"/>
          <w:szCs w:val="22"/>
        </w:rPr>
        <w:t xml:space="preserve"> </w:t>
      </w:r>
      <w:r w:rsidR="00C05E00">
        <w:rPr>
          <w:rStyle w:val="cf01"/>
          <w:rFonts w:ascii="Times New Roman" w:hAnsi="Times New Roman" w:cs="Times New Roman"/>
          <w:sz w:val="22"/>
          <w:szCs w:val="22"/>
        </w:rPr>
        <w:t>Campus</w:t>
      </w:r>
      <w:r w:rsidR="009F5152" w:rsidRPr="00A45818">
        <w:rPr>
          <w:rStyle w:val="cf01"/>
          <w:rFonts w:ascii="Times New Roman" w:hAnsi="Times New Roman" w:cs="Times New Roman"/>
          <w:sz w:val="22"/>
          <w:szCs w:val="22"/>
        </w:rPr>
        <w:t xml:space="preserve"> performed 15,022 same-day surgeries, including </w:t>
      </w:r>
      <w:proofErr w:type="gramStart"/>
      <w:r w:rsidR="009F5152" w:rsidRPr="00A45818">
        <w:rPr>
          <w:rStyle w:val="cf01"/>
          <w:rFonts w:ascii="Times New Roman" w:hAnsi="Times New Roman" w:cs="Times New Roman"/>
          <w:sz w:val="22"/>
          <w:szCs w:val="22"/>
        </w:rPr>
        <w:t>a majority of</w:t>
      </w:r>
      <w:proofErr w:type="gramEnd"/>
      <w:r w:rsidR="009F5152" w:rsidRPr="00A45818">
        <w:rPr>
          <w:rStyle w:val="cf01"/>
          <w:rFonts w:ascii="Times New Roman" w:hAnsi="Times New Roman" w:cs="Times New Roman"/>
          <w:sz w:val="22"/>
          <w:szCs w:val="22"/>
        </w:rPr>
        <w:t xml:space="preserve"> same-day surgeries that could have been performed </w:t>
      </w:r>
      <w:r>
        <w:rPr>
          <w:rStyle w:val="cf01"/>
          <w:rFonts w:ascii="Times New Roman" w:hAnsi="Times New Roman" w:cs="Times New Roman"/>
          <w:sz w:val="22"/>
          <w:szCs w:val="22"/>
        </w:rPr>
        <w:t>at MG Waltham</w:t>
      </w:r>
      <w:r w:rsidR="009F5152" w:rsidRPr="00A45818">
        <w:rPr>
          <w:rStyle w:val="cf01"/>
          <w:rFonts w:ascii="Times New Roman" w:hAnsi="Times New Roman" w:cs="Times New Roman"/>
          <w:sz w:val="22"/>
          <w:szCs w:val="22"/>
        </w:rPr>
        <w:t xml:space="preserve"> based on clinical criteria. </w:t>
      </w:r>
      <w:r w:rsidR="009F5152" w:rsidRPr="00A45818">
        <w:rPr>
          <w:sz w:val="22"/>
          <w:szCs w:val="22"/>
        </w:rPr>
        <w:t xml:space="preserve">Based on </w:t>
      </w:r>
      <w:r>
        <w:rPr>
          <w:sz w:val="22"/>
          <w:szCs w:val="22"/>
        </w:rPr>
        <w:t>clinical criteria</w:t>
      </w:r>
      <w:r w:rsidR="009F5152" w:rsidRPr="00A45818">
        <w:rPr>
          <w:sz w:val="22"/>
          <w:szCs w:val="22"/>
        </w:rPr>
        <w:t xml:space="preserve">, 8,726 or 58% of the </w:t>
      </w:r>
      <w:r w:rsidR="009F5152" w:rsidRPr="00A45818">
        <w:rPr>
          <w:sz w:val="22"/>
          <w:szCs w:val="22"/>
        </w:rPr>
        <w:lastRenderedPageBreak/>
        <w:t xml:space="preserve">MGH </w:t>
      </w:r>
      <w:r w:rsidR="00C05E00">
        <w:rPr>
          <w:sz w:val="22"/>
          <w:szCs w:val="22"/>
        </w:rPr>
        <w:t>Main</w:t>
      </w:r>
      <w:r w:rsidR="009F5152" w:rsidRPr="00A45818">
        <w:rPr>
          <w:sz w:val="22"/>
          <w:szCs w:val="22"/>
        </w:rPr>
        <w:t xml:space="preserve"> </w:t>
      </w:r>
      <w:r w:rsidR="00C05E00">
        <w:rPr>
          <w:sz w:val="22"/>
          <w:szCs w:val="22"/>
        </w:rPr>
        <w:t>Campus</w:t>
      </w:r>
      <w:r w:rsidR="009F5152" w:rsidRPr="00A45818">
        <w:rPr>
          <w:sz w:val="22"/>
          <w:szCs w:val="22"/>
        </w:rPr>
        <w:t xml:space="preserve"> cases</w:t>
      </w:r>
      <w:r>
        <w:rPr>
          <w:sz w:val="22"/>
          <w:szCs w:val="22"/>
        </w:rPr>
        <w:t xml:space="preserve"> in FY2023</w:t>
      </w:r>
      <w:r w:rsidR="009F5152" w:rsidRPr="00A45818">
        <w:rPr>
          <w:sz w:val="22"/>
          <w:szCs w:val="22"/>
        </w:rPr>
        <w:t xml:space="preserve"> met the clinical criteria for an </w:t>
      </w:r>
      <w:r w:rsidR="00E845D2">
        <w:rPr>
          <w:sz w:val="22"/>
          <w:szCs w:val="22"/>
        </w:rPr>
        <w:t>outpatient surgical center</w:t>
      </w:r>
      <w:r w:rsidR="009F5152" w:rsidRPr="00A45818">
        <w:rPr>
          <w:sz w:val="22"/>
          <w:szCs w:val="22"/>
        </w:rPr>
        <w:t>.</w:t>
      </w:r>
      <w:r>
        <w:rPr>
          <w:rStyle w:val="FootnoteReference"/>
          <w:sz w:val="22"/>
          <w:szCs w:val="22"/>
        </w:rPr>
        <w:footnoteReference w:id="2"/>
      </w:r>
      <w:r w:rsidR="009F5152" w:rsidRPr="00A45818">
        <w:rPr>
          <w:sz w:val="22"/>
          <w:szCs w:val="22"/>
        </w:rPr>
        <w:t xml:space="preserve"> With the proposed expansion at MG Waltham, </w:t>
      </w:r>
      <w:r w:rsidR="009F5152" w:rsidRPr="00A45818">
        <w:rPr>
          <w:rStyle w:val="cf01"/>
          <w:rFonts w:ascii="Times New Roman" w:hAnsi="Times New Roman" w:cs="Times New Roman"/>
          <w:sz w:val="22"/>
          <w:szCs w:val="22"/>
        </w:rPr>
        <w:t xml:space="preserve">a larger portion of clinically appropriate cases can be moved to MG Waltham, opening capacity at the MGH </w:t>
      </w:r>
      <w:r w:rsidR="00C05E00">
        <w:rPr>
          <w:rStyle w:val="cf01"/>
          <w:rFonts w:ascii="Times New Roman" w:hAnsi="Times New Roman" w:cs="Times New Roman"/>
          <w:sz w:val="22"/>
          <w:szCs w:val="22"/>
        </w:rPr>
        <w:t>Main</w:t>
      </w:r>
      <w:r w:rsidR="009F5152" w:rsidRPr="00A45818">
        <w:rPr>
          <w:rStyle w:val="cf01"/>
          <w:rFonts w:ascii="Times New Roman" w:hAnsi="Times New Roman" w:cs="Times New Roman"/>
          <w:sz w:val="22"/>
          <w:szCs w:val="22"/>
        </w:rPr>
        <w:t xml:space="preserve"> </w:t>
      </w:r>
      <w:r w:rsidR="00C05E00">
        <w:rPr>
          <w:rStyle w:val="cf01"/>
          <w:rFonts w:ascii="Times New Roman" w:hAnsi="Times New Roman" w:cs="Times New Roman"/>
          <w:sz w:val="22"/>
          <w:szCs w:val="22"/>
        </w:rPr>
        <w:t>Campus</w:t>
      </w:r>
      <w:r w:rsidR="009F5152" w:rsidRPr="00A45818">
        <w:rPr>
          <w:rStyle w:val="cf01"/>
          <w:rFonts w:ascii="Times New Roman" w:hAnsi="Times New Roman" w:cs="Times New Roman"/>
          <w:sz w:val="22"/>
          <w:szCs w:val="22"/>
        </w:rPr>
        <w:t xml:space="preserve"> which will in turn decrease wait times for</w:t>
      </w:r>
      <w:r w:rsidR="009F5152" w:rsidRPr="00A45818">
        <w:rPr>
          <w:sz w:val="22"/>
          <w:szCs w:val="22"/>
        </w:rPr>
        <w:t xml:space="preserve"> inpatient surgery and outpatient surgical cases </w:t>
      </w:r>
      <w:r w:rsidR="00110B2A">
        <w:rPr>
          <w:sz w:val="22"/>
          <w:szCs w:val="22"/>
        </w:rPr>
        <w:t xml:space="preserve">that </w:t>
      </w:r>
      <w:r w:rsidR="00E845D2">
        <w:rPr>
          <w:sz w:val="22"/>
          <w:szCs w:val="22"/>
        </w:rPr>
        <w:t>are not clinically appropriate for MG Waltham</w:t>
      </w:r>
      <w:r w:rsidR="009F5152" w:rsidRPr="00A45818">
        <w:rPr>
          <w:sz w:val="22"/>
          <w:szCs w:val="22"/>
        </w:rPr>
        <w:t>.</w:t>
      </w:r>
    </w:p>
    <w:p w14:paraId="5BE46E81" w14:textId="209732CA" w:rsidR="009F5152" w:rsidRDefault="009F5152" w:rsidP="00391E7A">
      <w:pPr>
        <w:spacing w:after="120"/>
        <w:jc w:val="both"/>
        <w:rPr>
          <w:sz w:val="22"/>
          <w:szCs w:val="22"/>
        </w:rPr>
      </w:pPr>
      <w:r w:rsidRPr="00A45818">
        <w:rPr>
          <w:sz w:val="22"/>
          <w:szCs w:val="22"/>
        </w:rPr>
        <w:t xml:space="preserve">The ability to shift clinically appropriate cases from the MGH </w:t>
      </w:r>
      <w:r w:rsidR="00C05E00">
        <w:rPr>
          <w:sz w:val="22"/>
          <w:szCs w:val="22"/>
        </w:rPr>
        <w:t>Main</w:t>
      </w:r>
      <w:r w:rsidRPr="00A45818">
        <w:rPr>
          <w:sz w:val="22"/>
          <w:szCs w:val="22"/>
        </w:rPr>
        <w:t xml:space="preserve"> </w:t>
      </w:r>
      <w:r w:rsidR="00C05E00">
        <w:rPr>
          <w:sz w:val="22"/>
          <w:szCs w:val="22"/>
        </w:rPr>
        <w:t>Campus</w:t>
      </w:r>
      <w:r w:rsidRPr="00A45818">
        <w:rPr>
          <w:sz w:val="22"/>
          <w:szCs w:val="22"/>
        </w:rPr>
        <w:t xml:space="preserve"> to MG Waltham also is supported by patient origin data for both locations. For example, in FY2023 most surgery patients at MG Waltham and MGH </w:t>
      </w:r>
      <w:r w:rsidR="00C05E00">
        <w:rPr>
          <w:sz w:val="22"/>
          <w:szCs w:val="22"/>
        </w:rPr>
        <w:t>Main</w:t>
      </w:r>
      <w:r w:rsidRPr="00A45818">
        <w:rPr>
          <w:sz w:val="22"/>
          <w:szCs w:val="22"/>
        </w:rPr>
        <w:t xml:space="preserve"> </w:t>
      </w:r>
      <w:r w:rsidR="00C05E00">
        <w:rPr>
          <w:sz w:val="22"/>
          <w:szCs w:val="22"/>
        </w:rPr>
        <w:t>Campus</w:t>
      </w:r>
      <w:r w:rsidRPr="00A45818">
        <w:rPr>
          <w:sz w:val="22"/>
          <w:szCs w:val="22"/>
        </w:rPr>
        <w:t xml:space="preserve"> originated</w:t>
      </w:r>
      <w:r>
        <w:rPr>
          <w:sz w:val="22"/>
          <w:szCs w:val="22"/>
        </w:rPr>
        <w:t xml:space="preserve"> from the Boston area, the MetroWest area, and towns to the north of Waltham. In addition, s</w:t>
      </w:r>
      <w:r w:rsidRPr="00637887">
        <w:rPr>
          <w:sz w:val="22"/>
          <w:szCs w:val="22"/>
        </w:rPr>
        <w:t>ince MG Waltham</w:t>
      </w:r>
      <w:r>
        <w:rPr>
          <w:sz w:val="22"/>
          <w:szCs w:val="22"/>
        </w:rPr>
        <w:t xml:space="preserve"> expanded</w:t>
      </w:r>
      <w:r w:rsidRPr="00637887">
        <w:rPr>
          <w:sz w:val="22"/>
          <w:szCs w:val="22"/>
        </w:rPr>
        <w:t xml:space="preserve"> in FY</w:t>
      </w:r>
      <w:r>
        <w:rPr>
          <w:sz w:val="22"/>
          <w:szCs w:val="22"/>
        </w:rPr>
        <w:t>20</w:t>
      </w:r>
      <w:r w:rsidRPr="00637887">
        <w:rPr>
          <w:sz w:val="22"/>
          <w:szCs w:val="22"/>
        </w:rPr>
        <w:t>22, the largest increases in patient volume have come from th</w:t>
      </w:r>
      <w:r>
        <w:rPr>
          <w:sz w:val="22"/>
          <w:szCs w:val="22"/>
        </w:rPr>
        <w:t>e</w:t>
      </w:r>
      <w:r w:rsidRPr="00637887">
        <w:rPr>
          <w:sz w:val="22"/>
          <w:szCs w:val="22"/>
        </w:rPr>
        <w:t xml:space="preserve"> regions surrounding Waltham, including patients located along the Mass Pike, Route 2, and </w:t>
      </w:r>
      <w:r>
        <w:rPr>
          <w:sz w:val="22"/>
          <w:szCs w:val="22"/>
        </w:rPr>
        <w:t xml:space="preserve">those coming from </w:t>
      </w:r>
      <w:r w:rsidRPr="00637887">
        <w:rPr>
          <w:sz w:val="22"/>
          <w:szCs w:val="22"/>
        </w:rPr>
        <w:t>Central Massachusetts.</w:t>
      </w:r>
      <w:r>
        <w:rPr>
          <w:sz w:val="22"/>
          <w:szCs w:val="22"/>
        </w:rPr>
        <w:t xml:space="preserve"> Accordingly, there a significant number of patients for whom MG Waltham likely represents a closer</w:t>
      </w:r>
      <w:r w:rsidR="00391E7A">
        <w:rPr>
          <w:sz w:val="22"/>
          <w:szCs w:val="22"/>
        </w:rPr>
        <w:t>, more convenient</w:t>
      </w:r>
      <w:r>
        <w:rPr>
          <w:sz w:val="22"/>
          <w:szCs w:val="22"/>
        </w:rPr>
        <w:t xml:space="preserve"> option than the MGH </w:t>
      </w:r>
      <w:r w:rsidR="00C05E00">
        <w:rPr>
          <w:sz w:val="22"/>
          <w:szCs w:val="22"/>
        </w:rPr>
        <w:t>Main</w:t>
      </w:r>
      <w:r>
        <w:rPr>
          <w:sz w:val="22"/>
          <w:szCs w:val="22"/>
        </w:rPr>
        <w:t xml:space="preserve"> </w:t>
      </w:r>
      <w:r w:rsidR="00C05E00">
        <w:rPr>
          <w:sz w:val="22"/>
          <w:szCs w:val="22"/>
        </w:rPr>
        <w:t>Campus</w:t>
      </w:r>
      <w:r>
        <w:rPr>
          <w:sz w:val="22"/>
          <w:szCs w:val="22"/>
        </w:rPr>
        <w:t xml:space="preserve">. </w:t>
      </w:r>
    </w:p>
    <w:p w14:paraId="65702FDD" w14:textId="3BECFACC" w:rsidR="009F5152" w:rsidRDefault="009F5152" w:rsidP="00391E7A">
      <w:pPr>
        <w:spacing w:after="120"/>
        <w:jc w:val="both"/>
        <w:rPr>
          <w:sz w:val="22"/>
          <w:szCs w:val="22"/>
        </w:rPr>
      </w:pPr>
      <w:r>
        <w:rPr>
          <w:sz w:val="22"/>
          <w:szCs w:val="22"/>
        </w:rPr>
        <w:t xml:space="preserve">In addition to the geographic convenience afforded to patients at MG Waltham, it is a more cost-effective location for outpatient surgery. </w:t>
      </w:r>
      <w:r w:rsidRPr="00CA34CD">
        <w:rPr>
          <w:sz w:val="22"/>
          <w:szCs w:val="22"/>
        </w:rPr>
        <w:t>In FY</w:t>
      </w:r>
      <w:r>
        <w:rPr>
          <w:sz w:val="22"/>
          <w:szCs w:val="22"/>
        </w:rPr>
        <w:t>20</w:t>
      </w:r>
      <w:r w:rsidRPr="00CA34CD">
        <w:rPr>
          <w:sz w:val="22"/>
          <w:szCs w:val="22"/>
        </w:rPr>
        <w:t>23, MG Waltham began accepting MGB community hospital rates with local commercial paye</w:t>
      </w:r>
      <w:r w:rsidR="00D97544">
        <w:rPr>
          <w:sz w:val="22"/>
          <w:szCs w:val="22"/>
        </w:rPr>
        <w:t xml:space="preserve">rs. </w:t>
      </w:r>
      <w:r w:rsidR="00E845D2">
        <w:rPr>
          <w:sz w:val="22"/>
          <w:szCs w:val="22"/>
        </w:rPr>
        <w:t>Medicare also determined that an in OSC is an appropriate setting for an increasing number of case types. Through additional capacity, MGH will provide access in a setting that aligns with payer expectations and</w:t>
      </w:r>
      <w:r w:rsidRPr="00CA34CD">
        <w:rPr>
          <w:sz w:val="22"/>
          <w:szCs w:val="22"/>
        </w:rPr>
        <w:t xml:space="preserve"> shift </w:t>
      </w:r>
      <w:r w:rsidR="00E845D2">
        <w:rPr>
          <w:sz w:val="22"/>
          <w:szCs w:val="22"/>
        </w:rPr>
        <w:t>more cases</w:t>
      </w:r>
      <w:r w:rsidRPr="00CA34CD">
        <w:rPr>
          <w:sz w:val="22"/>
          <w:szCs w:val="22"/>
        </w:rPr>
        <w:t xml:space="preserve"> from </w:t>
      </w:r>
      <w:r>
        <w:rPr>
          <w:sz w:val="22"/>
          <w:szCs w:val="22"/>
        </w:rPr>
        <w:t xml:space="preserve">the </w:t>
      </w:r>
      <w:r w:rsidR="00C05E00">
        <w:rPr>
          <w:sz w:val="22"/>
          <w:szCs w:val="22"/>
        </w:rPr>
        <w:t>Main</w:t>
      </w:r>
      <w:r w:rsidRPr="00CA34CD">
        <w:rPr>
          <w:sz w:val="22"/>
          <w:szCs w:val="22"/>
        </w:rPr>
        <w:t xml:space="preserve"> </w:t>
      </w:r>
      <w:r w:rsidR="00C05E00">
        <w:rPr>
          <w:sz w:val="22"/>
          <w:szCs w:val="22"/>
        </w:rPr>
        <w:t>Campus</w:t>
      </w:r>
      <w:r w:rsidRPr="00CA34CD">
        <w:rPr>
          <w:sz w:val="22"/>
          <w:szCs w:val="22"/>
        </w:rPr>
        <w:t xml:space="preserve"> to MG Waltham</w:t>
      </w:r>
      <w:r w:rsidR="00E845D2">
        <w:rPr>
          <w:sz w:val="22"/>
          <w:szCs w:val="22"/>
        </w:rPr>
        <w:t>. This will</w:t>
      </w:r>
      <w:r w:rsidRPr="00CA34CD">
        <w:rPr>
          <w:sz w:val="22"/>
          <w:szCs w:val="22"/>
        </w:rPr>
        <w:t xml:space="preserve"> further drive cost savings</w:t>
      </w:r>
      <w:r>
        <w:rPr>
          <w:sz w:val="22"/>
          <w:szCs w:val="22"/>
        </w:rPr>
        <w:t xml:space="preserve"> for the Commonwealth</w:t>
      </w:r>
      <w:r w:rsidRPr="00CA34CD">
        <w:rPr>
          <w:sz w:val="22"/>
          <w:szCs w:val="22"/>
        </w:rPr>
        <w:t xml:space="preserve">. </w:t>
      </w:r>
    </w:p>
    <w:p w14:paraId="1BE92BCC" w14:textId="71E367E3" w:rsidR="009F5152" w:rsidRPr="00A45818" w:rsidRDefault="009F5152" w:rsidP="00391E7A">
      <w:pPr>
        <w:suppressAutoHyphens w:val="0"/>
        <w:autoSpaceDE w:val="0"/>
        <w:autoSpaceDN w:val="0"/>
        <w:adjustRightInd w:val="0"/>
        <w:spacing w:after="120"/>
        <w:jc w:val="both"/>
        <w:rPr>
          <w:sz w:val="22"/>
          <w:szCs w:val="22"/>
        </w:rPr>
      </w:pPr>
      <w:r w:rsidRPr="00A45818">
        <w:rPr>
          <w:rStyle w:val="cf01"/>
          <w:rFonts w:ascii="Times New Roman" w:hAnsi="Times New Roman" w:cs="Times New Roman"/>
          <w:sz w:val="22"/>
          <w:szCs w:val="22"/>
        </w:rPr>
        <w:t xml:space="preserve">For the reasons discussed above, MGH </w:t>
      </w:r>
      <w:r w:rsidRPr="00A45818">
        <w:rPr>
          <w:sz w:val="22"/>
          <w:szCs w:val="22"/>
        </w:rPr>
        <w:t xml:space="preserve">anticipates that a larger portion of clinically appropriate and geographically compatible patients will choose MG Waltham for their future outpatient surgery needs. Following an initial ramp up by decanting cases from the MGH </w:t>
      </w:r>
      <w:r w:rsidR="00C05E00">
        <w:rPr>
          <w:sz w:val="22"/>
          <w:szCs w:val="22"/>
        </w:rPr>
        <w:t>Main</w:t>
      </w:r>
      <w:r w:rsidRPr="00A45818">
        <w:rPr>
          <w:sz w:val="22"/>
          <w:szCs w:val="22"/>
        </w:rPr>
        <w:t xml:space="preserve"> </w:t>
      </w:r>
      <w:r w:rsidR="00C05E00">
        <w:rPr>
          <w:sz w:val="22"/>
          <w:szCs w:val="22"/>
        </w:rPr>
        <w:t>Campus</w:t>
      </w:r>
      <w:r w:rsidRPr="00A45818">
        <w:rPr>
          <w:sz w:val="22"/>
          <w:szCs w:val="22"/>
        </w:rPr>
        <w:t xml:space="preserve"> and addressing wait times at MG Waltham, the number of cases performed in the new ORs is expected to level off. In total, MGH anticipates 2,550 additional cases annually will be performed at MG Waltham when the Proposed Project is fully operational in Year 3. </w:t>
      </w:r>
    </w:p>
    <w:p w14:paraId="5B41E3E9" w14:textId="3D05B41B" w:rsidR="009F5152" w:rsidRDefault="009F5152" w:rsidP="009F5152">
      <w:pPr>
        <w:suppressAutoHyphens w:val="0"/>
        <w:autoSpaceDE w:val="0"/>
        <w:autoSpaceDN w:val="0"/>
        <w:adjustRightInd w:val="0"/>
        <w:spacing w:before="120" w:after="120"/>
        <w:rPr>
          <w:b/>
          <w:bCs/>
          <w:sz w:val="22"/>
          <w:szCs w:val="22"/>
        </w:rPr>
      </w:pPr>
      <w:r w:rsidRPr="00637887">
        <w:rPr>
          <w:b/>
          <w:bCs/>
          <w:sz w:val="22"/>
          <w:szCs w:val="22"/>
        </w:rPr>
        <w:t xml:space="preserve">Table </w:t>
      </w:r>
      <w:r>
        <w:rPr>
          <w:b/>
          <w:bCs/>
          <w:sz w:val="22"/>
          <w:szCs w:val="22"/>
        </w:rPr>
        <w:t>2</w:t>
      </w:r>
      <w:r w:rsidRPr="00637887">
        <w:rPr>
          <w:b/>
          <w:bCs/>
          <w:sz w:val="22"/>
          <w:szCs w:val="22"/>
        </w:rPr>
        <w:t xml:space="preserve">. MG Waltham Projected Surgical Volume </w:t>
      </w:r>
    </w:p>
    <w:tbl>
      <w:tblPr>
        <w:tblStyle w:val="TableGrid"/>
        <w:tblW w:w="0" w:type="auto"/>
        <w:tblLook w:val="04A0" w:firstRow="1" w:lastRow="0" w:firstColumn="1" w:lastColumn="0" w:noHBand="0" w:noVBand="1"/>
      </w:tblPr>
      <w:tblGrid>
        <w:gridCol w:w="3505"/>
        <w:gridCol w:w="1260"/>
        <w:gridCol w:w="1080"/>
        <w:gridCol w:w="1170"/>
        <w:gridCol w:w="1170"/>
        <w:gridCol w:w="1165"/>
      </w:tblGrid>
      <w:tr w:rsidR="004C6A11" w14:paraId="09D9049B" w14:textId="77777777" w:rsidTr="004C6A11">
        <w:tc>
          <w:tcPr>
            <w:tcW w:w="3505" w:type="dxa"/>
            <w:shd w:val="clear" w:color="auto" w:fill="D9E2F3" w:themeFill="accent1" w:themeFillTint="33"/>
            <w:vAlign w:val="bottom"/>
          </w:tcPr>
          <w:p w14:paraId="486AE479" w14:textId="6FA0F9AC" w:rsidR="004C6A11" w:rsidRDefault="004C6A11" w:rsidP="004C6A11">
            <w:pPr>
              <w:suppressAutoHyphens w:val="0"/>
              <w:autoSpaceDE w:val="0"/>
              <w:autoSpaceDN w:val="0"/>
              <w:adjustRightInd w:val="0"/>
              <w:spacing w:before="120" w:after="120"/>
              <w:jc w:val="right"/>
              <w:rPr>
                <w:b/>
                <w:bCs/>
                <w:sz w:val="22"/>
                <w:szCs w:val="22"/>
              </w:rPr>
            </w:pPr>
            <w:r w:rsidRPr="00637887">
              <w:rPr>
                <w:b/>
                <w:bCs/>
                <w:color w:val="000000"/>
                <w:sz w:val="22"/>
                <w:szCs w:val="22"/>
              </w:rPr>
              <w:t>Project Years</w:t>
            </w:r>
          </w:p>
        </w:tc>
        <w:tc>
          <w:tcPr>
            <w:tcW w:w="1260" w:type="dxa"/>
            <w:shd w:val="clear" w:color="auto" w:fill="D9E2F3" w:themeFill="accent1" w:themeFillTint="33"/>
            <w:vAlign w:val="bottom"/>
          </w:tcPr>
          <w:p w14:paraId="47CBD737" w14:textId="0D973685" w:rsidR="004C6A11" w:rsidRDefault="004C6A11" w:rsidP="004C6A11">
            <w:pPr>
              <w:suppressAutoHyphens w:val="0"/>
              <w:autoSpaceDE w:val="0"/>
              <w:autoSpaceDN w:val="0"/>
              <w:adjustRightInd w:val="0"/>
              <w:spacing w:before="120" w:after="120"/>
              <w:jc w:val="center"/>
              <w:rPr>
                <w:b/>
                <w:bCs/>
                <w:sz w:val="22"/>
                <w:szCs w:val="22"/>
              </w:rPr>
            </w:pPr>
            <w:r w:rsidRPr="00637887">
              <w:rPr>
                <w:b/>
                <w:bCs/>
                <w:color w:val="000000"/>
                <w:sz w:val="22"/>
                <w:szCs w:val="22"/>
              </w:rPr>
              <w:t>Year 1</w:t>
            </w:r>
          </w:p>
        </w:tc>
        <w:tc>
          <w:tcPr>
            <w:tcW w:w="1080" w:type="dxa"/>
            <w:shd w:val="clear" w:color="auto" w:fill="D9E2F3" w:themeFill="accent1" w:themeFillTint="33"/>
            <w:vAlign w:val="bottom"/>
          </w:tcPr>
          <w:p w14:paraId="720C29FA" w14:textId="7D1349AE" w:rsidR="004C6A11" w:rsidRDefault="004C6A11" w:rsidP="004C6A11">
            <w:pPr>
              <w:suppressAutoHyphens w:val="0"/>
              <w:autoSpaceDE w:val="0"/>
              <w:autoSpaceDN w:val="0"/>
              <w:adjustRightInd w:val="0"/>
              <w:spacing w:before="120" w:after="120"/>
              <w:jc w:val="center"/>
              <w:rPr>
                <w:b/>
                <w:bCs/>
                <w:sz w:val="22"/>
                <w:szCs w:val="22"/>
              </w:rPr>
            </w:pPr>
            <w:r w:rsidRPr="00637887">
              <w:rPr>
                <w:b/>
                <w:bCs/>
                <w:color w:val="000000"/>
                <w:sz w:val="22"/>
                <w:szCs w:val="22"/>
              </w:rPr>
              <w:t>Year 2</w:t>
            </w:r>
          </w:p>
        </w:tc>
        <w:tc>
          <w:tcPr>
            <w:tcW w:w="1170" w:type="dxa"/>
            <w:shd w:val="clear" w:color="auto" w:fill="D9E2F3" w:themeFill="accent1" w:themeFillTint="33"/>
            <w:vAlign w:val="bottom"/>
          </w:tcPr>
          <w:p w14:paraId="57B34338" w14:textId="67FE8F58" w:rsidR="004C6A11" w:rsidRDefault="004C6A11" w:rsidP="004C6A11">
            <w:pPr>
              <w:suppressAutoHyphens w:val="0"/>
              <w:autoSpaceDE w:val="0"/>
              <w:autoSpaceDN w:val="0"/>
              <w:adjustRightInd w:val="0"/>
              <w:spacing w:before="120" w:after="120"/>
              <w:jc w:val="center"/>
              <w:rPr>
                <w:b/>
                <w:bCs/>
                <w:sz w:val="22"/>
                <w:szCs w:val="22"/>
              </w:rPr>
            </w:pPr>
            <w:r w:rsidRPr="00637887">
              <w:rPr>
                <w:b/>
                <w:bCs/>
                <w:color w:val="000000"/>
                <w:sz w:val="22"/>
                <w:szCs w:val="22"/>
              </w:rPr>
              <w:t>Year 3</w:t>
            </w:r>
          </w:p>
        </w:tc>
        <w:tc>
          <w:tcPr>
            <w:tcW w:w="1170" w:type="dxa"/>
            <w:shd w:val="clear" w:color="auto" w:fill="D9E2F3" w:themeFill="accent1" w:themeFillTint="33"/>
            <w:vAlign w:val="bottom"/>
          </w:tcPr>
          <w:p w14:paraId="1326AEA9" w14:textId="2BCE1BFB" w:rsidR="004C6A11" w:rsidRDefault="004C6A11" w:rsidP="004C6A11">
            <w:pPr>
              <w:suppressAutoHyphens w:val="0"/>
              <w:autoSpaceDE w:val="0"/>
              <w:autoSpaceDN w:val="0"/>
              <w:adjustRightInd w:val="0"/>
              <w:spacing w:before="120" w:after="120"/>
              <w:jc w:val="center"/>
              <w:rPr>
                <w:b/>
                <w:bCs/>
                <w:sz w:val="22"/>
                <w:szCs w:val="22"/>
              </w:rPr>
            </w:pPr>
            <w:r w:rsidRPr="00637887">
              <w:rPr>
                <w:b/>
                <w:bCs/>
                <w:color w:val="000000"/>
                <w:sz w:val="22"/>
                <w:szCs w:val="22"/>
              </w:rPr>
              <w:t>Year 4</w:t>
            </w:r>
          </w:p>
        </w:tc>
        <w:tc>
          <w:tcPr>
            <w:tcW w:w="1165" w:type="dxa"/>
            <w:shd w:val="clear" w:color="auto" w:fill="D9E2F3" w:themeFill="accent1" w:themeFillTint="33"/>
            <w:vAlign w:val="bottom"/>
          </w:tcPr>
          <w:p w14:paraId="4E0751C6" w14:textId="1D142D13" w:rsidR="004C6A11" w:rsidRDefault="004C6A11" w:rsidP="004C6A11">
            <w:pPr>
              <w:suppressAutoHyphens w:val="0"/>
              <w:autoSpaceDE w:val="0"/>
              <w:autoSpaceDN w:val="0"/>
              <w:adjustRightInd w:val="0"/>
              <w:spacing w:before="120" w:after="120"/>
              <w:jc w:val="center"/>
              <w:rPr>
                <w:b/>
                <w:bCs/>
                <w:sz w:val="22"/>
                <w:szCs w:val="22"/>
              </w:rPr>
            </w:pPr>
            <w:r w:rsidRPr="00637887">
              <w:rPr>
                <w:b/>
                <w:bCs/>
                <w:color w:val="000000"/>
                <w:sz w:val="22"/>
                <w:szCs w:val="22"/>
              </w:rPr>
              <w:t>Year 5</w:t>
            </w:r>
          </w:p>
        </w:tc>
      </w:tr>
      <w:tr w:rsidR="004C6A11" w14:paraId="53B9A644" w14:textId="77777777" w:rsidTr="004C6A11">
        <w:tc>
          <w:tcPr>
            <w:tcW w:w="3505" w:type="dxa"/>
            <w:vAlign w:val="bottom"/>
          </w:tcPr>
          <w:p w14:paraId="65926275" w14:textId="5119329D" w:rsidR="004C6A11" w:rsidRDefault="004C6A11" w:rsidP="004C6A11">
            <w:pPr>
              <w:suppressAutoHyphens w:val="0"/>
              <w:autoSpaceDE w:val="0"/>
              <w:autoSpaceDN w:val="0"/>
              <w:adjustRightInd w:val="0"/>
              <w:spacing w:before="120" w:after="120"/>
              <w:rPr>
                <w:b/>
                <w:bCs/>
                <w:sz w:val="22"/>
                <w:szCs w:val="22"/>
              </w:rPr>
            </w:pPr>
            <w:r w:rsidRPr="00637887">
              <w:rPr>
                <w:color w:val="000000"/>
                <w:sz w:val="22"/>
                <w:szCs w:val="22"/>
              </w:rPr>
              <w:t xml:space="preserve">Case Volume </w:t>
            </w:r>
          </w:p>
        </w:tc>
        <w:tc>
          <w:tcPr>
            <w:tcW w:w="1260" w:type="dxa"/>
            <w:vAlign w:val="bottom"/>
          </w:tcPr>
          <w:p w14:paraId="3BD80C87" w14:textId="4EB79969" w:rsidR="004C6A11" w:rsidRDefault="004C6A11" w:rsidP="004C6A11">
            <w:pPr>
              <w:suppressAutoHyphens w:val="0"/>
              <w:autoSpaceDE w:val="0"/>
              <w:autoSpaceDN w:val="0"/>
              <w:adjustRightInd w:val="0"/>
              <w:spacing w:before="120" w:after="120"/>
              <w:jc w:val="center"/>
              <w:rPr>
                <w:b/>
                <w:bCs/>
                <w:sz w:val="22"/>
                <w:szCs w:val="22"/>
              </w:rPr>
            </w:pPr>
            <w:r w:rsidRPr="00637887">
              <w:rPr>
                <w:color w:val="000000"/>
                <w:sz w:val="22"/>
                <w:szCs w:val="22"/>
              </w:rPr>
              <w:t>1,275</w:t>
            </w:r>
          </w:p>
        </w:tc>
        <w:tc>
          <w:tcPr>
            <w:tcW w:w="1080" w:type="dxa"/>
            <w:vAlign w:val="bottom"/>
          </w:tcPr>
          <w:p w14:paraId="6A6571B4" w14:textId="74852BF4" w:rsidR="004C6A11" w:rsidRDefault="004C6A11" w:rsidP="004C6A11">
            <w:pPr>
              <w:suppressAutoHyphens w:val="0"/>
              <w:autoSpaceDE w:val="0"/>
              <w:autoSpaceDN w:val="0"/>
              <w:adjustRightInd w:val="0"/>
              <w:spacing w:before="120" w:after="120"/>
              <w:jc w:val="center"/>
              <w:rPr>
                <w:b/>
                <w:bCs/>
                <w:sz w:val="22"/>
                <w:szCs w:val="22"/>
              </w:rPr>
            </w:pPr>
            <w:r w:rsidRPr="00637887">
              <w:rPr>
                <w:color w:val="000000"/>
                <w:sz w:val="22"/>
                <w:szCs w:val="22"/>
              </w:rPr>
              <w:t>1,913</w:t>
            </w:r>
          </w:p>
        </w:tc>
        <w:tc>
          <w:tcPr>
            <w:tcW w:w="1170" w:type="dxa"/>
            <w:vAlign w:val="bottom"/>
          </w:tcPr>
          <w:p w14:paraId="50C7FE5A" w14:textId="33F4358A" w:rsidR="004C6A11" w:rsidRDefault="004C6A11" w:rsidP="004C6A11">
            <w:pPr>
              <w:suppressAutoHyphens w:val="0"/>
              <w:autoSpaceDE w:val="0"/>
              <w:autoSpaceDN w:val="0"/>
              <w:adjustRightInd w:val="0"/>
              <w:spacing w:before="120" w:after="120"/>
              <w:jc w:val="center"/>
              <w:rPr>
                <w:b/>
                <w:bCs/>
                <w:sz w:val="22"/>
                <w:szCs w:val="22"/>
              </w:rPr>
            </w:pPr>
            <w:r w:rsidRPr="00637887">
              <w:rPr>
                <w:color w:val="000000"/>
                <w:sz w:val="22"/>
                <w:szCs w:val="22"/>
              </w:rPr>
              <w:t>2,550</w:t>
            </w:r>
          </w:p>
        </w:tc>
        <w:tc>
          <w:tcPr>
            <w:tcW w:w="1170" w:type="dxa"/>
            <w:vAlign w:val="bottom"/>
          </w:tcPr>
          <w:p w14:paraId="2375951E" w14:textId="3AB6B963" w:rsidR="004C6A11" w:rsidRDefault="004C6A11" w:rsidP="004C6A11">
            <w:pPr>
              <w:suppressAutoHyphens w:val="0"/>
              <w:autoSpaceDE w:val="0"/>
              <w:autoSpaceDN w:val="0"/>
              <w:adjustRightInd w:val="0"/>
              <w:spacing w:before="120" w:after="120"/>
              <w:jc w:val="center"/>
              <w:rPr>
                <w:b/>
                <w:bCs/>
                <w:sz w:val="22"/>
                <w:szCs w:val="22"/>
              </w:rPr>
            </w:pPr>
            <w:r w:rsidRPr="00637887">
              <w:rPr>
                <w:color w:val="000000"/>
                <w:sz w:val="22"/>
                <w:szCs w:val="22"/>
              </w:rPr>
              <w:t>2,550</w:t>
            </w:r>
          </w:p>
        </w:tc>
        <w:tc>
          <w:tcPr>
            <w:tcW w:w="1165" w:type="dxa"/>
            <w:vAlign w:val="bottom"/>
          </w:tcPr>
          <w:p w14:paraId="70E6723E" w14:textId="0EF2E508" w:rsidR="004C6A11" w:rsidRDefault="004C6A11" w:rsidP="004C6A11">
            <w:pPr>
              <w:suppressAutoHyphens w:val="0"/>
              <w:autoSpaceDE w:val="0"/>
              <w:autoSpaceDN w:val="0"/>
              <w:adjustRightInd w:val="0"/>
              <w:spacing w:before="120" w:after="120"/>
              <w:jc w:val="center"/>
              <w:rPr>
                <w:b/>
                <w:bCs/>
                <w:sz w:val="22"/>
                <w:szCs w:val="22"/>
              </w:rPr>
            </w:pPr>
            <w:r w:rsidRPr="00637887">
              <w:rPr>
                <w:color w:val="000000"/>
                <w:sz w:val="22"/>
                <w:szCs w:val="22"/>
              </w:rPr>
              <w:t>2,550</w:t>
            </w:r>
          </w:p>
        </w:tc>
      </w:tr>
    </w:tbl>
    <w:p w14:paraId="6E8C6BAA" w14:textId="1961D339" w:rsidR="009F5152" w:rsidRPr="00A45818" w:rsidRDefault="009F5152" w:rsidP="009F5152">
      <w:pPr>
        <w:pStyle w:val="pf0"/>
        <w:jc w:val="both"/>
        <w:rPr>
          <w:sz w:val="22"/>
          <w:szCs w:val="22"/>
        </w:rPr>
      </w:pPr>
      <w:r w:rsidRPr="00A45818">
        <w:rPr>
          <w:sz w:val="22"/>
          <w:szCs w:val="22"/>
        </w:rPr>
        <w:t xml:space="preserve">As detailed throughout this amendment request, the Proposed Change will allow MGH to expand access to high-quality outpatient surgery in a cost-effective community setting. With MG Waltham effectively operating at capacity, MGH is unable to reduce current wait times and expects patients at both MG Waltham and the MGH </w:t>
      </w:r>
      <w:r w:rsidR="00C05E00">
        <w:rPr>
          <w:sz w:val="22"/>
          <w:szCs w:val="22"/>
        </w:rPr>
        <w:t>Main</w:t>
      </w:r>
      <w:r w:rsidRPr="00A45818">
        <w:rPr>
          <w:sz w:val="22"/>
          <w:szCs w:val="22"/>
        </w:rPr>
        <w:t xml:space="preserve"> </w:t>
      </w:r>
      <w:r w:rsidR="00C05E00">
        <w:rPr>
          <w:sz w:val="22"/>
          <w:szCs w:val="22"/>
        </w:rPr>
        <w:t>Campus</w:t>
      </w:r>
      <w:r w:rsidRPr="00A45818">
        <w:rPr>
          <w:sz w:val="22"/>
          <w:szCs w:val="22"/>
        </w:rPr>
        <w:t xml:space="preserve"> will experience longer wait times as demand for surgical services continues to grow organically and with the aging population. By shifting more clinically appropriate cases to MG Waltham, MGH can reduce wait times at both locations, while providing </w:t>
      </w:r>
      <w:r w:rsidR="00391E7A">
        <w:rPr>
          <w:sz w:val="22"/>
          <w:szCs w:val="22"/>
        </w:rPr>
        <w:t xml:space="preserve">additional access to outpatient surgery in </w:t>
      </w:r>
      <w:r w:rsidRPr="00A45818">
        <w:rPr>
          <w:sz w:val="22"/>
          <w:szCs w:val="22"/>
        </w:rPr>
        <w:t xml:space="preserve">a more convenient and cost-effective location closer to home for its patient panel.  </w:t>
      </w:r>
    </w:p>
    <w:p w14:paraId="7AE20137" w14:textId="77777777" w:rsidR="009F5152" w:rsidRPr="00637887" w:rsidRDefault="009F5152" w:rsidP="00A45818">
      <w:pPr>
        <w:spacing w:after="120"/>
        <w:rPr>
          <w:b/>
          <w:bCs/>
          <w:sz w:val="22"/>
          <w:szCs w:val="22"/>
        </w:rPr>
      </w:pPr>
      <w:r w:rsidRPr="00637887">
        <w:rPr>
          <w:b/>
          <w:bCs/>
          <w:sz w:val="22"/>
          <w:szCs w:val="22"/>
        </w:rPr>
        <w:t xml:space="preserve">Factor 6. Community Health Initiative </w:t>
      </w:r>
    </w:p>
    <w:p w14:paraId="1BFB1E5D" w14:textId="77777777" w:rsidR="0067172D" w:rsidRDefault="009F5152" w:rsidP="00A45818">
      <w:pPr>
        <w:suppressAutoHyphens w:val="0"/>
        <w:autoSpaceDE w:val="0"/>
        <w:autoSpaceDN w:val="0"/>
        <w:adjustRightInd w:val="0"/>
        <w:spacing w:after="120"/>
        <w:jc w:val="both"/>
        <w:rPr>
          <w:sz w:val="22"/>
          <w:szCs w:val="22"/>
        </w:rPr>
      </w:pPr>
      <w:r w:rsidRPr="00637887">
        <w:rPr>
          <w:sz w:val="22"/>
          <w:szCs w:val="22"/>
        </w:rPr>
        <w:t xml:space="preserve">MG Waltham is a satellite of an acute care hospital and is not required to independently comply with community benefits related CHNA/CHIP processes as determined by the IRS or the Massachusetts Attorney General’s Office. However, </w:t>
      </w:r>
      <w:r>
        <w:rPr>
          <w:sz w:val="22"/>
          <w:szCs w:val="22"/>
        </w:rPr>
        <w:t xml:space="preserve">because </w:t>
      </w:r>
      <w:r w:rsidRPr="00637887">
        <w:rPr>
          <w:sz w:val="22"/>
          <w:szCs w:val="22"/>
        </w:rPr>
        <w:t>Newton-Wellesley Hospital (NWH) has overlapping service areas with MG Waltham</w:t>
      </w:r>
      <w:r>
        <w:rPr>
          <w:sz w:val="22"/>
          <w:szCs w:val="22"/>
        </w:rPr>
        <w:t xml:space="preserve">, </w:t>
      </w:r>
      <w:r w:rsidRPr="00637887">
        <w:rPr>
          <w:sz w:val="22"/>
          <w:szCs w:val="22"/>
        </w:rPr>
        <w:t xml:space="preserve">DPH </w:t>
      </w:r>
      <w:r>
        <w:rPr>
          <w:sz w:val="22"/>
          <w:szCs w:val="22"/>
        </w:rPr>
        <w:t xml:space="preserve">agreed </w:t>
      </w:r>
      <w:r w:rsidRPr="00637887">
        <w:rPr>
          <w:sz w:val="22"/>
          <w:szCs w:val="22"/>
        </w:rPr>
        <w:t xml:space="preserve">during the original DoN </w:t>
      </w:r>
      <w:r>
        <w:rPr>
          <w:sz w:val="22"/>
          <w:szCs w:val="22"/>
        </w:rPr>
        <w:t xml:space="preserve">that it is </w:t>
      </w:r>
      <w:r w:rsidRPr="00637887">
        <w:rPr>
          <w:sz w:val="22"/>
          <w:szCs w:val="22"/>
        </w:rPr>
        <w:t xml:space="preserve">the most relevant hospital within the MGB system </w:t>
      </w:r>
      <w:r>
        <w:rPr>
          <w:sz w:val="22"/>
          <w:szCs w:val="22"/>
        </w:rPr>
        <w:t xml:space="preserve">and would administer all </w:t>
      </w:r>
      <w:r w:rsidRPr="007646F1">
        <w:rPr>
          <w:sz w:val="22"/>
          <w:szCs w:val="22"/>
        </w:rPr>
        <w:t>Community Health Initiatives</w:t>
      </w:r>
      <w:r>
        <w:rPr>
          <w:sz w:val="22"/>
          <w:szCs w:val="22"/>
        </w:rPr>
        <w:t xml:space="preserve"> (CHI)</w:t>
      </w:r>
      <w:r w:rsidRPr="007646F1">
        <w:rPr>
          <w:sz w:val="22"/>
          <w:szCs w:val="22"/>
        </w:rPr>
        <w:t xml:space="preserve"> arising from MG Waltham.</w:t>
      </w:r>
    </w:p>
    <w:p w14:paraId="2F1241AE" w14:textId="3A8289BC" w:rsidR="009F5152" w:rsidRPr="00222B06" w:rsidRDefault="009F5152" w:rsidP="00A45818">
      <w:pPr>
        <w:suppressAutoHyphens w:val="0"/>
        <w:autoSpaceDE w:val="0"/>
        <w:autoSpaceDN w:val="0"/>
        <w:adjustRightInd w:val="0"/>
        <w:spacing w:after="120"/>
        <w:jc w:val="both"/>
        <w:rPr>
          <w:sz w:val="22"/>
          <w:szCs w:val="22"/>
        </w:rPr>
      </w:pPr>
      <w:r>
        <w:rPr>
          <w:sz w:val="22"/>
          <w:szCs w:val="22"/>
        </w:rPr>
        <w:lastRenderedPageBreak/>
        <w:t xml:space="preserve">Following approval of two </w:t>
      </w:r>
      <w:proofErr w:type="spellStart"/>
      <w:r>
        <w:rPr>
          <w:sz w:val="22"/>
          <w:szCs w:val="22"/>
        </w:rPr>
        <w:t>DoNs</w:t>
      </w:r>
      <w:proofErr w:type="spellEnd"/>
      <w:r>
        <w:rPr>
          <w:sz w:val="22"/>
          <w:szCs w:val="22"/>
        </w:rPr>
        <w:t xml:space="preserve"> for MG Waltham</w:t>
      </w:r>
      <w:r>
        <w:rPr>
          <w:rStyle w:val="FootnoteReference"/>
          <w:sz w:val="22"/>
          <w:szCs w:val="22"/>
        </w:rPr>
        <w:footnoteReference w:id="3"/>
      </w:r>
      <w:r>
        <w:rPr>
          <w:sz w:val="22"/>
          <w:szCs w:val="22"/>
        </w:rPr>
        <w:t xml:space="preserve">, the resulting CHI carried out by </w:t>
      </w:r>
      <w:r w:rsidRPr="00637887">
        <w:rPr>
          <w:sz w:val="22"/>
          <w:szCs w:val="22"/>
        </w:rPr>
        <w:t>NWH funded the Wraparound Waltham Initiative</w:t>
      </w:r>
      <w:r w:rsidR="006F2110">
        <w:rPr>
          <w:sz w:val="22"/>
          <w:szCs w:val="22"/>
        </w:rPr>
        <w:t xml:space="preserve"> (“Initiative”)</w:t>
      </w:r>
      <w:r w:rsidRPr="00637887">
        <w:rPr>
          <w:sz w:val="22"/>
          <w:szCs w:val="22"/>
        </w:rPr>
        <w:t>, a collaborative of community-based organizations working in partnership with Waltham Public Schools. Funds were distributed in two separate grants</w:t>
      </w:r>
      <w:r w:rsidR="006F2110">
        <w:rPr>
          <w:sz w:val="22"/>
          <w:szCs w:val="22"/>
        </w:rPr>
        <w:t xml:space="preserve"> over four years</w:t>
      </w:r>
      <w:r w:rsidRPr="00637887">
        <w:rPr>
          <w:sz w:val="22"/>
          <w:szCs w:val="22"/>
        </w:rPr>
        <w:t>: $300,000 annually to Waltham Partnership for Youth leading the collaborative of community-based organizations and $78,000 annually to Waltham Public Schools to support implementation of this work.</w:t>
      </w:r>
      <w:r>
        <w:rPr>
          <w:sz w:val="22"/>
          <w:szCs w:val="22"/>
        </w:rPr>
        <w:t xml:space="preserve"> </w:t>
      </w:r>
      <w:r w:rsidR="006F2110">
        <w:rPr>
          <w:sz w:val="22"/>
          <w:szCs w:val="22"/>
        </w:rPr>
        <w:t>While t</w:t>
      </w:r>
      <w:r>
        <w:rPr>
          <w:sz w:val="22"/>
          <w:szCs w:val="22"/>
        </w:rPr>
        <w:t xml:space="preserve">he </w:t>
      </w:r>
      <w:r w:rsidR="006F2110">
        <w:rPr>
          <w:sz w:val="22"/>
          <w:szCs w:val="22"/>
        </w:rPr>
        <w:t xml:space="preserve">CHI’s funding ended after the 2022-2023 school year, the Initiative </w:t>
      </w:r>
      <w:r w:rsidRPr="00222B06">
        <w:rPr>
          <w:sz w:val="22"/>
          <w:szCs w:val="22"/>
        </w:rPr>
        <w:t>secured funding through the 2025-2026 school year</w:t>
      </w:r>
      <w:r w:rsidR="006F2110">
        <w:rPr>
          <w:sz w:val="22"/>
          <w:szCs w:val="22"/>
        </w:rPr>
        <w:t xml:space="preserve"> based on the success of </w:t>
      </w:r>
      <w:r w:rsidR="006A0C89">
        <w:rPr>
          <w:sz w:val="22"/>
          <w:szCs w:val="22"/>
        </w:rPr>
        <w:t>the first four-year grant cycle</w:t>
      </w:r>
      <w:r w:rsidRPr="00222B06">
        <w:rPr>
          <w:sz w:val="22"/>
          <w:szCs w:val="22"/>
        </w:rPr>
        <w:t xml:space="preserve">. </w:t>
      </w:r>
    </w:p>
    <w:p w14:paraId="6A6E84E1" w14:textId="77777777" w:rsidR="009F5152" w:rsidRDefault="009F5152" w:rsidP="00A45818">
      <w:pPr>
        <w:suppressAutoHyphens w:val="0"/>
        <w:autoSpaceDE w:val="0"/>
        <w:autoSpaceDN w:val="0"/>
        <w:adjustRightInd w:val="0"/>
        <w:spacing w:after="120"/>
        <w:jc w:val="both"/>
        <w:rPr>
          <w:sz w:val="22"/>
          <w:szCs w:val="22"/>
        </w:rPr>
      </w:pPr>
      <w:r w:rsidRPr="00222B06">
        <w:rPr>
          <w:sz w:val="22"/>
          <w:szCs w:val="22"/>
        </w:rPr>
        <w:t xml:space="preserve">If the Proposed Change is approved, NWH will carry out the CHI for this Proposed Change using its most recent CHNA (2022) as the basis for selecting priorities and strategies. As with the original CHI, NWH will bring together community voices representing the interests of Waltham. Once the Waltham sub-committee is formed, it will evaluate existing funding options that could be sustained or expanded through this CHI’s funding, as well as consider new options for priority areas and funding strategies based on the current CHNA. </w:t>
      </w:r>
    </w:p>
    <w:p w14:paraId="2CEC8F52" w14:textId="77777777" w:rsidR="009F5152" w:rsidRPr="006A7BFC" w:rsidRDefault="009F5152" w:rsidP="00A45818">
      <w:pPr>
        <w:suppressAutoHyphens w:val="0"/>
        <w:autoSpaceDE w:val="0"/>
        <w:autoSpaceDN w:val="0"/>
        <w:adjustRightInd w:val="0"/>
        <w:spacing w:after="120"/>
        <w:jc w:val="both"/>
        <w:rPr>
          <w:sz w:val="22"/>
          <w:szCs w:val="22"/>
        </w:rPr>
      </w:pPr>
      <w:r w:rsidRPr="006A7BFC">
        <w:rPr>
          <w:sz w:val="22"/>
          <w:szCs w:val="22"/>
        </w:rPr>
        <w:t xml:space="preserve">The breakdown of </w:t>
      </w:r>
      <w:r>
        <w:rPr>
          <w:sz w:val="22"/>
          <w:szCs w:val="22"/>
        </w:rPr>
        <w:t>the CHI</w:t>
      </w:r>
      <w:r w:rsidRPr="006A7BFC">
        <w:rPr>
          <w:sz w:val="22"/>
          <w:szCs w:val="22"/>
        </w:rPr>
        <w:t xml:space="preserve"> monies for the Proposed </w:t>
      </w:r>
      <w:r>
        <w:rPr>
          <w:sz w:val="22"/>
          <w:szCs w:val="22"/>
        </w:rPr>
        <w:t>Change</w:t>
      </w:r>
      <w:r w:rsidRPr="006A7BFC">
        <w:rPr>
          <w:sz w:val="22"/>
          <w:szCs w:val="22"/>
        </w:rPr>
        <w:t xml:space="preserve"> is </w:t>
      </w:r>
      <w:r>
        <w:rPr>
          <w:sz w:val="22"/>
          <w:szCs w:val="22"/>
        </w:rPr>
        <w:t xml:space="preserve">detailed in the table below. </w:t>
      </w:r>
    </w:p>
    <w:p w14:paraId="34E431DA" w14:textId="1BB764FE" w:rsidR="009F5152" w:rsidRDefault="009F5152" w:rsidP="00A45818">
      <w:pPr>
        <w:suppressAutoHyphens w:val="0"/>
        <w:autoSpaceDE w:val="0"/>
        <w:autoSpaceDN w:val="0"/>
        <w:adjustRightInd w:val="0"/>
        <w:spacing w:before="120" w:after="120"/>
        <w:jc w:val="both"/>
        <w:rPr>
          <w:sz w:val="22"/>
          <w:szCs w:val="22"/>
        </w:rPr>
      </w:pPr>
      <w:r w:rsidRPr="006111E9">
        <w:rPr>
          <w:b/>
          <w:bCs/>
          <w:sz w:val="22"/>
          <w:szCs w:val="22"/>
        </w:rPr>
        <w:t xml:space="preserve">Table </w:t>
      </w:r>
      <w:r>
        <w:rPr>
          <w:b/>
          <w:bCs/>
          <w:sz w:val="22"/>
          <w:szCs w:val="22"/>
        </w:rPr>
        <w:t>3</w:t>
      </w:r>
      <w:r w:rsidRPr="006111E9">
        <w:rPr>
          <w:b/>
          <w:bCs/>
          <w:sz w:val="22"/>
          <w:szCs w:val="22"/>
        </w:rPr>
        <w:t>. CHI Money Breakdown</w:t>
      </w:r>
    </w:p>
    <w:tbl>
      <w:tblPr>
        <w:tblStyle w:val="TableGrid"/>
        <w:tblW w:w="94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1980"/>
        <w:gridCol w:w="5130"/>
      </w:tblGrid>
      <w:tr w:rsidR="009F5152" w:rsidRPr="00211D73" w14:paraId="22859E8D" w14:textId="77777777" w:rsidTr="00CD56EC">
        <w:trPr>
          <w:cantSplit/>
          <w:tblHeader/>
        </w:trPr>
        <w:tc>
          <w:tcPr>
            <w:tcW w:w="2345" w:type="dxa"/>
            <w:vAlign w:val="center"/>
          </w:tcPr>
          <w:p w14:paraId="3159467F" w14:textId="77777777" w:rsidR="009F5152" w:rsidRPr="006111E9" w:rsidRDefault="009F5152" w:rsidP="00324C29">
            <w:pPr>
              <w:spacing w:after="40"/>
              <w:rPr>
                <w:sz w:val="21"/>
                <w:szCs w:val="21"/>
              </w:rPr>
            </w:pPr>
          </w:p>
        </w:tc>
        <w:tc>
          <w:tcPr>
            <w:tcW w:w="1980" w:type="dxa"/>
            <w:vAlign w:val="center"/>
            <w:hideMark/>
          </w:tcPr>
          <w:p w14:paraId="48F248DB" w14:textId="77777777" w:rsidR="009F5152" w:rsidRPr="006111E9" w:rsidRDefault="009F5152" w:rsidP="00324C29">
            <w:pPr>
              <w:spacing w:after="40"/>
              <w:jc w:val="right"/>
              <w:rPr>
                <w:b/>
                <w:bCs/>
                <w:sz w:val="21"/>
                <w:szCs w:val="21"/>
              </w:rPr>
            </w:pPr>
            <w:r w:rsidRPr="006111E9">
              <w:rPr>
                <w:b/>
                <w:bCs/>
                <w:sz w:val="21"/>
                <w:szCs w:val="21"/>
              </w:rPr>
              <w:t>Total</w:t>
            </w:r>
          </w:p>
        </w:tc>
        <w:tc>
          <w:tcPr>
            <w:tcW w:w="5130" w:type="dxa"/>
            <w:vAlign w:val="center"/>
            <w:hideMark/>
          </w:tcPr>
          <w:p w14:paraId="11E1E7C8" w14:textId="77777777" w:rsidR="009F5152" w:rsidRPr="006111E9" w:rsidRDefault="009F5152" w:rsidP="00324C29">
            <w:pPr>
              <w:spacing w:after="40"/>
              <w:jc w:val="right"/>
              <w:rPr>
                <w:b/>
                <w:bCs/>
                <w:sz w:val="21"/>
                <w:szCs w:val="21"/>
              </w:rPr>
            </w:pPr>
            <w:r w:rsidRPr="006111E9">
              <w:rPr>
                <w:b/>
                <w:bCs/>
                <w:sz w:val="21"/>
                <w:szCs w:val="21"/>
              </w:rPr>
              <w:t>Description</w:t>
            </w:r>
          </w:p>
        </w:tc>
      </w:tr>
      <w:tr w:rsidR="009F5152" w:rsidRPr="00211D73" w14:paraId="44A6A8FC" w14:textId="77777777" w:rsidTr="00CD56EC">
        <w:trPr>
          <w:cantSplit/>
        </w:trPr>
        <w:tc>
          <w:tcPr>
            <w:tcW w:w="2345" w:type="dxa"/>
            <w:tcBorders>
              <w:top w:val="nil"/>
              <w:left w:val="nil"/>
              <w:bottom w:val="single" w:sz="4" w:space="0" w:color="auto"/>
              <w:right w:val="nil"/>
            </w:tcBorders>
            <w:vAlign w:val="center"/>
            <w:hideMark/>
          </w:tcPr>
          <w:p w14:paraId="7B205838" w14:textId="77777777" w:rsidR="009F5152" w:rsidRPr="006111E9" w:rsidRDefault="009F5152" w:rsidP="00324C29">
            <w:pPr>
              <w:spacing w:after="40"/>
              <w:jc w:val="right"/>
              <w:rPr>
                <w:b/>
                <w:bCs/>
                <w:sz w:val="21"/>
                <w:szCs w:val="21"/>
              </w:rPr>
            </w:pPr>
            <w:r w:rsidRPr="006111E9">
              <w:rPr>
                <w:b/>
                <w:bCs/>
                <w:sz w:val="21"/>
                <w:szCs w:val="21"/>
              </w:rPr>
              <w:t>MCE</w:t>
            </w:r>
          </w:p>
        </w:tc>
        <w:tc>
          <w:tcPr>
            <w:tcW w:w="1980" w:type="dxa"/>
            <w:tcBorders>
              <w:top w:val="nil"/>
              <w:left w:val="nil"/>
              <w:bottom w:val="single" w:sz="4" w:space="0" w:color="auto"/>
              <w:right w:val="nil"/>
            </w:tcBorders>
            <w:vAlign w:val="center"/>
          </w:tcPr>
          <w:p w14:paraId="22E543BF" w14:textId="77777777" w:rsidR="009F5152" w:rsidRPr="006111E9" w:rsidRDefault="009F5152" w:rsidP="00324C29">
            <w:pPr>
              <w:spacing w:after="40"/>
              <w:jc w:val="right"/>
              <w:rPr>
                <w:sz w:val="21"/>
                <w:szCs w:val="21"/>
              </w:rPr>
            </w:pPr>
            <w:r w:rsidRPr="006111E9">
              <w:rPr>
                <w:sz w:val="21"/>
                <w:szCs w:val="21"/>
              </w:rPr>
              <w:t>$21,156,000.00</w:t>
            </w:r>
          </w:p>
        </w:tc>
        <w:tc>
          <w:tcPr>
            <w:tcW w:w="5130" w:type="dxa"/>
            <w:tcBorders>
              <w:top w:val="nil"/>
              <w:left w:val="nil"/>
              <w:bottom w:val="single" w:sz="4" w:space="0" w:color="auto"/>
              <w:right w:val="nil"/>
            </w:tcBorders>
            <w:vAlign w:val="center"/>
          </w:tcPr>
          <w:p w14:paraId="5064C356" w14:textId="77777777" w:rsidR="009F5152" w:rsidRPr="006111E9" w:rsidRDefault="009F5152" w:rsidP="00324C29">
            <w:pPr>
              <w:spacing w:after="40"/>
              <w:jc w:val="right"/>
              <w:rPr>
                <w:sz w:val="21"/>
                <w:szCs w:val="21"/>
              </w:rPr>
            </w:pPr>
          </w:p>
        </w:tc>
      </w:tr>
      <w:tr w:rsidR="009F5152" w:rsidRPr="0010275D" w14:paraId="70525ECA" w14:textId="77777777" w:rsidTr="00CD56EC">
        <w:trPr>
          <w:cantSplit/>
        </w:trPr>
        <w:tc>
          <w:tcPr>
            <w:tcW w:w="2345" w:type="dxa"/>
            <w:tcBorders>
              <w:top w:val="single" w:sz="4" w:space="0" w:color="auto"/>
              <w:left w:val="nil"/>
              <w:bottom w:val="single" w:sz="4" w:space="0" w:color="auto"/>
              <w:right w:val="nil"/>
            </w:tcBorders>
            <w:vAlign w:val="center"/>
            <w:hideMark/>
          </w:tcPr>
          <w:p w14:paraId="48ADB738" w14:textId="77777777" w:rsidR="009F5152" w:rsidRPr="006111E9" w:rsidRDefault="009F5152" w:rsidP="00324C29">
            <w:pPr>
              <w:spacing w:after="40"/>
              <w:jc w:val="right"/>
              <w:rPr>
                <w:b/>
                <w:bCs/>
                <w:sz w:val="21"/>
                <w:szCs w:val="21"/>
              </w:rPr>
            </w:pPr>
            <w:r w:rsidRPr="006111E9">
              <w:rPr>
                <w:b/>
                <w:bCs/>
                <w:sz w:val="21"/>
                <w:szCs w:val="21"/>
              </w:rPr>
              <w:t xml:space="preserve">CHI Monies </w:t>
            </w:r>
          </w:p>
        </w:tc>
        <w:tc>
          <w:tcPr>
            <w:tcW w:w="1980" w:type="dxa"/>
            <w:tcBorders>
              <w:top w:val="single" w:sz="4" w:space="0" w:color="auto"/>
              <w:left w:val="nil"/>
              <w:bottom w:val="single" w:sz="4" w:space="0" w:color="auto"/>
              <w:right w:val="nil"/>
            </w:tcBorders>
            <w:vAlign w:val="center"/>
          </w:tcPr>
          <w:p w14:paraId="4B5AB9DB" w14:textId="77777777" w:rsidR="009F5152" w:rsidRPr="006111E9" w:rsidRDefault="009F5152" w:rsidP="00324C29">
            <w:pPr>
              <w:tabs>
                <w:tab w:val="left" w:pos="1425"/>
              </w:tabs>
              <w:spacing w:after="40"/>
              <w:jc w:val="right"/>
              <w:rPr>
                <w:sz w:val="21"/>
                <w:szCs w:val="21"/>
              </w:rPr>
            </w:pPr>
            <w:r w:rsidRPr="006111E9">
              <w:rPr>
                <w:sz w:val="21"/>
                <w:szCs w:val="21"/>
              </w:rPr>
              <w:t>$1,057,800.00</w:t>
            </w:r>
          </w:p>
        </w:tc>
        <w:tc>
          <w:tcPr>
            <w:tcW w:w="5130" w:type="dxa"/>
            <w:tcBorders>
              <w:top w:val="single" w:sz="4" w:space="0" w:color="auto"/>
              <w:left w:val="nil"/>
              <w:bottom w:val="single" w:sz="4" w:space="0" w:color="auto"/>
              <w:right w:val="nil"/>
            </w:tcBorders>
            <w:vAlign w:val="center"/>
            <w:hideMark/>
          </w:tcPr>
          <w:p w14:paraId="7298F094" w14:textId="77777777" w:rsidR="009F5152" w:rsidRPr="006111E9" w:rsidRDefault="009F5152" w:rsidP="00324C29">
            <w:pPr>
              <w:tabs>
                <w:tab w:val="left" w:pos="1425"/>
              </w:tabs>
              <w:spacing w:after="40"/>
              <w:jc w:val="right"/>
              <w:rPr>
                <w:sz w:val="20"/>
                <w:szCs w:val="20"/>
              </w:rPr>
            </w:pPr>
            <w:r w:rsidRPr="006111E9">
              <w:rPr>
                <w:sz w:val="20"/>
                <w:szCs w:val="20"/>
              </w:rPr>
              <w:t>(5% of Maximum Capital Expenditure)</w:t>
            </w:r>
          </w:p>
        </w:tc>
      </w:tr>
      <w:tr w:rsidR="009F5152" w:rsidRPr="00211D73" w14:paraId="302A1986" w14:textId="77777777" w:rsidTr="00CD56EC">
        <w:trPr>
          <w:cantSplit/>
        </w:trPr>
        <w:tc>
          <w:tcPr>
            <w:tcW w:w="2345" w:type="dxa"/>
            <w:tcBorders>
              <w:top w:val="single" w:sz="4" w:space="0" w:color="auto"/>
              <w:left w:val="nil"/>
              <w:bottom w:val="single" w:sz="4" w:space="0" w:color="auto"/>
              <w:right w:val="nil"/>
            </w:tcBorders>
            <w:vAlign w:val="center"/>
            <w:hideMark/>
          </w:tcPr>
          <w:p w14:paraId="230B637F" w14:textId="77777777" w:rsidR="009F5152" w:rsidRPr="006111E9" w:rsidRDefault="009F5152" w:rsidP="00324C29">
            <w:pPr>
              <w:spacing w:after="40"/>
              <w:jc w:val="right"/>
              <w:rPr>
                <w:b/>
                <w:bCs/>
                <w:sz w:val="21"/>
                <w:szCs w:val="21"/>
              </w:rPr>
            </w:pPr>
            <w:r w:rsidRPr="006111E9">
              <w:rPr>
                <w:b/>
                <w:bCs/>
                <w:sz w:val="21"/>
                <w:szCs w:val="21"/>
              </w:rPr>
              <w:t xml:space="preserve">Administrative Fee </w:t>
            </w:r>
          </w:p>
        </w:tc>
        <w:tc>
          <w:tcPr>
            <w:tcW w:w="1980" w:type="dxa"/>
            <w:tcBorders>
              <w:top w:val="single" w:sz="4" w:space="0" w:color="auto"/>
              <w:left w:val="nil"/>
              <w:bottom w:val="single" w:sz="4" w:space="0" w:color="auto"/>
              <w:right w:val="nil"/>
            </w:tcBorders>
            <w:vAlign w:val="center"/>
          </w:tcPr>
          <w:p w14:paraId="06F4B936" w14:textId="77777777" w:rsidR="009F5152" w:rsidRPr="006111E9" w:rsidRDefault="009F5152" w:rsidP="00324C29">
            <w:pPr>
              <w:spacing w:after="40"/>
              <w:jc w:val="right"/>
              <w:rPr>
                <w:sz w:val="21"/>
                <w:szCs w:val="21"/>
              </w:rPr>
            </w:pPr>
            <w:r w:rsidRPr="006111E9">
              <w:rPr>
                <w:sz w:val="21"/>
                <w:szCs w:val="21"/>
              </w:rPr>
              <w:t>$31,734.00</w:t>
            </w:r>
          </w:p>
        </w:tc>
        <w:tc>
          <w:tcPr>
            <w:tcW w:w="5130" w:type="dxa"/>
            <w:tcBorders>
              <w:top w:val="single" w:sz="4" w:space="0" w:color="auto"/>
              <w:left w:val="nil"/>
              <w:bottom w:val="single" w:sz="4" w:space="0" w:color="auto"/>
              <w:right w:val="nil"/>
            </w:tcBorders>
            <w:vAlign w:val="center"/>
            <w:hideMark/>
          </w:tcPr>
          <w:p w14:paraId="7571F753" w14:textId="77777777" w:rsidR="009F5152" w:rsidRPr="006111E9" w:rsidRDefault="009F5152" w:rsidP="00324C29">
            <w:pPr>
              <w:spacing w:after="40"/>
              <w:jc w:val="right"/>
              <w:rPr>
                <w:sz w:val="20"/>
                <w:szCs w:val="20"/>
              </w:rPr>
            </w:pPr>
            <w:r w:rsidRPr="006111E9">
              <w:rPr>
                <w:sz w:val="20"/>
                <w:szCs w:val="20"/>
              </w:rPr>
              <w:t>(3% of the CHI Monies, retained by Applicant)</w:t>
            </w:r>
          </w:p>
        </w:tc>
      </w:tr>
      <w:tr w:rsidR="009F5152" w:rsidRPr="00211D73" w14:paraId="64D7675F" w14:textId="77777777" w:rsidTr="00CD56EC">
        <w:trPr>
          <w:cantSplit/>
        </w:trPr>
        <w:tc>
          <w:tcPr>
            <w:tcW w:w="2345" w:type="dxa"/>
            <w:tcBorders>
              <w:top w:val="single" w:sz="4" w:space="0" w:color="auto"/>
              <w:left w:val="nil"/>
              <w:bottom w:val="single" w:sz="4" w:space="0" w:color="auto"/>
              <w:right w:val="nil"/>
            </w:tcBorders>
            <w:vAlign w:val="center"/>
            <w:hideMark/>
          </w:tcPr>
          <w:p w14:paraId="5A21F295" w14:textId="3EDC7EF3" w:rsidR="009F5152" w:rsidRPr="006111E9" w:rsidRDefault="009F5152" w:rsidP="00324C29">
            <w:pPr>
              <w:spacing w:after="40"/>
              <w:jc w:val="right"/>
              <w:rPr>
                <w:b/>
                <w:bCs/>
                <w:sz w:val="21"/>
                <w:szCs w:val="21"/>
              </w:rPr>
            </w:pPr>
            <w:r w:rsidRPr="006111E9">
              <w:rPr>
                <w:b/>
                <w:bCs/>
                <w:sz w:val="21"/>
                <w:szCs w:val="21"/>
              </w:rPr>
              <w:t>Re</w:t>
            </w:r>
            <w:r w:rsidR="00110B2A">
              <w:rPr>
                <w:b/>
                <w:bCs/>
                <w:sz w:val="21"/>
                <w:szCs w:val="21"/>
              </w:rPr>
              <w:t>m</w:t>
            </w:r>
            <w:r w:rsidR="00C05E00">
              <w:rPr>
                <w:b/>
                <w:bCs/>
                <w:sz w:val="21"/>
                <w:szCs w:val="21"/>
              </w:rPr>
              <w:t>ain</w:t>
            </w:r>
            <w:r w:rsidRPr="006111E9">
              <w:rPr>
                <w:b/>
                <w:bCs/>
                <w:sz w:val="21"/>
                <w:szCs w:val="21"/>
              </w:rPr>
              <w:t xml:space="preserve">ing Monies </w:t>
            </w:r>
          </w:p>
        </w:tc>
        <w:tc>
          <w:tcPr>
            <w:tcW w:w="1980" w:type="dxa"/>
            <w:tcBorders>
              <w:top w:val="single" w:sz="4" w:space="0" w:color="auto"/>
              <w:left w:val="nil"/>
              <w:bottom w:val="single" w:sz="4" w:space="0" w:color="auto"/>
              <w:right w:val="nil"/>
            </w:tcBorders>
            <w:vAlign w:val="center"/>
          </w:tcPr>
          <w:p w14:paraId="63643437" w14:textId="77777777" w:rsidR="009F5152" w:rsidRPr="006111E9" w:rsidRDefault="009F5152" w:rsidP="00324C29">
            <w:pPr>
              <w:spacing w:after="40"/>
              <w:jc w:val="right"/>
              <w:rPr>
                <w:sz w:val="21"/>
                <w:szCs w:val="21"/>
              </w:rPr>
            </w:pPr>
            <w:r w:rsidRPr="006111E9">
              <w:rPr>
                <w:sz w:val="21"/>
                <w:szCs w:val="21"/>
              </w:rPr>
              <w:t>$1,026,066.00</w:t>
            </w:r>
          </w:p>
        </w:tc>
        <w:tc>
          <w:tcPr>
            <w:tcW w:w="5130" w:type="dxa"/>
            <w:tcBorders>
              <w:top w:val="single" w:sz="4" w:space="0" w:color="auto"/>
              <w:left w:val="nil"/>
              <w:bottom w:val="single" w:sz="4" w:space="0" w:color="auto"/>
              <w:right w:val="nil"/>
            </w:tcBorders>
            <w:vAlign w:val="center"/>
            <w:hideMark/>
          </w:tcPr>
          <w:p w14:paraId="16340603" w14:textId="77777777" w:rsidR="009F5152" w:rsidRPr="006111E9" w:rsidRDefault="009F5152" w:rsidP="00324C29">
            <w:pPr>
              <w:spacing w:after="40"/>
              <w:jc w:val="right"/>
              <w:rPr>
                <w:sz w:val="20"/>
                <w:szCs w:val="20"/>
              </w:rPr>
            </w:pPr>
            <w:r w:rsidRPr="006111E9">
              <w:rPr>
                <w:sz w:val="20"/>
                <w:szCs w:val="20"/>
              </w:rPr>
              <w:t>(CHI Monies minus the Administrative fee)</w:t>
            </w:r>
          </w:p>
        </w:tc>
      </w:tr>
      <w:tr w:rsidR="009F5152" w:rsidRPr="00211D73" w14:paraId="0979D9B3" w14:textId="77777777" w:rsidTr="00CD56EC">
        <w:trPr>
          <w:cantSplit/>
        </w:trPr>
        <w:tc>
          <w:tcPr>
            <w:tcW w:w="2345" w:type="dxa"/>
            <w:tcBorders>
              <w:top w:val="single" w:sz="4" w:space="0" w:color="auto"/>
              <w:left w:val="nil"/>
              <w:bottom w:val="single" w:sz="4" w:space="0" w:color="auto"/>
              <w:right w:val="nil"/>
            </w:tcBorders>
            <w:vAlign w:val="center"/>
            <w:hideMark/>
          </w:tcPr>
          <w:p w14:paraId="36A58FE3" w14:textId="77777777" w:rsidR="009F5152" w:rsidRPr="006111E9" w:rsidRDefault="009F5152" w:rsidP="00324C29">
            <w:pPr>
              <w:spacing w:after="40"/>
              <w:jc w:val="right"/>
              <w:rPr>
                <w:b/>
                <w:bCs/>
                <w:sz w:val="21"/>
                <w:szCs w:val="21"/>
              </w:rPr>
            </w:pPr>
            <w:r w:rsidRPr="006111E9">
              <w:rPr>
                <w:b/>
                <w:bCs/>
                <w:sz w:val="21"/>
                <w:szCs w:val="21"/>
              </w:rPr>
              <w:t xml:space="preserve">Statewide Initiative </w:t>
            </w:r>
          </w:p>
        </w:tc>
        <w:tc>
          <w:tcPr>
            <w:tcW w:w="1980" w:type="dxa"/>
            <w:tcBorders>
              <w:top w:val="single" w:sz="4" w:space="0" w:color="auto"/>
              <w:left w:val="nil"/>
              <w:bottom w:val="single" w:sz="4" w:space="0" w:color="auto"/>
              <w:right w:val="nil"/>
            </w:tcBorders>
            <w:vAlign w:val="center"/>
          </w:tcPr>
          <w:p w14:paraId="088DD248" w14:textId="77777777" w:rsidR="009F5152" w:rsidRPr="006111E9" w:rsidRDefault="009F5152" w:rsidP="00324C29">
            <w:pPr>
              <w:spacing w:after="40"/>
              <w:jc w:val="right"/>
              <w:rPr>
                <w:sz w:val="21"/>
                <w:szCs w:val="21"/>
              </w:rPr>
            </w:pPr>
            <w:r w:rsidRPr="006111E9">
              <w:rPr>
                <w:sz w:val="21"/>
                <w:szCs w:val="21"/>
              </w:rPr>
              <w:t>$256,516.00</w:t>
            </w:r>
          </w:p>
        </w:tc>
        <w:tc>
          <w:tcPr>
            <w:tcW w:w="5130" w:type="dxa"/>
            <w:tcBorders>
              <w:top w:val="single" w:sz="4" w:space="0" w:color="auto"/>
              <w:left w:val="nil"/>
              <w:bottom w:val="single" w:sz="4" w:space="0" w:color="auto"/>
              <w:right w:val="nil"/>
            </w:tcBorders>
            <w:vAlign w:val="center"/>
            <w:hideMark/>
          </w:tcPr>
          <w:p w14:paraId="43C8CD54" w14:textId="2EA92C94" w:rsidR="009F5152" w:rsidRPr="006111E9" w:rsidRDefault="009F5152" w:rsidP="00324C29">
            <w:pPr>
              <w:spacing w:after="40"/>
              <w:jc w:val="right"/>
              <w:rPr>
                <w:sz w:val="20"/>
                <w:szCs w:val="20"/>
              </w:rPr>
            </w:pPr>
            <w:r w:rsidRPr="006111E9">
              <w:rPr>
                <w:sz w:val="20"/>
                <w:szCs w:val="20"/>
              </w:rPr>
              <w:t>(25% of re</w:t>
            </w:r>
            <w:r w:rsidR="00110B2A">
              <w:rPr>
                <w:sz w:val="20"/>
                <w:szCs w:val="20"/>
              </w:rPr>
              <w:t>m</w:t>
            </w:r>
            <w:r w:rsidR="00C05E00">
              <w:rPr>
                <w:sz w:val="20"/>
                <w:szCs w:val="20"/>
              </w:rPr>
              <w:t>ain</w:t>
            </w:r>
            <w:r w:rsidRPr="006111E9">
              <w:rPr>
                <w:sz w:val="20"/>
                <w:szCs w:val="20"/>
              </w:rPr>
              <w:t>ing monies, paid to State-wide fund)</w:t>
            </w:r>
          </w:p>
        </w:tc>
      </w:tr>
      <w:tr w:rsidR="009F5152" w:rsidRPr="00211D73" w14:paraId="614F9ADE" w14:textId="77777777" w:rsidTr="00CD56EC">
        <w:trPr>
          <w:cantSplit/>
        </w:trPr>
        <w:tc>
          <w:tcPr>
            <w:tcW w:w="2345" w:type="dxa"/>
            <w:tcBorders>
              <w:top w:val="single" w:sz="4" w:space="0" w:color="auto"/>
              <w:left w:val="nil"/>
              <w:bottom w:val="single" w:sz="4" w:space="0" w:color="auto"/>
              <w:right w:val="nil"/>
            </w:tcBorders>
            <w:vAlign w:val="center"/>
            <w:hideMark/>
          </w:tcPr>
          <w:p w14:paraId="22A154C3" w14:textId="77777777" w:rsidR="009F5152" w:rsidRPr="006111E9" w:rsidRDefault="009F5152" w:rsidP="00324C29">
            <w:pPr>
              <w:spacing w:after="40"/>
              <w:jc w:val="right"/>
              <w:rPr>
                <w:b/>
                <w:bCs/>
                <w:sz w:val="21"/>
                <w:szCs w:val="21"/>
              </w:rPr>
            </w:pPr>
            <w:r w:rsidRPr="006111E9">
              <w:rPr>
                <w:b/>
                <w:bCs/>
                <w:sz w:val="21"/>
                <w:szCs w:val="21"/>
              </w:rPr>
              <w:t xml:space="preserve">Local Initiative </w:t>
            </w:r>
          </w:p>
        </w:tc>
        <w:tc>
          <w:tcPr>
            <w:tcW w:w="1980" w:type="dxa"/>
            <w:tcBorders>
              <w:top w:val="single" w:sz="4" w:space="0" w:color="auto"/>
              <w:left w:val="nil"/>
              <w:bottom w:val="single" w:sz="4" w:space="0" w:color="auto"/>
              <w:right w:val="nil"/>
            </w:tcBorders>
            <w:vAlign w:val="center"/>
          </w:tcPr>
          <w:p w14:paraId="223D812D" w14:textId="77777777" w:rsidR="009F5152" w:rsidRPr="006111E9" w:rsidRDefault="009F5152" w:rsidP="00324C29">
            <w:pPr>
              <w:spacing w:after="40"/>
              <w:jc w:val="right"/>
              <w:rPr>
                <w:sz w:val="21"/>
                <w:szCs w:val="21"/>
              </w:rPr>
            </w:pPr>
            <w:r w:rsidRPr="006111E9">
              <w:rPr>
                <w:sz w:val="21"/>
                <w:szCs w:val="21"/>
              </w:rPr>
              <w:t>$769,550.00</w:t>
            </w:r>
          </w:p>
        </w:tc>
        <w:tc>
          <w:tcPr>
            <w:tcW w:w="5130" w:type="dxa"/>
            <w:tcBorders>
              <w:top w:val="single" w:sz="4" w:space="0" w:color="auto"/>
              <w:left w:val="nil"/>
              <w:bottom w:val="single" w:sz="4" w:space="0" w:color="auto"/>
              <w:right w:val="nil"/>
            </w:tcBorders>
            <w:vAlign w:val="center"/>
            <w:hideMark/>
          </w:tcPr>
          <w:p w14:paraId="2C916800" w14:textId="181A18B7" w:rsidR="009F5152" w:rsidRPr="006111E9" w:rsidRDefault="009F5152" w:rsidP="00324C29">
            <w:pPr>
              <w:spacing w:after="40"/>
              <w:jc w:val="right"/>
              <w:rPr>
                <w:sz w:val="20"/>
                <w:szCs w:val="20"/>
              </w:rPr>
            </w:pPr>
            <w:r w:rsidRPr="006111E9">
              <w:rPr>
                <w:sz w:val="20"/>
                <w:szCs w:val="20"/>
              </w:rPr>
              <w:t>(75% of re</w:t>
            </w:r>
            <w:r w:rsidR="00110B2A">
              <w:rPr>
                <w:sz w:val="20"/>
                <w:szCs w:val="20"/>
              </w:rPr>
              <w:t>m</w:t>
            </w:r>
            <w:r w:rsidR="00C05E00">
              <w:rPr>
                <w:sz w:val="20"/>
                <w:szCs w:val="20"/>
              </w:rPr>
              <w:t>ain</w:t>
            </w:r>
            <w:r w:rsidRPr="006111E9">
              <w:rPr>
                <w:sz w:val="20"/>
                <w:szCs w:val="20"/>
              </w:rPr>
              <w:t>ing monies)</w:t>
            </w:r>
          </w:p>
        </w:tc>
      </w:tr>
      <w:tr w:rsidR="009F5152" w:rsidRPr="00211D73" w14:paraId="0266B2EA" w14:textId="77777777" w:rsidTr="00CD56EC">
        <w:trPr>
          <w:cantSplit/>
        </w:trPr>
        <w:tc>
          <w:tcPr>
            <w:tcW w:w="2345" w:type="dxa"/>
            <w:tcBorders>
              <w:top w:val="single" w:sz="4" w:space="0" w:color="auto"/>
              <w:left w:val="nil"/>
              <w:bottom w:val="single" w:sz="4" w:space="0" w:color="auto"/>
              <w:right w:val="nil"/>
            </w:tcBorders>
            <w:vAlign w:val="center"/>
            <w:hideMark/>
          </w:tcPr>
          <w:p w14:paraId="45F532CE" w14:textId="77777777" w:rsidR="009F5152" w:rsidRPr="006111E9" w:rsidRDefault="009F5152" w:rsidP="00324C29">
            <w:pPr>
              <w:spacing w:after="40"/>
              <w:jc w:val="right"/>
              <w:rPr>
                <w:b/>
                <w:bCs/>
                <w:sz w:val="21"/>
                <w:szCs w:val="21"/>
              </w:rPr>
            </w:pPr>
            <w:r w:rsidRPr="006111E9">
              <w:rPr>
                <w:b/>
                <w:bCs/>
                <w:sz w:val="21"/>
                <w:szCs w:val="21"/>
              </w:rPr>
              <w:t xml:space="preserve">Evaluation Monies </w:t>
            </w:r>
          </w:p>
        </w:tc>
        <w:tc>
          <w:tcPr>
            <w:tcW w:w="1980" w:type="dxa"/>
            <w:tcBorders>
              <w:top w:val="single" w:sz="4" w:space="0" w:color="auto"/>
              <w:left w:val="nil"/>
              <w:bottom w:val="single" w:sz="4" w:space="0" w:color="auto"/>
              <w:right w:val="nil"/>
            </w:tcBorders>
            <w:vAlign w:val="center"/>
          </w:tcPr>
          <w:p w14:paraId="6AAAE1D9" w14:textId="77777777" w:rsidR="009F5152" w:rsidRPr="006111E9" w:rsidRDefault="009F5152" w:rsidP="00324C29">
            <w:pPr>
              <w:spacing w:after="40"/>
              <w:jc w:val="right"/>
              <w:rPr>
                <w:sz w:val="21"/>
                <w:szCs w:val="21"/>
              </w:rPr>
            </w:pPr>
            <w:r w:rsidRPr="006111E9">
              <w:rPr>
                <w:sz w:val="21"/>
                <w:szCs w:val="21"/>
              </w:rPr>
              <w:t>$76,955.00</w:t>
            </w:r>
          </w:p>
        </w:tc>
        <w:tc>
          <w:tcPr>
            <w:tcW w:w="5130" w:type="dxa"/>
            <w:tcBorders>
              <w:top w:val="single" w:sz="4" w:space="0" w:color="auto"/>
              <w:left w:val="nil"/>
              <w:bottom w:val="single" w:sz="4" w:space="0" w:color="auto"/>
              <w:right w:val="nil"/>
            </w:tcBorders>
            <w:vAlign w:val="center"/>
            <w:hideMark/>
          </w:tcPr>
          <w:p w14:paraId="38A739F1" w14:textId="77777777" w:rsidR="009F5152" w:rsidRPr="006111E9" w:rsidRDefault="009F5152" w:rsidP="00324C29">
            <w:pPr>
              <w:spacing w:after="40"/>
              <w:jc w:val="right"/>
              <w:rPr>
                <w:sz w:val="20"/>
                <w:szCs w:val="20"/>
              </w:rPr>
            </w:pPr>
            <w:r w:rsidRPr="006111E9">
              <w:rPr>
                <w:sz w:val="20"/>
                <w:szCs w:val="20"/>
              </w:rPr>
              <w:t>(10% of Local Initiative Monies, retained by Applicant)</w:t>
            </w:r>
          </w:p>
        </w:tc>
      </w:tr>
      <w:tr w:rsidR="009F5152" w:rsidRPr="00211D73" w14:paraId="481EF1BD" w14:textId="77777777" w:rsidTr="00CD56EC">
        <w:trPr>
          <w:cantSplit/>
        </w:trPr>
        <w:tc>
          <w:tcPr>
            <w:tcW w:w="2345" w:type="dxa"/>
            <w:tcBorders>
              <w:top w:val="single" w:sz="4" w:space="0" w:color="auto"/>
              <w:left w:val="nil"/>
              <w:bottom w:val="nil"/>
              <w:right w:val="nil"/>
            </w:tcBorders>
            <w:shd w:val="clear" w:color="auto" w:fill="F2F2F2" w:themeFill="background1" w:themeFillShade="F2"/>
            <w:vAlign w:val="center"/>
            <w:hideMark/>
          </w:tcPr>
          <w:p w14:paraId="38EA5EC0" w14:textId="77777777" w:rsidR="009F5152" w:rsidRPr="006111E9" w:rsidRDefault="009F5152" w:rsidP="00324C29">
            <w:pPr>
              <w:spacing w:after="40"/>
              <w:jc w:val="right"/>
              <w:rPr>
                <w:b/>
                <w:bCs/>
                <w:sz w:val="21"/>
                <w:szCs w:val="21"/>
              </w:rPr>
            </w:pPr>
            <w:r w:rsidRPr="006111E9">
              <w:rPr>
                <w:b/>
                <w:bCs/>
                <w:sz w:val="21"/>
                <w:szCs w:val="21"/>
              </w:rPr>
              <w:t xml:space="preserve">CHI Monies for Local Disbursement </w:t>
            </w:r>
          </w:p>
        </w:tc>
        <w:tc>
          <w:tcPr>
            <w:tcW w:w="1980" w:type="dxa"/>
            <w:tcBorders>
              <w:top w:val="single" w:sz="4" w:space="0" w:color="auto"/>
              <w:left w:val="nil"/>
              <w:bottom w:val="nil"/>
              <w:right w:val="nil"/>
            </w:tcBorders>
            <w:shd w:val="clear" w:color="auto" w:fill="F2F2F2" w:themeFill="background1" w:themeFillShade="F2"/>
            <w:vAlign w:val="center"/>
          </w:tcPr>
          <w:p w14:paraId="1241B7E2" w14:textId="77777777" w:rsidR="009F5152" w:rsidRPr="006111E9" w:rsidRDefault="009F5152" w:rsidP="00324C29">
            <w:pPr>
              <w:spacing w:after="40"/>
              <w:jc w:val="right"/>
              <w:rPr>
                <w:sz w:val="21"/>
                <w:szCs w:val="21"/>
              </w:rPr>
            </w:pPr>
            <w:r w:rsidRPr="006111E9">
              <w:rPr>
                <w:sz w:val="21"/>
                <w:szCs w:val="21"/>
              </w:rPr>
              <w:t>$692,595.00</w:t>
            </w:r>
          </w:p>
        </w:tc>
        <w:tc>
          <w:tcPr>
            <w:tcW w:w="5130" w:type="dxa"/>
            <w:tcBorders>
              <w:top w:val="single" w:sz="4" w:space="0" w:color="auto"/>
              <w:left w:val="nil"/>
              <w:bottom w:val="nil"/>
              <w:right w:val="nil"/>
            </w:tcBorders>
            <w:shd w:val="clear" w:color="auto" w:fill="F2F2F2" w:themeFill="background1" w:themeFillShade="F2"/>
            <w:vAlign w:val="center"/>
          </w:tcPr>
          <w:p w14:paraId="7E381232" w14:textId="77777777" w:rsidR="009F5152" w:rsidRPr="006111E9" w:rsidRDefault="009F5152" w:rsidP="00324C29">
            <w:pPr>
              <w:spacing w:after="40"/>
              <w:jc w:val="right"/>
              <w:rPr>
                <w:sz w:val="21"/>
                <w:szCs w:val="21"/>
              </w:rPr>
            </w:pPr>
          </w:p>
        </w:tc>
      </w:tr>
    </w:tbl>
    <w:p w14:paraId="662CB6F3" w14:textId="77777777" w:rsidR="009F5152" w:rsidRPr="00CA34CD" w:rsidRDefault="009F5152" w:rsidP="009F5152">
      <w:pPr>
        <w:suppressAutoHyphens w:val="0"/>
        <w:autoSpaceDE w:val="0"/>
        <w:autoSpaceDN w:val="0"/>
        <w:adjustRightInd w:val="0"/>
        <w:jc w:val="both"/>
        <w:rPr>
          <w:sz w:val="22"/>
          <w:szCs w:val="22"/>
        </w:rPr>
      </w:pPr>
    </w:p>
    <w:p w14:paraId="5C737991" w14:textId="77777777" w:rsidR="009F5152" w:rsidRPr="00324C29" w:rsidRDefault="009F5152" w:rsidP="00A45818">
      <w:pPr>
        <w:suppressAutoHyphens w:val="0"/>
        <w:autoSpaceDE w:val="0"/>
        <w:autoSpaceDN w:val="0"/>
        <w:adjustRightInd w:val="0"/>
        <w:spacing w:after="120"/>
        <w:rPr>
          <w:sz w:val="22"/>
          <w:szCs w:val="22"/>
        </w:rPr>
      </w:pPr>
      <w:r w:rsidRPr="00324C29">
        <w:rPr>
          <w:sz w:val="22"/>
          <w:szCs w:val="22"/>
        </w:rPr>
        <w:t>The timeline for CHI activities is as follows:</w:t>
      </w:r>
    </w:p>
    <w:p w14:paraId="550BA217" w14:textId="39683C56" w:rsidR="009F5152" w:rsidRPr="00324C29" w:rsidRDefault="009F5152" w:rsidP="00A2097F">
      <w:pPr>
        <w:pStyle w:val="ListParagraph"/>
        <w:numPr>
          <w:ilvl w:val="0"/>
          <w:numId w:val="3"/>
        </w:numPr>
        <w:suppressAutoHyphens w:val="0"/>
        <w:autoSpaceDE w:val="0"/>
        <w:autoSpaceDN w:val="0"/>
        <w:adjustRightInd w:val="0"/>
        <w:spacing w:after="120"/>
        <w:jc w:val="both"/>
        <w:rPr>
          <w:sz w:val="22"/>
          <w:szCs w:val="22"/>
        </w:rPr>
      </w:pPr>
      <w:r>
        <w:rPr>
          <w:sz w:val="22"/>
          <w:szCs w:val="22"/>
        </w:rPr>
        <w:t>Four to twelve</w:t>
      </w:r>
      <w:r w:rsidRPr="00324C29">
        <w:rPr>
          <w:sz w:val="22"/>
          <w:szCs w:val="22"/>
        </w:rPr>
        <w:t xml:space="preserve"> weeks post-approval: </w:t>
      </w:r>
      <w:r>
        <w:rPr>
          <w:sz w:val="22"/>
          <w:szCs w:val="22"/>
        </w:rPr>
        <w:t xml:space="preserve">NWH will organize and convene a Waltham Ad Hoc </w:t>
      </w:r>
      <w:r w:rsidR="00A2097F">
        <w:rPr>
          <w:sz w:val="22"/>
          <w:szCs w:val="22"/>
        </w:rPr>
        <w:t>C</w:t>
      </w:r>
      <w:r>
        <w:rPr>
          <w:sz w:val="22"/>
          <w:szCs w:val="22"/>
        </w:rPr>
        <w:t xml:space="preserve">ommittee to fulfil the role of the CHI Advisory Committee. Once the ad hoc committee is formed, it </w:t>
      </w:r>
      <w:r w:rsidRPr="00324C29">
        <w:rPr>
          <w:sz w:val="22"/>
          <w:szCs w:val="22"/>
        </w:rPr>
        <w:t>will begin meeting and reviewing the 2022 CHNA to commence the process of selecting CHI Health Priorities.</w:t>
      </w:r>
    </w:p>
    <w:p w14:paraId="3A563435" w14:textId="1B1E3109" w:rsidR="009F5152" w:rsidRPr="00324C29" w:rsidRDefault="009F5152" w:rsidP="00A2097F">
      <w:pPr>
        <w:pStyle w:val="ListParagraph"/>
        <w:numPr>
          <w:ilvl w:val="0"/>
          <w:numId w:val="3"/>
        </w:numPr>
        <w:suppressAutoHyphens w:val="0"/>
        <w:autoSpaceDE w:val="0"/>
        <w:autoSpaceDN w:val="0"/>
        <w:adjustRightInd w:val="0"/>
        <w:spacing w:after="120"/>
        <w:jc w:val="both"/>
        <w:rPr>
          <w:sz w:val="22"/>
          <w:szCs w:val="22"/>
        </w:rPr>
      </w:pPr>
      <w:r w:rsidRPr="00324C29">
        <w:rPr>
          <w:sz w:val="22"/>
          <w:szCs w:val="22"/>
        </w:rPr>
        <w:t xml:space="preserve">Three to four months post-approval: The </w:t>
      </w:r>
      <w:r>
        <w:rPr>
          <w:sz w:val="22"/>
          <w:szCs w:val="22"/>
        </w:rPr>
        <w:t>ad hoc committee</w:t>
      </w:r>
      <w:r w:rsidRPr="00324C29">
        <w:rPr>
          <w:sz w:val="22"/>
          <w:szCs w:val="22"/>
        </w:rPr>
        <w:t xml:space="preserve"> select</w:t>
      </w:r>
      <w:r w:rsidR="00A2097F">
        <w:rPr>
          <w:sz w:val="22"/>
          <w:szCs w:val="22"/>
        </w:rPr>
        <w:t>s</w:t>
      </w:r>
      <w:r w:rsidRPr="00324C29">
        <w:rPr>
          <w:sz w:val="22"/>
          <w:szCs w:val="22"/>
        </w:rPr>
        <w:t xml:space="preserve"> the Health Priorities and Strategies for funding.</w:t>
      </w:r>
    </w:p>
    <w:p w14:paraId="181DA5A8" w14:textId="4805E15D" w:rsidR="009F5152" w:rsidRPr="00324C29" w:rsidRDefault="009F5152" w:rsidP="00A2097F">
      <w:pPr>
        <w:pStyle w:val="ListParagraph"/>
        <w:numPr>
          <w:ilvl w:val="0"/>
          <w:numId w:val="3"/>
        </w:numPr>
        <w:suppressAutoHyphens w:val="0"/>
        <w:autoSpaceDE w:val="0"/>
        <w:autoSpaceDN w:val="0"/>
        <w:adjustRightInd w:val="0"/>
        <w:spacing w:after="120"/>
        <w:jc w:val="both"/>
        <w:rPr>
          <w:sz w:val="22"/>
          <w:szCs w:val="22"/>
        </w:rPr>
      </w:pPr>
      <w:r w:rsidRPr="00324C29">
        <w:rPr>
          <w:sz w:val="22"/>
          <w:szCs w:val="22"/>
        </w:rPr>
        <w:t xml:space="preserve">Five to seven months post-approval: Following a conflicts of interest disclosure process, the </w:t>
      </w:r>
      <w:r>
        <w:rPr>
          <w:sz w:val="22"/>
          <w:szCs w:val="22"/>
        </w:rPr>
        <w:t>ad hoc committee</w:t>
      </w:r>
      <w:r w:rsidRPr="00324C29">
        <w:rPr>
          <w:sz w:val="22"/>
          <w:szCs w:val="22"/>
        </w:rPr>
        <w:t xml:space="preserve"> </w:t>
      </w:r>
      <w:r>
        <w:rPr>
          <w:sz w:val="22"/>
          <w:szCs w:val="22"/>
        </w:rPr>
        <w:t>determine</w:t>
      </w:r>
      <w:r w:rsidR="00A2097F">
        <w:rPr>
          <w:sz w:val="22"/>
          <w:szCs w:val="22"/>
        </w:rPr>
        <w:t>s</w:t>
      </w:r>
      <w:r w:rsidRPr="00324C29">
        <w:rPr>
          <w:sz w:val="22"/>
          <w:szCs w:val="22"/>
        </w:rPr>
        <w:t xml:space="preserve"> funding methods, including the use of direct funding and </w:t>
      </w:r>
      <w:r>
        <w:rPr>
          <w:sz w:val="22"/>
          <w:szCs w:val="22"/>
        </w:rPr>
        <w:t xml:space="preserve">requests for proposals. </w:t>
      </w:r>
    </w:p>
    <w:p w14:paraId="4468CDB0" w14:textId="5F82EC82" w:rsidR="009F5152" w:rsidRPr="00324C29" w:rsidRDefault="009F5152" w:rsidP="00A2097F">
      <w:pPr>
        <w:pStyle w:val="ListParagraph"/>
        <w:numPr>
          <w:ilvl w:val="0"/>
          <w:numId w:val="3"/>
        </w:numPr>
        <w:suppressAutoHyphens w:val="0"/>
        <w:autoSpaceDE w:val="0"/>
        <w:autoSpaceDN w:val="0"/>
        <w:adjustRightInd w:val="0"/>
        <w:spacing w:after="120"/>
        <w:jc w:val="both"/>
        <w:rPr>
          <w:sz w:val="22"/>
          <w:szCs w:val="22"/>
        </w:rPr>
      </w:pPr>
      <w:r w:rsidRPr="00324C29">
        <w:rPr>
          <w:sz w:val="22"/>
          <w:szCs w:val="22"/>
        </w:rPr>
        <w:t xml:space="preserve">Eight to </w:t>
      </w:r>
      <w:r>
        <w:rPr>
          <w:sz w:val="22"/>
          <w:szCs w:val="22"/>
        </w:rPr>
        <w:t>eleven</w:t>
      </w:r>
      <w:r w:rsidRPr="00324C29">
        <w:rPr>
          <w:sz w:val="22"/>
          <w:szCs w:val="22"/>
        </w:rPr>
        <w:t xml:space="preserve"> months post-approval: Funding decisions </w:t>
      </w:r>
      <w:r w:rsidR="00A2097F">
        <w:rPr>
          <w:sz w:val="22"/>
          <w:szCs w:val="22"/>
        </w:rPr>
        <w:t>are</w:t>
      </w:r>
      <w:r w:rsidRPr="00324C29">
        <w:rPr>
          <w:sz w:val="22"/>
          <w:szCs w:val="22"/>
        </w:rPr>
        <w:t xml:space="preserve"> made</w:t>
      </w:r>
      <w:r>
        <w:rPr>
          <w:sz w:val="22"/>
          <w:szCs w:val="22"/>
        </w:rPr>
        <w:t>.</w:t>
      </w:r>
    </w:p>
    <w:p w14:paraId="03A7A07F" w14:textId="43417442" w:rsidR="009F5152" w:rsidRPr="00324C29" w:rsidRDefault="009F5152" w:rsidP="00A2097F">
      <w:pPr>
        <w:pStyle w:val="ListParagraph"/>
        <w:numPr>
          <w:ilvl w:val="0"/>
          <w:numId w:val="3"/>
        </w:numPr>
        <w:suppressAutoHyphens w:val="0"/>
        <w:autoSpaceDE w:val="0"/>
        <w:autoSpaceDN w:val="0"/>
        <w:adjustRightInd w:val="0"/>
        <w:spacing w:after="120"/>
        <w:jc w:val="both"/>
        <w:rPr>
          <w:sz w:val="22"/>
          <w:szCs w:val="22"/>
        </w:rPr>
      </w:pPr>
      <w:r>
        <w:rPr>
          <w:sz w:val="22"/>
          <w:szCs w:val="22"/>
        </w:rPr>
        <w:t xml:space="preserve">Twelve </w:t>
      </w:r>
      <w:r w:rsidRPr="00324C29">
        <w:rPr>
          <w:sz w:val="22"/>
          <w:szCs w:val="22"/>
        </w:rPr>
        <w:t>months post approval: Disbursement of funds begin</w:t>
      </w:r>
      <w:r w:rsidR="00A2097F">
        <w:rPr>
          <w:sz w:val="22"/>
          <w:szCs w:val="22"/>
        </w:rPr>
        <w:t>s</w:t>
      </w:r>
      <w:r w:rsidRPr="00324C29">
        <w:rPr>
          <w:sz w:val="22"/>
          <w:szCs w:val="22"/>
        </w:rPr>
        <w:t>.</w:t>
      </w:r>
    </w:p>
    <w:p w14:paraId="50C4ED85" w14:textId="792852C2" w:rsidR="009F5152" w:rsidRPr="00324C29" w:rsidRDefault="009F5152" w:rsidP="00A2097F">
      <w:pPr>
        <w:pStyle w:val="ListParagraph"/>
        <w:numPr>
          <w:ilvl w:val="0"/>
          <w:numId w:val="3"/>
        </w:numPr>
        <w:suppressAutoHyphens w:val="0"/>
        <w:autoSpaceDE w:val="0"/>
        <w:autoSpaceDN w:val="0"/>
        <w:adjustRightInd w:val="0"/>
        <w:spacing w:after="120"/>
        <w:jc w:val="both"/>
        <w:rPr>
          <w:sz w:val="22"/>
          <w:szCs w:val="22"/>
        </w:rPr>
      </w:pPr>
      <w:r w:rsidRPr="00324C29">
        <w:rPr>
          <w:sz w:val="22"/>
          <w:szCs w:val="22"/>
        </w:rPr>
        <w:t xml:space="preserve">Thirteen months to four years post-approval: Strategies </w:t>
      </w:r>
      <w:r w:rsidR="00A2097F">
        <w:rPr>
          <w:sz w:val="22"/>
          <w:szCs w:val="22"/>
        </w:rPr>
        <w:t>are</w:t>
      </w:r>
      <w:r w:rsidRPr="00324C29">
        <w:rPr>
          <w:sz w:val="22"/>
          <w:szCs w:val="22"/>
        </w:rPr>
        <w:t xml:space="preserve"> </w:t>
      </w:r>
      <w:proofErr w:type="gramStart"/>
      <w:r w:rsidRPr="00324C29">
        <w:rPr>
          <w:sz w:val="22"/>
          <w:szCs w:val="22"/>
        </w:rPr>
        <w:t>implemented</w:t>
      </w:r>
      <w:proofErr w:type="gramEnd"/>
      <w:r w:rsidRPr="00324C29">
        <w:rPr>
          <w:sz w:val="22"/>
          <w:szCs w:val="22"/>
        </w:rPr>
        <w:t xml:space="preserve"> and annual </w:t>
      </w:r>
      <w:proofErr w:type="gramStart"/>
      <w:r w:rsidRPr="00324C29">
        <w:rPr>
          <w:sz w:val="22"/>
          <w:szCs w:val="22"/>
        </w:rPr>
        <w:t>evaluating</w:t>
      </w:r>
      <w:proofErr w:type="gramEnd"/>
      <w:r w:rsidRPr="00324C29">
        <w:rPr>
          <w:sz w:val="22"/>
          <w:szCs w:val="22"/>
        </w:rPr>
        <w:t xml:space="preserve"> occur</w:t>
      </w:r>
      <w:r w:rsidR="00A2097F">
        <w:rPr>
          <w:sz w:val="22"/>
          <w:szCs w:val="22"/>
        </w:rPr>
        <w:t>s</w:t>
      </w:r>
      <w:r w:rsidRPr="00324C29">
        <w:rPr>
          <w:sz w:val="22"/>
          <w:szCs w:val="22"/>
        </w:rPr>
        <w:t>.</w:t>
      </w:r>
    </w:p>
    <w:p w14:paraId="7567C002" w14:textId="383413D2" w:rsidR="009F5152" w:rsidRPr="00A45818" w:rsidRDefault="009F5152" w:rsidP="00A2097F">
      <w:pPr>
        <w:pStyle w:val="ListParagraph"/>
        <w:numPr>
          <w:ilvl w:val="0"/>
          <w:numId w:val="3"/>
        </w:numPr>
        <w:suppressAutoHyphens w:val="0"/>
        <w:autoSpaceDE w:val="0"/>
        <w:autoSpaceDN w:val="0"/>
        <w:adjustRightInd w:val="0"/>
        <w:spacing w:after="120"/>
        <w:jc w:val="both"/>
        <w:rPr>
          <w:sz w:val="22"/>
          <w:szCs w:val="22"/>
        </w:rPr>
      </w:pPr>
      <w:r>
        <w:rPr>
          <w:sz w:val="22"/>
          <w:szCs w:val="22"/>
        </w:rPr>
        <w:t>Four</w:t>
      </w:r>
      <w:r w:rsidRPr="00324C29">
        <w:rPr>
          <w:sz w:val="22"/>
          <w:szCs w:val="22"/>
        </w:rPr>
        <w:t xml:space="preserve"> years post-approval: Final evaluation of funded projects.</w:t>
      </w:r>
    </w:p>
    <w:p w14:paraId="6FB0D623" w14:textId="6CB78BA8" w:rsidR="009F5152" w:rsidRDefault="009F5152" w:rsidP="00A2097F">
      <w:pPr>
        <w:suppressAutoHyphens w:val="0"/>
        <w:autoSpaceDE w:val="0"/>
        <w:autoSpaceDN w:val="0"/>
        <w:adjustRightInd w:val="0"/>
        <w:spacing w:after="120"/>
        <w:jc w:val="both"/>
        <w:rPr>
          <w:sz w:val="22"/>
          <w:szCs w:val="22"/>
        </w:rPr>
      </w:pPr>
      <w:r>
        <w:rPr>
          <w:sz w:val="22"/>
          <w:szCs w:val="22"/>
        </w:rPr>
        <w:t>NWH</w:t>
      </w:r>
      <w:r w:rsidRPr="00324C29">
        <w:rPr>
          <w:sz w:val="22"/>
          <w:szCs w:val="22"/>
        </w:rPr>
        <w:t xml:space="preserve"> is requesting </w:t>
      </w:r>
      <w:r>
        <w:rPr>
          <w:sz w:val="22"/>
          <w:szCs w:val="22"/>
        </w:rPr>
        <w:t>approval to use up to three percent (3%) of local CHI funding (</w:t>
      </w:r>
      <w:r w:rsidR="00A45818" w:rsidRPr="006111E9">
        <w:rPr>
          <w:sz w:val="21"/>
          <w:szCs w:val="21"/>
        </w:rPr>
        <w:t>$31,734.00</w:t>
      </w:r>
      <w:r>
        <w:rPr>
          <w:sz w:val="22"/>
          <w:szCs w:val="22"/>
        </w:rPr>
        <w:t xml:space="preserve">) </w:t>
      </w:r>
      <w:r w:rsidRPr="00324C29">
        <w:rPr>
          <w:sz w:val="22"/>
          <w:szCs w:val="22"/>
        </w:rPr>
        <w:t>in administrative funding. These monies will support promotion of meetings,</w:t>
      </w:r>
      <w:r>
        <w:rPr>
          <w:sz w:val="22"/>
          <w:szCs w:val="22"/>
        </w:rPr>
        <w:t xml:space="preserve"> </w:t>
      </w:r>
      <w:r w:rsidRPr="00324C29">
        <w:rPr>
          <w:sz w:val="22"/>
          <w:szCs w:val="22"/>
        </w:rPr>
        <w:t xml:space="preserve">interpretation/translation, </w:t>
      </w:r>
      <w:r w:rsidRPr="00324C29">
        <w:rPr>
          <w:sz w:val="22"/>
          <w:szCs w:val="22"/>
        </w:rPr>
        <w:lastRenderedPageBreak/>
        <w:t>community engagement, stipends for community</w:t>
      </w:r>
      <w:r>
        <w:rPr>
          <w:sz w:val="22"/>
          <w:szCs w:val="22"/>
        </w:rPr>
        <w:t xml:space="preserve"> </w:t>
      </w:r>
      <w:r w:rsidRPr="00324C29">
        <w:rPr>
          <w:sz w:val="22"/>
          <w:szCs w:val="22"/>
        </w:rPr>
        <w:t>resident participation, additional</w:t>
      </w:r>
      <w:r>
        <w:rPr>
          <w:sz w:val="22"/>
          <w:szCs w:val="22"/>
        </w:rPr>
        <w:t xml:space="preserve"> </w:t>
      </w:r>
      <w:r w:rsidRPr="00324C29">
        <w:rPr>
          <w:sz w:val="22"/>
          <w:szCs w:val="22"/>
        </w:rPr>
        <w:t>staff time for these efforts.</w:t>
      </w:r>
    </w:p>
    <w:p w14:paraId="1FDA92DB" w14:textId="14173BD0" w:rsidR="00AB3289" w:rsidRDefault="009F5152" w:rsidP="00A2097F">
      <w:pPr>
        <w:spacing w:after="120"/>
        <w:jc w:val="both"/>
      </w:pPr>
      <w:r>
        <w:rPr>
          <w:sz w:val="22"/>
          <w:szCs w:val="22"/>
        </w:rPr>
        <w:t xml:space="preserve">Additionally, NWH </w:t>
      </w:r>
      <w:r w:rsidRPr="00324C29">
        <w:rPr>
          <w:sz w:val="22"/>
          <w:szCs w:val="22"/>
        </w:rPr>
        <w:t xml:space="preserve">is seeking to use 10% of local CHI </w:t>
      </w:r>
      <w:r w:rsidRPr="00A45818">
        <w:rPr>
          <w:sz w:val="22"/>
          <w:szCs w:val="22"/>
        </w:rPr>
        <w:t>funding (</w:t>
      </w:r>
      <w:r w:rsidR="00A45818" w:rsidRPr="00A45818">
        <w:rPr>
          <w:sz w:val="21"/>
          <w:szCs w:val="21"/>
        </w:rPr>
        <w:t>$</w:t>
      </w:r>
      <w:r w:rsidR="00A45818" w:rsidRPr="006111E9">
        <w:rPr>
          <w:sz w:val="21"/>
          <w:szCs w:val="21"/>
        </w:rPr>
        <w:t>76,955.00</w:t>
      </w:r>
      <w:r w:rsidRPr="00324C29">
        <w:rPr>
          <w:sz w:val="22"/>
          <w:szCs w:val="22"/>
        </w:rPr>
        <w:t>) for evaluation efforts. These monies will allow</w:t>
      </w:r>
      <w:r>
        <w:rPr>
          <w:sz w:val="22"/>
          <w:szCs w:val="22"/>
        </w:rPr>
        <w:t xml:space="preserve"> NWH</w:t>
      </w:r>
      <w:r w:rsidRPr="00324C29">
        <w:rPr>
          <w:sz w:val="22"/>
          <w:szCs w:val="22"/>
        </w:rPr>
        <w:t xml:space="preserve"> to retain the expertise of the internal and/or external resources to develop and implement appropriate</w:t>
      </w:r>
      <w:r>
        <w:rPr>
          <w:sz w:val="22"/>
          <w:szCs w:val="22"/>
        </w:rPr>
        <w:t xml:space="preserve"> </w:t>
      </w:r>
      <w:r w:rsidRPr="00324C29">
        <w:rPr>
          <w:sz w:val="22"/>
          <w:szCs w:val="22"/>
        </w:rPr>
        <w:t>evaluation metrics of the CHI-funded projects.</w:t>
      </w:r>
    </w:p>
    <w:sectPr w:rsidR="00AB3289">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E9EB" w14:textId="77777777" w:rsidR="007C7CAB" w:rsidRDefault="007C7CAB" w:rsidP="009F5152">
      <w:r>
        <w:separator/>
      </w:r>
    </w:p>
  </w:endnote>
  <w:endnote w:type="continuationSeparator" w:id="0">
    <w:p w14:paraId="114A34C2" w14:textId="77777777" w:rsidR="007C7CAB" w:rsidRDefault="007C7CAB" w:rsidP="009F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F71B" w14:textId="2BCFF093" w:rsidR="007E74B2" w:rsidRDefault="007E74B2">
    <w:pPr>
      <w:pStyle w:val="Footer"/>
    </w:pPr>
    <w:r>
      <w:fldChar w:fldCharType="begin"/>
    </w:r>
    <w:r w:rsidRPr="007E74B2">
      <w:rPr>
        <w:rStyle w:val="DocID"/>
      </w:rPr>
      <w:instrText xml:space="preserve"> DOCPROPERTY DOCXDOCID DMS=NetDocuments Format=HB: &lt;&lt;ID&gt;&gt;.&lt;&lt;VER&gt;&gt; PRESERVELOCATION \* MERGEFORMAT </w:instrText>
    </w:r>
    <w:r>
      <w:fldChar w:fldCharType="separate"/>
    </w:r>
    <w:r w:rsidR="001D643D">
      <w:rPr>
        <w:rStyle w:val="DocID"/>
      </w:rPr>
      <w:t>HB: 4880-3976-7955.11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0097" w14:textId="39DE002C" w:rsidR="007E74B2" w:rsidRDefault="007E74B2">
    <w:pPr>
      <w:pStyle w:val="Footer"/>
    </w:pPr>
    <w:r>
      <w:fldChar w:fldCharType="begin"/>
    </w:r>
    <w:r w:rsidRPr="007E74B2">
      <w:rPr>
        <w:rStyle w:val="DocID"/>
      </w:rPr>
      <w:instrText xml:space="preserve"> DOCPROPERTY DOCXDOCID DMS=NetDocuments Format=HB: &lt;&lt;ID&gt;&gt;.&lt;&lt;VER&gt;&gt; PRESERVELOCATION \* MERGEFORMAT </w:instrText>
    </w:r>
    <w:r>
      <w:fldChar w:fldCharType="separate"/>
    </w:r>
    <w:r w:rsidR="001D643D">
      <w:rPr>
        <w:rStyle w:val="DocID"/>
      </w:rPr>
      <w:t>HB: 4880-3976-7955.11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5E76" w14:textId="0D530467" w:rsidR="007E74B2" w:rsidRDefault="007E74B2">
    <w:pPr>
      <w:pStyle w:val="Footer"/>
    </w:pPr>
    <w:r>
      <w:fldChar w:fldCharType="begin"/>
    </w:r>
    <w:r w:rsidRPr="007E74B2">
      <w:rPr>
        <w:rStyle w:val="DocID"/>
      </w:rPr>
      <w:instrText xml:space="preserve"> DOCPROPERTY DOCXDOCID DMS=NetDocuments Format=HB: &lt;&lt;ID&gt;&gt;.&lt;&lt;VER&gt;&gt; PRESERVELOCATION \* MERGEFORMAT </w:instrText>
    </w:r>
    <w:r>
      <w:fldChar w:fldCharType="separate"/>
    </w:r>
    <w:r w:rsidR="001D643D">
      <w:rPr>
        <w:rStyle w:val="DocID"/>
      </w:rPr>
      <w:t>HB: 4880-3976-7955.11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9E30" w14:textId="77777777" w:rsidR="007C7CAB" w:rsidRDefault="007C7CAB" w:rsidP="009F5152">
      <w:r>
        <w:separator/>
      </w:r>
    </w:p>
  </w:footnote>
  <w:footnote w:type="continuationSeparator" w:id="0">
    <w:p w14:paraId="6C8FD432" w14:textId="77777777" w:rsidR="007C7CAB" w:rsidRDefault="007C7CAB" w:rsidP="009F5152">
      <w:r>
        <w:continuationSeparator/>
      </w:r>
    </w:p>
  </w:footnote>
  <w:footnote w:id="1">
    <w:p w14:paraId="51031CF9" w14:textId="7F93C50A" w:rsidR="009F5152" w:rsidRDefault="009F5152" w:rsidP="009F5152">
      <w:pPr>
        <w:pStyle w:val="FootnoteText"/>
      </w:pPr>
      <w:r>
        <w:rPr>
          <w:rStyle w:val="FootnoteReference"/>
        </w:rPr>
        <w:footnoteRef/>
      </w:r>
      <w:r>
        <w:t xml:space="preserve"> </w:t>
      </w:r>
      <w:hyperlink r:id="rId1" w:history="1">
        <w:r w:rsidR="00606F8B" w:rsidRPr="00D832B8">
          <w:rPr>
            <w:rStyle w:val="Hyperlink"/>
            <w:i/>
            <w:iCs/>
            <w:color w:val="000000" w:themeColor="text1"/>
            <w:u w:val="none"/>
          </w:rPr>
          <w:t>Ambulatory Surgery Centers Versus Hospital-based Outpatient Departments: What’s the Difference?</w:t>
        </w:r>
      </w:hyperlink>
      <w:r w:rsidR="00606F8B" w:rsidRPr="00D832B8">
        <w:rPr>
          <w:color w:val="000000" w:themeColor="text1"/>
        </w:rPr>
        <w:t xml:space="preserve"> </w:t>
      </w:r>
      <w:r w:rsidR="00606F8B" w:rsidRPr="00D832B8">
        <w:rPr>
          <w:smallCaps/>
          <w:color w:val="000000" w:themeColor="text1"/>
        </w:rPr>
        <w:t xml:space="preserve">American </w:t>
      </w:r>
      <w:r w:rsidR="00606F8B">
        <w:rPr>
          <w:smallCaps/>
        </w:rPr>
        <w:t xml:space="preserve">Academy of </w:t>
      </w:r>
      <w:proofErr w:type="spellStart"/>
      <w:r w:rsidR="00606F8B">
        <w:rPr>
          <w:smallCaps/>
        </w:rPr>
        <w:t>Orthopaedic</w:t>
      </w:r>
      <w:proofErr w:type="spellEnd"/>
      <w:r w:rsidR="00606F8B">
        <w:rPr>
          <w:smallCaps/>
        </w:rPr>
        <w:t xml:space="preserve"> Surgeons. </w:t>
      </w:r>
      <w:hyperlink r:id="rId2" w:history="1">
        <w:r w:rsidR="00606F8B" w:rsidRPr="00372C86">
          <w:rPr>
            <w:rStyle w:val="Hyperlink"/>
          </w:rPr>
          <w:t>https://www.aaos.org/aaosnow/2019/sep/managing/managing02/</w:t>
        </w:r>
      </w:hyperlink>
      <w:r w:rsidR="00606F8B">
        <w:t xml:space="preserve"> </w:t>
      </w:r>
    </w:p>
  </w:footnote>
  <w:footnote w:id="2">
    <w:p w14:paraId="08B4983E" w14:textId="5030FAE9" w:rsidR="00D97544" w:rsidRDefault="00D97544">
      <w:pPr>
        <w:pStyle w:val="FootnoteText"/>
      </w:pPr>
      <w:r>
        <w:rPr>
          <w:rStyle w:val="FootnoteReference"/>
        </w:rPr>
        <w:footnoteRef/>
      </w:r>
      <w:r>
        <w:t xml:space="preserve"> </w:t>
      </w:r>
      <w:r w:rsidRPr="00A45818">
        <w:rPr>
          <w:rStyle w:val="cf01"/>
          <w:rFonts w:ascii="Times New Roman" w:hAnsi="Times New Roman" w:cs="Times New Roman"/>
          <w:sz w:val="22"/>
          <w:szCs w:val="22"/>
        </w:rPr>
        <w:t xml:space="preserve">Cases are considered clinically appropriate </w:t>
      </w:r>
      <w:r w:rsidR="00E845D2">
        <w:rPr>
          <w:rStyle w:val="cf01"/>
          <w:rFonts w:ascii="Times New Roman" w:hAnsi="Times New Roman" w:cs="Times New Roman"/>
          <w:sz w:val="22"/>
          <w:szCs w:val="22"/>
        </w:rPr>
        <w:t>in a freestanding location</w:t>
      </w:r>
      <w:r w:rsidRPr="00A45818">
        <w:rPr>
          <w:rStyle w:val="cf01"/>
          <w:rFonts w:ascii="Times New Roman" w:hAnsi="Times New Roman" w:cs="Times New Roman"/>
          <w:sz w:val="22"/>
          <w:szCs w:val="22"/>
        </w:rPr>
        <w:t xml:space="preserve"> if the patient has</w:t>
      </w:r>
      <w:r w:rsidRPr="00A45818">
        <w:rPr>
          <w:sz w:val="22"/>
          <w:szCs w:val="22"/>
        </w:rPr>
        <w:t xml:space="preserve"> a body mass index (“BMI”) of 40 or less and an American Society of Anesthesiology (</w:t>
      </w:r>
      <w:r>
        <w:rPr>
          <w:sz w:val="22"/>
          <w:szCs w:val="22"/>
        </w:rPr>
        <w:t>“</w:t>
      </w:r>
      <w:r w:rsidRPr="00A45818">
        <w:rPr>
          <w:sz w:val="22"/>
          <w:szCs w:val="22"/>
        </w:rPr>
        <w:t>ASA</w:t>
      </w:r>
      <w:r>
        <w:rPr>
          <w:sz w:val="22"/>
          <w:szCs w:val="22"/>
        </w:rPr>
        <w:t>”</w:t>
      </w:r>
      <w:r w:rsidRPr="00A45818">
        <w:rPr>
          <w:sz w:val="22"/>
          <w:szCs w:val="22"/>
        </w:rPr>
        <w:t xml:space="preserve">) Score of I or II.  </w:t>
      </w:r>
      <w:r w:rsidRPr="00A45818">
        <w:rPr>
          <w:rStyle w:val="cf01"/>
          <w:rFonts w:ascii="Times New Roman" w:hAnsi="Times New Roman" w:cs="Times New Roman"/>
          <w:sz w:val="22"/>
          <w:szCs w:val="22"/>
        </w:rPr>
        <w:t xml:space="preserve"> </w:t>
      </w:r>
    </w:p>
  </w:footnote>
  <w:footnote w:id="3">
    <w:p w14:paraId="7F7B6581" w14:textId="77777777" w:rsidR="009F5152" w:rsidRDefault="009F5152" w:rsidP="009F5152">
      <w:pPr>
        <w:pStyle w:val="FootnoteText"/>
      </w:pPr>
      <w:r>
        <w:rPr>
          <w:rStyle w:val="FootnoteReference"/>
        </w:rPr>
        <w:footnoteRef/>
      </w:r>
      <w:r>
        <w:t xml:space="preserve"> DoN #</w:t>
      </w:r>
      <w:r w:rsidRPr="006A7BFC">
        <w:t>PHS-18022210-HE</w:t>
      </w:r>
      <w:r>
        <w:t xml:space="preserve"> and #</w:t>
      </w:r>
      <w:r w:rsidRPr="006A7BFC">
        <w:t>PHS-18090711-HS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028FE"/>
    <w:multiLevelType w:val="hybridMultilevel"/>
    <w:tmpl w:val="84AA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056309">
    <w:abstractNumId w:val="1"/>
  </w:num>
  <w:num w:numId="2" w16cid:durableId="40911050">
    <w:abstractNumId w:val="0"/>
  </w:num>
  <w:num w:numId="3" w16cid:durableId="253167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52"/>
    <w:rsid w:val="000E1937"/>
    <w:rsid w:val="00110B2A"/>
    <w:rsid w:val="00162DCD"/>
    <w:rsid w:val="00173E99"/>
    <w:rsid w:val="001D643D"/>
    <w:rsid w:val="00202D38"/>
    <w:rsid w:val="00296374"/>
    <w:rsid w:val="002E4DFD"/>
    <w:rsid w:val="0034516A"/>
    <w:rsid w:val="00376F1F"/>
    <w:rsid w:val="00391E7A"/>
    <w:rsid w:val="00394444"/>
    <w:rsid w:val="004019C6"/>
    <w:rsid w:val="004C6A11"/>
    <w:rsid w:val="004F40A2"/>
    <w:rsid w:val="005E1EBE"/>
    <w:rsid w:val="00606F8B"/>
    <w:rsid w:val="0067172D"/>
    <w:rsid w:val="006942E2"/>
    <w:rsid w:val="006A0C89"/>
    <w:rsid w:val="006C58FA"/>
    <w:rsid w:val="006F2110"/>
    <w:rsid w:val="007144A6"/>
    <w:rsid w:val="007C7CAB"/>
    <w:rsid w:val="007E74B2"/>
    <w:rsid w:val="009F5152"/>
    <w:rsid w:val="00A2097F"/>
    <w:rsid w:val="00A45818"/>
    <w:rsid w:val="00AB3289"/>
    <w:rsid w:val="00C05E00"/>
    <w:rsid w:val="00C31B08"/>
    <w:rsid w:val="00CD56EC"/>
    <w:rsid w:val="00D832B8"/>
    <w:rsid w:val="00D97544"/>
    <w:rsid w:val="00E845D2"/>
    <w:rsid w:val="00EB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6046"/>
  <w15:chartTrackingRefBased/>
  <w15:docId w15:val="{6F0804F8-AC23-4E91-8D5E-887A6B8E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52"/>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9F5152"/>
    <w:pPr>
      <w:ind w:left="720"/>
      <w:contextualSpacing/>
    </w:pPr>
  </w:style>
  <w:style w:type="table" w:styleId="TableGrid">
    <w:name w:val="Table Grid"/>
    <w:basedOn w:val="TableNormal"/>
    <w:uiPriority w:val="59"/>
    <w:rsid w:val="009F5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5152"/>
    <w:rPr>
      <w:sz w:val="16"/>
      <w:szCs w:val="16"/>
    </w:rPr>
  </w:style>
  <w:style w:type="paragraph" w:styleId="CommentText">
    <w:name w:val="annotation text"/>
    <w:basedOn w:val="Normal"/>
    <w:link w:val="CommentTextChar"/>
    <w:uiPriority w:val="99"/>
    <w:unhideWhenUsed/>
    <w:rsid w:val="009F5152"/>
    <w:rPr>
      <w:sz w:val="20"/>
      <w:szCs w:val="20"/>
    </w:rPr>
  </w:style>
  <w:style w:type="character" w:customStyle="1" w:styleId="CommentTextChar">
    <w:name w:val="Comment Text Char"/>
    <w:basedOn w:val="DefaultParagraphFont"/>
    <w:link w:val="CommentText"/>
    <w:uiPriority w:val="99"/>
    <w:rsid w:val="009F5152"/>
    <w:rPr>
      <w:rFonts w:ascii="Times New Roman" w:hAnsi="Times New Roman" w:cs="Times New Roman"/>
      <w:sz w:val="20"/>
      <w:szCs w:val="20"/>
    </w:rPr>
  </w:style>
  <w:style w:type="paragraph" w:styleId="FootnoteText">
    <w:name w:val="footnote text"/>
    <w:basedOn w:val="Normal"/>
    <w:link w:val="FootnoteTextChar"/>
    <w:uiPriority w:val="99"/>
    <w:semiHidden/>
    <w:unhideWhenUsed/>
    <w:rsid w:val="009F5152"/>
    <w:rPr>
      <w:sz w:val="20"/>
      <w:szCs w:val="20"/>
    </w:rPr>
  </w:style>
  <w:style w:type="character" w:customStyle="1" w:styleId="FootnoteTextChar">
    <w:name w:val="Footnote Text Char"/>
    <w:basedOn w:val="DefaultParagraphFont"/>
    <w:link w:val="FootnoteText"/>
    <w:uiPriority w:val="99"/>
    <w:semiHidden/>
    <w:rsid w:val="009F515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F5152"/>
    <w:rPr>
      <w:vertAlign w:val="superscript"/>
    </w:rPr>
  </w:style>
  <w:style w:type="character" w:customStyle="1" w:styleId="cf01">
    <w:name w:val="cf01"/>
    <w:basedOn w:val="DefaultParagraphFont"/>
    <w:rsid w:val="009F5152"/>
    <w:rPr>
      <w:rFonts w:ascii="Segoe UI" w:hAnsi="Segoe UI" w:cs="Segoe UI" w:hint="default"/>
      <w:sz w:val="18"/>
      <w:szCs w:val="18"/>
    </w:rPr>
  </w:style>
  <w:style w:type="paragraph" w:customStyle="1" w:styleId="pf0">
    <w:name w:val="pf0"/>
    <w:basedOn w:val="Normal"/>
    <w:rsid w:val="009F5152"/>
    <w:pPr>
      <w:suppressAutoHyphens w:val="0"/>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391E7A"/>
    <w:rPr>
      <w:b/>
      <w:bCs/>
    </w:rPr>
  </w:style>
  <w:style w:type="character" w:customStyle="1" w:styleId="CommentSubjectChar">
    <w:name w:val="Comment Subject Char"/>
    <w:basedOn w:val="CommentTextChar"/>
    <w:link w:val="CommentSubject"/>
    <w:uiPriority w:val="99"/>
    <w:semiHidden/>
    <w:rsid w:val="00391E7A"/>
    <w:rPr>
      <w:rFonts w:ascii="Times New Roman" w:hAnsi="Times New Roman" w:cs="Times New Roman"/>
      <w:b/>
      <w:bCs/>
      <w:sz w:val="20"/>
      <w:szCs w:val="20"/>
    </w:rPr>
  </w:style>
  <w:style w:type="paragraph" w:styleId="Revision">
    <w:name w:val="Revision"/>
    <w:hidden/>
    <w:uiPriority w:val="99"/>
    <w:semiHidden/>
    <w:rsid w:val="00173E99"/>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606F8B"/>
    <w:rPr>
      <w:color w:val="0563C1" w:themeColor="hyperlink"/>
      <w:u w:val="single"/>
    </w:rPr>
  </w:style>
  <w:style w:type="character" w:styleId="UnresolvedMention">
    <w:name w:val="Unresolved Mention"/>
    <w:basedOn w:val="DefaultParagraphFont"/>
    <w:uiPriority w:val="99"/>
    <w:semiHidden/>
    <w:unhideWhenUsed/>
    <w:rsid w:val="00606F8B"/>
    <w:rPr>
      <w:color w:val="605E5C"/>
      <w:shd w:val="clear" w:color="auto" w:fill="E1DFDD"/>
    </w:rPr>
  </w:style>
  <w:style w:type="paragraph" w:styleId="Header">
    <w:name w:val="header"/>
    <w:basedOn w:val="Normal"/>
    <w:link w:val="HeaderChar"/>
    <w:uiPriority w:val="99"/>
    <w:unhideWhenUsed/>
    <w:rsid w:val="007E74B2"/>
    <w:pPr>
      <w:tabs>
        <w:tab w:val="center" w:pos="4680"/>
        <w:tab w:val="right" w:pos="9360"/>
      </w:tabs>
    </w:pPr>
  </w:style>
  <w:style w:type="character" w:customStyle="1" w:styleId="HeaderChar">
    <w:name w:val="Header Char"/>
    <w:basedOn w:val="DefaultParagraphFont"/>
    <w:link w:val="Header"/>
    <w:uiPriority w:val="99"/>
    <w:rsid w:val="007E74B2"/>
    <w:rPr>
      <w:rFonts w:ascii="Times New Roman" w:hAnsi="Times New Roman" w:cs="Times New Roman"/>
      <w:sz w:val="24"/>
      <w:szCs w:val="24"/>
    </w:rPr>
  </w:style>
  <w:style w:type="paragraph" w:styleId="Footer">
    <w:name w:val="footer"/>
    <w:basedOn w:val="Normal"/>
    <w:link w:val="FooterChar"/>
    <w:uiPriority w:val="99"/>
    <w:unhideWhenUsed/>
    <w:rsid w:val="007E74B2"/>
    <w:pPr>
      <w:tabs>
        <w:tab w:val="center" w:pos="4680"/>
        <w:tab w:val="right" w:pos="9360"/>
      </w:tabs>
    </w:pPr>
  </w:style>
  <w:style w:type="character" w:customStyle="1" w:styleId="FooterChar">
    <w:name w:val="Footer Char"/>
    <w:basedOn w:val="DefaultParagraphFont"/>
    <w:link w:val="Footer"/>
    <w:uiPriority w:val="99"/>
    <w:rsid w:val="007E74B2"/>
    <w:rPr>
      <w:rFonts w:ascii="Times New Roman" w:hAnsi="Times New Roman" w:cs="Times New Roman"/>
      <w:sz w:val="24"/>
      <w:szCs w:val="24"/>
    </w:rPr>
  </w:style>
  <w:style w:type="character" w:customStyle="1" w:styleId="DocID">
    <w:name w:val="DocID"/>
    <w:basedOn w:val="DefaultParagraphFont"/>
    <w:uiPriority w:val="1"/>
    <w:rsid w:val="007E74B2"/>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37075">
      <w:bodyDiv w:val="1"/>
      <w:marLeft w:val="0"/>
      <w:marRight w:val="0"/>
      <w:marTop w:val="0"/>
      <w:marBottom w:val="0"/>
      <w:divBdr>
        <w:top w:val="none" w:sz="0" w:space="0" w:color="auto"/>
        <w:left w:val="none" w:sz="0" w:space="0" w:color="auto"/>
        <w:bottom w:val="none" w:sz="0" w:space="0" w:color="auto"/>
        <w:right w:val="none" w:sz="0" w:space="0" w:color="auto"/>
      </w:divBdr>
    </w:div>
    <w:div w:id="483787378">
      <w:bodyDiv w:val="1"/>
      <w:marLeft w:val="0"/>
      <w:marRight w:val="0"/>
      <w:marTop w:val="0"/>
      <w:marBottom w:val="0"/>
      <w:divBdr>
        <w:top w:val="none" w:sz="0" w:space="0" w:color="auto"/>
        <w:left w:val="none" w:sz="0" w:space="0" w:color="auto"/>
        <w:bottom w:val="none" w:sz="0" w:space="0" w:color="auto"/>
        <w:right w:val="none" w:sz="0" w:space="0" w:color="auto"/>
      </w:divBdr>
    </w:div>
    <w:div w:id="15452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aos.org/aaosnow/2019/sep/managing/managing02/" TargetMode="External"/><Relationship Id="rId1" Type="http://schemas.openxmlformats.org/officeDocument/2006/relationships/hyperlink" Target="https://www.aaos.org/aaosnow/2019/sep/managing/managing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7C695-FC94-4186-AA3D-455072E4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Ciolfi, Kasey</dc:creator>
  <cp:keywords/>
  <dc:description/>
  <cp:lastModifiedBy>Marks, Brett (DPH)</cp:lastModifiedBy>
  <cp:revision>5</cp:revision>
  <cp:lastPrinted>2023-12-27T21:04:00Z</cp:lastPrinted>
  <dcterms:created xsi:type="dcterms:W3CDTF">2024-01-04T20:31:00Z</dcterms:created>
  <dcterms:modified xsi:type="dcterms:W3CDTF">2024-01-11T16:44:00Z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4880-3976-7955</vt:lpwstr>
  </property>
  <property fmtid="{D5CDD505-2E9C-101B-9397-08002B2CF9AE}" pid="3" name="DOCXDOCID">
    <vt:lpwstr>HB: 4880-3976-7955.11</vt:lpwstr>
  </property>
  <property fmtid="{D5CDD505-2E9C-101B-9397-08002B2CF9AE}" pid="4" name="DocXLocation">
    <vt:lpwstr>Every Page</vt:lpwstr>
  </property>
  <property fmtid="{D5CDD505-2E9C-101B-9397-08002B2CF9AE}" pid="5" name="DocXFormat">
    <vt:lpwstr>HB DocID w/ver w/HB Label</vt:lpwstr>
  </property>
</Properties>
</file>